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F5B40" w14:textId="77777777" w:rsidR="008822C0" w:rsidRDefault="008822C0" w:rsidP="00830D36">
      <w:pPr>
        <w:tabs>
          <w:tab w:val="left" w:pos="5245"/>
          <w:tab w:val="left" w:pos="5529"/>
          <w:tab w:val="left" w:pos="8730"/>
        </w:tabs>
        <w:ind w:left="-144" w:right="-144"/>
        <w:jc w:val="both"/>
        <w:rPr>
          <w:rFonts w:ascii="Verdana" w:hAnsi="Verdana"/>
          <w:b/>
          <w:sz w:val="20"/>
          <w:szCs w:val="20"/>
        </w:rPr>
      </w:pPr>
    </w:p>
    <w:p w14:paraId="6D172AB2" w14:textId="4D5756F5" w:rsidR="00FB723A" w:rsidRDefault="00FB723A" w:rsidP="00B446C7">
      <w:pPr>
        <w:tabs>
          <w:tab w:val="left" w:pos="5245"/>
          <w:tab w:val="left" w:pos="5529"/>
          <w:tab w:val="left" w:pos="8730"/>
        </w:tabs>
        <w:ind w:left="-144" w:right="-144"/>
        <w:jc w:val="center"/>
        <w:rPr>
          <w:rFonts w:ascii="Verdana" w:hAnsi="Verdana"/>
          <w:b/>
          <w:sz w:val="20"/>
          <w:szCs w:val="20"/>
        </w:rPr>
      </w:pPr>
      <w:r>
        <w:rPr>
          <w:rFonts w:ascii="Verdana" w:hAnsi="Verdana"/>
          <w:b/>
          <w:sz w:val="20"/>
          <w:szCs w:val="20"/>
        </w:rPr>
        <w:br/>
      </w:r>
    </w:p>
    <w:p w14:paraId="6D172AB3" w14:textId="77777777" w:rsidR="00FB723A" w:rsidRDefault="00FB723A" w:rsidP="00FB723A">
      <w:pPr>
        <w:ind w:left="720" w:hanging="720"/>
        <w:jc w:val="center"/>
        <w:rPr>
          <w:rFonts w:ascii="Verdana" w:hAnsi="Verdana"/>
          <w:b/>
          <w:sz w:val="20"/>
          <w:szCs w:val="20"/>
        </w:rPr>
      </w:pPr>
    </w:p>
    <w:p w14:paraId="1F393DBD" w14:textId="77777777" w:rsidR="0074038D" w:rsidRDefault="0074038D" w:rsidP="00FB723A">
      <w:pPr>
        <w:ind w:left="720" w:hanging="720"/>
        <w:jc w:val="center"/>
        <w:rPr>
          <w:rFonts w:ascii="Verdana" w:hAnsi="Verdana"/>
          <w:b/>
          <w:sz w:val="20"/>
          <w:szCs w:val="20"/>
        </w:rPr>
      </w:pPr>
    </w:p>
    <w:p w14:paraId="720250A0" w14:textId="77777777" w:rsidR="0074038D" w:rsidRDefault="0074038D" w:rsidP="00FB723A">
      <w:pPr>
        <w:ind w:left="720" w:hanging="720"/>
        <w:jc w:val="center"/>
        <w:rPr>
          <w:rFonts w:ascii="Verdana" w:hAnsi="Verdana"/>
          <w:b/>
          <w:sz w:val="20"/>
          <w:szCs w:val="20"/>
        </w:rPr>
      </w:pPr>
    </w:p>
    <w:p w14:paraId="5DDC0994" w14:textId="77777777" w:rsidR="0074038D" w:rsidRDefault="0074038D" w:rsidP="00FB723A">
      <w:pPr>
        <w:ind w:left="720" w:hanging="720"/>
        <w:jc w:val="center"/>
        <w:rPr>
          <w:rFonts w:ascii="Verdana" w:hAnsi="Verdana"/>
          <w:b/>
          <w:sz w:val="20"/>
          <w:szCs w:val="20"/>
        </w:rPr>
      </w:pPr>
    </w:p>
    <w:p w14:paraId="5D684B8E" w14:textId="77777777" w:rsidR="0074038D" w:rsidRPr="00CD6059" w:rsidRDefault="0074038D" w:rsidP="00FB723A">
      <w:pPr>
        <w:ind w:left="720" w:hanging="720"/>
        <w:jc w:val="center"/>
        <w:rPr>
          <w:rFonts w:ascii="Verdana" w:hAnsi="Verdana"/>
          <w:b/>
          <w:sz w:val="20"/>
          <w:szCs w:val="20"/>
        </w:rPr>
      </w:pPr>
    </w:p>
    <w:p w14:paraId="6D172AB4" w14:textId="77777777" w:rsidR="00FB723A" w:rsidRPr="00CD6059" w:rsidRDefault="00FB723A" w:rsidP="00FB723A">
      <w:pPr>
        <w:jc w:val="center"/>
        <w:rPr>
          <w:rFonts w:ascii="Verdana" w:hAnsi="Verdana"/>
          <w:b/>
          <w:sz w:val="20"/>
          <w:szCs w:val="20"/>
        </w:rPr>
      </w:pPr>
      <w:r w:rsidRPr="00CD6059">
        <w:rPr>
          <w:rFonts w:ascii="Verdana" w:hAnsi="Verdana"/>
          <w:b/>
          <w:sz w:val="20"/>
          <w:szCs w:val="20"/>
        </w:rPr>
        <w:t>CORTE INTERAMERICANA DE DERECHOS HUMANOS</w:t>
      </w:r>
    </w:p>
    <w:p w14:paraId="6D172AB5" w14:textId="77777777" w:rsidR="00FB723A" w:rsidRPr="00CD6059" w:rsidRDefault="00FB723A" w:rsidP="008E7BF0">
      <w:pPr>
        <w:rPr>
          <w:rFonts w:ascii="Verdana" w:hAnsi="Verdana"/>
          <w:b/>
          <w:sz w:val="20"/>
          <w:szCs w:val="20"/>
        </w:rPr>
      </w:pPr>
    </w:p>
    <w:p w14:paraId="6D172AB6" w14:textId="77777777" w:rsidR="00FB723A" w:rsidRPr="00CD6059" w:rsidRDefault="00FB723A" w:rsidP="00FB723A">
      <w:pPr>
        <w:jc w:val="center"/>
        <w:rPr>
          <w:rFonts w:ascii="Verdana" w:hAnsi="Verdana"/>
          <w:b/>
          <w:sz w:val="20"/>
          <w:szCs w:val="20"/>
        </w:rPr>
      </w:pPr>
      <w:r w:rsidRPr="00CD6059">
        <w:rPr>
          <w:rFonts w:ascii="Verdana" w:hAnsi="Verdana"/>
          <w:b/>
          <w:sz w:val="20"/>
          <w:szCs w:val="20"/>
        </w:rPr>
        <w:t xml:space="preserve">CASO ZEGARRA MARÍN </w:t>
      </w:r>
      <w:r w:rsidRPr="00CD6059">
        <w:rPr>
          <w:rFonts w:ascii="Verdana" w:hAnsi="Verdana"/>
          <w:b/>
          <w:i/>
          <w:sz w:val="20"/>
          <w:szCs w:val="20"/>
        </w:rPr>
        <w:t>VS</w:t>
      </w:r>
      <w:r w:rsidRPr="00CD6059">
        <w:rPr>
          <w:rFonts w:ascii="Verdana" w:hAnsi="Verdana"/>
          <w:b/>
          <w:sz w:val="20"/>
          <w:szCs w:val="20"/>
        </w:rPr>
        <w:t>.</w:t>
      </w:r>
      <w:r w:rsidRPr="00CD6059">
        <w:rPr>
          <w:rFonts w:ascii="Verdana" w:hAnsi="Verdana"/>
          <w:b/>
          <w:i/>
          <w:sz w:val="20"/>
          <w:szCs w:val="20"/>
        </w:rPr>
        <w:t xml:space="preserve"> </w:t>
      </w:r>
      <w:r w:rsidRPr="00CD6059">
        <w:rPr>
          <w:rFonts w:ascii="Verdana" w:hAnsi="Verdana"/>
          <w:b/>
          <w:sz w:val="20"/>
          <w:szCs w:val="20"/>
        </w:rPr>
        <w:t>PERÚ</w:t>
      </w:r>
    </w:p>
    <w:p w14:paraId="6D172AB7" w14:textId="77777777" w:rsidR="00FB723A" w:rsidRPr="00CD6059" w:rsidRDefault="00FB723A" w:rsidP="00FB723A">
      <w:pPr>
        <w:tabs>
          <w:tab w:val="left" w:pos="5580"/>
          <w:tab w:val="left" w:pos="6750"/>
        </w:tabs>
        <w:jc w:val="center"/>
        <w:rPr>
          <w:rFonts w:ascii="Verdana" w:hAnsi="Verdana"/>
          <w:b/>
          <w:sz w:val="20"/>
          <w:szCs w:val="20"/>
        </w:rPr>
      </w:pPr>
    </w:p>
    <w:p w14:paraId="6D172AB8" w14:textId="1A34E4E1" w:rsidR="00FB723A" w:rsidRPr="00CD6059" w:rsidRDefault="00FB723A" w:rsidP="00FB723A">
      <w:pPr>
        <w:jc w:val="center"/>
        <w:rPr>
          <w:rFonts w:ascii="Verdana" w:hAnsi="Verdana"/>
          <w:b/>
          <w:sz w:val="20"/>
          <w:szCs w:val="20"/>
        </w:rPr>
      </w:pPr>
      <w:r w:rsidRPr="00CD6059">
        <w:rPr>
          <w:rFonts w:ascii="Verdana" w:hAnsi="Verdana"/>
          <w:b/>
          <w:sz w:val="20"/>
          <w:szCs w:val="20"/>
        </w:rPr>
        <w:t xml:space="preserve">SENTENCIA DE </w:t>
      </w:r>
      <w:r w:rsidR="00A37B58">
        <w:rPr>
          <w:rFonts w:ascii="Verdana" w:hAnsi="Verdana"/>
          <w:b/>
          <w:sz w:val="20"/>
          <w:szCs w:val="20"/>
        </w:rPr>
        <w:t>15</w:t>
      </w:r>
      <w:r w:rsidRPr="00CD6059">
        <w:rPr>
          <w:rFonts w:ascii="Verdana" w:hAnsi="Verdana"/>
          <w:b/>
          <w:sz w:val="20"/>
          <w:szCs w:val="20"/>
        </w:rPr>
        <w:t xml:space="preserve"> DE </w:t>
      </w:r>
      <w:r w:rsidR="00786F4B">
        <w:rPr>
          <w:rFonts w:ascii="Verdana" w:hAnsi="Verdana"/>
          <w:b/>
          <w:sz w:val="20"/>
          <w:szCs w:val="20"/>
        </w:rPr>
        <w:t>FEBRERO</w:t>
      </w:r>
      <w:r w:rsidRPr="00CD6059">
        <w:rPr>
          <w:rFonts w:ascii="Verdana" w:hAnsi="Verdana"/>
          <w:b/>
          <w:sz w:val="20"/>
          <w:szCs w:val="20"/>
        </w:rPr>
        <w:t xml:space="preserve"> DE 201</w:t>
      </w:r>
      <w:r w:rsidR="00786F4B">
        <w:rPr>
          <w:rFonts w:ascii="Verdana" w:hAnsi="Verdana"/>
          <w:b/>
          <w:sz w:val="20"/>
          <w:szCs w:val="20"/>
        </w:rPr>
        <w:t>7</w:t>
      </w:r>
    </w:p>
    <w:p w14:paraId="6D172AB9" w14:textId="77777777" w:rsidR="00FB723A" w:rsidRPr="00CD6059" w:rsidRDefault="00FB723A" w:rsidP="00FB723A">
      <w:pPr>
        <w:jc w:val="center"/>
        <w:rPr>
          <w:rFonts w:ascii="Verdana" w:hAnsi="Verdana"/>
          <w:b/>
          <w:sz w:val="20"/>
          <w:szCs w:val="20"/>
        </w:rPr>
      </w:pPr>
    </w:p>
    <w:p w14:paraId="6D172ABA" w14:textId="77777777" w:rsidR="00FB723A" w:rsidRPr="00CD6059" w:rsidRDefault="00FB723A" w:rsidP="00FB723A">
      <w:pPr>
        <w:jc w:val="center"/>
        <w:rPr>
          <w:rFonts w:ascii="Verdana" w:hAnsi="Verdana"/>
          <w:b/>
          <w:i/>
          <w:sz w:val="20"/>
          <w:szCs w:val="20"/>
        </w:rPr>
      </w:pPr>
      <w:r w:rsidRPr="00CD6059">
        <w:rPr>
          <w:rFonts w:ascii="Verdana" w:hAnsi="Verdana"/>
          <w:b/>
          <w:i/>
          <w:sz w:val="20"/>
          <w:szCs w:val="20"/>
        </w:rPr>
        <w:t>(Excepciones Preliminares, Fondo, Reparaciones y Costas)</w:t>
      </w:r>
    </w:p>
    <w:p w14:paraId="6D172ABB" w14:textId="77777777" w:rsidR="00FB723A" w:rsidRPr="00CD6059" w:rsidRDefault="00FB723A" w:rsidP="00FB723A">
      <w:pPr>
        <w:jc w:val="both"/>
        <w:rPr>
          <w:rFonts w:ascii="Verdana" w:hAnsi="Verdana"/>
          <w:sz w:val="20"/>
          <w:szCs w:val="20"/>
        </w:rPr>
      </w:pPr>
    </w:p>
    <w:p w14:paraId="6D172ABC" w14:textId="77777777" w:rsidR="00FB723A" w:rsidRPr="00CD6059" w:rsidRDefault="00FB723A" w:rsidP="00FB723A">
      <w:pPr>
        <w:jc w:val="both"/>
        <w:rPr>
          <w:rFonts w:ascii="Verdana" w:hAnsi="Verdana"/>
          <w:sz w:val="20"/>
          <w:szCs w:val="20"/>
        </w:rPr>
      </w:pPr>
    </w:p>
    <w:p w14:paraId="6D172ABD" w14:textId="77777777" w:rsidR="00FB723A" w:rsidRPr="00CD6059" w:rsidRDefault="00FB723A" w:rsidP="00FB723A">
      <w:pPr>
        <w:jc w:val="both"/>
        <w:rPr>
          <w:rFonts w:ascii="Verdana" w:hAnsi="Verdana"/>
          <w:sz w:val="20"/>
          <w:szCs w:val="20"/>
        </w:rPr>
      </w:pPr>
    </w:p>
    <w:p w14:paraId="6D172ABE" w14:textId="77777777" w:rsidR="00FB723A" w:rsidRPr="00CD6059" w:rsidRDefault="00FB723A" w:rsidP="00FB723A">
      <w:pPr>
        <w:ind w:left="1440" w:hanging="1440"/>
        <w:jc w:val="both"/>
        <w:rPr>
          <w:rFonts w:ascii="Verdana" w:hAnsi="Verdana"/>
          <w:sz w:val="20"/>
          <w:szCs w:val="20"/>
        </w:rPr>
      </w:pPr>
      <w:r w:rsidRPr="00CD6059">
        <w:rPr>
          <w:rFonts w:ascii="Verdana" w:hAnsi="Verdana"/>
          <w:sz w:val="20"/>
          <w:szCs w:val="20"/>
        </w:rPr>
        <w:t xml:space="preserve">En el caso </w:t>
      </w:r>
      <w:r w:rsidRPr="00CD6059">
        <w:rPr>
          <w:rFonts w:ascii="Verdana" w:hAnsi="Verdana"/>
          <w:i/>
          <w:sz w:val="20"/>
          <w:szCs w:val="20"/>
        </w:rPr>
        <w:t>Zegarra Marín</w:t>
      </w:r>
      <w:r w:rsidRPr="00CD6059">
        <w:rPr>
          <w:rFonts w:ascii="Verdana" w:hAnsi="Verdana"/>
          <w:sz w:val="20"/>
          <w:szCs w:val="20"/>
        </w:rPr>
        <w:t>,</w:t>
      </w:r>
    </w:p>
    <w:p w14:paraId="6D172ABF" w14:textId="77777777" w:rsidR="00FB723A" w:rsidRPr="00CD6059" w:rsidRDefault="00FB723A" w:rsidP="00FB723A">
      <w:pPr>
        <w:jc w:val="both"/>
        <w:rPr>
          <w:rFonts w:ascii="Verdana" w:hAnsi="Verdana"/>
          <w:sz w:val="20"/>
          <w:szCs w:val="20"/>
        </w:rPr>
      </w:pPr>
    </w:p>
    <w:p w14:paraId="6D172AC0" w14:textId="7A3D395E" w:rsidR="00FB723A" w:rsidRPr="00CD6059" w:rsidRDefault="00FB723A" w:rsidP="00FB723A">
      <w:pPr>
        <w:jc w:val="both"/>
        <w:rPr>
          <w:rFonts w:ascii="Verdana" w:hAnsi="Verdana"/>
          <w:sz w:val="20"/>
          <w:szCs w:val="20"/>
        </w:rPr>
      </w:pPr>
      <w:r w:rsidRPr="00CD6059">
        <w:rPr>
          <w:rFonts w:ascii="Verdana" w:hAnsi="Verdana"/>
          <w:sz w:val="20"/>
          <w:szCs w:val="20"/>
        </w:rPr>
        <w:t xml:space="preserve">la Corte Interamericana de Derechos Humanos (en adelante “la Corte Interamericana”, “la Corte” o “el Tribunal”), integrada por los siguientes </w:t>
      </w:r>
      <w:r w:rsidR="00A37B58">
        <w:rPr>
          <w:rFonts w:ascii="Verdana" w:hAnsi="Verdana"/>
          <w:sz w:val="20"/>
          <w:szCs w:val="20"/>
        </w:rPr>
        <w:t>j</w:t>
      </w:r>
      <w:r w:rsidRPr="00CD6059">
        <w:rPr>
          <w:rFonts w:ascii="Verdana" w:hAnsi="Verdana"/>
          <w:sz w:val="20"/>
          <w:szCs w:val="20"/>
        </w:rPr>
        <w:t>ueces:</w:t>
      </w:r>
    </w:p>
    <w:p w14:paraId="6D172AC1" w14:textId="77777777" w:rsidR="00FB723A" w:rsidRPr="00CD6059" w:rsidRDefault="00FB723A" w:rsidP="00FB723A">
      <w:pPr>
        <w:jc w:val="both"/>
        <w:rPr>
          <w:rFonts w:ascii="Verdana" w:hAnsi="Verdana"/>
          <w:sz w:val="20"/>
          <w:szCs w:val="20"/>
        </w:rPr>
      </w:pPr>
    </w:p>
    <w:p w14:paraId="6D172AC2" w14:textId="77777777" w:rsidR="00FB723A" w:rsidRPr="00CD6059" w:rsidRDefault="00FB723A" w:rsidP="00FB723A">
      <w:pPr>
        <w:jc w:val="both"/>
        <w:rPr>
          <w:rFonts w:ascii="Verdana" w:hAnsi="Verdana"/>
          <w:sz w:val="20"/>
          <w:szCs w:val="20"/>
          <w:lang w:val="pt-BR"/>
        </w:rPr>
      </w:pPr>
      <w:r w:rsidRPr="00CD6059">
        <w:rPr>
          <w:rFonts w:ascii="Verdana" w:hAnsi="Verdana"/>
          <w:sz w:val="20"/>
          <w:szCs w:val="20"/>
          <w:lang w:val="pt-BR"/>
        </w:rPr>
        <w:t>Roberto F. Caldas, Presidente;</w:t>
      </w:r>
    </w:p>
    <w:p w14:paraId="6D172AC3" w14:textId="77777777" w:rsidR="00FB723A" w:rsidRPr="00CD6059" w:rsidRDefault="00FB723A" w:rsidP="00FB723A">
      <w:pPr>
        <w:jc w:val="both"/>
        <w:rPr>
          <w:rFonts w:ascii="Verdana" w:hAnsi="Verdana"/>
          <w:sz w:val="20"/>
          <w:szCs w:val="20"/>
          <w:lang w:val="pt-BR"/>
        </w:rPr>
      </w:pPr>
      <w:r w:rsidRPr="00CD6059">
        <w:rPr>
          <w:rFonts w:ascii="Verdana" w:hAnsi="Verdana"/>
          <w:sz w:val="20"/>
          <w:szCs w:val="20"/>
          <w:lang w:val="pt-BR"/>
        </w:rPr>
        <w:t xml:space="preserve">Eduardo Ferrer </w:t>
      </w:r>
      <w:r w:rsidRPr="00273BAE">
        <w:rPr>
          <w:rFonts w:ascii="Verdana" w:hAnsi="Verdana"/>
          <w:sz w:val="20"/>
          <w:szCs w:val="20"/>
          <w:lang w:val="pt-BR"/>
        </w:rPr>
        <w:t>Mac-Gregor</w:t>
      </w:r>
      <w:r w:rsidRPr="00CD6059">
        <w:rPr>
          <w:rFonts w:ascii="Verdana" w:hAnsi="Verdana"/>
          <w:sz w:val="20"/>
          <w:szCs w:val="20"/>
          <w:lang w:val="pt-BR"/>
        </w:rPr>
        <w:t xml:space="preserve"> Poisot, Vicepresidente;</w:t>
      </w:r>
    </w:p>
    <w:p w14:paraId="6D172AC4" w14:textId="77777777" w:rsidR="00FB723A" w:rsidRPr="00CD6059" w:rsidRDefault="00FB723A" w:rsidP="00FB723A">
      <w:pPr>
        <w:jc w:val="both"/>
        <w:rPr>
          <w:rFonts w:ascii="Verdana" w:hAnsi="Verdana"/>
          <w:sz w:val="20"/>
          <w:szCs w:val="20"/>
          <w:lang w:val="es-CR"/>
        </w:rPr>
      </w:pPr>
      <w:r w:rsidRPr="00CD6059">
        <w:rPr>
          <w:rFonts w:ascii="Verdana" w:hAnsi="Verdana"/>
          <w:sz w:val="20"/>
          <w:szCs w:val="20"/>
          <w:lang w:val="es-CR"/>
        </w:rPr>
        <w:t>Eduardo Vio Grossi, Juez;</w:t>
      </w:r>
    </w:p>
    <w:p w14:paraId="6D172AC5" w14:textId="77777777" w:rsidR="00FB723A" w:rsidRPr="00CD6059" w:rsidRDefault="00FB723A" w:rsidP="00FB723A">
      <w:pPr>
        <w:jc w:val="both"/>
        <w:rPr>
          <w:rFonts w:ascii="Verdana" w:hAnsi="Verdana"/>
          <w:sz w:val="20"/>
          <w:szCs w:val="20"/>
          <w:lang w:val="es-CR"/>
        </w:rPr>
      </w:pPr>
      <w:r w:rsidRPr="00CD6059">
        <w:rPr>
          <w:rFonts w:ascii="Verdana" w:hAnsi="Verdana"/>
          <w:sz w:val="20"/>
          <w:szCs w:val="20"/>
          <w:lang w:val="es-CR"/>
        </w:rPr>
        <w:t>Humberto Antonio Sierra Porto, Juez;</w:t>
      </w:r>
    </w:p>
    <w:p w14:paraId="6D172AC6" w14:textId="77777777" w:rsidR="00FB723A" w:rsidRPr="00CD6059" w:rsidRDefault="00FB723A" w:rsidP="00FB723A">
      <w:pPr>
        <w:jc w:val="both"/>
        <w:rPr>
          <w:rFonts w:ascii="Verdana" w:hAnsi="Verdana"/>
          <w:sz w:val="20"/>
          <w:szCs w:val="20"/>
          <w:lang w:val="es-CR"/>
        </w:rPr>
      </w:pPr>
      <w:r w:rsidRPr="00CD6059">
        <w:rPr>
          <w:rFonts w:ascii="Verdana" w:hAnsi="Verdana"/>
          <w:sz w:val="20"/>
          <w:szCs w:val="20"/>
          <w:lang w:val="es-CR"/>
        </w:rPr>
        <w:t>Elizabeth Odio</w:t>
      </w:r>
      <w:r w:rsidR="00FC6E62">
        <w:rPr>
          <w:rFonts w:ascii="Verdana" w:hAnsi="Verdana"/>
          <w:sz w:val="20"/>
          <w:szCs w:val="20"/>
          <w:lang w:val="es-CR"/>
        </w:rPr>
        <w:t xml:space="preserve"> </w:t>
      </w:r>
      <w:r w:rsidRPr="00CD6059">
        <w:rPr>
          <w:rFonts w:ascii="Verdana" w:hAnsi="Verdana"/>
          <w:sz w:val="20"/>
          <w:szCs w:val="20"/>
          <w:lang w:val="es-CR"/>
        </w:rPr>
        <w:t>Benito, Juez</w:t>
      </w:r>
      <w:r w:rsidR="00A56714">
        <w:rPr>
          <w:rFonts w:ascii="Verdana" w:hAnsi="Verdana"/>
          <w:sz w:val="20"/>
          <w:szCs w:val="20"/>
          <w:lang w:val="es-CR"/>
        </w:rPr>
        <w:t>a</w:t>
      </w:r>
      <w:r w:rsidRPr="00CD6059">
        <w:rPr>
          <w:rFonts w:ascii="Verdana" w:hAnsi="Verdana"/>
          <w:sz w:val="20"/>
          <w:szCs w:val="20"/>
          <w:lang w:val="es-CR"/>
        </w:rPr>
        <w:t>;</w:t>
      </w:r>
    </w:p>
    <w:p w14:paraId="6D172AC7" w14:textId="77777777" w:rsidR="00FB723A" w:rsidRPr="00CD6059" w:rsidRDefault="00FB723A" w:rsidP="00FB723A">
      <w:pPr>
        <w:jc w:val="both"/>
        <w:rPr>
          <w:rFonts w:ascii="Verdana" w:hAnsi="Verdana"/>
          <w:sz w:val="20"/>
          <w:szCs w:val="20"/>
          <w:lang w:val="es-CR"/>
        </w:rPr>
      </w:pPr>
      <w:r w:rsidRPr="00CD6059">
        <w:rPr>
          <w:rFonts w:ascii="Verdana" w:hAnsi="Verdana"/>
          <w:sz w:val="20"/>
          <w:szCs w:val="20"/>
          <w:lang w:val="es-CR"/>
        </w:rPr>
        <w:t>Eugenio Raul Zaffaroni, Juez, y</w:t>
      </w:r>
    </w:p>
    <w:p w14:paraId="6D172AC8" w14:textId="19CEBCBE" w:rsidR="00FB723A" w:rsidRPr="00CD6059" w:rsidRDefault="00FB723A" w:rsidP="00FB723A">
      <w:pPr>
        <w:jc w:val="both"/>
        <w:rPr>
          <w:rFonts w:ascii="Verdana" w:hAnsi="Verdana"/>
          <w:sz w:val="20"/>
          <w:szCs w:val="20"/>
          <w:lang w:val="es-CR"/>
        </w:rPr>
      </w:pPr>
      <w:r w:rsidRPr="00CD6059">
        <w:rPr>
          <w:rFonts w:ascii="Verdana" w:hAnsi="Verdana"/>
          <w:sz w:val="20"/>
          <w:szCs w:val="20"/>
          <w:lang w:val="es-CR"/>
        </w:rPr>
        <w:t>Patricio Pazmiño Freire, Juez</w:t>
      </w:r>
      <w:r w:rsidR="00A37B58">
        <w:rPr>
          <w:rFonts w:ascii="Verdana" w:hAnsi="Verdana"/>
          <w:sz w:val="20"/>
          <w:szCs w:val="20"/>
          <w:lang w:val="es-CR"/>
        </w:rPr>
        <w:t>;</w:t>
      </w:r>
    </w:p>
    <w:p w14:paraId="6D172AC9" w14:textId="77777777" w:rsidR="00FB723A" w:rsidRPr="00CD6059" w:rsidRDefault="00FB723A" w:rsidP="00FB723A">
      <w:pPr>
        <w:jc w:val="both"/>
        <w:rPr>
          <w:rFonts w:ascii="Verdana" w:hAnsi="Verdana"/>
          <w:sz w:val="20"/>
          <w:szCs w:val="20"/>
          <w:lang w:val="es-CR"/>
        </w:rPr>
      </w:pPr>
    </w:p>
    <w:p w14:paraId="6D172ACA" w14:textId="77777777" w:rsidR="00FB723A" w:rsidRPr="00CD6059" w:rsidRDefault="00FB723A" w:rsidP="00FB723A">
      <w:pPr>
        <w:jc w:val="both"/>
        <w:rPr>
          <w:rFonts w:ascii="Verdana" w:hAnsi="Verdana"/>
          <w:sz w:val="20"/>
          <w:szCs w:val="20"/>
          <w:lang w:val="es-CR"/>
        </w:rPr>
      </w:pPr>
      <w:r w:rsidRPr="00CD6059">
        <w:rPr>
          <w:rFonts w:ascii="Verdana" w:hAnsi="Verdana"/>
          <w:sz w:val="20"/>
          <w:szCs w:val="20"/>
          <w:lang w:val="es-CR"/>
        </w:rPr>
        <w:t xml:space="preserve">presentes además, </w:t>
      </w:r>
    </w:p>
    <w:p w14:paraId="6D172ACB" w14:textId="77777777" w:rsidR="00FB723A" w:rsidRPr="00CD6059" w:rsidRDefault="00FB723A" w:rsidP="00FB723A">
      <w:pPr>
        <w:jc w:val="both"/>
        <w:rPr>
          <w:rFonts w:ascii="Verdana" w:hAnsi="Verdana"/>
          <w:sz w:val="20"/>
          <w:szCs w:val="20"/>
          <w:lang w:val="es-CR"/>
        </w:rPr>
      </w:pPr>
    </w:p>
    <w:p w14:paraId="6D172ACC" w14:textId="77777777" w:rsidR="00FB723A" w:rsidRPr="00CD6059" w:rsidRDefault="00FB723A" w:rsidP="00FB723A">
      <w:pPr>
        <w:jc w:val="both"/>
        <w:rPr>
          <w:rFonts w:ascii="Verdana" w:hAnsi="Verdana"/>
          <w:sz w:val="20"/>
          <w:szCs w:val="20"/>
          <w:lang w:val="es-CR"/>
        </w:rPr>
      </w:pPr>
      <w:r w:rsidRPr="00CD6059">
        <w:rPr>
          <w:rFonts w:ascii="Verdana" w:hAnsi="Verdana"/>
          <w:sz w:val="20"/>
          <w:szCs w:val="20"/>
          <w:lang w:val="es-CR"/>
        </w:rPr>
        <w:t>Pablo Saavedra Alessandri, Secretario, y</w:t>
      </w:r>
    </w:p>
    <w:p w14:paraId="6D172ACD" w14:textId="77777777" w:rsidR="00FB723A" w:rsidRPr="00CD6059" w:rsidRDefault="00FB723A" w:rsidP="00FB723A">
      <w:pPr>
        <w:jc w:val="both"/>
        <w:rPr>
          <w:rFonts w:ascii="Verdana" w:hAnsi="Verdana"/>
          <w:sz w:val="20"/>
          <w:szCs w:val="20"/>
        </w:rPr>
      </w:pPr>
      <w:r w:rsidRPr="00CD6059">
        <w:rPr>
          <w:rFonts w:ascii="Verdana" w:hAnsi="Verdana"/>
          <w:sz w:val="20"/>
          <w:szCs w:val="20"/>
          <w:lang w:val="es-CR"/>
        </w:rPr>
        <w:t xml:space="preserve">Emilia Segares Rodríguez, Secretaria </w:t>
      </w:r>
      <w:r>
        <w:rPr>
          <w:rFonts w:ascii="Verdana" w:hAnsi="Verdana"/>
          <w:sz w:val="20"/>
          <w:szCs w:val="20"/>
          <w:lang w:val="es-CR"/>
        </w:rPr>
        <w:t>Adjunta</w:t>
      </w:r>
      <w:r w:rsidRPr="00CD6059">
        <w:rPr>
          <w:rFonts w:ascii="Verdana" w:hAnsi="Verdana"/>
          <w:sz w:val="20"/>
          <w:szCs w:val="20"/>
        </w:rPr>
        <w:t>,</w:t>
      </w:r>
    </w:p>
    <w:p w14:paraId="6D172ACE" w14:textId="77777777" w:rsidR="00FB723A" w:rsidRPr="00CD6059" w:rsidRDefault="00FB723A" w:rsidP="00FB723A">
      <w:pPr>
        <w:jc w:val="both"/>
        <w:rPr>
          <w:rFonts w:ascii="Verdana" w:hAnsi="Verdana"/>
          <w:sz w:val="20"/>
          <w:szCs w:val="20"/>
        </w:rPr>
      </w:pPr>
    </w:p>
    <w:p w14:paraId="6D172ACF" w14:textId="2B2B8696" w:rsidR="00FB723A" w:rsidRPr="00CD6059" w:rsidRDefault="00FB723A" w:rsidP="00FB723A">
      <w:pPr>
        <w:jc w:val="both"/>
        <w:rPr>
          <w:rFonts w:ascii="Verdana" w:hAnsi="Verdana"/>
          <w:sz w:val="20"/>
          <w:szCs w:val="20"/>
        </w:rPr>
      </w:pPr>
      <w:r w:rsidRPr="00CD6059">
        <w:rPr>
          <w:rFonts w:ascii="Verdana" w:hAnsi="Verdana"/>
          <w:sz w:val="20"/>
          <w:szCs w:val="20"/>
        </w:rPr>
        <w:t>de conformidad con los artículos 62.3 y 63.1 de la Convención Americana sobre Derechos Humanos (en adelante “la Convención</w:t>
      </w:r>
      <w:r w:rsidR="00D302D2">
        <w:rPr>
          <w:rFonts w:ascii="Verdana" w:hAnsi="Verdana"/>
          <w:sz w:val="20"/>
          <w:szCs w:val="20"/>
        </w:rPr>
        <w:t xml:space="preserve"> Americana</w:t>
      </w:r>
      <w:r w:rsidRPr="00CD6059">
        <w:rPr>
          <w:rFonts w:ascii="Verdana" w:hAnsi="Verdana"/>
          <w:sz w:val="20"/>
          <w:szCs w:val="20"/>
        </w:rPr>
        <w:t>” o “la Convención”) y con los artículos 31, 32,</w:t>
      </w:r>
      <w:r w:rsidR="00D302D2">
        <w:rPr>
          <w:rFonts w:ascii="Verdana" w:hAnsi="Verdana"/>
          <w:sz w:val="20"/>
          <w:szCs w:val="20"/>
        </w:rPr>
        <w:t xml:space="preserve"> 42,</w:t>
      </w:r>
      <w:r w:rsidRPr="00CD6059">
        <w:rPr>
          <w:rFonts w:ascii="Verdana" w:hAnsi="Verdana"/>
          <w:sz w:val="20"/>
          <w:szCs w:val="20"/>
        </w:rPr>
        <w:t xml:space="preserve"> 65 y 67 del Reglamento de la Corte (en adelante </w:t>
      </w:r>
      <w:r w:rsidR="00D302D2">
        <w:rPr>
          <w:rFonts w:ascii="Verdana" w:hAnsi="Verdana"/>
          <w:sz w:val="20"/>
          <w:szCs w:val="20"/>
        </w:rPr>
        <w:t xml:space="preserve">“el Reglamento de la Corte” o </w:t>
      </w:r>
      <w:r w:rsidRPr="00CD6059">
        <w:rPr>
          <w:rFonts w:ascii="Verdana" w:hAnsi="Verdana"/>
          <w:sz w:val="20"/>
          <w:szCs w:val="20"/>
        </w:rPr>
        <w:t>“el Reglamento”), dicta la presente Sentencia, que se estructura en el siguiente orden:</w:t>
      </w:r>
    </w:p>
    <w:p w14:paraId="6D172AD0" w14:textId="77777777" w:rsidR="00FB723A" w:rsidRPr="00CD6059" w:rsidRDefault="00FB723A" w:rsidP="00FB723A">
      <w:pPr>
        <w:jc w:val="both"/>
        <w:rPr>
          <w:rFonts w:ascii="Verdana" w:hAnsi="Verdana"/>
          <w:sz w:val="20"/>
          <w:szCs w:val="20"/>
        </w:rPr>
      </w:pPr>
    </w:p>
    <w:p w14:paraId="6D172AD1" w14:textId="77777777" w:rsidR="00FB723A" w:rsidRPr="00CD6059" w:rsidRDefault="00FB723A" w:rsidP="00FB723A">
      <w:pPr>
        <w:jc w:val="center"/>
        <w:rPr>
          <w:rFonts w:ascii="Verdana" w:hAnsi="Verdana"/>
          <w:sz w:val="20"/>
          <w:szCs w:val="20"/>
        </w:rPr>
      </w:pPr>
    </w:p>
    <w:p w14:paraId="6D172AD2" w14:textId="77777777" w:rsidR="00FB723A" w:rsidRPr="00CD6059" w:rsidRDefault="00FB723A" w:rsidP="00FB723A">
      <w:pPr>
        <w:jc w:val="both"/>
        <w:rPr>
          <w:rFonts w:ascii="Verdana" w:hAnsi="Verdana"/>
          <w:sz w:val="20"/>
          <w:szCs w:val="20"/>
        </w:rPr>
      </w:pPr>
    </w:p>
    <w:p w14:paraId="6D172AD3" w14:textId="77777777" w:rsidR="00FB723A" w:rsidRPr="00CD6059" w:rsidRDefault="00FB723A" w:rsidP="00FB723A">
      <w:pPr>
        <w:jc w:val="both"/>
        <w:rPr>
          <w:rFonts w:ascii="Verdana" w:hAnsi="Verdana"/>
          <w:sz w:val="20"/>
          <w:szCs w:val="20"/>
        </w:rPr>
      </w:pPr>
    </w:p>
    <w:p w14:paraId="6D172AD4" w14:textId="77777777" w:rsidR="00FB723A" w:rsidRPr="00CD6059" w:rsidRDefault="00FB723A" w:rsidP="00FB723A">
      <w:pPr>
        <w:jc w:val="both"/>
        <w:rPr>
          <w:rFonts w:ascii="Verdana" w:hAnsi="Verdana"/>
          <w:sz w:val="20"/>
          <w:szCs w:val="20"/>
        </w:rPr>
      </w:pPr>
    </w:p>
    <w:p w14:paraId="6D172AD5" w14:textId="77777777" w:rsidR="00FB723A" w:rsidRPr="00CD6059" w:rsidRDefault="00FB723A" w:rsidP="00FB723A">
      <w:pPr>
        <w:jc w:val="both"/>
        <w:rPr>
          <w:rFonts w:ascii="Verdana" w:hAnsi="Verdana"/>
          <w:sz w:val="20"/>
          <w:szCs w:val="20"/>
        </w:rPr>
      </w:pPr>
    </w:p>
    <w:p w14:paraId="6D172AD6" w14:textId="77777777" w:rsidR="00FB723A" w:rsidRPr="00CD6059" w:rsidRDefault="00FB723A" w:rsidP="00FB723A">
      <w:pPr>
        <w:jc w:val="both"/>
        <w:rPr>
          <w:rFonts w:ascii="Verdana" w:hAnsi="Verdana"/>
          <w:sz w:val="20"/>
          <w:szCs w:val="20"/>
        </w:rPr>
      </w:pPr>
      <w:r w:rsidRPr="00CD6059">
        <w:rPr>
          <w:rFonts w:ascii="Verdana" w:hAnsi="Verdana"/>
          <w:sz w:val="20"/>
          <w:szCs w:val="20"/>
        </w:rPr>
        <w:br w:type="page"/>
      </w:r>
    </w:p>
    <w:p w14:paraId="6D172AD7" w14:textId="77777777" w:rsidR="00FB723A" w:rsidRPr="00803DB6" w:rsidRDefault="00FB723A" w:rsidP="00FB723A">
      <w:pPr>
        <w:jc w:val="center"/>
        <w:rPr>
          <w:rFonts w:ascii="Verdana" w:hAnsi="Verdana"/>
          <w:b/>
          <w:sz w:val="20"/>
          <w:szCs w:val="20"/>
        </w:rPr>
      </w:pPr>
      <w:r w:rsidRPr="00803DB6">
        <w:rPr>
          <w:rFonts w:ascii="Verdana" w:hAnsi="Verdana"/>
          <w:b/>
          <w:sz w:val="20"/>
          <w:szCs w:val="20"/>
        </w:rPr>
        <w:lastRenderedPageBreak/>
        <w:t>ÍNDICE</w:t>
      </w:r>
    </w:p>
    <w:p w14:paraId="6D172AD8" w14:textId="77777777" w:rsidR="00FB723A" w:rsidRPr="008A301C" w:rsidRDefault="00FB723A" w:rsidP="00DF5954">
      <w:pPr>
        <w:tabs>
          <w:tab w:val="left" w:pos="9639"/>
        </w:tabs>
        <w:jc w:val="both"/>
        <w:rPr>
          <w:rFonts w:ascii="Verdana" w:hAnsi="Verdana"/>
          <w:b/>
          <w:sz w:val="18"/>
          <w:szCs w:val="20"/>
        </w:rPr>
      </w:pPr>
    </w:p>
    <w:bookmarkStart w:id="0" w:name="_Toc390328152"/>
    <w:p w14:paraId="79FDBDE5" w14:textId="77777777" w:rsidR="00EB4C63" w:rsidRPr="00FE283C" w:rsidRDefault="000737AC" w:rsidP="00FE283C">
      <w:pPr>
        <w:pStyle w:val="TOC1"/>
        <w:rPr>
          <w:rFonts w:eastAsiaTheme="minorEastAsia" w:cstheme="minorBidi"/>
          <w:snapToGrid/>
          <w:lang w:val="es-CR" w:eastAsia="es-CR"/>
        </w:rPr>
      </w:pPr>
      <w:r w:rsidRPr="00EB4C63">
        <w:fldChar w:fldCharType="begin"/>
      </w:r>
      <w:r w:rsidR="00FB723A" w:rsidRPr="00EB4C63">
        <w:instrText xml:space="preserve"> TOC \o "1-5" \h \z \u </w:instrText>
      </w:r>
      <w:r w:rsidRPr="00EB4C63">
        <w:fldChar w:fldCharType="separate"/>
      </w:r>
      <w:hyperlink w:anchor="_Toc482093012" w:history="1">
        <w:r w:rsidR="00EB4C63" w:rsidRPr="00FE283C">
          <w:rPr>
            <w:rStyle w:val="Hyperlink"/>
            <w:rFonts w:cs="Verdana"/>
            <w:sz w:val="18"/>
            <w:szCs w:val="18"/>
          </w:rPr>
          <w:t>I INTRODUCCIÓN DE LA CAUSA Y OBJETO DE LA CONTROVERSIA</w:t>
        </w:r>
        <w:r w:rsidR="00EB4C63" w:rsidRPr="00FE283C">
          <w:rPr>
            <w:webHidden/>
          </w:rPr>
          <w:tab/>
        </w:r>
        <w:r w:rsidR="00EB4C63" w:rsidRPr="00FE283C">
          <w:rPr>
            <w:webHidden/>
          </w:rPr>
          <w:fldChar w:fldCharType="begin"/>
        </w:r>
        <w:r w:rsidR="00EB4C63" w:rsidRPr="00FE283C">
          <w:rPr>
            <w:webHidden/>
          </w:rPr>
          <w:instrText xml:space="preserve"> PAGEREF _Toc482093012 \h </w:instrText>
        </w:r>
        <w:r w:rsidR="00EB4C63" w:rsidRPr="00FE283C">
          <w:rPr>
            <w:webHidden/>
          </w:rPr>
        </w:r>
        <w:r w:rsidR="00EB4C63" w:rsidRPr="00FE283C">
          <w:rPr>
            <w:webHidden/>
          </w:rPr>
          <w:fldChar w:fldCharType="separate"/>
        </w:r>
        <w:r w:rsidR="00275411">
          <w:rPr>
            <w:webHidden/>
          </w:rPr>
          <w:t>4</w:t>
        </w:r>
        <w:r w:rsidR="00EB4C63" w:rsidRPr="00FE283C">
          <w:rPr>
            <w:webHidden/>
          </w:rPr>
          <w:fldChar w:fldCharType="end"/>
        </w:r>
      </w:hyperlink>
    </w:p>
    <w:p w14:paraId="166AE318" w14:textId="77777777" w:rsidR="00EB4C63" w:rsidRPr="00FE283C" w:rsidRDefault="00B050A2" w:rsidP="00FE283C">
      <w:pPr>
        <w:pStyle w:val="TOC1"/>
        <w:rPr>
          <w:rFonts w:eastAsiaTheme="minorEastAsia" w:cstheme="minorBidi"/>
          <w:snapToGrid/>
          <w:lang w:val="es-CR" w:eastAsia="es-CR"/>
        </w:rPr>
      </w:pPr>
      <w:hyperlink w:anchor="_Toc482093013" w:history="1">
        <w:r w:rsidR="00EB4C63" w:rsidRPr="00FE283C">
          <w:rPr>
            <w:rStyle w:val="Hyperlink"/>
            <w:rFonts w:cs="Verdana"/>
            <w:sz w:val="18"/>
            <w:szCs w:val="18"/>
          </w:rPr>
          <w:t>II PROCEDIMIENTO ANTE LA CORTE</w:t>
        </w:r>
        <w:r w:rsidR="00EB4C63" w:rsidRPr="00FE283C">
          <w:rPr>
            <w:webHidden/>
          </w:rPr>
          <w:tab/>
        </w:r>
        <w:r w:rsidR="00EB4C63" w:rsidRPr="00FE283C">
          <w:rPr>
            <w:webHidden/>
          </w:rPr>
          <w:fldChar w:fldCharType="begin"/>
        </w:r>
        <w:r w:rsidR="00EB4C63" w:rsidRPr="00FE283C">
          <w:rPr>
            <w:webHidden/>
          </w:rPr>
          <w:instrText xml:space="preserve"> PAGEREF _Toc482093013 \h </w:instrText>
        </w:r>
        <w:r w:rsidR="00EB4C63" w:rsidRPr="00FE283C">
          <w:rPr>
            <w:webHidden/>
          </w:rPr>
        </w:r>
        <w:r w:rsidR="00EB4C63" w:rsidRPr="00FE283C">
          <w:rPr>
            <w:webHidden/>
          </w:rPr>
          <w:fldChar w:fldCharType="separate"/>
        </w:r>
        <w:r w:rsidR="00275411">
          <w:rPr>
            <w:webHidden/>
          </w:rPr>
          <w:t>5</w:t>
        </w:r>
        <w:r w:rsidR="00EB4C63" w:rsidRPr="00FE283C">
          <w:rPr>
            <w:webHidden/>
          </w:rPr>
          <w:fldChar w:fldCharType="end"/>
        </w:r>
      </w:hyperlink>
    </w:p>
    <w:p w14:paraId="1D96CE96" w14:textId="77777777" w:rsidR="00EB4C63" w:rsidRPr="00FE283C" w:rsidRDefault="00B050A2" w:rsidP="00FE283C">
      <w:pPr>
        <w:pStyle w:val="TOC1"/>
        <w:rPr>
          <w:rFonts w:eastAsiaTheme="minorEastAsia" w:cstheme="minorBidi"/>
          <w:snapToGrid/>
          <w:lang w:val="es-CR" w:eastAsia="es-CR"/>
        </w:rPr>
      </w:pPr>
      <w:hyperlink w:anchor="_Toc482093014" w:history="1">
        <w:r w:rsidR="00EB4C63" w:rsidRPr="00FE283C">
          <w:rPr>
            <w:rStyle w:val="Hyperlink"/>
            <w:rFonts w:cs="Verdana"/>
            <w:sz w:val="18"/>
            <w:szCs w:val="18"/>
          </w:rPr>
          <w:t>III COMPETENCIA</w:t>
        </w:r>
        <w:r w:rsidR="00EB4C63" w:rsidRPr="00FE283C">
          <w:rPr>
            <w:webHidden/>
          </w:rPr>
          <w:tab/>
        </w:r>
        <w:r w:rsidR="00EB4C63" w:rsidRPr="00FE283C">
          <w:rPr>
            <w:webHidden/>
          </w:rPr>
          <w:fldChar w:fldCharType="begin"/>
        </w:r>
        <w:r w:rsidR="00EB4C63" w:rsidRPr="00FE283C">
          <w:rPr>
            <w:webHidden/>
          </w:rPr>
          <w:instrText xml:space="preserve"> PAGEREF _Toc482093014 \h </w:instrText>
        </w:r>
        <w:r w:rsidR="00EB4C63" w:rsidRPr="00FE283C">
          <w:rPr>
            <w:webHidden/>
          </w:rPr>
        </w:r>
        <w:r w:rsidR="00EB4C63" w:rsidRPr="00FE283C">
          <w:rPr>
            <w:webHidden/>
          </w:rPr>
          <w:fldChar w:fldCharType="separate"/>
        </w:r>
        <w:r w:rsidR="00275411">
          <w:rPr>
            <w:webHidden/>
          </w:rPr>
          <w:t>7</w:t>
        </w:r>
        <w:r w:rsidR="00EB4C63" w:rsidRPr="00FE283C">
          <w:rPr>
            <w:webHidden/>
          </w:rPr>
          <w:fldChar w:fldCharType="end"/>
        </w:r>
      </w:hyperlink>
    </w:p>
    <w:p w14:paraId="3D80132E" w14:textId="77777777" w:rsidR="00EB4C63" w:rsidRPr="00FE283C" w:rsidRDefault="00B050A2" w:rsidP="00FE283C">
      <w:pPr>
        <w:pStyle w:val="TOC1"/>
        <w:rPr>
          <w:rFonts w:eastAsiaTheme="minorEastAsia" w:cstheme="minorBidi"/>
          <w:snapToGrid/>
          <w:lang w:val="es-CR" w:eastAsia="es-CR"/>
        </w:rPr>
      </w:pPr>
      <w:hyperlink w:anchor="_Toc482093015" w:history="1">
        <w:r w:rsidR="00EB4C63" w:rsidRPr="00FE283C">
          <w:rPr>
            <w:rStyle w:val="Hyperlink"/>
            <w:rFonts w:cs="Verdana"/>
            <w:sz w:val="18"/>
            <w:szCs w:val="18"/>
          </w:rPr>
          <w:t>iV EXCEPCIONES PRELIMINARES</w:t>
        </w:r>
        <w:r w:rsidR="00EB4C63" w:rsidRPr="00FE283C">
          <w:rPr>
            <w:webHidden/>
          </w:rPr>
          <w:tab/>
        </w:r>
        <w:r w:rsidR="00EB4C63" w:rsidRPr="00FE283C">
          <w:rPr>
            <w:webHidden/>
          </w:rPr>
          <w:fldChar w:fldCharType="begin"/>
        </w:r>
        <w:r w:rsidR="00EB4C63" w:rsidRPr="00FE283C">
          <w:rPr>
            <w:webHidden/>
          </w:rPr>
          <w:instrText xml:space="preserve"> PAGEREF _Toc482093015 \h </w:instrText>
        </w:r>
        <w:r w:rsidR="00EB4C63" w:rsidRPr="00FE283C">
          <w:rPr>
            <w:webHidden/>
          </w:rPr>
        </w:r>
        <w:r w:rsidR="00EB4C63" w:rsidRPr="00FE283C">
          <w:rPr>
            <w:webHidden/>
          </w:rPr>
          <w:fldChar w:fldCharType="separate"/>
        </w:r>
        <w:r w:rsidR="00275411">
          <w:rPr>
            <w:webHidden/>
          </w:rPr>
          <w:t>7</w:t>
        </w:r>
        <w:r w:rsidR="00EB4C63" w:rsidRPr="00FE283C">
          <w:rPr>
            <w:webHidden/>
          </w:rPr>
          <w:fldChar w:fldCharType="end"/>
        </w:r>
      </w:hyperlink>
    </w:p>
    <w:p w14:paraId="756C9882"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16" w:history="1">
        <w:r w:rsidR="00EB4C63" w:rsidRPr="00FE283C">
          <w:rPr>
            <w:rStyle w:val="Hyperlink"/>
            <w:rFonts w:ascii="Verdana" w:hAnsi="Verdana"/>
            <w:i/>
            <w:noProof/>
            <w:sz w:val="18"/>
            <w:szCs w:val="18"/>
            <w:lang w:val="es-MX"/>
          </w:rPr>
          <w:t>A.</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Falta de agotamiento de recursos internos</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_Toc482093016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7</w:t>
        </w:r>
        <w:r w:rsidR="00EB4C63" w:rsidRPr="00FE283C">
          <w:rPr>
            <w:rFonts w:ascii="Verdana" w:hAnsi="Verdana"/>
            <w:noProof/>
            <w:webHidden/>
            <w:sz w:val="18"/>
            <w:szCs w:val="18"/>
          </w:rPr>
          <w:fldChar w:fldCharType="end"/>
        </w:r>
      </w:hyperlink>
    </w:p>
    <w:p w14:paraId="6223BA65"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17" w:history="1">
        <w:r w:rsidR="00EB4C63" w:rsidRPr="00FE283C">
          <w:rPr>
            <w:rStyle w:val="Hyperlink"/>
            <w:rFonts w:ascii="Verdana" w:hAnsi="Verdana"/>
            <w:i/>
            <w:noProof/>
            <w:sz w:val="18"/>
            <w:szCs w:val="18"/>
            <w:lang w:val="es-MX"/>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Argumentos de las partes y de la Comisión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_Toc482093017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7</w:t>
        </w:r>
        <w:r w:rsidR="00EB4C63" w:rsidRPr="00FE283C">
          <w:rPr>
            <w:rFonts w:ascii="Verdana" w:hAnsi="Verdana"/>
            <w:noProof/>
            <w:webHidden/>
            <w:sz w:val="18"/>
            <w:szCs w:val="18"/>
          </w:rPr>
          <w:fldChar w:fldCharType="end"/>
        </w:r>
      </w:hyperlink>
    </w:p>
    <w:p w14:paraId="0FB2A89C"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18" w:history="1">
        <w:r w:rsidR="00EB4C63" w:rsidRPr="00FE283C">
          <w:rPr>
            <w:rStyle w:val="Hyperlink"/>
            <w:rFonts w:ascii="Verdana" w:hAnsi="Verdana"/>
            <w:i/>
            <w:noProof/>
            <w:sz w:val="18"/>
            <w:szCs w:val="18"/>
            <w:lang w:val="es-MX"/>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Consideraciones de la Corte</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_Toc482093018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8</w:t>
        </w:r>
        <w:r w:rsidR="00EB4C63" w:rsidRPr="00FE283C">
          <w:rPr>
            <w:rFonts w:ascii="Verdana" w:hAnsi="Verdana"/>
            <w:noProof/>
            <w:webHidden/>
            <w:sz w:val="18"/>
            <w:szCs w:val="18"/>
          </w:rPr>
          <w:fldChar w:fldCharType="end"/>
        </w:r>
      </w:hyperlink>
    </w:p>
    <w:p w14:paraId="53FB1C12"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19" w:history="1">
        <w:r w:rsidR="00EB4C63" w:rsidRPr="00FE283C">
          <w:rPr>
            <w:rStyle w:val="Hyperlink"/>
            <w:rFonts w:ascii="Verdana" w:hAnsi="Verdana"/>
            <w:i/>
            <w:noProof/>
            <w:sz w:val="18"/>
            <w:szCs w:val="18"/>
          </w:rPr>
          <w:t>B.</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Vencimiento del plazo de seis meses para interponer la petición a partir del recurso de nulidad</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_Toc482093019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9</w:t>
        </w:r>
        <w:r w:rsidR="00EB4C63" w:rsidRPr="00FE283C">
          <w:rPr>
            <w:rFonts w:ascii="Verdana" w:hAnsi="Verdana"/>
            <w:noProof/>
            <w:webHidden/>
            <w:sz w:val="18"/>
            <w:szCs w:val="18"/>
          </w:rPr>
          <w:fldChar w:fldCharType="end"/>
        </w:r>
      </w:hyperlink>
    </w:p>
    <w:p w14:paraId="6370CF9B"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20" w:history="1">
        <w:r w:rsidR="00EB4C63" w:rsidRPr="00FE283C">
          <w:rPr>
            <w:rStyle w:val="Hyperlink"/>
            <w:rFonts w:ascii="Verdana" w:hAnsi="Verdana"/>
            <w:i/>
            <w:noProof/>
            <w:sz w:val="18"/>
            <w:szCs w:val="18"/>
            <w:lang w:val="es-MX"/>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Argumentos de las partes y de la Comisión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_Toc482093020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9</w:t>
        </w:r>
        <w:r w:rsidR="00EB4C63" w:rsidRPr="00FE283C">
          <w:rPr>
            <w:rFonts w:ascii="Verdana" w:hAnsi="Verdana"/>
            <w:noProof/>
            <w:webHidden/>
            <w:sz w:val="18"/>
            <w:szCs w:val="18"/>
          </w:rPr>
          <w:fldChar w:fldCharType="end"/>
        </w:r>
      </w:hyperlink>
    </w:p>
    <w:p w14:paraId="79D94AD1"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21" w:history="1">
        <w:r w:rsidR="00EB4C63" w:rsidRPr="00FE283C">
          <w:rPr>
            <w:rStyle w:val="Hyperlink"/>
            <w:rFonts w:ascii="Verdana" w:hAnsi="Verdana"/>
            <w:i/>
            <w:noProof/>
            <w:sz w:val="18"/>
            <w:szCs w:val="18"/>
            <w:lang w:val="es-MX"/>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Consideraciones de la Corte</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_Toc482093021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10</w:t>
        </w:r>
        <w:r w:rsidR="00EB4C63" w:rsidRPr="00FE283C">
          <w:rPr>
            <w:rFonts w:ascii="Verdana" w:hAnsi="Verdana"/>
            <w:noProof/>
            <w:webHidden/>
            <w:sz w:val="18"/>
            <w:szCs w:val="18"/>
          </w:rPr>
          <w:fldChar w:fldCharType="end"/>
        </w:r>
      </w:hyperlink>
    </w:p>
    <w:p w14:paraId="20182824"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22" w:history="1">
        <w:r w:rsidR="00EB4C63" w:rsidRPr="00FE283C">
          <w:rPr>
            <w:rStyle w:val="Hyperlink"/>
            <w:rFonts w:ascii="Verdana" w:hAnsi="Verdana"/>
            <w:i/>
            <w:noProof/>
            <w:sz w:val="18"/>
            <w:szCs w:val="18"/>
          </w:rPr>
          <w:t>C.</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Cuarta instancia</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_Toc482093022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10</w:t>
        </w:r>
        <w:r w:rsidR="00EB4C63" w:rsidRPr="00FE283C">
          <w:rPr>
            <w:rFonts w:ascii="Verdana" w:hAnsi="Verdana"/>
            <w:noProof/>
            <w:webHidden/>
            <w:sz w:val="18"/>
            <w:szCs w:val="18"/>
          </w:rPr>
          <w:fldChar w:fldCharType="end"/>
        </w:r>
      </w:hyperlink>
    </w:p>
    <w:p w14:paraId="59C8BC6D"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23" w:history="1">
        <w:r w:rsidR="00EB4C63" w:rsidRPr="00FE283C">
          <w:rPr>
            <w:rStyle w:val="Hyperlink"/>
            <w:rFonts w:ascii="Verdana" w:hAnsi="Verdana"/>
            <w:i/>
            <w:noProof/>
            <w:sz w:val="18"/>
            <w:szCs w:val="18"/>
            <w:lang w:val="es-MX"/>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Argumentos de las partes y de la Comisión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_Toc482093023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10</w:t>
        </w:r>
        <w:r w:rsidR="00EB4C63" w:rsidRPr="00FE283C">
          <w:rPr>
            <w:rFonts w:ascii="Verdana" w:hAnsi="Verdana"/>
            <w:noProof/>
            <w:webHidden/>
            <w:sz w:val="18"/>
            <w:szCs w:val="18"/>
          </w:rPr>
          <w:fldChar w:fldCharType="end"/>
        </w:r>
      </w:hyperlink>
    </w:p>
    <w:p w14:paraId="04F18927"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24" w:history="1">
        <w:r w:rsidR="00EB4C63" w:rsidRPr="00FE283C">
          <w:rPr>
            <w:rStyle w:val="Hyperlink"/>
            <w:rFonts w:ascii="Verdana" w:hAnsi="Verdana"/>
            <w:i/>
            <w:noProof/>
            <w:sz w:val="18"/>
            <w:szCs w:val="18"/>
            <w:lang w:val="es-MX"/>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Consideraciones de la Corte</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_Toc482093024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10</w:t>
        </w:r>
        <w:r w:rsidR="00EB4C63" w:rsidRPr="00FE283C">
          <w:rPr>
            <w:rFonts w:ascii="Verdana" w:hAnsi="Verdana"/>
            <w:noProof/>
            <w:webHidden/>
            <w:sz w:val="18"/>
            <w:szCs w:val="18"/>
          </w:rPr>
          <w:fldChar w:fldCharType="end"/>
        </w:r>
      </w:hyperlink>
    </w:p>
    <w:p w14:paraId="412751B1" w14:textId="77777777" w:rsidR="00EB4C63" w:rsidRPr="00FE283C" w:rsidRDefault="00B050A2" w:rsidP="00FE283C">
      <w:pPr>
        <w:pStyle w:val="TOC1"/>
        <w:rPr>
          <w:rFonts w:eastAsiaTheme="minorEastAsia" w:cstheme="minorBidi"/>
          <w:snapToGrid/>
          <w:lang w:val="es-CR" w:eastAsia="es-CR"/>
        </w:rPr>
      </w:pPr>
      <w:hyperlink w:anchor="_Toc482093025" w:history="1">
        <w:r w:rsidR="00EB4C63" w:rsidRPr="00FE283C">
          <w:rPr>
            <w:rStyle w:val="Hyperlink"/>
            <w:rFonts w:cs="Verdana"/>
            <w:sz w:val="18"/>
            <w:szCs w:val="18"/>
          </w:rPr>
          <w:t>V Consideraciones previas</w:t>
        </w:r>
        <w:r w:rsidR="00EB4C63" w:rsidRPr="00FE283C">
          <w:rPr>
            <w:webHidden/>
          </w:rPr>
          <w:tab/>
        </w:r>
        <w:r w:rsidR="00EB4C63" w:rsidRPr="00FE283C">
          <w:rPr>
            <w:webHidden/>
          </w:rPr>
          <w:fldChar w:fldCharType="begin"/>
        </w:r>
        <w:r w:rsidR="00EB4C63" w:rsidRPr="00FE283C">
          <w:rPr>
            <w:webHidden/>
          </w:rPr>
          <w:instrText xml:space="preserve"> PAGEREF _Toc482093025 \h </w:instrText>
        </w:r>
        <w:r w:rsidR="00EB4C63" w:rsidRPr="00FE283C">
          <w:rPr>
            <w:webHidden/>
          </w:rPr>
        </w:r>
        <w:r w:rsidR="00EB4C63" w:rsidRPr="00FE283C">
          <w:rPr>
            <w:webHidden/>
          </w:rPr>
          <w:fldChar w:fldCharType="separate"/>
        </w:r>
        <w:r w:rsidR="00275411">
          <w:rPr>
            <w:webHidden/>
          </w:rPr>
          <w:t>11</w:t>
        </w:r>
        <w:r w:rsidR="00EB4C63" w:rsidRPr="00FE283C">
          <w:rPr>
            <w:webHidden/>
          </w:rPr>
          <w:fldChar w:fldCharType="end"/>
        </w:r>
      </w:hyperlink>
    </w:p>
    <w:p w14:paraId="1C75D9CE"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26" w:history="1">
        <w:r w:rsidR="00EB4C63" w:rsidRPr="00FE283C">
          <w:rPr>
            <w:rStyle w:val="Hyperlink"/>
            <w:rFonts w:ascii="Verdana" w:hAnsi="Verdana"/>
            <w:i/>
            <w:noProof/>
            <w:sz w:val="18"/>
            <w:szCs w:val="18"/>
          </w:rPr>
          <w:t>A.</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Admisibilidad del reclamo relacionado con la privación de libertad</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_Toc482093026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11</w:t>
        </w:r>
        <w:r w:rsidR="00EB4C63" w:rsidRPr="00FE283C">
          <w:rPr>
            <w:rFonts w:ascii="Verdana" w:hAnsi="Verdana"/>
            <w:noProof/>
            <w:webHidden/>
            <w:sz w:val="18"/>
            <w:szCs w:val="18"/>
          </w:rPr>
          <w:fldChar w:fldCharType="end"/>
        </w:r>
      </w:hyperlink>
    </w:p>
    <w:p w14:paraId="703179E4"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27" w:history="1">
        <w:r w:rsidR="00EB4C63" w:rsidRPr="00FE283C">
          <w:rPr>
            <w:rStyle w:val="Hyperlink"/>
            <w:rFonts w:ascii="Verdana" w:hAnsi="Verdana"/>
            <w:i/>
            <w:noProof/>
            <w:sz w:val="18"/>
            <w:szCs w:val="18"/>
            <w:lang w:val="es-MX"/>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Argumentos de las partes y de la Comisión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_Toc482093027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11</w:t>
        </w:r>
        <w:r w:rsidR="00EB4C63" w:rsidRPr="00FE283C">
          <w:rPr>
            <w:rFonts w:ascii="Verdana" w:hAnsi="Verdana"/>
            <w:noProof/>
            <w:webHidden/>
            <w:sz w:val="18"/>
            <w:szCs w:val="18"/>
          </w:rPr>
          <w:fldChar w:fldCharType="end"/>
        </w:r>
      </w:hyperlink>
    </w:p>
    <w:p w14:paraId="351E19AA"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28" w:history="1">
        <w:r w:rsidR="00EB4C63" w:rsidRPr="00FE283C">
          <w:rPr>
            <w:rStyle w:val="Hyperlink"/>
            <w:rFonts w:ascii="Verdana" w:hAnsi="Verdana"/>
            <w:i/>
            <w:noProof/>
            <w:sz w:val="18"/>
            <w:szCs w:val="18"/>
            <w:lang w:val="es-MX"/>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Consideraciones de la Corte</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_Toc482093028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12</w:t>
        </w:r>
        <w:r w:rsidR="00EB4C63" w:rsidRPr="00FE283C">
          <w:rPr>
            <w:rFonts w:ascii="Verdana" w:hAnsi="Verdana"/>
            <w:noProof/>
            <w:webHidden/>
            <w:sz w:val="18"/>
            <w:szCs w:val="18"/>
          </w:rPr>
          <w:fldChar w:fldCharType="end"/>
        </w:r>
      </w:hyperlink>
    </w:p>
    <w:p w14:paraId="5ECB4F92"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29" w:history="1">
        <w:r w:rsidR="00EB4C63" w:rsidRPr="00FE283C">
          <w:rPr>
            <w:rStyle w:val="Hyperlink"/>
            <w:rFonts w:ascii="Verdana" w:hAnsi="Verdana"/>
            <w:i/>
            <w:noProof/>
            <w:sz w:val="18"/>
            <w:szCs w:val="18"/>
            <w:lang w:val="es-MX"/>
          </w:rPr>
          <w:t>B.</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Admisibilidad de los hechos relacionados con el pase a retiro, cuadro de mérito y su agotamiento interno</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_Toc482093029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14</w:t>
        </w:r>
        <w:r w:rsidR="00EB4C63" w:rsidRPr="00FE283C">
          <w:rPr>
            <w:rFonts w:ascii="Verdana" w:hAnsi="Verdana"/>
            <w:noProof/>
            <w:webHidden/>
            <w:sz w:val="18"/>
            <w:szCs w:val="18"/>
          </w:rPr>
          <w:fldChar w:fldCharType="end"/>
        </w:r>
      </w:hyperlink>
    </w:p>
    <w:p w14:paraId="38B87273"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30" w:history="1">
        <w:r w:rsidR="00EB4C63" w:rsidRPr="00FE283C">
          <w:rPr>
            <w:rStyle w:val="Hyperlink"/>
            <w:rFonts w:ascii="Verdana" w:hAnsi="Verdana"/>
            <w:i/>
            <w:noProof/>
            <w:sz w:val="18"/>
            <w:szCs w:val="18"/>
            <w:lang w:val="es-MX"/>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Argumentos de las partes y de la Comisión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_Toc482093030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14</w:t>
        </w:r>
        <w:r w:rsidR="00EB4C63" w:rsidRPr="00FE283C">
          <w:rPr>
            <w:rFonts w:ascii="Verdana" w:hAnsi="Verdana"/>
            <w:noProof/>
            <w:webHidden/>
            <w:sz w:val="18"/>
            <w:szCs w:val="18"/>
          </w:rPr>
          <w:fldChar w:fldCharType="end"/>
        </w:r>
      </w:hyperlink>
    </w:p>
    <w:p w14:paraId="170B7A86"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31" w:history="1">
        <w:r w:rsidR="00EB4C63" w:rsidRPr="00FE283C">
          <w:rPr>
            <w:rStyle w:val="Hyperlink"/>
            <w:rFonts w:ascii="Verdana" w:hAnsi="Verdana"/>
            <w:i/>
            <w:noProof/>
            <w:sz w:val="18"/>
            <w:szCs w:val="18"/>
            <w:lang w:val="es-MX"/>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MX"/>
          </w:rPr>
          <w:t>Consideraciones de la Corte</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_Toc482093031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14</w:t>
        </w:r>
        <w:r w:rsidR="00EB4C63" w:rsidRPr="00FE283C">
          <w:rPr>
            <w:rFonts w:ascii="Verdana" w:hAnsi="Verdana"/>
            <w:noProof/>
            <w:webHidden/>
            <w:sz w:val="18"/>
            <w:szCs w:val="18"/>
          </w:rPr>
          <w:fldChar w:fldCharType="end"/>
        </w:r>
      </w:hyperlink>
    </w:p>
    <w:p w14:paraId="2E682ADE" w14:textId="77777777" w:rsidR="00EB4C63" w:rsidRPr="00FE283C" w:rsidRDefault="00B050A2" w:rsidP="00FE283C">
      <w:pPr>
        <w:pStyle w:val="TOC1"/>
        <w:rPr>
          <w:rFonts w:eastAsiaTheme="minorEastAsia" w:cstheme="minorBidi"/>
          <w:snapToGrid/>
          <w:lang w:val="es-CR" w:eastAsia="es-CR"/>
        </w:rPr>
      </w:pPr>
      <w:hyperlink w:anchor="_Toc482093032" w:history="1">
        <w:r w:rsidR="00EB4C63" w:rsidRPr="00FE283C">
          <w:rPr>
            <w:rStyle w:val="Hyperlink"/>
            <w:rFonts w:cs="Verdana"/>
            <w:sz w:val="18"/>
            <w:szCs w:val="18"/>
          </w:rPr>
          <w:t>VI PRUEBA</w:t>
        </w:r>
        <w:r w:rsidR="00EB4C63" w:rsidRPr="00FE283C">
          <w:rPr>
            <w:webHidden/>
          </w:rPr>
          <w:tab/>
        </w:r>
        <w:r w:rsidR="00EB4C63" w:rsidRPr="00FE283C">
          <w:rPr>
            <w:webHidden/>
          </w:rPr>
          <w:fldChar w:fldCharType="begin"/>
        </w:r>
        <w:r w:rsidR="00EB4C63" w:rsidRPr="00FE283C">
          <w:rPr>
            <w:webHidden/>
          </w:rPr>
          <w:instrText xml:space="preserve"> PAGEREF _Toc482093032 \h </w:instrText>
        </w:r>
        <w:r w:rsidR="00EB4C63" w:rsidRPr="00FE283C">
          <w:rPr>
            <w:webHidden/>
          </w:rPr>
        </w:r>
        <w:r w:rsidR="00EB4C63" w:rsidRPr="00FE283C">
          <w:rPr>
            <w:webHidden/>
          </w:rPr>
          <w:fldChar w:fldCharType="separate"/>
        </w:r>
        <w:r w:rsidR="00275411">
          <w:rPr>
            <w:webHidden/>
          </w:rPr>
          <w:t>15</w:t>
        </w:r>
        <w:r w:rsidR="00EB4C63" w:rsidRPr="00FE283C">
          <w:rPr>
            <w:webHidden/>
          </w:rPr>
          <w:fldChar w:fldCharType="end"/>
        </w:r>
      </w:hyperlink>
    </w:p>
    <w:p w14:paraId="6D41455C"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33" w:history="1">
        <w:r w:rsidR="00EB4C63" w:rsidRPr="00FE283C">
          <w:rPr>
            <w:rStyle w:val="Hyperlink"/>
            <w:rFonts w:ascii="Verdana" w:hAnsi="Verdana"/>
            <w:i/>
            <w:noProof/>
            <w:sz w:val="18"/>
            <w:szCs w:val="18"/>
          </w:rPr>
          <w:t>A.</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Prueba documental, videográfica, testimonial y pericial</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_Toc482093033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15</w:t>
        </w:r>
        <w:r w:rsidR="00EB4C63" w:rsidRPr="00FE283C">
          <w:rPr>
            <w:rFonts w:ascii="Verdana" w:hAnsi="Verdana"/>
            <w:noProof/>
            <w:webHidden/>
            <w:sz w:val="18"/>
            <w:szCs w:val="18"/>
          </w:rPr>
          <w:fldChar w:fldCharType="end"/>
        </w:r>
      </w:hyperlink>
    </w:p>
    <w:p w14:paraId="7C0EDBE5"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34" w:history="1">
        <w:r w:rsidR="00EB4C63" w:rsidRPr="00FE283C">
          <w:rPr>
            <w:rStyle w:val="Hyperlink"/>
            <w:rFonts w:ascii="Verdana" w:hAnsi="Verdana"/>
            <w:i/>
            <w:noProof/>
            <w:sz w:val="18"/>
            <w:szCs w:val="18"/>
          </w:rPr>
          <w:t>B.</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Admisión de la prueba</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_Toc482093034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15</w:t>
        </w:r>
        <w:r w:rsidR="00EB4C63" w:rsidRPr="00FE283C">
          <w:rPr>
            <w:rFonts w:ascii="Verdana" w:hAnsi="Verdana"/>
            <w:noProof/>
            <w:webHidden/>
            <w:sz w:val="18"/>
            <w:szCs w:val="18"/>
          </w:rPr>
          <w:fldChar w:fldCharType="end"/>
        </w:r>
      </w:hyperlink>
    </w:p>
    <w:p w14:paraId="6116DB99" w14:textId="10B0278F"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35" w:history="1">
        <w:r w:rsidR="00EB4C63" w:rsidRPr="00FE283C">
          <w:rPr>
            <w:rStyle w:val="Hyperlink"/>
            <w:rFonts w:ascii="Verdana" w:hAnsi="Verdana"/>
            <w:i/>
            <w:noProof/>
            <w:sz w:val="18"/>
            <w:szCs w:val="18"/>
          </w:rPr>
          <w:t>1</w:t>
        </w:r>
        <w:r w:rsidR="00483225">
          <w:rPr>
            <w:rStyle w:val="Hyperlink"/>
            <w:rFonts w:ascii="Verdana" w:hAnsi="Verdana"/>
            <w:i/>
            <w:noProof/>
            <w:sz w:val="18"/>
            <w:szCs w:val="18"/>
          </w:rPr>
          <w:t>.</w:t>
        </w:r>
        <w:r w:rsidR="00483225">
          <w:rPr>
            <w:rStyle w:val="Hyperlink"/>
            <w:rFonts w:ascii="Verdana" w:hAnsi="Verdana"/>
            <w:i/>
            <w:noProof/>
            <w:sz w:val="18"/>
            <w:szCs w:val="18"/>
          </w:rPr>
          <w:tab/>
        </w:r>
        <w:r w:rsidR="00EB4C63" w:rsidRPr="00FE283C">
          <w:rPr>
            <w:rStyle w:val="Hyperlink"/>
            <w:rFonts w:ascii="Verdana" w:hAnsi="Verdana"/>
            <w:i/>
            <w:noProof/>
            <w:sz w:val="18"/>
            <w:szCs w:val="18"/>
          </w:rPr>
          <w:t xml:space="preserve"> Admisión de la prueba documental</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_Toc482093035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15</w:t>
        </w:r>
        <w:r w:rsidR="00EB4C63" w:rsidRPr="00FE283C">
          <w:rPr>
            <w:rFonts w:ascii="Verdana" w:hAnsi="Verdana"/>
            <w:noProof/>
            <w:webHidden/>
            <w:sz w:val="18"/>
            <w:szCs w:val="18"/>
          </w:rPr>
          <w:fldChar w:fldCharType="end"/>
        </w:r>
      </w:hyperlink>
    </w:p>
    <w:p w14:paraId="44F35CB7" w14:textId="4E0562CE"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36" w:history="1">
        <w:r w:rsidR="00EB4C63" w:rsidRPr="00FE283C">
          <w:rPr>
            <w:rStyle w:val="Hyperlink"/>
            <w:rFonts w:ascii="Verdana" w:hAnsi="Verdana"/>
            <w:i/>
            <w:noProof/>
            <w:sz w:val="18"/>
            <w:szCs w:val="18"/>
          </w:rPr>
          <w:t>2</w:t>
        </w:r>
        <w:r w:rsidR="00483225">
          <w:rPr>
            <w:rStyle w:val="Hyperlink"/>
            <w:rFonts w:ascii="Verdana" w:hAnsi="Verdana"/>
            <w:i/>
            <w:noProof/>
            <w:sz w:val="18"/>
            <w:szCs w:val="18"/>
          </w:rPr>
          <w:t>.</w:t>
        </w:r>
        <w:r w:rsidR="00EB4C63" w:rsidRPr="00FE283C">
          <w:rPr>
            <w:rStyle w:val="Hyperlink"/>
            <w:rFonts w:ascii="Verdana" w:hAnsi="Verdana"/>
            <w:i/>
            <w:noProof/>
            <w:sz w:val="18"/>
            <w:szCs w:val="18"/>
          </w:rPr>
          <w:t xml:space="preserve"> </w:t>
        </w:r>
        <w:r w:rsidR="00483225">
          <w:rPr>
            <w:rStyle w:val="Hyperlink"/>
            <w:rFonts w:ascii="Verdana" w:hAnsi="Verdana"/>
            <w:i/>
            <w:noProof/>
            <w:sz w:val="18"/>
            <w:szCs w:val="18"/>
          </w:rPr>
          <w:tab/>
        </w:r>
        <w:r w:rsidR="00EB4C63" w:rsidRPr="00FE283C">
          <w:rPr>
            <w:rStyle w:val="Hyperlink"/>
            <w:rFonts w:ascii="Verdana" w:hAnsi="Verdana"/>
            <w:i/>
            <w:noProof/>
            <w:sz w:val="18"/>
            <w:szCs w:val="18"/>
          </w:rPr>
          <w:t>Admisión de la prueba testimonial y pericial</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_Toc482093036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16</w:t>
        </w:r>
        <w:r w:rsidR="00EB4C63" w:rsidRPr="00FE283C">
          <w:rPr>
            <w:rFonts w:ascii="Verdana" w:hAnsi="Verdana"/>
            <w:noProof/>
            <w:webHidden/>
            <w:sz w:val="18"/>
            <w:szCs w:val="18"/>
          </w:rPr>
          <w:fldChar w:fldCharType="end"/>
        </w:r>
      </w:hyperlink>
    </w:p>
    <w:p w14:paraId="4738B40B"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37" w:history="1">
        <w:r w:rsidR="00EB4C63" w:rsidRPr="00FE283C">
          <w:rPr>
            <w:rStyle w:val="Hyperlink"/>
            <w:rFonts w:ascii="Verdana" w:hAnsi="Verdana"/>
            <w:i/>
            <w:noProof/>
            <w:sz w:val="18"/>
            <w:szCs w:val="18"/>
          </w:rPr>
          <w:t>C.</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Valoración de la prueba</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_Toc482093037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16</w:t>
        </w:r>
        <w:r w:rsidR="00EB4C63" w:rsidRPr="00FE283C">
          <w:rPr>
            <w:rFonts w:ascii="Verdana" w:hAnsi="Verdana"/>
            <w:noProof/>
            <w:webHidden/>
            <w:sz w:val="18"/>
            <w:szCs w:val="18"/>
          </w:rPr>
          <w:fldChar w:fldCharType="end"/>
        </w:r>
      </w:hyperlink>
    </w:p>
    <w:p w14:paraId="655FE27C" w14:textId="77777777" w:rsidR="00EB4C63" w:rsidRPr="00FE283C" w:rsidRDefault="00B050A2" w:rsidP="00FE283C">
      <w:pPr>
        <w:pStyle w:val="TOC1"/>
        <w:rPr>
          <w:rFonts w:eastAsiaTheme="minorEastAsia" w:cstheme="minorBidi"/>
          <w:snapToGrid/>
          <w:lang w:val="es-CR" w:eastAsia="es-CR"/>
        </w:rPr>
      </w:pPr>
      <w:hyperlink w:anchor="_Toc482093038" w:history="1">
        <w:r w:rsidR="00EB4C63" w:rsidRPr="00FE283C">
          <w:rPr>
            <w:rStyle w:val="Hyperlink"/>
            <w:rFonts w:cs="Verdana"/>
            <w:sz w:val="18"/>
            <w:szCs w:val="18"/>
          </w:rPr>
          <w:t>ViI hechos</w:t>
        </w:r>
        <w:r w:rsidR="00EB4C63" w:rsidRPr="00FE283C">
          <w:rPr>
            <w:webHidden/>
          </w:rPr>
          <w:tab/>
        </w:r>
        <w:r w:rsidR="00EB4C63" w:rsidRPr="00FE283C">
          <w:rPr>
            <w:webHidden/>
          </w:rPr>
          <w:fldChar w:fldCharType="begin"/>
        </w:r>
        <w:r w:rsidR="00EB4C63" w:rsidRPr="00FE283C">
          <w:rPr>
            <w:webHidden/>
          </w:rPr>
          <w:instrText xml:space="preserve"> PAGEREF _Toc482093038 \h </w:instrText>
        </w:r>
        <w:r w:rsidR="00EB4C63" w:rsidRPr="00FE283C">
          <w:rPr>
            <w:webHidden/>
          </w:rPr>
        </w:r>
        <w:r w:rsidR="00EB4C63" w:rsidRPr="00FE283C">
          <w:rPr>
            <w:webHidden/>
          </w:rPr>
          <w:fldChar w:fldCharType="separate"/>
        </w:r>
        <w:r w:rsidR="00275411">
          <w:rPr>
            <w:webHidden/>
          </w:rPr>
          <w:t>17</w:t>
        </w:r>
        <w:r w:rsidR="00EB4C63" w:rsidRPr="00FE283C">
          <w:rPr>
            <w:webHidden/>
          </w:rPr>
          <w:fldChar w:fldCharType="end"/>
        </w:r>
      </w:hyperlink>
    </w:p>
    <w:p w14:paraId="2A809CBE"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39" w:history="1">
        <w:r w:rsidR="00EB4C63" w:rsidRPr="00FE283C">
          <w:rPr>
            <w:rStyle w:val="Hyperlink"/>
            <w:rFonts w:ascii="Verdana" w:hAnsi="Verdana"/>
            <w:i/>
            <w:noProof/>
            <w:sz w:val="18"/>
            <w:szCs w:val="18"/>
          </w:rPr>
          <w:t>A.</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Antecedentes, funciones y competencias del señor Zegarra Marín como Jefe de la Sub Dirección de Pasaportes</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_Toc482093039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17</w:t>
        </w:r>
        <w:r w:rsidR="00EB4C63" w:rsidRPr="00FE283C">
          <w:rPr>
            <w:rFonts w:ascii="Verdana" w:hAnsi="Verdana"/>
            <w:noProof/>
            <w:webHidden/>
            <w:sz w:val="18"/>
            <w:szCs w:val="18"/>
          </w:rPr>
          <w:fldChar w:fldCharType="end"/>
        </w:r>
      </w:hyperlink>
    </w:p>
    <w:p w14:paraId="2309FBDE"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40" w:history="1">
        <w:r w:rsidR="00EB4C63" w:rsidRPr="00FE283C">
          <w:rPr>
            <w:rStyle w:val="Hyperlink"/>
            <w:rFonts w:ascii="Verdana" w:hAnsi="Verdana"/>
            <w:i/>
            <w:noProof/>
            <w:spacing w:val="-2"/>
            <w:sz w:val="18"/>
            <w:szCs w:val="18"/>
            <w:lang w:val="es-CR"/>
          </w:rPr>
          <w:t>B.</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Investigación, detención y proceso penal del señor Zegarra Marín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_Toc482093040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19</w:t>
        </w:r>
        <w:r w:rsidR="00EB4C63" w:rsidRPr="00FE283C">
          <w:rPr>
            <w:rFonts w:ascii="Verdana" w:hAnsi="Verdana"/>
            <w:noProof/>
            <w:webHidden/>
            <w:sz w:val="18"/>
            <w:szCs w:val="18"/>
          </w:rPr>
          <w:fldChar w:fldCharType="end"/>
        </w:r>
      </w:hyperlink>
    </w:p>
    <w:p w14:paraId="51103B21"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41" w:history="1">
        <w:r w:rsidR="00EB4C63" w:rsidRPr="00FE283C">
          <w:rPr>
            <w:rStyle w:val="Hyperlink"/>
            <w:rFonts w:ascii="Verdana" w:hAnsi="Verdana"/>
            <w:i/>
            <w:noProof/>
            <w:sz w:val="18"/>
            <w:szCs w:val="18"/>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Apertura de la instrucción, detención preventiva y continuación del proceso penal contra Zegarra Marín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_Toc482093041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24</w:t>
        </w:r>
        <w:r w:rsidR="00EB4C63" w:rsidRPr="00FE283C">
          <w:rPr>
            <w:rFonts w:ascii="Verdana" w:hAnsi="Verdana"/>
            <w:noProof/>
            <w:webHidden/>
            <w:sz w:val="18"/>
            <w:szCs w:val="18"/>
          </w:rPr>
          <w:fldChar w:fldCharType="end"/>
        </w:r>
      </w:hyperlink>
    </w:p>
    <w:p w14:paraId="76B945C4"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42" w:history="1">
        <w:r w:rsidR="00EB4C63" w:rsidRPr="00FE283C">
          <w:rPr>
            <w:rStyle w:val="Hyperlink"/>
            <w:rFonts w:ascii="Verdana" w:hAnsi="Verdana"/>
            <w:noProof/>
            <w:sz w:val="18"/>
            <w:szCs w:val="18"/>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noProof/>
            <w:sz w:val="18"/>
            <w:szCs w:val="18"/>
          </w:rPr>
          <w:t>Condena Penal</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_Toc482093042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27</w:t>
        </w:r>
        <w:r w:rsidR="00EB4C63" w:rsidRPr="00FE283C">
          <w:rPr>
            <w:rFonts w:ascii="Verdana" w:hAnsi="Verdana"/>
            <w:noProof/>
            <w:webHidden/>
            <w:sz w:val="18"/>
            <w:szCs w:val="18"/>
          </w:rPr>
          <w:fldChar w:fldCharType="end"/>
        </w:r>
      </w:hyperlink>
    </w:p>
    <w:p w14:paraId="3CB655CE"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43" w:history="1">
        <w:r w:rsidR="00EB4C63" w:rsidRPr="00FE283C">
          <w:rPr>
            <w:rStyle w:val="Hyperlink"/>
            <w:rFonts w:ascii="Verdana" w:hAnsi="Verdana"/>
            <w:i/>
            <w:noProof/>
            <w:sz w:val="18"/>
            <w:szCs w:val="18"/>
          </w:rPr>
          <w:t>C.</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Recurso de nulidad</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_Toc482093043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29</w:t>
        </w:r>
        <w:r w:rsidR="00EB4C63" w:rsidRPr="00FE283C">
          <w:rPr>
            <w:rFonts w:ascii="Verdana" w:hAnsi="Verdana"/>
            <w:noProof/>
            <w:webHidden/>
            <w:sz w:val="18"/>
            <w:szCs w:val="18"/>
          </w:rPr>
          <w:fldChar w:fldCharType="end"/>
        </w:r>
      </w:hyperlink>
    </w:p>
    <w:p w14:paraId="3A06A55D"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44" w:history="1">
        <w:r w:rsidR="00EB4C63" w:rsidRPr="00FE283C">
          <w:rPr>
            <w:rStyle w:val="Hyperlink"/>
            <w:rFonts w:ascii="Verdana" w:hAnsi="Verdana"/>
            <w:i/>
            <w:noProof/>
            <w:sz w:val="18"/>
            <w:szCs w:val="18"/>
          </w:rPr>
          <w:t>D.</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Recurso de revisión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_Toc482093044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32</w:t>
        </w:r>
        <w:r w:rsidR="00EB4C63" w:rsidRPr="00FE283C">
          <w:rPr>
            <w:rFonts w:ascii="Verdana" w:hAnsi="Verdana"/>
            <w:noProof/>
            <w:webHidden/>
            <w:sz w:val="18"/>
            <w:szCs w:val="18"/>
          </w:rPr>
          <w:fldChar w:fldCharType="end"/>
        </w:r>
      </w:hyperlink>
    </w:p>
    <w:p w14:paraId="2C02BF59"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45" w:history="1">
        <w:r w:rsidR="00EB4C63" w:rsidRPr="00FE283C">
          <w:rPr>
            <w:rStyle w:val="Hyperlink"/>
            <w:rFonts w:ascii="Verdana" w:hAnsi="Verdana"/>
            <w:i/>
            <w:noProof/>
            <w:sz w:val="18"/>
            <w:szCs w:val="18"/>
          </w:rPr>
          <w:t>E.</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Denuncias presentadas contra magistrados y funcionarios con posterioridad al recurso de revisión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_Toc482093045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33</w:t>
        </w:r>
        <w:r w:rsidR="00EB4C63" w:rsidRPr="00FE283C">
          <w:rPr>
            <w:rFonts w:ascii="Verdana" w:hAnsi="Verdana"/>
            <w:noProof/>
            <w:webHidden/>
            <w:sz w:val="18"/>
            <w:szCs w:val="18"/>
          </w:rPr>
          <w:fldChar w:fldCharType="end"/>
        </w:r>
      </w:hyperlink>
    </w:p>
    <w:p w14:paraId="007375A7"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46" w:history="1">
        <w:r w:rsidR="00EB4C63" w:rsidRPr="00FE283C">
          <w:rPr>
            <w:rStyle w:val="Hyperlink"/>
            <w:rFonts w:ascii="Verdana" w:hAnsi="Verdana"/>
            <w:i/>
            <w:noProof/>
            <w:sz w:val="18"/>
            <w:szCs w:val="18"/>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Denuncia por la presunta comisión del delito de prevaricato</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_Toc482093046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33</w:t>
        </w:r>
        <w:r w:rsidR="00EB4C63" w:rsidRPr="00FE283C">
          <w:rPr>
            <w:rFonts w:ascii="Verdana" w:hAnsi="Verdana"/>
            <w:noProof/>
            <w:webHidden/>
            <w:sz w:val="18"/>
            <w:szCs w:val="18"/>
          </w:rPr>
          <w:fldChar w:fldCharType="end"/>
        </w:r>
      </w:hyperlink>
    </w:p>
    <w:p w14:paraId="6875439C"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47" w:history="1">
        <w:r w:rsidR="00EB4C63" w:rsidRPr="00FE283C">
          <w:rPr>
            <w:rStyle w:val="Hyperlink"/>
            <w:rFonts w:ascii="Verdana" w:hAnsi="Verdana"/>
            <w:i/>
            <w:noProof/>
            <w:sz w:val="18"/>
            <w:szCs w:val="18"/>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Denuncia contra el Fiscal Provincial Penal</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_Toc482093047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34</w:t>
        </w:r>
        <w:r w:rsidR="00EB4C63" w:rsidRPr="00FE283C">
          <w:rPr>
            <w:rFonts w:ascii="Verdana" w:hAnsi="Verdana"/>
            <w:noProof/>
            <w:webHidden/>
            <w:sz w:val="18"/>
            <w:szCs w:val="18"/>
          </w:rPr>
          <w:fldChar w:fldCharType="end"/>
        </w:r>
      </w:hyperlink>
    </w:p>
    <w:p w14:paraId="75AF9D7F" w14:textId="77777777" w:rsidR="00EB4C63" w:rsidRPr="00FE283C" w:rsidRDefault="00B050A2" w:rsidP="00FE283C">
      <w:pPr>
        <w:pStyle w:val="TOC1"/>
        <w:rPr>
          <w:rFonts w:eastAsiaTheme="minorEastAsia" w:cstheme="minorBidi"/>
          <w:snapToGrid/>
          <w:lang w:val="es-CR" w:eastAsia="es-CR"/>
        </w:rPr>
      </w:pPr>
      <w:hyperlink w:anchor="_Toc482093048" w:history="1">
        <w:r w:rsidR="00EB4C63" w:rsidRPr="00FE283C">
          <w:rPr>
            <w:rStyle w:val="Hyperlink"/>
            <w:rFonts w:cs="Verdana"/>
            <w:sz w:val="18"/>
            <w:szCs w:val="18"/>
          </w:rPr>
          <w:t>ViII Fondo</w:t>
        </w:r>
        <w:r w:rsidR="00EB4C63" w:rsidRPr="00FE283C">
          <w:rPr>
            <w:webHidden/>
          </w:rPr>
          <w:tab/>
        </w:r>
        <w:r w:rsidR="00EB4C63" w:rsidRPr="00FE283C">
          <w:rPr>
            <w:webHidden/>
          </w:rPr>
          <w:fldChar w:fldCharType="begin"/>
        </w:r>
        <w:r w:rsidR="00EB4C63" w:rsidRPr="00FE283C">
          <w:rPr>
            <w:webHidden/>
          </w:rPr>
          <w:instrText xml:space="preserve"> PAGEREF _Toc482093048 \h </w:instrText>
        </w:r>
        <w:r w:rsidR="00EB4C63" w:rsidRPr="00FE283C">
          <w:rPr>
            <w:webHidden/>
          </w:rPr>
        </w:r>
        <w:r w:rsidR="00EB4C63" w:rsidRPr="00FE283C">
          <w:rPr>
            <w:webHidden/>
          </w:rPr>
          <w:fldChar w:fldCharType="separate"/>
        </w:r>
        <w:r w:rsidR="00275411">
          <w:rPr>
            <w:webHidden/>
          </w:rPr>
          <w:t>35</w:t>
        </w:r>
        <w:r w:rsidR="00EB4C63" w:rsidRPr="00FE283C">
          <w:rPr>
            <w:webHidden/>
          </w:rPr>
          <w:fldChar w:fldCharType="end"/>
        </w:r>
      </w:hyperlink>
    </w:p>
    <w:p w14:paraId="68927E85" w14:textId="5626395A" w:rsidR="00EB4C63" w:rsidRPr="00FE283C" w:rsidRDefault="00B050A2" w:rsidP="00FE283C">
      <w:pPr>
        <w:pStyle w:val="TOC1"/>
        <w:rPr>
          <w:rFonts w:eastAsiaTheme="minorEastAsia" w:cstheme="minorBidi"/>
          <w:snapToGrid/>
          <w:lang w:val="es-CR" w:eastAsia="es-CR"/>
        </w:rPr>
      </w:pPr>
      <w:hyperlink w:anchor="_Toc482093049" w:history="1">
        <w:r w:rsidR="00EB4C63" w:rsidRPr="00FE283C">
          <w:rPr>
            <w:rStyle w:val="Hyperlink"/>
            <w:rFonts w:cs="Verdana"/>
            <w:sz w:val="18"/>
            <w:szCs w:val="18"/>
          </w:rPr>
          <w:t>VIII-1</w:t>
        </w:r>
      </w:hyperlink>
      <w:r w:rsidR="00E71A2B">
        <w:t xml:space="preserve">  </w:t>
      </w:r>
      <w:hyperlink w:anchor="_Toc482093050" w:history="1">
        <w:r w:rsidR="00EB4C63" w:rsidRPr="00FE283C">
          <w:rPr>
            <w:rStyle w:val="Hyperlink"/>
            <w:rFonts w:cs="Verdana"/>
            <w:sz w:val="18"/>
            <w:szCs w:val="18"/>
          </w:rPr>
          <w:t>DERECHO A LAS GARANTÍAS JUDICIALES</w:t>
        </w:r>
        <w:r w:rsidR="00EB4C63" w:rsidRPr="00FE283C">
          <w:rPr>
            <w:webHidden/>
          </w:rPr>
          <w:tab/>
        </w:r>
        <w:r w:rsidR="00EB4C63" w:rsidRPr="00FE283C">
          <w:rPr>
            <w:webHidden/>
          </w:rPr>
          <w:fldChar w:fldCharType="begin"/>
        </w:r>
        <w:r w:rsidR="00EB4C63" w:rsidRPr="00FE283C">
          <w:rPr>
            <w:webHidden/>
          </w:rPr>
          <w:instrText xml:space="preserve"> PAGEREF _Toc482093050 \h </w:instrText>
        </w:r>
        <w:r w:rsidR="00EB4C63" w:rsidRPr="00FE283C">
          <w:rPr>
            <w:webHidden/>
          </w:rPr>
        </w:r>
        <w:r w:rsidR="00EB4C63" w:rsidRPr="00FE283C">
          <w:rPr>
            <w:webHidden/>
          </w:rPr>
          <w:fldChar w:fldCharType="separate"/>
        </w:r>
        <w:r w:rsidR="00275411">
          <w:rPr>
            <w:webHidden/>
          </w:rPr>
          <w:t>35</w:t>
        </w:r>
        <w:r w:rsidR="00EB4C63" w:rsidRPr="00FE283C">
          <w:rPr>
            <w:webHidden/>
          </w:rPr>
          <w:fldChar w:fldCharType="end"/>
        </w:r>
      </w:hyperlink>
    </w:p>
    <w:p w14:paraId="570CB4D1" w14:textId="77777777" w:rsidR="00EB4C63" w:rsidRPr="00FE283C" w:rsidRDefault="00B050A2" w:rsidP="00FE283C">
      <w:pPr>
        <w:pStyle w:val="TOC1"/>
        <w:rPr>
          <w:rFonts w:eastAsiaTheme="minorEastAsia" w:cstheme="minorBidi"/>
          <w:snapToGrid/>
          <w:lang w:val="es-CR" w:eastAsia="es-CR"/>
        </w:rPr>
      </w:pPr>
      <w:hyperlink w:anchor="_Toc482093051" w:history="1">
        <w:r w:rsidR="00EB4C63" w:rsidRPr="00FE283C">
          <w:rPr>
            <w:rStyle w:val="Hyperlink"/>
            <w:rFonts w:cs="Verdana"/>
            <w:sz w:val="18"/>
            <w:szCs w:val="18"/>
          </w:rPr>
          <w:t>(</w:t>
        </w:r>
        <w:r w:rsidR="00EB4C63" w:rsidRPr="00FE283C">
          <w:rPr>
            <w:rStyle w:val="Hyperlink"/>
            <w:sz w:val="18"/>
            <w:szCs w:val="18"/>
            <w:lang w:val="es-ES"/>
          </w:rPr>
          <w:t>PRESUNCIÓN DE INOCENCIA EN RELACIÓN CON EL DEBER DE MOTIVAR EL FALLO)</w:t>
        </w:r>
        <w:r w:rsidR="00EB4C63" w:rsidRPr="00FE283C">
          <w:rPr>
            <w:webHidden/>
          </w:rPr>
          <w:tab/>
        </w:r>
        <w:r w:rsidR="00EB4C63" w:rsidRPr="00FE283C">
          <w:rPr>
            <w:webHidden/>
          </w:rPr>
          <w:fldChar w:fldCharType="begin"/>
        </w:r>
        <w:r w:rsidR="00EB4C63" w:rsidRPr="00FE283C">
          <w:rPr>
            <w:webHidden/>
          </w:rPr>
          <w:instrText xml:space="preserve"> PAGEREF _Toc482093051 \h </w:instrText>
        </w:r>
        <w:r w:rsidR="00EB4C63" w:rsidRPr="00FE283C">
          <w:rPr>
            <w:webHidden/>
          </w:rPr>
        </w:r>
        <w:r w:rsidR="00EB4C63" w:rsidRPr="00FE283C">
          <w:rPr>
            <w:webHidden/>
          </w:rPr>
          <w:fldChar w:fldCharType="separate"/>
        </w:r>
        <w:r w:rsidR="00275411">
          <w:rPr>
            <w:webHidden/>
          </w:rPr>
          <w:t>35</w:t>
        </w:r>
        <w:r w:rsidR="00EB4C63" w:rsidRPr="00FE283C">
          <w:rPr>
            <w:webHidden/>
          </w:rPr>
          <w:fldChar w:fldCharType="end"/>
        </w:r>
      </w:hyperlink>
    </w:p>
    <w:p w14:paraId="1D81A379"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52" w:history="1">
        <w:r w:rsidR="00EB4C63" w:rsidRPr="00FE283C">
          <w:rPr>
            <w:rStyle w:val="Hyperlink"/>
            <w:rFonts w:ascii="Verdana" w:hAnsi="Verdana"/>
            <w:i/>
            <w:noProof/>
            <w:sz w:val="18"/>
            <w:szCs w:val="18"/>
            <w:lang w:val="es-ES"/>
          </w:rPr>
          <w:t>A.</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lang w:val="es-ES"/>
          </w:rPr>
          <w:t>Argumentos de las partes y de la Comisión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_Toc482093052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35</w:t>
        </w:r>
        <w:r w:rsidR="00EB4C63" w:rsidRPr="00FE283C">
          <w:rPr>
            <w:rFonts w:ascii="Verdana" w:hAnsi="Verdana"/>
            <w:noProof/>
            <w:webHidden/>
            <w:sz w:val="18"/>
            <w:szCs w:val="18"/>
          </w:rPr>
          <w:fldChar w:fldCharType="end"/>
        </w:r>
      </w:hyperlink>
    </w:p>
    <w:p w14:paraId="116921DE"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53" w:history="1">
        <w:r w:rsidR="00EB4C63" w:rsidRPr="00FE283C">
          <w:rPr>
            <w:rStyle w:val="Hyperlink"/>
            <w:rFonts w:ascii="Verdana" w:hAnsi="Verdana"/>
            <w:i/>
            <w:noProof/>
            <w:sz w:val="18"/>
            <w:szCs w:val="18"/>
          </w:rPr>
          <w:t>B.</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Consideraciones de la Corte</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_Toc482093053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37</w:t>
        </w:r>
        <w:r w:rsidR="00EB4C63" w:rsidRPr="00FE283C">
          <w:rPr>
            <w:rFonts w:ascii="Verdana" w:hAnsi="Verdana"/>
            <w:noProof/>
            <w:webHidden/>
            <w:sz w:val="18"/>
            <w:szCs w:val="18"/>
          </w:rPr>
          <w:fldChar w:fldCharType="end"/>
        </w:r>
      </w:hyperlink>
    </w:p>
    <w:p w14:paraId="0944EB03"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54" w:history="1">
        <w:r w:rsidR="00EB4C63" w:rsidRPr="00FE283C">
          <w:rPr>
            <w:rStyle w:val="Hyperlink"/>
            <w:rFonts w:ascii="Verdana" w:hAnsi="Verdana"/>
            <w:i/>
            <w:noProof/>
            <w:sz w:val="18"/>
            <w:szCs w:val="18"/>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Alcance del principio de presunción de inocencia</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_Toc482093054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38</w:t>
        </w:r>
        <w:r w:rsidR="00EB4C63" w:rsidRPr="00FE283C">
          <w:rPr>
            <w:rFonts w:ascii="Verdana" w:hAnsi="Verdana"/>
            <w:noProof/>
            <w:webHidden/>
            <w:sz w:val="18"/>
            <w:szCs w:val="18"/>
          </w:rPr>
          <w:fldChar w:fldCharType="end"/>
        </w:r>
      </w:hyperlink>
    </w:p>
    <w:p w14:paraId="33F88FC2"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55" w:history="1">
        <w:r w:rsidR="00EB4C63" w:rsidRPr="00FE283C">
          <w:rPr>
            <w:rStyle w:val="Hyperlink"/>
            <w:rFonts w:ascii="Verdana" w:hAnsi="Verdana"/>
            <w:i/>
            <w:noProof/>
            <w:sz w:val="18"/>
            <w:szCs w:val="18"/>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El valor probatorio de las declaraciones de coimputados</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_Toc482093055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39</w:t>
        </w:r>
        <w:r w:rsidR="00EB4C63" w:rsidRPr="00FE283C">
          <w:rPr>
            <w:rFonts w:ascii="Verdana" w:hAnsi="Verdana"/>
            <w:noProof/>
            <w:webHidden/>
            <w:sz w:val="18"/>
            <w:szCs w:val="18"/>
          </w:rPr>
          <w:fldChar w:fldCharType="end"/>
        </w:r>
      </w:hyperlink>
    </w:p>
    <w:p w14:paraId="61AFCBC2"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56" w:history="1">
        <w:r w:rsidR="00EB4C63" w:rsidRPr="00FE283C">
          <w:rPr>
            <w:rStyle w:val="Hyperlink"/>
            <w:rFonts w:ascii="Verdana" w:hAnsi="Verdana"/>
            <w:i/>
            <w:noProof/>
            <w:sz w:val="18"/>
            <w:szCs w:val="18"/>
          </w:rPr>
          <w:t>3.</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La carga probatoria y la inversión de la misma</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_Toc482093056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41</w:t>
        </w:r>
        <w:r w:rsidR="00EB4C63" w:rsidRPr="00FE283C">
          <w:rPr>
            <w:rFonts w:ascii="Verdana" w:hAnsi="Verdana"/>
            <w:noProof/>
            <w:webHidden/>
            <w:sz w:val="18"/>
            <w:szCs w:val="18"/>
          </w:rPr>
          <w:fldChar w:fldCharType="end"/>
        </w:r>
      </w:hyperlink>
    </w:p>
    <w:p w14:paraId="3028B9DA"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57" w:history="1">
        <w:r w:rsidR="00EB4C63" w:rsidRPr="00FE283C">
          <w:rPr>
            <w:rStyle w:val="Hyperlink"/>
            <w:rFonts w:ascii="Verdana" w:hAnsi="Verdana"/>
            <w:i/>
            <w:noProof/>
            <w:sz w:val="18"/>
            <w:szCs w:val="18"/>
          </w:rPr>
          <w:t>4.</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Deber de motivar</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_Toc482093057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43</w:t>
        </w:r>
        <w:r w:rsidR="00EB4C63" w:rsidRPr="00FE283C">
          <w:rPr>
            <w:rFonts w:ascii="Verdana" w:hAnsi="Verdana"/>
            <w:noProof/>
            <w:webHidden/>
            <w:sz w:val="18"/>
            <w:szCs w:val="18"/>
          </w:rPr>
          <w:fldChar w:fldCharType="end"/>
        </w:r>
      </w:hyperlink>
    </w:p>
    <w:p w14:paraId="256EBB03"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58" w:history="1">
        <w:r w:rsidR="00EB4C63" w:rsidRPr="00FE283C">
          <w:rPr>
            <w:rStyle w:val="Hyperlink"/>
            <w:rFonts w:ascii="Verdana" w:hAnsi="Verdana"/>
            <w:i/>
            <w:noProof/>
            <w:sz w:val="18"/>
            <w:szCs w:val="18"/>
          </w:rPr>
          <w:t>5.</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Conclusión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_Toc482093058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46</w:t>
        </w:r>
        <w:r w:rsidR="00EB4C63" w:rsidRPr="00FE283C">
          <w:rPr>
            <w:rFonts w:ascii="Verdana" w:hAnsi="Verdana"/>
            <w:noProof/>
            <w:webHidden/>
            <w:sz w:val="18"/>
            <w:szCs w:val="18"/>
          </w:rPr>
          <w:fldChar w:fldCharType="end"/>
        </w:r>
      </w:hyperlink>
    </w:p>
    <w:p w14:paraId="0C67A386" w14:textId="66796B08" w:rsidR="00EB4C63" w:rsidRPr="00FE283C" w:rsidRDefault="00B050A2" w:rsidP="00FE283C">
      <w:pPr>
        <w:pStyle w:val="TOC1"/>
        <w:rPr>
          <w:rFonts w:eastAsiaTheme="minorEastAsia" w:cstheme="minorBidi"/>
          <w:snapToGrid/>
          <w:lang w:val="es-CR" w:eastAsia="es-CR"/>
        </w:rPr>
      </w:pPr>
      <w:hyperlink w:anchor="_Toc482093059" w:history="1">
        <w:r w:rsidR="00EB4C63" w:rsidRPr="00FE283C">
          <w:rPr>
            <w:rStyle w:val="Hyperlink"/>
            <w:rFonts w:cs="Verdana"/>
            <w:sz w:val="18"/>
            <w:szCs w:val="18"/>
          </w:rPr>
          <w:t>VIII-2</w:t>
        </w:r>
      </w:hyperlink>
      <w:r w:rsidR="00E71A2B">
        <w:t xml:space="preserve">  </w:t>
      </w:r>
      <w:hyperlink w:anchor="_Toc482093060" w:history="1">
        <w:r w:rsidR="00EB4C63" w:rsidRPr="00FE283C">
          <w:rPr>
            <w:rStyle w:val="Hyperlink"/>
            <w:rFonts w:cs="Verdana"/>
            <w:sz w:val="18"/>
            <w:szCs w:val="18"/>
          </w:rPr>
          <w:t>DERECHO A LAS GARANTÍAS JUDICIALES y LA PROTECCIÓN JUDICIAL</w:t>
        </w:r>
        <w:r w:rsidR="00EB4C63" w:rsidRPr="00FE283C">
          <w:rPr>
            <w:webHidden/>
          </w:rPr>
          <w:tab/>
        </w:r>
        <w:r w:rsidR="00EB4C63" w:rsidRPr="00FE283C">
          <w:rPr>
            <w:webHidden/>
          </w:rPr>
          <w:fldChar w:fldCharType="begin"/>
        </w:r>
        <w:r w:rsidR="00EB4C63" w:rsidRPr="00FE283C">
          <w:rPr>
            <w:webHidden/>
          </w:rPr>
          <w:instrText xml:space="preserve"> PAGEREF _Toc482093060 \h </w:instrText>
        </w:r>
        <w:r w:rsidR="00EB4C63" w:rsidRPr="00FE283C">
          <w:rPr>
            <w:webHidden/>
          </w:rPr>
        </w:r>
        <w:r w:rsidR="00EB4C63" w:rsidRPr="00FE283C">
          <w:rPr>
            <w:webHidden/>
          </w:rPr>
          <w:fldChar w:fldCharType="separate"/>
        </w:r>
        <w:r w:rsidR="00275411">
          <w:rPr>
            <w:webHidden/>
          </w:rPr>
          <w:t>47</w:t>
        </w:r>
        <w:r w:rsidR="00EB4C63" w:rsidRPr="00FE283C">
          <w:rPr>
            <w:webHidden/>
          </w:rPr>
          <w:fldChar w:fldCharType="end"/>
        </w:r>
      </w:hyperlink>
    </w:p>
    <w:p w14:paraId="7EF8F869" w14:textId="77777777" w:rsidR="00EB4C63" w:rsidRPr="00FE283C" w:rsidRDefault="00B050A2" w:rsidP="00FE283C">
      <w:pPr>
        <w:pStyle w:val="TOC1"/>
        <w:rPr>
          <w:rFonts w:eastAsiaTheme="minorEastAsia" w:cstheme="minorBidi"/>
          <w:snapToGrid/>
          <w:lang w:val="es-CR" w:eastAsia="es-CR"/>
        </w:rPr>
      </w:pPr>
      <w:hyperlink w:anchor="_Toc482093061" w:history="1">
        <w:r w:rsidR="00EB4C63" w:rsidRPr="00FE283C">
          <w:rPr>
            <w:rStyle w:val="Hyperlink"/>
            <w:rFonts w:cs="Verdana"/>
            <w:sz w:val="18"/>
            <w:szCs w:val="18"/>
          </w:rPr>
          <w:t>(</w:t>
        </w:r>
        <w:r w:rsidR="00EB4C63" w:rsidRPr="00FE283C">
          <w:rPr>
            <w:rStyle w:val="Hyperlink"/>
            <w:sz w:val="18"/>
            <w:szCs w:val="18"/>
          </w:rPr>
          <w:t>DERECHO A RECURRIR EL FALLO Y A LA PROTECCIÓN JUDICIAL)</w:t>
        </w:r>
        <w:r w:rsidR="00EB4C63" w:rsidRPr="00FE283C">
          <w:rPr>
            <w:webHidden/>
          </w:rPr>
          <w:tab/>
        </w:r>
        <w:r w:rsidR="00EB4C63" w:rsidRPr="00FE283C">
          <w:rPr>
            <w:webHidden/>
          </w:rPr>
          <w:fldChar w:fldCharType="begin"/>
        </w:r>
        <w:r w:rsidR="00EB4C63" w:rsidRPr="00FE283C">
          <w:rPr>
            <w:webHidden/>
          </w:rPr>
          <w:instrText xml:space="preserve"> PAGEREF _Toc482093061 \h </w:instrText>
        </w:r>
        <w:r w:rsidR="00EB4C63" w:rsidRPr="00FE283C">
          <w:rPr>
            <w:webHidden/>
          </w:rPr>
        </w:r>
        <w:r w:rsidR="00EB4C63" w:rsidRPr="00FE283C">
          <w:rPr>
            <w:webHidden/>
          </w:rPr>
          <w:fldChar w:fldCharType="separate"/>
        </w:r>
        <w:r w:rsidR="00275411">
          <w:rPr>
            <w:webHidden/>
          </w:rPr>
          <w:t>47</w:t>
        </w:r>
        <w:r w:rsidR="00EB4C63" w:rsidRPr="00FE283C">
          <w:rPr>
            <w:webHidden/>
          </w:rPr>
          <w:fldChar w:fldCharType="end"/>
        </w:r>
      </w:hyperlink>
    </w:p>
    <w:p w14:paraId="305EBED8"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62" w:history="1">
        <w:r w:rsidR="00EB4C63" w:rsidRPr="00FE283C">
          <w:rPr>
            <w:rStyle w:val="Hyperlink"/>
            <w:rFonts w:ascii="Verdana" w:hAnsi="Verdana"/>
            <w:i/>
            <w:noProof/>
            <w:sz w:val="18"/>
            <w:szCs w:val="18"/>
          </w:rPr>
          <w:t>A.</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Argumentos de las partes y de la Comisión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_Toc482093062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47</w:t>
        </w:r>
        <w:r w:rsidR="00EB4C63" w:rsidRPr="00FE283C">
          <w:rPr>
            <w:rFonts w:ascii="Verdana" w:hAnsi="Verdana"/>
            <w:noProof/>
            <w:webHidden/>
            <w:sz w:val="18"/>
            <w:szCs w:val="18"/>
          </w:rPr>
          <w:fldChar w:fldCharType="end"/>
        </w:r>
      </w:hyperlink>
    </w:p>
    <w:p w14:paraId="3DCC311F"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63" w:history="1">
        <w:r w:rsidR="00EB4C63" w:rsidRPr="00FE283C">
          <w:rPr>
            <w:rStyle w:val="Hyperlink"/>
            <w:rFonts w:ascii="Verdana" w:hAnsi="Verdana"/>
            <w:i/>
            <w:noProof/>
            <w:sz w:val="18"/>
            <w:szCs w:val="18"/>
          </w:rPr>
          <w:t>B.</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Consideraciones de la Corte</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_Toc482093063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48</w:t>
        </w:r>
        <w:r w:rsidR="00EB4C63" w:rsidRPr="00FE283C">
          <w:rPr>
            <w:rFonts w:ascii="Verdana" w:hAnsi="Verdana"/>
            <w:noProof/>
            <w:webHidden/>
            <w:sz w:val="18"/>
            <w:szCs w:val="18"/>
          </w:rPr>
          <w:fldChar w:fldCharType="end"/>
        </w:r>
      </w:hyperlink>
    </w:p>
    <w:p w14:paraId="5D854522"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64" w:history="1">
        <w:r w:rsidR="00EB4C63" w:rsidRPr="00FE283C">
          <w:rPr>
            <w:rStyle w:val="Hyperlink"/>
            <w:rFonts w:ascii="Verdana" w:hAnsi="Verdana"/>
            <w:i/>
            <w:noProof/>
            <w:sz w:val="18"/>
            <w:szCs w:val="18"/>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El derecho a recurrir el fallo a través del recurso de nulidad</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_Toc482093064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49</w:t>
        </w:r>
        <w:r w:rsidR="00EB4C63" w:rsidRPr="00FE283C">
          <w:rPr>
            <w:rFonts w:ascii="Verdana" w:hAnsi="Verdana"/>
            <w:noProof/>
            <w:webHidden/>
            <w:sz w:val="18"/>
            <w:szCs w:val="18"/>
          </w:rPr>
          <w:fldChar w:fldCharType="end"/>
        </w:r>
      </w:hyperlink>
    </w:p>
    <w:p w14:paraId="5CB9FF25"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65" w:history="1">
        <w:r w:rsidR="00EB4C63" w:rsidRPr="00FE283C">
          <w:rPr>
            <w:rStyle w:val="Hyperlink"/>
            <w:rFonts w:ascii="Verdana" w:hAnsi="Verdana"/>
            <w:i/>
            <w:noProof/>
            <w:sz w:val="18"/>
            <w:szCs w:val="18"/>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La idoneidad del recurso de revisión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_Toc482093065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52</w:t>
        </w:r>
        <w:r w:rsidR="00EB4C63" w:rsidRPr="00FE283C">
          <w:rPr>
            <w:rFonts w:ascii="Verdana" w:hAnsi="Verdana"/>
            <w:noProof/>
            <w:webHidden/>
            <w:sz w:val="18"/>
            <w:szCs w:val="18"/>
          </w:rPr>
          <w:fldChar w:fldCharType="end"/>
        </w:r>
      </w:hyperlink>
    </w:p>
    <w:p w14:paraId="0BF0E541" w14:textId="137304F2" w:rsidR="00EB4C63" w:rsidRPr="00FE283C" w:rsidRDefault="00B050A2" w:rsidP="00FE283C">
      <w:pPr>
        <w:pStyle w:val="TOC1"/>
        <w:rPr>
          <w:rFonts w:eastAsiaTheme="minorEastAsia" w:cstheme="minorBidi"/>
          <w:snapToGrid/>
          <w:lang w:val="es-CR" w:eastAsia="es-CR"/>
        </w:rPr>
      </w:pPr>
      <w:hyperlink w:anchor="_Toc482093066" w:history="1">
        <w:r w:rsidR="00EB4C63" w:rsidRPr="00FE283C">
          <w:rPr>
            <w:rStyle w:val="Hyperlink"/>
            <w:rFonts w:cs="Verdana"/>
            <w:sz w:val="18"/>
            <w:szCs w:val="18"/>
          </w:rPr>
          <w:t>IX</w:t>
        </w:r>
      </w:hyperlink>
      <w:r w:rsidR="00E71A2B">
        <w:t xml:space="preserve"> </w:t>
      </w:r>
      <w:hyperlink w:anchor="_Toc482093067" w:history="1">
        <w:r w:rsidR="00EB4C63" w:rsidRPr="00FE283C">
          <w:rPr>
            <w:rStyle w:val="Hyperlink"/>
            <w:rFonts w:cs="Verdana"/>
            <w:sz w:val="18"/>
            <w:szCs w:val="18"/>
          </w:rPr>
          <w:t>Reparaciones</w:t>
        </w:r>
        <w:r w:rsidR="00EB4C63" w:rsidRPr="00FE283C">
          <w:rPr>
            <w:webHidden/>
          </w:rPr>
          <w:tab/>
        </w:r>
        <w:r w:rsidR="00EB4C63" w:rsidRPr="00FE283C">
          <w:rPr>
            <w:webHidden/>
          </w:rPr>
          <w:fldChar w:fldCharType="begin"/>
        </w:r>
        <w:r w:rsidR="00EB4C63" w:rsidRPr="00FE283C">
          <w:rPr>
            <w:webHidden/>
          </w:rPr>
          <w:instrText xml:space="preserve"> PAGEREF _Toc482093067 \h </w:instrText>
        </w:r>
        <w:r w:rsidR="00EB4C63" w:rsidRPr="00FE283C">
          <w:rPr>
            <w:webHidden/>
          </w:rPr>
        </w:r>
        <w:r w:rsidR="00EB4C63" w:rsidRPr="00FE283C">
          <w:rPr>
            <w:webHidden/>
          </w:rPr>
          <w:fldChar w:fldCharType="separate"/>
        </w:r>
        <w:r w:rsidR="00275411">
          <w:rPr>
            <w:webHidden/>
          </w:rPr>
          <w:t>53</w:t>
        </w:r>
        <w:r w:rsidR="00EB4C63" w:rsidRPr="00FE283C">
          <w:rPr>
            <w:webHidden/>
          </w:rPr>
          <w:fldChar w:fldCharType="end"/>
        </w:r>
      </w:hyperlink>
    </w:p>
    <w:p w14:paraId="3397A89C" w14:textId="77777777" w:rsidR="00EB4C63" w:rsidRPr="00FE283C" w:rsidRDefault="00B050A2" w:rsidP="00FE283C">
      <w:pPr>
        <w:pStyle w:val="TOC1"/>
        <w:rPr>
          <w:rFonts w:eastAsiaTheme="minorEastAsia" w:cstheme="minorBidi"/>
          <w:snapToGrid/>
          <w:lang w:val="es-CR" w:eastAsia="es-CR"/>
        </w:rPr>
      </w:pPr>
      <w:hyperlink w:anchor="_Toc482093068" w:history="1">
        <w:r w:rsidR="00EB4C63" w:rsidRPr="00FE283C">
          <w:rPr>
            <w:rStyle w:val="Hyperlink"/>
            <w:rFonts w:cs="Verdana"/>
            <w:sz w:val="18"/>
            <w:szCs w:val="18"/>
          </w:rPr>
          <w:t>(Aplicación del artículo 63.1 de la Convención Americana)</w:t>
        </w:r>
        <w:r w:rsidR="00EB4C63" w:rsidRPr="00FE283C">
          <w:rPr>
            <w:webHidden/>
          </w:rPr>
          <w:tab/>
        </w:r>
        <w:r w:rsidR="00EB4C63" w:rsidRPr="00FE283C">
          <w:rPr>
            <w:webHidden/>
          </w:rPr>
          <w:fldChar w:fldCharType="begin"/>
        </w:r>
        <w:r w:rsidR="00EB4C63" w:rsidRPr="00FE283C">
          <w:rPr>
            <w:webHidden/>
          </w:rPr>
          <w:instrText xml:space="preserve"> PAGEREF _Toc482093068 \h </w:instrText>
        </w:r>
        <w:r w:rsidR="00EB4C63" w:rsidRPr="00FE283C">
          <w:rPr>
            <w:webHidden/>
          </w:rPr>
        </w:r>
        <w:r w:rsidR="00EB4C63" w:rsidRPr="00FE283C">
          <w:rPr>
            <w:webHidden/>
          </w:rPr>
          <w:fldChar w:fldCharType="separate"/>
        </w:r>
        <w:r w:rsidR="00275411">
          <w:rPr>
            <w:webHidden/>
          </w:rPr>
          <w:t>53</w:t>
        </w:r>
        <w:r w:rsidR="00EB4C63" w:rsidRPr="00FE283C">
          <w:rPr>
            <w:webHidden/>
          </w:rPr>
          <w:fldChar w:fldCharType="end"/>
        </w:r>
      </w:hyperlink>
    </w:p>
    <w:p w14:paraId="5C2C32C6"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69" w:history="1">
        <w:r w:rsidR="00EB4C63" w:rsidRPr="00FE283C">
          <w:rPr>
            <w:rStyle w:val="Hyperlink"/>
            <w:rFonts w:ascii="Verdana" w:hAnsi="Verdana" w:cs="Arial"/>
            <w:i/>
            <w:noProof/>
            <w:sz w:val="18"/>
            <w:szCs w:val="18"/>
            <w:lang w:val="es-CR"/>
          </w:rPr>
          <w:t>A.</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Parte lesionada</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_Toc482093069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54</w:t>
        </w:r>
        <w:r w:rsidR="00EB4C63" w:rsidRPr="00FE283C">
          <w:rPr>
            <w:rFonts w:ascii="Verdana" w:hAnsi="Verdana"/>
            <w:noProof/>
            <w:webHidden/>
            <w:sz w:val="18"/>
            <w:szCs w:val="18"/>
          </w:rPr>
          <w:fldChar w:fldCharType="end"/>
        </w:r>
      </w:hyperlink>
    </w:p>
    <w:p w14:paraId="26A4C86C"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70" w:history="1">
        <w:r w:rsidR="00EB4C63" w:rsidRPr="00FE283C">
          <w:rPr>
            <w:rStyle w:val="Hyperlink"/>
            <w:rFonts w:ascii="Verdana" w:hAnsi="Verdana"/>
            <w:i/>
            <w:noProof/>
            <w:sz w:val="18"/>
            <w:szCs w:val="18"/>
          </w:rPr>
          <w:t>B.</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Restitución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_Toc482093070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54</w:t>
        </w:r>
        <w:r w:rsidR="00EB4C63" w:rsidRPr="00FE283C">
          <w:rPr>
            <w:rFonts w:ascii="Verdana" w:hAnsi="Verdana"/>
            <w:noProof/>
            <w:webHidden/>
            <w:sz w:val="18"/>
            <w:szCs w:val="18"/>
          </w:rPr>
          <w:fldChar w:fldCharType="end"/>
        </w:r>
      </w:hyperlink>
    </w:p>
    <w:p w14:paraId="1AA99FB1"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71" w:history="1">
        <w:r w:rsidR="00EB4C63" w:rsidRPr="00FE283C">
          <w:rPr>
            <w:rStyle w:val="Hyperlink"/>
            <w:rFonts w:ascii="Verdana" w:hAnsi="Verdana"/>
            <w:i/>
            <w:noProof/>
            <w:sz w:val="18"/>
            <w:szCs w:val="18"/>
          </w:rPr>
          <w:t>C.</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Medidas de satisfacción</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_Toc482093071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55</w:t>
        </w:r>
        <w:r w:rsidR="00EB4C63" w:rsidRPr="00FE283C">
          <w:rPr>
            <w:rFonts w:ascii="Verdana" w:hAnsi="Verdana"/>
            <w:noProof/>
            <w:webHidden/>
            <w:sz w:val="18"/>
            <w:szCs w:val="18"/>
          </w:rPr>
          <w:fldChar w:fldCharType="end"/>
        </w:r>
      </w:hyperlink>
    </w:p>
    <w:p w14:paraId="78601593"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72" w:history="1">
        <w:r w:rsidR="00EB4C63" w:rsidRPr="00FE283C">
          <w:rPr>
            <w:rStyle w:val="Hyperlink"/>
            <w:rFonts w:ascii="Verdana" w:hAnsi="Verdana"/>
            <w:i/>
            <w:noProof/>
            <w:sz w:val="18"/>
            <w:szCs w:val="18"/>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Publicaciones</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_Toc482093072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55</w:t>
        </w:r>
        <w:r w:rsidR="00EB4C63" w:rsidRPr="00FE283C">
          <w:rPr>
            <w:rFonts w:ascii="Verdana" w:hAnsi="Verdana"/>
            <w:noProof/>
            <w:webHidden/>
            <w:sz w:val="18"/>
            <w:szCs w:val="18"/>
          </w:rPr>
          <w:fldChar w:fldCharType="end"/>
        </w:r>
      </w:hyperlink>
    </w:p>
    <w:p w14:paraId="1928A529"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73" w:history="1">
        <w:r w:rsidR="00EB4C63" w:rsidRPr="00FE283C">
          <w:rPr>
            <w:rStyle w:val="Hyperlink"/>
            <w:rFonts w:ascii="Verdana" w:hAnsi="Verdana"/>
            <w:i/>
            <w:noProof/>
            <w:sz w:val="18"/>
            <w:szCs w:val="18"/>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Acto público de responsabilidad</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_Toc482093073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56</w:t>
        </w:r>
        <w:r w:rsidR="00EB4C63" w:rsidRPr="00FE283C">
          <w:rPr>
            <w:rFonts w:ascii="Verdana" w:hAnsi="Verdana"/>
            <w:noProof/>
            <w:webHidden/>
            <w:sz w:val="18"/>
            <w:szCs w:val="18"/>
          </w:rPr>
          <w:fldChar w:fldCharType="end"/>
        </w:r>
      </w:hyperlink>
    </w:p>
    <w:p w14:paraId="4754DA01"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74" w:history="1">
        <w:r w:rsidR="00EB4C63" w:rsidRPr="00FE283C">
          <w:rPr>
            <w:rStyle w:val="Hyperlink"/>
            <w:rFonts w:ascii="Verdana" w:hAnsi="Verdana"/>
            <w:i/>
            <w:noProof/>
            <w:sz w:val="18"/>
            <w:szCs w:val="18"/>
          </w:rPr>
          <w:t>D.</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Indemnización compensatoria</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_Toc482093074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56</w:t>
        </w:r>
        <w:r w:rsidR="00EB4C63" w:rsidRPr="00FE283C">
          <w:rPr>
            <w:rFonts w:ascii="Verdana" w:hAnsi="Verdana"/>
            <w:noProof/>
            <w:webHidden/>
            <w:sz w:val="18"/>
            <w:szCs w:val="18"/>
          </w:rPr>
          <w:fldChar w:fldCharType="end"/>
        </w:r>
      </w:hyperlink>
    </w:p>
    <w:p w14:paraId="1D3C367A"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75" w:history="1">
        <w:r w:rsidR="00EB4C63" w:rsidRPr="00FE283C">
          <w:rPr>
            <w:rStyle w:val="Hyperlink"/>
            <w:rFonts w:ascii="Verdana" w:hAnsi="Verdana"/>
            <w:i/>
            <w:noProof/>
            <w:sz w:val="18"/>
            <w:szCs w:val="18"/>
          </w:rPr>
          <w:t>1.</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Daño material</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_Toc482093075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56</w:t>
        </w:r>
        <w:r w:rsidR="00EB4C63" w:rsidRPr="00FE283C">
          <w:rPr>
            <w:rFonts w:ascii="Verdana" w:hAnsi="Verdana"/>
            <w:noProof/>
            <w:webHidden/>
            <w:sz w:val="18"/>
            <w:szCs w:val="18"/>
          </w:rPr>
          <w:fldChar w:fldCharType="end"/>
        </w:r>
      </w:hyperlink>
    </w:p>
    <w:p w14:paraId="2A029F31" w14:textId="77777777" w:rsidR="00EB4C63" w:rsidRPr="00FE283C" w:rsidRDefault="00B050A2" w:rsidP="00FE283C">
      <w:pPr>
        <w:pStyle w:val="TOC3"/>
        <w:rPr>
          <w:rFonts w:ascii="Verdana" w:eastAsiaTheme="minorEastAsia" w:hAnsi="Verdana" w:cstheme="minorBidi"/>
          <w:noProof/>
          <w:sz w:val="18"/>
          <w:szCs w:val="18"/>
          <w:lang w:val="es-CR" w:eastAsia="es-CR"/>
        </w:rPr>
      </w:pPr>
      <w:hyperlink w:anchor="_Toc482093076" w:history="1">
        <w:r w:rsidR="00EB4C63" w:rsidRPr="00FE283C">
          <w:rPr>
            <w:rStyle w:val="Hyperlink"/>
            <w:rFonts w:ascii="Verdana" w:hAnsi="Verdana"/>
            <w:i/>
            <w:noProof/>
            <w:sz w:val="18"/>
            <w:szCs w:val="18"/>
          </w:rPr>
          <w:t>2.</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Daño inmaterial</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_Toc482093076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57</w:t>
        </w:r>
        <w:r w:rsidR="00EB4C63" w:rsidRPr="00FE283C">
          <w:rPr>
            <w:rFonts w:ascii="Verdana" w:hAnsi="Verdana"/>
            <w:noProof/>
            <w:webHidden/>
            <w:sz w:val="18"/>
            <w:szCs w:val="18"/>
          </w:rPr>
          <w:fldChar w:fldCharType="end"/>
        </w:r>
      </w:hyperlink>
    </w:p>
    <w:p w14:paraId="41A1EF78"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77" w:history="1">
        <w:r w:rsidR="00EB4C63" w:rsidRPr="00FE283C">
          <w:rPr>
            <w:rStyle w:val="Hyperlink"/>
            <w:rFonts w:ascii="Verdana" w:hAnsi="Verdana"/>
            <w:i/>
            <w:noProof/>
            <w:sz w:val="18"/>
            <w:szCs w:val="18"/>
          </w:rPr>
          <w:t>E.</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Costas y gastos</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_Toc482093077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60</w:t>
        </w:r>
        <w:r w:rsidR="00EB4C63" w:rsidRPr="00FE283C">
          <w:rPr>
            <w:rFonts w:ascii="Verdana" w:hAnsi="Verdana"/>
            <w:noProof/>
            <w:webHidden/>
            <w:sz w:val="18"/>
            <w:szCs w:val="18"/>
          </w:rPr>
          <w:fldChar w:fldCharType="end"/>
        </w:r>
      </w:hyperlink>
    </w:p>
    <w:p w14:paraId="7C6CB22C"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78" w:history="1">
        <w:r w:rsidR="00EB4C63" w:rsidRPr="00FE283C">
          <w:rPr>
            <w:rStyle w:val="Hyperlink"/>
            <w:rFonts w:ascii="Verdana" w:hAnsi="Verdana"/>
            <w:i/>
            <w:noProof/>
            <w:sz w:val="18"/>
            <w:szCs w:val="18"/>
            <w:lang w:val="es-CR"/>
          </w:rPr>
          <w:t>F.</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Reintegro</w:t>
        </w:r>
        <w:r w:rsidR="00EB4C63" w:rsidRPr="00FE283C">
          <w:rPr>
            <w:rStyle w:val="Hyperlink"/>
            <w:rFonts w:ascii="Verdana" w:hAnsi="Verdana"/>
            <w:i/>
            <w:noProof/>
            <w:sz w:val="18"/>
            <w:szCs w:val="18"/>
            <w:lang w:val="es-CR"/>
          </w:rPr>
          <w:t xml:space="preserve"> de los gastos al Fondo de Asistencia Legal de Víctimas</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_Toc482093078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62</w:t>
        </w:r>
        <w:r w:rsidR="00EB4C63" w:rsidRPr="00FE283C">
          <w:rPr>
            <w:rFonts w:ascii="Verdana" w:hAnsi="Verdana"/>
            <w:noProof/>
            <w:webHidden/>
            <w:sz w:val="18"/>
            <w:szCs w:val="18"/>
          </w:rPr>
          <w:fldChar w:fldCharType="end"/>
        </w:r>
      </w:hyperlink>
    </w:p>
    <w:p w14:paraId="70FC2B2E" w14:textId="77777777" w:rsidR="00EB4C63" w:rsidRPr="00FE283C" w:rsidRDefault="00B050A2" w:rsidP="00FE283C">
      <w:pPr>
        <w:pStyle w:val="TOC2"/>
        <w:rPr>
          <w:rFonts w:ascii="Verdana" w:eastAsiaTheme="minorEastAsia" w:hAnsi="Verdana" w:cstheme="minorBidi"/>
          <w:noProof/>
          <w:sz w:val="18"/>
          <w:szCs w:val="18"/>
          <w:lang w:val="es-CR" w:eastAsia="es-CR"/>
        </w:rPr>
      </w:pPr>
      <w:hyperlink w:anchor="_Toc482093079" w:history="1">
        <w:r w:rsidR="00EB4C63" w:rsidRPr="00FE283C">
          <w:rPr>
            <w:rStyle w:val="Hyperlink"/>
            <w:rFonts w:ascii="Verdana" w:hAnsi="Verdana"/>
            <w:i/>
            <w:noProof/>
            <w:sz w:val="18"/>
            <w:szCs w:val="18"/>
          </w:rPr>
          <w:t>G.</w:t>
        </w:r>
        <w:r w:rsidR="00EB4C63" w:rsidRPr="00FE283C">
          <w:rPr>
            <w:rFonts w:ascii="Verdana" w:eastAsiaTheme="minorEastAsia" w:hAnsi="Verdana" w:cstheme="minorBidi"/>
            <w:noProof/>
            <w:sz w:val="18"/>
            <w:szCs w:val="18"/>
            <w:lang w:val="es-CR" w:eastAsia="es-CR"/>
          </w:rPr>
          <w:tab/>
        </w:r>
        <w:r w:rsidR="00EB4C63" w:rsidRPr="00FE283C">
          <w:rPr>
            <w:rStyle w:val="Hyperlink"/>
            <w:rFonts w:ascii="Verdana" w:hAnsi="Verdana"/>
            <w:i/>
            <w:noProof/>
            <w:sz w:val="18"/>
            <w:szCs w:val="18"/>
          </w:rPr>
          <w:t>Modalidad de cumplimiento de los pagos ordenados</w:t>
        </w:r>
        <w:r w:rsidR="00EB4C63" w:rsidRPr="00FE283C">
          <w:rPr>
            <w:rFonts w:ascii="Verdana" w:hAnsi="Verdana"/>
            <w:noProof/>
            <w:webHidden/>
            <w:sz w:val="18"/>
            <w:szCs w:val="18"/>
          </w:rPr>
          <w:tab/>
        </w:r>
        <w:r w:rsidR="00EB4C63" w:rsidRPr="00FE283C">
          <w:rPr>
            <w:rFonts w:ascii="Verdana" w:hAnsi="Verdana"/>
            <w:noProof/>
            <w:webHidden/>
            <w:sz w:val="18"/>
            <w:szCs w:val="18"/>
          </w:rPr>
          <w:fldChar w:fldCharType="begin"/>
        </w:r>
        <w:r w:rsidR="00EB4C63" w:rsidRPr="00FE283C">
          <w:rPr>
            <w:rFonts w:ascii="Verdana" w:hAnsi="Verdana"/>
            <w:noProof/>
            <w:webHidden/>
            <w:sz w:val="18"/>
            <w:szCs w:val="18"/>
          </w:rPr>
          <w:instrText xml:space="preserve"> PAGEREF _Toc482093079 \h </w:instrText>
        </w:r>
        <w:r w:rsidR="00EB4C63" w:rsidRPr="00FE283C">
          <w:rPr>
            <w:rFonts w:ascii="Verdana" w:hAnsi="Verdana"/>
            <w:noProof/>
            <w:webHidden/>
            <w:sz w:val="18"/>
            <w:szCs w:val="18"/>
          </w:rPr>
        </w:r>
        <w:r w:rsidR="00EB4C63" w:rsidRPr="00FE283C">
          <w:rPr>
            <w:rFonts w:ascii="Verdana" w:hAnsi="Verdana"/>
            <w:noProof/>
            <w:webHidden/>
            <w:sz w:val="18"/>
            <w:szCs w:val="18"/>
          </w:rPr>
          <w:fldChar w:fldCharType="separate"/>
        </w:r>
        <w:r w:rsidR="00275411">
          <w:rPr>
            <w:rFonts w:ascii="Verdana" w:hAnsi="Verdana"/>
            <w:noProof/>
            <w:webHidden/>
            <w:sz w:val="18"/>
            <w:szCs w:val="18"/>
          </w:rPr>
          <w:t>63</w:t>
        </w:r>
        <w:r w:rsidR="00EB4C63" w:rsidRPr="00FE283C">
          <w:rPr>
            <w:rFonts w:ascii="Verdana" w:hAnsi="Verdana"/>
            <w:noProof/>
            <w:webHidden/>
            <w:sz w:val="18"/>
            <w:szCs w:val="18"/>
          </w:rPr>
          <w:fldChar w:fldCharType="end"/>
        </w:r>
      </w:hyperlink>
    </w:p>
    <w:p w14:paraId="151184D1" w14:textId="77777777" w:rsidR="00EB4C63" w:rsidRPr="00EB4C63" w:rsidRDefault="00B050A2" w:rsidP="00FE283C">
      <w:pPr>
        <w:pStyle w:val="TOC1"/>
        <w:rPr>
          <w:rFonts w:eastAsiaTheme="minorEastAsia" w:cstheme="minorBidi"/>
          <w:snapToGrid/>
          <w:lang w:val="es-CR" w:eastAsia="es-CR"/>
        </w:rPr>
      </w:pPr>
      <w:hyperlink w:anchor="_Toc482093080" w:history="1">
        <w:r w:rsidR="00EB4C63" w:rsidRPr="00FE283C">
          <w:rPr>
            <w:rStyle w:val="Hyperlink"/>
            <w:rFonts w:cs="Verdana"/>
            <w:sz w:val="18"/>
            <w:szCs w:val="18"/>
          </w:rPr>
          <w:t>X PUNTOS RESOLUTIVOS</w:t>
        </w:r>
        <w:r w:rsidR="00EB4C63" w:rsidRPr="00FE283C">
          <w:rPr>
            <w:webHidden/>
          </w:rPr>
          <w:tab/>
        </w:r>
        <w:r w:rsidR="00EB4C63" w:rsidRPr="00FE283C">
          <w:rPr>
            <w:webHidden/>
          </w:rPr>
          <w:fldChar w:fldCharType="begin"/>
        </w:r>
        <w:r w:rsidR="00EB4C63" w:rsidRPr="00FE283C">
          <w:rPr>
            <w:webHidden/>
          </w:rPr>
          <w:instrText xml:space="preserve"> PAGEREF _Toc482093080 \h </w:instrText>
        </w:r>
        <w:r w:rsidR="00EB4C63" w:rsidRPr="00FE283C">
          <w:rPr>
            <w:webHidden/>
          </w:rPr>
        </w:r>
        <w:r w:rsidR="00EB4C63" w:rsidRPr="00FE283C">
          <w:rPr>
            <w:webHidden/>
          </w:rPr>
          <w:fldChar w:fldCharType="separate"/>
        </w:r>
        <w:r w:rsidR="00275411">
          <w:rPr>
            <w:webHidden/>
          </w:rPr>
          <w:t>64</w:t>
        </w:r>
        <w:r w:rsidR="00EB4C63" w:rsidRPr="00FE283C">
          <w:rPr>
            <w:webHidden/>
          </w:rPr>
          <w:fldChar w:fldCharType="end"/>
        </w:r>
      </w:hyperlink>
    </w:p>
    <w:p w14:paraId="6D172B23" w14:textId="77777777" w:rsidR="00FB723A" w:rsidRPr="007F3B10" w:rsidRDefault="000737AC" w:rsidP="00EB4C63">
      <w:pPr>
        <w:tabs>
          <w:tab w:val="left" w:pos="0"/>
          <w:tab w:val="left" w:pos="8730"/>
          <w:tab w:val="right" w:leader="dot" w:pos="8789"/>
          <w:tab w:val="left" w:pos="9072"/>
          <w:tab w:val="left" w:pos="9639"/>
          <w:tab w:val="right" w:leader="dot" w:pos="10065"/>
        </w:tabs>
        <w:ind w:right="859"/>
        <w:jc w:val="both"/>
        <w:rPr>
          <w:rFonts w:ascii="Verdana" w:hAnsi="Verdana"/>
          <w:sz w:val="18"/>
          <w:szCs w:val="18"/>
        </w:rPr>
      </w:pPr>
      <w:r w:rsidRPr="00EB4C63">
        <w:rPr>
          <w:rFonts w:ascii="Verdana" w:hAnsi="Verdana" w:cs="Verdana"/>
          <w:b/>
          <w:caps/>
          <w:noProof/>
          <w:snapToGrid w:val="0"/>
          <w:sz w:val="18"/>
          <w:szCs w:val="18"/>
        </w:rPr>
        <w:fldChar w:fldCharType="end"/>
      </w:r>
      <w:r w:rsidR="00FB723A" w:rsidRPr="00EB4C63">
        <w:rPr>
          <w:rFonts w:ascii="Verdana" w:hAnsi="Verdana"/>
          <w:sz w:val="18"/>
          <w:szCs w:val="18"/>
        </w:rPr>
        <w:br w:type="page"/>
      </w:r>
    </w:p>
    <w:p w14:paraId="6D172B24" w14:textId="77777777" w:rsidR="00FB723A" w:rsidRPr="00CD6059" w:rsidRDefault="00FB723A" w:rsidP="00FB723A">
      <w:pPr>
        <w:pStyle w:val="Heading1"/>
        <w:tabs>
          <w:tab w:val="left" w:pos="851"/>
        </w:tabs>
        <w:spacing w:before="0"/>
        <w:jc w:val="center"/>
        <w:rPr>
          <w:rFonts w:ascii="Verdana" w:hAnsi="Verdana" w:cs="Verdana"/>
          <w:caps/>
          <w:snapToGrid w:val="0"/>
          <w:color w:val="auto"/>
          <w:sz w:val="20"/>
          <w:szCs w:val="20"/>
        </w:rPr>
      </w:pPr>
      <w:bookmarkStart w:id="1" w:name="_Toc482093012"/>
      <w:r w:rsidRPr="00CD6059">
        <w:rPr>
          <w:rFonts w:ascii="Verdana" w:hAnsi="Verdana" w:cs="Verdana"/>
          <w:caps/>
          <w:snapToGrid w:val="0"/>
          <w:color w:val="auto"/>
          <w:sz w:val="20"/>
          <w:szCs w:val="20"/>
        </w:rPr>
        <w:lastRenderedPageBreak/>
        <w:t>I</w:t>
      </w:r>
      <w:r w:rsidRPr="00CD6059">
        <w:rPr>
          <w:rFonts w:ascii="Verdana" w:hAnsi="Verdana" w:cs="Verdana"/>
          <w:caps/>
          <w:snapToGrid w:val="0"/>
          <w:color w:val="auto"/>
          <w:sz w:val="20"/>
          <w:szCs w:val="20"/>
        </w:rPr>
        <w:br/>
      </w:r>
      <w:bookmarkEnd w:id="0"/>
      <w:r w:rsidRPr="00CD6059">
        <w:rPr>
          <w:rFonts w:ascii="Verdana" w:hAnsi="Verdana" w:cs="Verdana"/>
          <w:caps/>
          <w:snapToGrid w:val="0"/>
          <w:color w:val="auto"/>
          <w:sz w:val="20"/>
          <w:szCs w:val="20"/>
        </w:rPr>
        <w:t>INTRODUCCIÓN DE LA CAUSA Y OBJETO DE LA CONTROVERSIA</w:t>
      </w:r>
      <w:bookmarkEnd w:id="1"/>
    </w:p>
    <w:p w14:paraId="6D172B25" w14:textId="77777777" w:rsidR="00FB723A" w:rsidRPr="00CD6059" w:rsidRDefault="00FB723A" w:rsidP="00FB723A">
      <w:pPr>
        <w:jc w:val="both"/>
        <w:rPr>
          <w:rFonts w:ascii="Verdana" w:hAnsi="Verdana"/>
          <w:sz w:val="20"/>
          <w:szCs w:val="20"/>
        </w:rPr>
      </w:pPr>
    </w:p>
    <w:p w14:paraId="6D172B26" w14:textId="15AEAC1D" w:rsidR="00FB723A" w:rsidRPr="00D83918" w:rsidRDefault="00FB723A" w:rsidP="00FB723A">
      <w:pPr>
        <w:pStyle w:val="ListParagraph"/>
        <w:numPr>
          <w:ilvl w:val="0"/>
          <w:numId w:val="2"/>
        </w:numPr>
        <w:ind w:left="0" w:firstLine="0"/>
        <w:jc w:val="both"/>
        <w:rPr>
          <w:rFonts w:ascii="Verdana" w:hAnsi="Verdana"/>
          <w:sz w:val="20"/>
          <w:szCs w:val="20"/>
        </w:rPr>
      </w:pPr>
      <w:r w:rsidRPr="00CD6059">
        <w:rPr>
          <w:rFonts w:ascii="Verdana" w:hAnsi="Verdana"/>
          <w:i/>
          <w:sz w:val="20"/>
          <w:szCs w:val="20"/>
        </w:rPr>
        <w:t>El caso sometido a la Corte</w:t>
      </w:r>
      <w:r w:rsidRPr="00CD6059">
        <w:rPr>
          <w:rFonts w:ascii="Verdana" w:hAnsi="Verdana"/>
          <w:sz w:val="20"/>
          <w:szCs w:val="20"/>
        </w:rPr>
        <w:t xml:space="preserve">. – El </w:t>
      </w:r>
      <w:r>
        <w:rPr>
          <w:rFonts w:ascii="Verdana" w:hAnsi="Verdana"/>
          <w:sz w:val="20"/>
          <w:szCs w:val="20"/>
        </w:rPr>
        <w:t>22</w:t>
      </w:r>
      <w:r w:rsidRPr="00CD6059">
        <w:rPr>
          <w:rFonts w:ascii="Verdana" w:hAnsi="Verdana"/>
          <w:sz w:val="20"/>
          <w:szCs w:val="20"/>
        </w:rPr>
        <w:t xml:space="preserve"> de </w:t>
      </w:r>
      <w:r>
        <w:rPr>
          <w:rFonts w:ascii="Verdana" w:hAnsi="Verdana"/>
          <w:sz w:val="20"/>
          <w:szCs w:val="20"/>
        </w:rPr>
        <w:t>agosto</w:t>
      </w:r>
      <w:r w:rsidRPr="00CD6059">
        <w:rPr>
          <w:rFonts w:ascii="Verdana" w:hAnsi="Verdana"/>
          <w:sz w:val="20"/>
          <w:szCs w:val="20"/>
        </w:rPr>
        <w:t xml:space="preserve"> de 2014 la Comisión Interamericana de Derechos Humanos (en adelante “la Comisión” o “la Comisión Interamericana”) sometió el caso </w:t>
      </w:r>
      <w:r>
        <w:rPr>
          <w:rFonts w:ascii="Verdana" w:hAnsi="Verdana"/>
          <w:i/>
          <w:sz w:val="20"/>
          <w:szCs w:val="20"/>
        </w:rPr>
        <w:t>Zegarra Marín</w:t>
      </w:r>
      <w:r w:rsidRPr="00CD6059">
        <w:rPr>
          <w:rFonts w:ascii="Verdana" w:hAnsi="Verdana"/>
          <w:sz w:val="20"/>
          <w:szCs w:val="20"/>
        </w:rPr>
        <w:t xml:space="preserve"> contra la República </w:t>
      </w:r>
      <w:r>
        <w:rPr>
          <w:rFonts w:ascii="Verdana" w:hAnsi="Verdana"/>
          <w:sz w:val="20"/>
          <w:szCs w:val="20"/>
        </w:rPr>
        <w:t>del Perú</w:t>
      </w:r>
      <w:r w:rsidRPr="00CD6059">
        <w:rPr>
          <w:rFonts w:ascii="Verdana" w:hAnsi="Verdana"/>
          <w:sz w:val="20"/>
          <w:szCs w:val="20"/>
        </w:rPr>
        <w:t xml:space="preserve"> (en adelante “el Estado” o “</w:t>
      </w:r>
      <w:r>
        <w:rPr>
          <w:rFonts w:ascii="Verdana" w:hAnsi="Verdana"/>
          <w:sz w:val="20"/>
          <w:szCs w:val="20"/>
        </w:rPr>
        <w:t>Perú</w:t>
      </w:r>
      <w:r w:rsidRPr="00CD6059">
        <w:rPr>
          <w:rFonts w:ascii="Verdana" w:hAnsi="Verdana"/>
          <w:sz w:val="20"/>
          <w:szCs w:val="20"/>
        </w:rPr>
        <w:t xml:space="preserve">”) ante la jurisdicción de </w:t>
      </w:r>
      <w:r w:rsidR="00082F66">
        <w:rPr>
          <w:rFonts w:ascii="Verdana" w:hAnsi="Verdana"/>
          <w:sz w:val="20"/>
          <w:szCs w:val="20"/>
        </w:rPr>
        <w:t>est</w:t>
      </w:r>
      <w:r w:rsidRPr="00CD6059">
        <w:rPr>
          <w:rFonts w:ascii="Verdana" w:hAnsi="Verdana"/>
          <w:sz w:val="20"/>
          <w:szCs w:val="20"/>
        </w:rPr>
        <w:t xml:space="preserve">a Corte. De acuerdo con la Comisión, el caso se relaciona con </w:t>
      </w:r>
      <w:r w:rsidRPr="00D83918">
        <w:rPr>
          <w:rFonts w:ascii="Verdana" w:hAnsi="Verdana"/>
          <w:sz w:val="20"/>
          <w:szCs w:val="20"/>
          <w:lang w:val="es-ES"/>
        </w:rPr>
        <w:t xml:space="preserve">la </w:t>
      </w:r>
      <w:r>
        <w:rPr>
          <w:rFonts w:ascii="Verdana" w:hAnsi="Verdana"/>
          <w:sz w:val="20"/>
          <w:szCs w:val="20"/>
          <w:lang w:val="es-ES"/>
        </w:rPr>
        <w:t xml:space="preserve">presunta </w:t>
      </w:r>
      <w:r w:rsidRPr="00D83918">
        <w:rPr>
          <w:rFonts w:ascii="Verdana" w:hAnsi="Verdana"/>
          <w:sz w:val="20"/>
          <w:szCs w:val="20"/>
          <w:lang w:val="es-ES"/>
        </w:rPr>
        <w:t>violación al principio de presunción de inocencia y al deber de motivación de las sentencias en perjuicio del señor Agustín Bladimiro Zegarra Marín</w:t>
      </w:r>
      <w:r>
        <w:rPr>
          <w:rFonts w:ascii="Verdana" w:hAnsi="Verdana"/>
          <w:sz w:val="20"/>
          <w:szCs w:val="20"/>
          <w:lang w:val="es-ES"/>
        </w:rPr>
        <w:t xml:space="preserve"> (en adelante “Zegarra Marín”)</w:t>
      </w:r>
      <w:r w:rsidRPr="00D83918">
        <w:rPr>
          <w:rFonts w:ascii="Verdana" w:hAnsi="Verdana"/>
          <w:sz w:val="20"/>
          <w:szCs w:val="20"/>
          <w:lang w:val="es-ES"/>
        </w:rPr>
        <w:t xml:space="preserve">, quien fue condenado por la Quinta Sala Penal de la Corte Superior de Justicia el 8 de noviembre de 1996 por </w:t>
      </w:r>
      <w:r w:rsidRPr="0007798A">
        <w:rPr>
          <w:rFonts w:ascii="Verdana" w:hAnsi="Verdana"/>
          <w:sz w:val="20"/>
          <w:szCs w:val="20"/>
          <w:lang w:val="es-ES"/>
        </w:rPr>
        <w:t>los delitos contra la administración de justicia (encubrimiento personal), contra la fe pública (falsificación de documentos</w:t>
      </w:r>
      <w:r w:rsidR="0009727A">
        <w:rPr>
          <w:rFonts w:ascii="Verdana" w:hAnsi="Verdana"/>
          <w:sz w:val="20"/>
          <w:szCs w:val="20"/>
          <w:lang w:val="es-ES"/>
        </w:rPr>
        <w:t xml:space="preserve"> en general</w:t>
      </w:r>
      <w:r w:rsidRPr="0007798A">
        <w:rPr>
          <w:rFonts w:ascii="Verdana" w:hAnsi="Verdana"/>
          <w:sz w:val="20"/>
          <w:szCs w:val="20"/>
          <w:lang w:val="es-ES"/>
        </w:rPr>
        <w:t xml:space="preserve">) y corrupción de funcionarios. Según la Comisión, dicha autoridad judicial fue explícita en indicar que el único elemento de prueba en contra del señor Zegarra Marín eran las declaraciones de sus coimputados. Además, la Sala no motivó las razones por las cuales las pruebas que contradecían directamente las declaraciones de los coimputados no generaban duda sobre la responsabilidad penal de la víctima. La Comisión consideró que la condena penal de una persona sobre la base exclusiva de la “factibilidad” de los hechos indicados en la declaración de un coimputado, debe ser </w:t>
      </w:r>
      <w:r>
        <w:rPr>
          <w:rFonts w:ascii="Verdana" w:hAnsi="Verdana"/>
          <w:sz w:val="20"/>
          <w:szCs w:val="20"/>
          <w:lang w:val="es-ES"/>
        </w:rPr>
        <w:t>considerada</w:t>
      </w:r>
      <w:r w:rsidRPr="0007798A">
        <w:rPr>
          <w:rFonts w:ascii="Verdana" w:hAnsi="Verdana"/>
          <w:sz w:val="20"/>
          <w:szCs w:val="20"/>
          <w:lang w:val="es-ES"/>
        </w:rPr>
        <w:t xml:space="preserve"> bajo el principio de presunción de inocencia. Asimismo, la Comisión encontró una manifiesta inversión de la carga de la prueba cuando la Quinta Sala Penal señaló que “no ha</w:t>
      </w:r>
      <w:r w:rsidR="00C24B7E">
        <w:rPr>
          <w:rFonts w:ascii="Verdana" w:hAnsi="Verdana"/>
          <w:sz w:val="20"/>
          <w:szCs w:val="20"/>
          <w:lang w:val="es-ES"/>
        </w:rPr>
        <w:t>[bía]</w:t>
      </w:r>
      <w:r w:rsidRPr="0007798A">
        <w:rPr>
          <w:rFonts w:ascii="Verdana" w:hAnsi="Verdana"/>
          <w:sz w:val="20"/>
          <w:szCs w:val="20"/>
          <w:lang w:val="es-ES"/>
        </w:rPr>
        <w:t xml:space="preserve"> surgido prueba de descargo contundente que lo h</w:t>
      </w:r>
      <w:r w:rsidR="00B50FF1">
        <w:rPr>
          <w:rFonts w:ascii="Verdana" w:hAnsi="Verdana"/>
          <w:sz w:val="20"/>
          <w:szCs w:val="20"/>
          <w:lang w:val="es-ES"/>
        </w:rPr>
        <w:t>[iciera</w:t>
      </w:r>
      <w:r w:rsidR="00C24B7E">
        <w:rPr>
          <w:rFonts w:ascii="Verdana" w:hAnsi="Verdana"/>
          <w:sz w:val="20"/>
          <w:szCs w:val="20"/>
          <w:lang w:val="es-ES"/>
        </w:rPr>
        <w:t>]</w:t>
      </w:r>
      <w:r w:rsidRPr="0007798A">
        <w:rPr>
          <w:rFonts w:ascii="Verdana" w:hAnsi="Verdana"/>
          <w:sz w:val="20"/>
          <w:szCs w:val="20"/>
          <w:lang w:val="es-ES"/>
        </w:rPr>
        <w:t xml:space="preserve"> totalmente inocente de los ilícitos que se le imputa</w:t>
      </w:r>
      <w:r w:rsidR="00082F66">
        <w:rPr>
          <w:rFonts w:ascii="Verdana" w:hAnsi="Verdana"/>
          <w:sz w:val="20"/>
          <w:szCs w:val="20"/>
          <w:lang w:val="es-ES"/>
        </w:rPr>
        <w:t>[ban]</w:t>
      </w:r>
      <w:r w:rsidRPr="0007798A">
        <w:rPr>
          <w:rFonts w:ascii="Verdana" w:hAnsi="Verdana"/>
          <w:sz w:val="20"/>
          <w:szCs w:val="20"/>
          <w:lang w:val="es-ES"/>
        </w:rPr>
        <w:t>”. Adicionalmente, la Comisión consideró que el recurso de nulidad resuelto no cumplió con el derecho a recurrir el fallo y que ni dicho recurso ni el de revisión constituyeron recursos efectivos frente a las violaciones al debido proceso generadas en la sentencia condenatoria de primera</w:t>
      </w:r>
      <w:r w:rsidRPr="00D83918">
        <w:rPr>
          <w:rFonts w:ascii="Verdana" w:hAnsi="Verdana"/>
          <w:sz w:val="20"/>
          <w:szCs w:val="20"/>
          <w:lang w:val="es-ES"/>
        </w:rPr>
        <w:t xml:space="preserve"> instancia. </w:t>
      </w:r>
      <w:r w:rsidR="00B1755D">
        <w:rPr>
          <w:rFonts w:ascii="Verdana" w:hAnsi="Verdana"/>
          <w:sz w:val="20"/>
          <w:szCs w:val="20"/>
          <w:lang w:val="es-ES"/>
        </w:rPr>
        <w:t>De acuerdo con la Comisión, l</w:t>
      </w:r>
      <w:r w:rsidRPr="00D83918">
        <w:rPr>
          <w:rFonts w:ascii="Verdana" w:hAnsi="Verdana"/>
          <w:sz w:val="20"/>
          <w:szCs w:val="20"/>
          <w:lang w:val="es-ES"/>
        </w:rPr>
        <w:t>o anterior implicó</w:t>
      </w:r>
      <w:r w:rsidR="00B1755D">
        <w:rPr>
          <w:rFonts w:ascii="Verdana" w:hAnsi="Verdana"/>
          <w:sz w:val="20"/>
          <w:szCs w:val="20"/>
          <w:lang w:val="es-ES"/>
        </w:rPr>
        <w:t xml:space="preserve"> </w:t>
      </w:r>
      <w:r w:rsidRPr="00D83918">
        <w:rPr>
          <w:rFonts w:ascii="Verdana" w:hAnsi="Verdana"/>
          <w:sz w:val="20"/>
          <w:szCs w:val="20"/>
          <w:lang w:val="es-ES"/>
        </w:rPr>
        <w:t xml:space="preserve">afectaciones </w:t>
      </w:r>
      <w:r w:rsidR="0009727A">
        <w:rPr>
          <w:rFonts w:ascii="Verdana" w:hAnsi="Verdana"/>
          <w:sz w:val="20"/>
          <w:szCs w:val="20"/>
          <w:lang w:val="es-ES"/>
        </w:rPr>
        <w:t xml:space="preserve">a la presunción de inocencia y </w:t>
      </w:r>
      <w:r w:rsidRPr="00D83918">
        <w:rPr>
          <w:rFonts w:ascii="Verdana" w:hAnsi="Verdana"/>
          <w:sz w:val="20"/>
          <w:szCs w:val="20"/>
          <w:lang w:val="es-ES"/>
        </w:rPr>
        <w:t xml:space="preserve">al derecho a recurrir del fallo, así como al derecho a la protección judicial en perjuicio </w:t>
      </w:r>
      <w:r w:rsidRPr="0007798A">
        <w:rPr>
          <w:rFonts w:ascii="Verdana" w:hAnsi="Verdana"/>
          <w:sz w:val="20"/>
          <w:szCs w:val="20"/>
          <w:lang w:val="es-ES"/>
        </w:rPr>
        <w:t>del señor Zegarra Marín</w:t>
      </w:r>
      <w:r w:rsidRPr="00D83918">
        <w:rPr>
          <w:rFonts w:ascii="Verdana" w:hAnsi="Verdana"/>
          <w:sz w:val="20"/>
          <w:szCs w:val="20"/>
          <w:lang w:val="es-ES"/>
        </w:rPr>
        <w:t xml:space="preserve">. </w:t>
      </w:r>
    </w:p>
    <w:p w14:paraId="6D172B27" w14:textId="77777777" w:rsidR="00FB723A" w:rsidRPr="00CD6059" w:rsidRDefault="00FB723A" w:rsidP="00FB723A">
      <w:pPr>
        <w:pStyle w:val="ListParagraph"/>
        <w:ind w:left="0"/>
        <w:jc w:val="both"/>
        <w:rPr>
          <w:rFonts w:ascii="Verdana" w:hAnsi="Verdana"/>
          <w:sz w:val="20"/>
          <w:szCs w:val="20"/>
        </w:rPr>
      </w:pPr>
    </w:p>
    <w:p w14:paraId="6D172B28" w14:textId="77777777" w:rsidR="00FB723A" w:rsidRPr="00CD6059" w:rsidRDefault="00FB723A" w:rsidP="00FB723A">
      <w:pPr>
        <w:pStyle w:val="ListParagraph"/>
        <w:numPr>
          <w:ilvl w:val="0"/>
          <w:numId w:val="2"/>
        </w:numPr>
        <w:ind w:left="0" w:firstLine="0"/>
        <w:jc w:val="both"/>
        <w:rPr>
          <w:rFonts w:ascii="Verdana" w:hAnsi="Verdana"/>
          <w:sz w:val="20"/>
          <w:szCs w:val="20"/>
        </w:rPr>
      </w:pPr>
      <w:r w:rsidRPr="00CD6059">
        <w:rPr>
          <w:rFonts w:ascii="Verdana" w:hAnsi="Verdana"/>
          <w:i/>
          <w:sz w:val="20"/>
          <w:szCs w:val="20"/>
        </w:rPr>
        <w:t>Trámite ante la Comisión</w:t>
      </w:r>
      <w:r w:rsidRPr="00CD6059">
        <w:rPr>
          <w:rFonts w:ascii="Verdana" w:hAnsi="Verdana"/>
          <w:sz w:val="20"/>
          <w:szCs w:val="20"/>
        </w:rPr>
        <w:t xml:space="preserve">. – El trámite ante la Comisión fue el siguiente: </w:t>
      </w:r>
    </w:p>
    <w:p w14:paraId="6D172B29" w14:textId="77777777" w:rsidR="00FB723A" w:rsidRPr="00CD6059" w:rsidRDefault="00FB723A" w:rsidP="00FB723A">
      <w:pPr>
        <w:pStyle w:val="ListParagraph"/>
        <w:rPr>
          <w:rFonts w:ascii="Verdana" w:hAnsi="Verdana"/>
          <w:i/>
          <w:sz w:val="20"/>
          <w:szCs w:val="20"/>
        </w:rPr>
      </w:pPr>
    </w:p>
    <w:p w14:paraId="6D172B2A" w14:textId="1265A910" w:rsidR="00FB723A" w:rsidRPr="00367724" w:rsidRDefault="00FB723A" w:rsidP="00FB723A">
      <w:pPr>
        <w:pStyle w:val="ListParagraph"/>
        <w:numPr>
          <w:ilvl w:val="0"/>
          <w:numId w:val="5"/>
        </w:numPr>
        <w:jc w:val="both"/>
        <w:rPr>
          <w:rFonts w:ascii="Verdana" w:hAnsi="Verdana"/>
          <w:sz w:val="18"/>
          <w:szCs w:val="18"/>
        </w:rPr>
      </w:pPr>
      <w:r w:rsidRPr="00367724">
        <w:rPr>
          <w:rFonts w:ascii="Verdana" w:hAnsi="Verdana"/>
          <w:i/>
          <w:sz w:val="18"/>
          <w:szCs w:val="18"/>
        </w:rPr>
        <w:t>Petición</w:t>
      </w:r>
      <w:r w:rsidRPr="00367724">
        <w:rPr>
          <w:rFonts w:ascii="Verdana" w:hAnsi="Verdana"/>
          <w:sz w:val="18"/>
          <w:szCs w:val="18"/>
        </w:rPr>
        <w:t xml:space="preserve">. – El </w:t>
      </w:r>
      <w:r w:rsidRPr="00367724">
        <w:rPr>
          <w:rFonts w:ascii="Verdana" w:hAnsi="Verdana"/>
          <w:sz w:val="18"/>
          <w:szCs w:val="18"/>
          <w:lang w:val="es-ES"/>
        </w:rPr>
        <w:t xml:space="preserve">16 de mayo de 2000 </w:t>
      </w:r>
      <w:r w:rsidRPr="00367724">
        <w:rPr>
          <w:rFonts w:ascii="Verdana" w:hAnsi="Verdana"/>
          <w:sz w:val="18"/>
          <w:szCs w:val="18"/>
        </w:rPr>
        <w:t>la Comisión recibió una petición presentada por</w:t>
      </w:r>
      <w:r w:rsidR="00C24B7E">
        <w:rPr>
          <w:rFonts w:ascii="Verdana" w:hAnsi="Verdana"/>
          <w:sz w:val="18"/>
          <w:szCs w:val="18"/>
        </w:rPr>
        <w:t xml:space="preserve"> </w:t>
      </w:r>
      <w:r w:rsidR="00AC2E6D">
        <w:rPr>
          <w:rFonts w:ascii="Verdana" w:hAnsi="Verdana"/>
          <w:sz w:val="18"/>
          <w:szCs w:val="18"/>
        </w:rPr>
        <w:t xml:space="preserve">el señor Agustín Bladimiro </w:t>
      </w:r>
      <w:r>
        <w:rPr>
          <w:rFonts w:ascii="Verdana" w:hAnsi="Verdana"/>
          <w:sz w:val="18"/>
          <w:szCs w:val="18"/>
        </w:rPr>
        <w:t>Zegarra Marín</w:t>
      </w:r>
      <w:r w:rsidRPr="00367724">
        <w:rPr>
          <w:rFonts w:ascii="Verdana" w:hAnsi="Verdana"/>
          <w:sz w:val="18"/>
          <w:szCs w:val="18"/>
        </w:rPr>
        <w:t xml:space="preserve"> </w:t>
      </w:r>
      <w:r w:rsidR="00C24B7E">
        <w:rPr>
          <w:rFonts w:ascii="Verdana" w:hAnsi="Verdana"/>
          <w:sz w:val="18"/>
          <w:szCs w:val="18"/>
        </w:rPr>
        <w:t>(en adelante “</w:t>
      </w:r>
      <w:r w:rsidR="00C24B7E" w:rsidRPr="00367724">
        <w:rPr>
          <w:rFonts w:ascii="Verdana" w:hAnsi="Verdana"/>
          <w:sz w:val="18"/>
          <w:szCs w:val="18"/>
        </w:rPr>
        <w:t>la</w:t>
      </w:r>
      <w:r w:rsidR="00C24B7E">
        <w:rPr>
          <w:rFonts w:ascii="Verdana" w:hAnsi="Verdana"/>
          <w:sz w:val="18"/>
          <w:szCs w:val="18"/>
        </w:rPr>
        <w:t xml:space="preserve"> </w:t>
      </w:r>
      <w:r w:rsidR="00C24B7E" w:rsidRPr="00367724">
        <w:rPr>
          <w:rFonts w:ascii="Verdana" w:hAnsi="Verdana"/>
          <w:sz w:val="18"/>
          <w:szCs w:val="18"/>
        </w:rPr>
        <w:t>presunta víctima</w:t>
      </w:r>
      <w:r w:rsidR="00C24B7E">
        <w:rPr>
          <w:rFonts w:ascii="Verdana" w:hAnsi="Verdana"/>
          <w:sz w:val="18"/>
          <w:szCs w:val="18"/>
        </w:rPr>
        <w:t>”)</w:t>
      </w:r>
      <w:r w:rsidR="00C24B7E" w:rsidRPr="00367724">
        <w:rPr>
          <w:rFonts w:ascii="Verdana" w:hAnsi="Verdana"/>
          <w:sz w:val="18"/>
          <w:szCs w:val="18"/>
        </w:rPr>
        <w:t xml:space="preserve"> </w:t>
      </w:r>
      <w:r w:rsidRPr="00367724">
        <w:rPr>
          <w:rFonts w:ascii="Verdana" w:hAnsi="Verdana"/>
          <w:sz w:val="18"/>
          <w:szCs w:val="18"/>
        </w:rPr>
        <w:t xml:space="preserve">contra Perú por la violación de los artículos </w:t>
      </w:r>
      <w:r w:rsidRPr="00367724">
        <w:rPr>
          <w:rFonts w:ascii="Verdana" w:eastAsiaTheme="minorHAnsi" w:hAnsi="Verdana" w:cs="Arial"/>
          <w:sz w:val="18"/>
          <w:szCs w:val="18"/>
          <w:lang w:val="es-CR"/>
        </w:rPr>
        <w:t xml:space="preserve">5, 7, 8, 9, 10, 11, 24 y 25 </w:t>
      </w:r>
      <w:r w:rsidRPr="00367724">
        <w:rPr>
          <w:rFonts w:ascii="Verdana" w:hAnsi="Verdana"/>
          <w:sz w:val="18"/>
          <w:szCs w:val="18"/>
        </w:rPr>
        <w:t xml:space="preserve">de la Convención Americana. </w:t>
      </w:r>
    </w:p>
    <w:p w14:paraId="6D172B2B" w14:textId="77777777" w:rsidR="00FB723A" w:rsidRPr="00367724" w:rsidRDefault="00FB723A" w:rsidP="00FB723A">
      <w:pPr>
        <w:jc w:val="both"/>
        <w:rPr>
          <w:rFonts w:ascii="Verdana" w:hAnsi="Verdana"/>
          <w:sz w:val="18"/>
          <w:szCs w:val="18"/>
        </w:rPr>
      </w:pPr>
    </w:p>
    <w:p w14:paraId="6D172B2C" w14:textId="61138AA6" w:rsidR="00FB723A" w:rsidRPr="00367724" w:rsidRDefault="00FB723A" w:rsidP="00FB723A">
      <w:pPr>
        <w:pStyle w:val="ListParagraph"/>
        <w:numPr>
          <w:ilvl w:val="0"/>
          <w:numId w:val="5"/>
        </w:numPr>
        <w:jc w:val="both"/>
        <w:rPr>
          <w:rFonts w:ascii="Verdana" w:hAnsi="Verdana"/>
          <w:sz w:val="18"/>
          <w:szCs w:val="18"/>
        </w:rPr>
      </w:pPr>
      <w:r w:rsidRPr="00367724">
        <w:rPr>
          <w:rFonts w:ascii="Verdana" w:hAnsi="Verdana"/>
          <w:i/>
          <w:sz w:val="18"/>
          <w:szCs w:val="18"/>
        </w:rPr>
        <w:t>Informe de Admisibilidad.</w:t>
      </w:r>
      <w:r w:rsidRPr="00367724">
        <w:rPr>
          <w:rFonts w:ascii="Verdana" w:hAnsi="Verdana"/>
          <w:sz w:val="18"/>
          <w:szCs w:val="18"/>
        </w:rPr>
        <w:t xml:space="preserve"> – El 19 de marzo de 2009 la Comisión emitió el Informe de Admisibilidad No. 20/09 (en adelante “Informe de Admisibilidad”), en el que concluyó que tenía competencia para conocer la petición y decidió admitirla sobre la presunta violación de los artículos 8 y 25 de la Convención</w:t>
      </w:r>
      <w:r w:rsidR="0009727A">
        <w:rPr>
          <w:rFonts w:ascii="Verdana" w:hAnsi="Verdana"/>
          <w:sz w:val="18"/>
          <w:szCs w:val="18"/>
        </w:rPr>
        <w:t>, en conexión con las obligaciones establecidas en el artículo 1.1 del mismo instrumento</w:t>
      </w:r>
      <w:r w:rsidRPr="00367724">
        <w:rPr>
          <w:rFonts w:ascii="Verdana" w:hAnsi="Verdana"/>
          <w:sz w:val="18"/>
          <w:szCs w:val="18"/>
        </w:rPr>
        <w:t xml:space="preserve">. La Comisión también declaró que </w:t>
      </w:r>
      <w:r w:rsidRPr="00367724">
        <w:rPr>
          <w:rFonts w:ascii="Verdana" w:eastAsiaTheme="minorHAnsi" w:hAnsi="Verdana" w:cs="Arial"/>
          <w:sz w:val="18"/>
          <w:szCs w:val="18"/>
          <w:lang w:val="es-CR"/>
        </w:rPr>
        <w:t>la petición e</w:t>
      </w:r>
      <w:r>
        <w:rPr>
          <w:rFonts w:ascii="Verdana" w:eastAsiaTheme="minorHAnsi" w:hAnsi="Verdana" w:cs="Arial"/>
          <w:sz w:val="18"/>
          <w:szCs w:val="18"/>
          <w:lang w:val="es-CR"/>
        </w:rPr>
        <w:t>ra</w:t>
      </w:r>
      <w:r w:rsidRPr="00367724">
        <w:rPr>
          <w:rFonts w:ascii="Verdana" w:eastAsiaTheme="minorHAnsi" w:hAnsi="Verdana" w:cs="Arial"/>
          <w:sz w:val="18"/>
          <w:szCs w:val="18"/>
          <w:lang w:val="es-CR"/>
        </w:rPr>
        <w:t xml:space="preserve"> inadmisible en cuanto a la presunta violación de los derechos consagrados en los artículos 5, 7, 9, 10, 11 y 24 de la Convención Americana. </w:t>
      </w:r>
    </w:p>
    <w:p w14:paraId="6D172B2D" w14:textId="77777777" w:rsidR="00FB723A" w:rsidRPr="00367724" w:rsidRDefault="00FB723A" w:rsidP="00FB723A">
      <w:pPr>
        <w:pStyle w:val="ListParagraph"/>
        <w:rPr>
          <w:rFonts w:ascii="Verdana" w:hAnsi="Verdana"/>
          <w:i/>
          <w:sz w:val="18"/>
          <w:szCs w:val="18"/>
        </w:rPr>
      </w:pPr>
    </w:p>
    <w:p w14:paraId="6D172B2E" w14:textId="30F796F0" w:rsidR="00FB723A" w:rsidRPr="00367724" w:rsidRDefault="00FB723A" w:rsidP="00FB723A">
      <w:pPr>
        <w:pStyle w:val="ListParagraph"/>
        <w:numPr>
          <w:ilvl w:val="0"/>
          <w:numId w:val="5"/>
        </w:numPr>
        <w:jc w:val="both"/>
        <w:rPr>
          <w:rFonts w:ascii="Verdana" w:hAnsi="Verdana"/>
          <w:sz w:val="18"/>
          <w:szCs w:val="18"/>
        </w:rPr>
      </w:pPr>
      <w:r w:rsidRPr="00367724">
        <w:rPr>
          <w:rFonts w:ascii="Verdana" w:hAnsi="Verdana"/>
          <w:i/>
          <w:sz w:val="18"/>
          <w:szCs w:val="18"/>
        </w:rPr>
        <w:t>Informe de Fondo.</w:t>
      </w:r>
      <w:r w:rsidRPr="00367724">
        <w:rPr>
          <w:rFonts w:ascii="Verdana" w:hAnsi="Verdana"/>
          <w:sz w:val="18"/>
          <w:szCs w:val="18"/>
        </w:rPr>
        <w:t xml:space="preserve"> – El 2 de abril de 2014 la Comisión aprobó el Informe de Fondo No. 9/14, en los términos del artículo 50 de la Convención Americana (en adelante “Informe de Fondo” o “Informe 9/14”), en el cual llegó a </w:t>
      </w:r>
      <w:r w:rsidR="0009727A">
        <w:rPr>
          <w:rFonts w:ascii="Verdana" w:hAnsi="Verdana"/>
          <w:sz w:val="18"/>
          <w:szCs w:val="18"/>
        </w:rPr>
        <w:t>la siguiente</w:t>
      </w:r>
      <w:r w:rsidRPr="00367724">
        <w:rPr>
          <w:rFonts w:ascii="Verdana" w:hAnsi="Verdana"/>
          <w:sz w:val="18"/>
          <w:szCs w:val="18"/>
        </w:rPr>
        <w:t xml:space="preserve"> </w:t>
      </w:r>
      <w:r w:rsidR="0009727A" w:rsidRPr="00367724">
        <w:rPr>
          <w:rFonts w:ascii="Verdana" w:hAnsi="Verdana"/>
          <w:sz w:val="18"/>
          <w:szCs w:val="18"/>
        </w:rPr>
        <w:t>conclusi</w:t>
      </w:r>
      <w:r w:rsidR="0009727A">
        <w:rPr>
          <w:rFonts w:ascii="Verdana" w:hAnsi="Verdana"/>
          <w:sz w:val="18"/>
          <w:szCs w:val="18"/>
        </w:rPr>
        <w:t>ón,</w:t>
      </w:r>
      <w:r w:rsidR="0009727A" w:rsidRPr="00367724">
        <w:rPr>
          <w:rFonts w:ascii="Verdana" w:hAnsi="Verdana"/>
          <w:sz w:val="18"/>
          <w:szCs w:val="18"/>
        </w:rPr>
        <w:t xml:space="preserve"> </w:t>
      </w:r>
      <w:r w:rsidRPr="00367724">
        <w:rPr>
          <w:rFonts w:ascii="Verdana" w:hAnsi="Verdana"/>
          <w:sz w:val="18"/>
          <w:szCs w:val="18"/>
        </w:rPr>
        <w:t xml:space="preserve">y formuló varias recomendaciones al Estado, a saber: </w:t>
      </w:r>
    </w:p>
    <w:p w14:paraId="6D172B2F" w14:textId="77777777" w:rsidR="00FB723A" w:rsidRPr="00367724" w:rsidRDefault="00FB723A" w:rsidP="00FB723A">
      <w:pPr>
        <w:ind w:left="708"/>
        <w:jc w:val="both"/>
        <w:rPr>
          <w:rFonts w:ascii="Verdana" w:hAnsi="Verdana"/>
          <w:sz w:val="18"/>
          <w:szCs w:val="18"/>
        </w:rPr>
      </w:pPr>
    </w:p>
    <w:p w14:paraId="6D172B30" w14:textId="61B7AA97" w:rsidR="00FB723A" w:rsidRPr="00367724" w:rsidRDefault="00FB723A" w:rsidP="00EE5A62">
      <w:pPr>
        <w:ind w:left="348" w:firstLine="720"/>
        <w:jc w:val="both"/>
        <w:rPr>
          <w:rFonts w:ascii="Verdana" w:hAnsi="Verdana"/>
          <w:sz w:val="18"/>
          <w:szCs w:val="18"/>
        </w:rPr>
      </w:pPr>
      <w:r w:rsidRPr="00367724">
        <w:rPr>
          <w:rFonts w:ascii="Verdana" w:hAnsi="Verdana"/>
          <w:sz w:val="18"/>
          <w:szCs w:val="18"/>
        </w:rPr>
        <w:t>Conclusi</w:t>
      </w:r>
      <w:r>
        <w:rPr>
          <w:rFonts w:ascii="Verdana" w:hAnsi="Verdana"/>
          <w:sz w:val="18"/>
          <w:szCs w:val="18"/>
        </w:rPr>
        <w:t>ón</w:t>
      </w:r>
      <w:r w:rsidR="00AC2E6D">
        <w:rPr>
          <w:rFonts w:ascii="Verdana" w:hAnsi="Verdana"/>
          <w:sz w:val="18"/>
          <w:szCs w:val="18"/>
        </w:rPr>
        <w:t>.- La Comisión concluyó que</w:t>
      </w:r>
      <w:r w:rsidR="00260B4F">
        <w:rPr>
          <w:rFonts w:ascii="Verdana" w:hAnsi="Verdana"/>
          <w:sz w:val="18"/>
          <w:szCs w:val="18"/>
        </w:rPr>
        <w:t>:</w:t>
      </w:r>
    </w:p>
    <w:p w14:paraId="6D172B31" w14:textId="77777777" w:rsidR="00FB723A" w:rsidRPr="00367724" w:rsidRDefault="00FB723A" w:rsidP="00FB723A">
      <w:pPr>
        <w:jc w:val="both"/>
        <w:rPr>
          <w:rFonts w:ascii="Verdana" w:hAnsi="Verdana"/>
          <w:sz w:val="18"/>
          <w:szCs w:val="18"/>
        </w:rPr>
      </w:pPr>
    </w:p>
    <w:p w14:paraId="6D172B32" w14:textId="349CD3CA" w:rsidR="00FB723A" w:rsidRPr="00367724" w:rsidRDefault="0009727A" w:rsidP="00FB723A">
      <w:pPr>
        <w:pStyle w:val="ListParagraph"/>
        <w:numPr>
          <w:ilvl w:val="0"/>
          <w:numId w:val="3"/>
        </w:numPr>
        <w:tabs>
          <w:tab w:val="left" w:pos="1418"/>
        </w:tabs>
        <w:jc w:val="both"/>
        <w:rPr>
          <w:rFonts w:ascii="Verdana" w:hAnsi="Verdana"/>
          <w:sz w:val="18"/>
          <w:szCs w:val="18"/>
        </w:rPr>
      </w:pPr>
      <w:r>
        <w:rPr>
          <w:rFonts w:ascii="Verdana" w:hAnsi="Verdana"/>
          <w:sz w:val="18"/>
          <w:szCs w:val="18"/>
        </w:rPr>
        <w:t>E</w:t>
      </w:r>
      <w:r w:rsidRPr="00367724">
        <w:rPr>
          <w:rFonts w:ascii="Verdana" w:eastAsiaTheme="minorHAnsi" w:hAnsi="Verdana" w:cs="Arial"/>
          <w:sz w:val="18"/>
          <w:szCs w:val="18"/>
          <w:lang w:val="es-CR"/>
        </w:rPr>
        <w:t xml:space="preserve">l </w:t>
      </w:r>
      <w:r w:rsidR="00FB723A" w:rsidRPr="00367724">
        <w:rPr>
          <w:rFonts w:ascii="Verdana" w:eastAsiaTheme="minorHAnsi" w:hAnsi="Verdana" w:cs="Arial"/>
          <w:sz w:val="18"/>
          <w:szCs w:val="18"/>
          <w:lang w:val="es-CR"/>
        </w:rPr>
        <w:t>Estado e</w:t>
      </w:r>
      <w:r w:rsidR="00AC2E6D">
        <w:rPr>
          <w:rFonts w:ascii="Verdana" w:eastAsiaTheme="minorHAnsi" w:hAnsi="Verdana" w:cs="Arial"/>
          <w:sz w:val="18"/>
          <w:szCs w:val="18"/>
          <w:lang w:val="es-CR"/>
        </w:rPr>
        <w:t>ra</w:t>
      </w:r>
      <w:r w:rsidR="00FB723A" w:rsidRPr="00367724">
        <w:rPr>
          <w:rFonts w:ascii="Verdana" w:eastAsiaTheme="minorHAnsi" w:hAnsi="Verdana" w:cs="Arial"/>
          <w:sz w:val="18"/>
          <w:szCs w:val="18"/>
          <w:lang w:val="es-CR"/>
        </w:rPr>
        <w:t xml:space="preserve"> responsable por la violación de</w:t>
      </w:r>
      <w:r w:rsidR="00AC2E6D">
        <w:rPr>
          <w:rFonts w:ascii="Verdana" w:eastAsiaTheme="minorHAnsi" w:hAnsi="Verdana" w:cs="Arial"/>
          <w:sz w:val="18"/>
          <w:szCs w:val="18"/>
          <w:lang w:val="es-CR"/>
        </w:rPr>
        <w:t xml:space="preserve"> </w:t>
      </w:r>
      <w:r w:rsidR="00FB723A" w:rsidRPr="00367724">
        <w:rPr>
          <w:rFonts w:ascii="Verdana" w:eastAsiaTheme="minorHAnsi" w:hAnsi="Verdana" w:cs="Arial"/>
          <w:sz w:val="18"/>
          <w:szCs w:val="18"/>
          <w:lang w:val="es-CR"/>
        </w:rPr>
        <w:t>l</w:t>
      </w:r>
      <w:r w:rsidR="00AC2E6D">
        <w:rPr>
          <w:rFonts w:ascii="Verdana" w:eastAsiaTheme="minorHAnsi" w:hAnsi="Verdana" w:cs="Arial"/>
          <w:sz w:val="18"/>
          <w:szCs w:val="18"/>
          <w:lang w:val="es-CR"/>
        </w:rPr>
        <w:t>os</w:t>
      </w:r>
      <w:r w:rsidR="00FB723A" w:rsidRPr="00367724">
        <w:rPr>
          <w:rFonts w:ascii="Verdana" w:eastAsiaTheme="minorHAnsi" w:hAnsi="Verdana" w:cs="Arial"/>
          <w:sz w:val="18"/>
          <w:szCs w:val="18"/>
          <w:lang w:val="es-CR"/>
        </w:rPr>
        <w:t xml:space="preserve"> derecho</w:t>
      </w:r>
      <w:r w:rsidR="00AC2E6D">
        <w:rPr>
          <w:rFonts w:ascii="Verdana" w:eastAsiaTheme="minorHAnsi" w:hAnsi="Verdana" w:cs="Arial"/>
          <w:sz w:val="18"/>
          <w:szCs w:val="18"/>
          <w:lang w:val="es-CR"/>
        </w:rPr>
        <w:t>s</w:t>
      </w:r>
      <w:r w:rsidR="00FB723A" w:rsidRPr="00367724">
        <w:rPr>
          <w:rFonts w:ascii="Verdana" w:eastAsiaTheme="minorHAnsi" w:hAnsi="Verdana" w:cs="Arial"/>
          <w:sz w:val="18"/>
          <w:szCs w:val="18"/>
          <w:lang w:val="es-CR"/>
        </w:rPr>
        <w:t xml:space="preserve"> a la presunción de inocencia y el derecho </w:t>
      </w:r>
      <w:r>
        <w:rPr>
          <w:rFonts w:ascii="Verdana" w:eastAsiaTheme="minorHAnsi" w:hAnsi="Verdana" w:cs="Arial"/>
          <w:sz w:val="18"/>
          <w:szCs w:val="18"/>
          <w:lang w:val="es-CR"/>
        </w:rPr>
        <w:t xml:space="preserve">a </w:t>
      </w:r>
      <w:r w:rsidR="00FB723A" w:rsidRPr="00367724">
        <w:rPr>
          <w:rFonts w:ascii="Verdana" w:eastAsiaTheme="minorHAnsi" w:hAnsi="Verdana" w:cs="Arial"/>
          <w:sz w:val="18"/>
          <w:szCs w:val="18"/>
          <w:lang w:val="es-CR"/>
        </w:rPr>
        <w:t>recurrir el fallo y a la protección judicial</w:t>
      </w:r>
      <w:r>
        <w:rPr>
          <w:rFonts w:ascii="Verdana" w:eastAsiaTheme="minorHAnsi" w:hAnsi="Verdana" w:cs="Arial"/>
          <w:sz w:val="18"/>
          <w:szCs w:val="18"/>
          <w:lang w:val="es-CR"/>
        </w:rPr>
        <w:t>,</w:t>
      </w:r>
      <w:r w:rsidR="00FB723A" w:rsidRPr="00367724">
        <w:rPr>
          <w:rFonts w:ascii="Verdana" w:eastAsiaTheme="minorHAnsi" w:hAnsi="Verdana" w:cs="Arial"/>
          <w:sz w:val="18"/>
          <w:szCs w:val="18"/>
          <w:lang w:val="es-CR"/>
        </w:rPr>
        <w:t xml:space="preserve"> establecidos en los artícul</w:t>
      </w:r>
      <w:r w:rsidR="00FB723A">
        <w:rPr>
          <w:rFonts w:ascii="Verdana" w:eastAsiaTheme="minorHAnsi" w:hAnsi="Verdana" w:cs="Arial"/>
          <w:sz w:val="18"/>
          <w:szCs w:val="18"/>
          <w:lang w:val="es-CR"/>
        </w:rPr>
        <w:t>os</w:t>
      </w:r>
      <w:r w:rsidR="00FB723A" w:rsidRPr="00367724">
        <w:rPr>
          <w:rFonts w:ascii="Verdana" w:eastAsiaTheme="minorHAnsi" w:hAnsi="Verdana" w:cs="Arial"/>
          <w:sz w:val="18"/>
          <w:szCs w:val="18"/>
          <w:lang w:val="es-CR"/>
        </w:rPr>
        <w:t xml:space="preserve"> 8.1, 8.2 </w:t>
      </w:r>
      <w:r w:rsidR="00FB723A" w:rsidRPr="00367724">
        <w:rPr>
          <w:rFonts w:ascii="Verdana" w:eastAsiaTheme="minorHAnsi" w:hAnsi="Verdana"/>
          <w:sz w:val="18"/>
          <w:szCs w:val="18"/>
          <w:lang w:val="es-CR"/>
        </w:rPr>
        <w:t xml:space="preserve">y </w:t>
      </w:r>
      <w:r w:rsidR="00FB723A" w:rsidRPr="00367724">
        <w:rPr>
          <w:rFonts w:ascii="Verdana" w:eastAsiaTheme="minorHAnsi" w:hAnsi="Verdana" w:cs="Arial"/>
          <w:sz w:val="18"/>
          <w:szCs w:val="18"/>
          <w:lang w:val="es-CR"/>
        </w:rPr>
        <w:t>25 de la Convención Americana</w:t>
      </w:r>
      <w:r w:rsidR="00AC2E6D">
        <w:rPr>
          <w:rFonts w:ascii="Verdana" w:eastAsiaTheme="minorHAnsi" w:hAnsi="Verdana" w:cs="Arial"/>
          <w:sz w:val="18"/>
          <w:szCs w:val="18"/>
          <w:lang w:val="es-CR"/>
        </w:rPr>
        <w:t>,</w:t>
      </w:r>
      <w:r w:rsidR="00FB723A" w:rsidRPr="00367724">
        <w:rPr>
          <w:rFonts w:ascii="Verdana" w:eastAsiaTheme="minorHAnsi" w:hAnsi="Verdana" w:cs="Arial"/>
          <w:sz w:val="18"/>
          <w:szCs w:val="18"/>
          <w:lang w:val="es-CR"/>
        </w:rPr>
        <w:t xml:space="preserve"> en relación con las obligaciones</w:t>
      </w:r>
      <w:r w:rsidR="00AC2E6D">
        <w:rPr>
          <w:rFonts w:ascii="Verdana" w:eastAsiaTheme="minorHAnsi" w:hAnsi="Verdana" w:cs="Arial"/>
          <w:sz w:val="18"/>
          <w:szCs w:val="18"/>
          <w:lang w:val="es-CR"/>
        </w:rPr>
        <w:t xml:space="preserve"> estatales</w:t>
      </w:r>
      <w:r w:rsidR="00FB723A" w:rsidRPr="00367724">
        <w:rPr>
          <w:rFonts w:ascii="Verdana" w:eastAsiaTheme="minorHAnsi" w:hAnsi="Verdana" w:cs="Arial"/>
          <w:sz w:val="18"/>
          <w:szCs w:val="18"/>
          <w:lang w:val="es-CR"/>
        </w:rPr>
        <w:t xml:space="preserve"> establecidas en el artículo 1.1 del mismo instrumento, en perjuicio del señor Zegarra Marín.</w:t>
      </w:r>
    </w:p>
    <w:p w14:paraId="6D172B33" w14:textId="77777777" w:rsidR="00FB723A" w:rsidRPr="00367724" w:rsidRDefault="00FB723A" w:rsidP="00FB723A">
      <w:pPr>
        <w:jc w:val="both"/>
        <w:rPr>
          <w:rFonts w:ascii="Verdana" w:hAnsi="Verdana"/>
          <w:sz w:val="18"/>
          <w:szCs w:val="18"/>
        </w:rPr>
      </w:pPr>
    </w:p>
    <w:p w14:paraId="6D172B34" w14:textId="7F75BD9A" w:rsidR="00FB723A" w:rsidRPr="00367724" w:rsidRDefault="00FB723A" w:rsidP="000A0953">
      <w:pPr>
        <w:ind w:left="1068"/>
        <w:jc w:val="both"/>
        <w:rPr>
          <w:rFonts w:ascii="Verdana" w:hAnsi="Verdana"/>
          <w:sz w:val="18"/>
          <w:szCs w:val="18"/>
        </w:rPr>
      </w:pPr>
      <w:r w:rsidRPr="00367724">
        <w:rPr>
          <w:rFonts w:ascii="Verdana" w:hAnsi="Verdana"/>
          <w:sz w:val="18"/>
          <w:szCs w:val="18"/>
        </w:rPr>
        <w:t>Recomendaciones</w:t>
      </w:r>
      <w:r w:rsidR="00B47C4D">
        <w:rPr>
          <w:rFonts w:ascii="Verdana" w:hAnsi="Verdana"/>
          <w:sz w:val="18"/>
          <w:szCs w:val="18"/>
        </w:rPr>
        <w:t>.- En consecuencia, la Comisión hizo al Estado una serie de recomendaciones:</w:t>
      </w:r>
    </w:p>
    <w:p w14:paraId="6D172B35" w14:textId="77777777" w:rsidR="00FB723A" w:rsidRPr="00367724" w:rsidRDefault="00FB723A" w:rsidP="00FB723A">
      <w:pPr>
        <w:jc w:val="both"/>
        <w:rPr>
          <w:rFonts w:ascii="Verdana" w:hAnsi="Verdana"/>
          <w:sz w:val="18"/>
          <w:szCs w:val="18"/>
        </w:rPr>
      </w:pPr>
    </w:p>
    <w:p w14:paraId="6D172B36" w14:textId="62F7B940" w:rsidR="00FB723A" w:rsidRPr="00367724" w:rsidRDefault="00FB723A" w:rsidP="00D83DC8">
      <w:pPr>
        <w:pStyle w:val="ListParagraph"/>
        <w:numPr>
          <w:ilvl w:val="0"/>
          <w:numId w:val="13"/>
        </w:numPr>
        <w:jc w:val="both"/>
        <w:rPr>
          <w:rFonts w:ascii="Verdana" w:hAnsi="Verdana"/>
          <w:sz w:val="18"/>
          <w:szCs w:val="18"/>
        </w:rPr>
      </w:pPr>
      <w:r w:rsidRPr="00367724">
        <w:rPr>
          <w:rFonts w:ascii="Verdana" w:eastAsiaTheme="minorHAnsi" w:hAnsi="Verdana" w:cs="Arial"/>
          <w:sz w:val="18"/>
          <w:szCs w:val="18"/>
          <w:lang w:val="es-CR"/>
        </w:rPr>
        <w:t xml:space="preserve">Disponer las medidas necesarias para que, en caso de que el señor Zegarra Marín así lo solicite, se deje sin efecto la sentencia condenatoria y se efectúe una nueva valoración conforme al principio de presunción de inocencia, </w:t>
      </w:r>
      <w:r w:rsidR="00117F2E">
        <w:rPr>
          <w:rFonts w:ascii="Verdana" w:eastAsiaTheme="minorHAnsi" w:hAnsi="Verdana" w:cs="Arial"/>
          <w:sz w:val="18"/>
          <w:szCs w:val="18"/>
          <w:lang w:val="es-CR"/>
        </w:rPr>
        <w:t>acorde</w:t>
      </w:r>
      <w:r w:rsidRPr="00367724">
        <w:rPr>
          <w:rFonts w:ascii="Verdana" w:eastAsiaTheme="minorHAnsi" w:hAnsi="Verdana" w:cs="Arial"/>
          <w:sz w:val="18"/>
          <w:szCs w:val="18"/>
          <w:lang w:val="es-CR"/>
        </w:rPr>
        <w:t xml:space="preserve"> a los estándares establecidos en el presente Informe. De ser el caso y, conforme al resultado de dicha valoración, el Estado deberá eliminar los antecedentes penales y cualquier otro efecto de la condena en perjuicio del señor Zegarra Marín; y</w:t>
      </w:r>
    </w:p>
    <w:p w14:paraId="6D172B37" w14:textId="77777777" w:rsidR="00FB723A" w:rsidRPr="00367724" w:rsidRDefault="00FB723A" w:rsidP="00FB723A">
      <w:pPr>
        <w:pStyle w:val="ListParagraph"/>
        <w:ind w:left="1776"/>
        <w:jc w:val="both"/>
        <w:rPr>
          <w:rFonts w:ascii="Verdana" w:hAnsi="Verdana"/>
          <w:sz w:val="18"/>
          <w:szCs w:val="18"/>
        </w:rPr>
      </w:pPr>
    </w:p>
    <w:p w14:paraId="6D172B38" w14:textId="548AB347" w:rsidR="00FB723A" w:rsidRPr="00367724" w:rsidRDefault="00FB723A" w:rsidP="00D83DC8">
      <w:pPr>
        <w:pStyle w:val="ListParagraph"/>
        <w:numPr>
          <w:ilvl w:val="0"/>
          <w:numId w:val="13"/>
        </w:numPr>
        <w:jc w:val="both"/>
        <w:rPr>
          <w:rFonts w:ascii="Verdana" w:hAnsi="Verdana"/>
          <w:sz w:val="18"/>
          <w:szCs w:val="18"/>
        </w:rPr>
      </w:pPr>
      <w:r w:rsidRPr="00367724">
        <w:rPr>
          <w:rFonts w:ascii="Verdana" w:eastAsiaTheme="minorHAnsi" w:hAnsi="Verdana" w:cs="Arial"/>
          <w:sz w:val="18"/>
          <w:szCs w:val="18"/>
          <w:lang w:val="es-CR"/>
        </w:rPr>
        <w:t xml:space="preserve">Disponer una reparación integral a favor del señor Zegarra Marín por las violaciones declaradas en el presente Informe. </w:t>
      </w:r>
    </w:p>
    <w:p w14:paraId="6D172B39" w14:textId="77777777" w:rsidR="00FB723A" w:rsidRPr="009208B1" w:rsidRDefault="00FB723A" w:rsidP="00FB723A">
      <w:pPr>
        <w:jc w:val="both"/>
        <w:rPr>
          <w:rFonts w:ascii="Verdana" w:hAnsi="Verdana"/>
          <w:sz w:val="18"/>
          <w:szCs w:val="18"/>
        </w:rPr>
      </w:pPr>
    </w:p>
    <w:p w14:paraId="6D172B3A" w14:textId="74A09BD4" w:rsidR="00FB723A" w:rsidRPr="00786F4B" w:rsidRDefault="00FB723A" w:rsidP="00FB723A">
      <w:pPr>
        <w:pStyle w:val="ListParagraph"/>
        <w:numPr>
          <w:ilvl w:val="0"/>
          <w:numId w:val="5"/>
        </w:numPr>
        <w:jc w:val="both"/>
        <w:rPr>
          <w:rFonts w:ascii="Verdana" w:hAnsi="Verdana"/>
          <w:sz w:val="18"/>
          <w:szCs w:val="18"/>
        </w:rPr>
      </w:pPr>
      <w:r w:rsidRPr="00786F4B">
        <w:rPr>
          <w:rFonts w:ascii="Verdana" w:hAnsi="Verdana"/>
          <w:i/>
          <w:sz w:val="18"/>
          <w:szCs w:val="18"/>
        </w:rPr>
        <w:t xml:space="preserve">Notificación al Estado. </w:t>
      </w:r>
      <w:r w:rsidRPr="00786F4B">
        <w:rPr>
          <w:rFonts w:ascii="Verdana" w:hAnsi="Verdana"/>
          <w:sz w:val="18"/>
          <w:szCs w:val="18"/>
        </w:rPr>
        <w:t xml:space="preserve">– El </w:t>
      </w:r>
      <w:r w:rsidR="00A84DAB">
        <w:rPr>
          <w:rFonts w:ascii="Verdana" w:hAnsi="Verdana"/>
          <w:sz w:val="18"/>
          <w:szCs w:val="18"/>
        </w:rPr>
        <w:t xml:space="preserve">Informe de Fondo fue notificado al Estado mediante comunicación de </w:t>
      </w:r>
      <w:r w:rsidRPr="00786F4B">
        <w:rPr>
          <w:rFonts w:ascii="Verdana" w:hAnsi="Verdana"/>
          <w:sz w:val="18"/>
          <w:szCs w:val="18"/>
        </w:rPr>
        <w:t>22 de mayo de 2014</w:t>
      </w:r>
      <w:r w:rsidR="00A84DAB">
        <w:rPr>
          <w:rFonts w:ascii="Verdana" w:hAnsi="Verdana"/>
          <w:sz w:val="18"/>
          <w:szCs w:val="18"/>
        </w:rPr>
        <w:t xml:space="preserve">, </w:t>
      </w:r>
      <w:r w:rsidRPr="00786F4B">
        <w:rPr>
          <w:rFonts w:ascii="Verdana" w:hAnsi="Verdana"/>
          <w:sz w:val="18"/>
          <w:szCs w:val="18"/>
        </w:rPr>
        <w:t xml:space="preserve">otorgándosele un plazo de dos meses para informar sobre el cumplimiento de las recomendaciones. </w:t>
      </w:r>
    </w:p>
    <w:p w14:paraId="6D172B3B" w14:textId="77777777" w:rsidR="00FB723A" w:rsidRPr="00786F4B" w:rsidRDefault="00FB723A" w:rsidP="00FB723A">
      <w:pPr>
        <w:ind w:left="708"/>
        <w:jc w:val="both"/>
        <w:rPr>
          <w:rFonts w:ascii="Verdana" w:hAnsi="Verdana"/>
          <w:sz w:val="18"/>
          <w:szCs w:val="18"/>
        </w:rPr>
      </w:pPr>
    </w:p>
    <w:p w14:paraId="6D172B3C" w14:textId="2A6AC08E" w:rsidR="00FB723A" w:rsidRPr="00786F4B" w:rsidRDefault="00FB723A" w:rsidP="00FB723A">
      <w:pPr>
        <w:pStyle w:val="ListParagraph"/>
        <w:numPr>
          <w:ilvl w:val="0"/>
          <w:numId w:val="5"/>
        </w:numPr>
        <w:jc w:val="both"/>
        <w:rPr>
          <w:rFonts w:ascii="Verdana" w:eastAsiaTheme="minorHAnsi" w:hAnsi="Verdana" w:cs="Arial"/>
          <w:sz w:val="18"/>
          <w:szCs w:val="18"/>
          <w:lang w:val="es-CR"/>
        </w:rPr>
      </w:pPr>
      <w:r w:rsidRPr="00786F4B">
        <w:rPr>
          <w:rFonts w:ascii="Verdana" w:hAnsi="Verdana"/>
          <w:i/>
          <w:sz w:val="18"/>
          <w:szCs w:val="18"/>
        </w:rPr>
        <w:t>Informe de cumplimiento.</w:t>
      </w:r>
      <w:r w:rsidRPr="00786F4B">
        <w:rPr>
          <w:rFonts w:ascii="Verdana" w:hAnsi="Verdana"/>
          <w:sz w:val="18"/>
          <w:szCs w:val="18"/>
        </w:rPr>
        <w:t xml:space="preserve"> – El 23 de julio de 2014 </w:t>
      </w:r>
      <w:r w:rsidRPr="00786F4B">
        <w:rPr>
          <w:rFonts w:ascii="Verdana" w:eastAsiaTheme="minorHAnsi" w:hAnsi="Verdana" w:cs="Arial"/>
          <w:sz w:val="18"/>
          <w:szCs w:val="18"/>
          <w:lang w:val="es-CR"/>
        </w:rPr>
        <w:t xml:space="preserve">el Estado presentó un informe en el cual indicó que no incurrió en las violaciones declaradas en el Informe de Fondo y, por lo tanto, que no correspondía revisar la condena ni disponer ningún tipo de reparación. </w:t>
      </w:r>
    </w:p>
    <w:p w14:paraId="6D172B3D" w14:textId="77777777" w:rsidR="00FB723A" w:rsidRPr="00786F4B" w:rsidRDefault="00FB723A" w:rsidP="00FB723A">
      <w:pPr>
        <w:ind w:left="708"/>
        <w:jc w:val="both"/>
        <w:rPr>
          <w:rFonts w:ascii="Verdana" w:hAnsi="Verdana"/>
          <w:i/>
          <w:sz w:val="18"/>
          <w:szCs w:val="18"/>
        </w:rPr>
      </w:pPr>
    </w:p>
    <w:p w14:paraId="6D172B3E" w14:textId="54F84B9F" w:rsidR="00FB723A" w:rsidRPr="00D66927" w:rsidRDefault="00FB723A" w:rsidP="00786F4B">
      <w:pPr>
        <w:pStyle w:val="ListParagraph"/>
        <w:numPr>
          <w:ilvl w:val="0"/>
          <w:numId w:val="5"/>
        </w:numPr>
        <w:jc w:val="both"/>
        <w:rPr>
          <w:rFonts w:ascii="Verdana" w:hAnsi="Verdana"/>
          <w:sz w:val="18"/>
          <w:szCs w:val="18"/>
        </w:rPr>
      </w:pPr>
      <w:r w:rsidRPr="00D66927">
        <w:rPr>
          <w:rFonts w:ascii="Verdana" w:hAnsi="Verdana"/>
          <w:i/>
          <w:sz w:val="18"/>
          <w:szCs w:val="18"/>
        </w:rPr>
        <w:t>Sometimiento a la Corte.</w:t>
      </w:r>
      <w:r w:rsidRPr="00D66927">
        <w:rPr>
          <w:rFonts w:ascii="Verdana" w:hAnsi="Verdana"/>
          <w:sz w:val="18"/>
          <w:szCs w:val="18"/>
        </w:rPr>
        <w:t xml:space="preserve"> – El 22 de agosto de 2014</w:t>
      </w:r>
      <w:r w:rsidR="0009727A" w:rsidRPr="00D66927">
        <w:rPr>
          <w:rFonts w:ascii="Verdana" w:hAnsi="Verdana"/>
          <w:sz w:val="18"/>
          <w:szCs w:val="18"/>
        </w:rPr>
        <w:t xml:space="preserve"> </w:t>
      </w:r>
      <w:r w:rsidRPr="00D66927">
        <w:rPr>
          <w:rFonts w:ascii="Verdana" w:hAnsi="Verdana"/>
          <w:sz w:val="18"/>
          <w:szCs w:val="18"/>
        </w:rPr>
        <w:t xml:space="preserve">la Comisión sometió el presente </w:t>
      </w:r>
      <w:r w:rsidRPr="00D66927">
        <w:rPr>
          <w:rFonts w:ascii="Verdana" w:eastAsiaTheme="minorHAnsi" w:hAnsi="Verdana" w:cs="Arial"/>
          <w:sz w:val="18"/>
          <w:szCs w:val="18"/>
          <w:lang w:val="es-CR"/>
        </w:rPr>
        <w:t>caso</w:t>
      </w:r>
      <w:r w:rsidRPr="00D66927">
        <w:rPr>
          <w:rFonts w:ascii="Verdana" w:hAnsi="Verdana"/>
          <w:sz w:val="18"/>
          <w:szCs w:val="18"/>
        </w:rPr>
        <w:t xml:space="preserve"> a la jurisdicción de la Corte respecto de la totalidad de los hechos y violaciones de derechos humanos descritos en el Informe de Fondo, y “por la necesidad de obtención de justicia”</w:t>
      </w:r>
      <w:r w:rsidRPr="00D66927">
        <w:rPr>
          <w:rStyle w:val="FootnoteReference"/>
          <w:sz w:val="18"/>
          <w:szCs w:val="18"/>
        </w:rPr>
        <w:footnoteReference w:id="2"/>
      </w:r>
      <w:r w:rsidRPr="00D66927">
        <w:rPr>
          <w:rFonts w:ascii="Verdana" w:hAnsi="Verdana"/>
          <w:sz w:val="18"/>
          <w:szCs w:val="18"/>
        </w:rPr>
        <w:t>.</w:t>
      </w:r>
    </w:p>
    <w:p w14:paraId="6D172B3F" w14:textId="77777777" w:rsidR="00FB723A" w:rsidRPr="00CD6059" w:rsidRDefault="00FB723A" w:rsidP="00FB723A">
      <w:pPr>
        <w:pStyle w:val="ListParagraph"/>
        <w:rPr>
          <w:rFonts w:ascii="Verdana" w:hAnsi="Verdana"/>
          <w:sz w:val="20"/>
          <w:szCs w:val="20"/>
        </w:rPr>
      </w:pPr>
    </w:p>
    <w:p w14:paraId="6D172B40" w14:textId="59B54D1D" w:rsidR="00FB723A" w:rsidRPr="00CD6059" w:rsidRDefault="00FB723A" w:rsidP="00FB723A">
      <w:pPr>
        <w:pStyle w:val="ListParagraph"/>
        <w:numPr>
          <w:ilvl w:val="0"/>
          <w:numId w:val="2"/>
        </w:numPr>
        <w:ind w:left="0" w:firstLine="0"/>
        <w:jc w:val="both"/>
        <w:rPr>
          <w:rFonts w:ascii="Verdana" w:hAnsi="Verdana"/>
          <w:sz w:val="20"/>
          <w:szCs w:val="20"/>
        </w:rPr>
      </w:pPr>
      <w:r w:rsidRPr="00CD6059">
        <w:rPr>
          <w:rFonts w:ascii="Verdana" w:hAnsi="Verdana"/>
          <w:i/>
          <w:sz w:val="20"/>
          <w:szCs w:val="20"/>
        </w:rPr>
        <w:t>Solicitudes de la Comisión Interamericana.</w:t>
      </w:r>
      <w:r w:rsidRPr="00CD6059">
        <w:rPr>
          <w:rFonts w:ascii="Verdana" w:hAnsi="Verdana"/>
          <w:sz w:val="20"/>
          <w:szCs w:val="20"/>
        </w:rPr>
        <w:t xml:space="preserve"> – Con base en lo anterior, la Comisión solicitó a la Corte que declarara la responsabilidad internacional del Estado por las violaciones señaladas en su Informe de Fondo y que ordenara al Estado como medidas de reparación las recomendaciones indicadas en dicho documento (</w:t>
      </w:r>
      <w:r w:rsidRPr="0058104A">
        <w:rPr>
          <w:rFonts w:ascii="Verdana" w:hAnsi="Verdana"/>
          <w:i/>
          <w:sz w:val="20"/>
          <w:szCs w:val="20"/>
        </w:rPr>
        <w:t>supra</w:t>
      </w:r>
      <w:r w:rsidRPr="00CD6059">
        <w:rPr>
          <w:rFonts w:ascii="Verdana" w:hAnsi="Verdana"/>
          <w:sz w:val="20"/>
          <w:szCs w:val="20"/>
        </w:rPr>
        <w:t xml:space="preserve"> párr.</w:t>
      </w:r>
      <w:r w:rsidR="00806FB1">
        <w:rPr>
          <w:rFonts w:ascii="Verdana" w:hAnsi="Verdana"/>
          <w:sz w:val="20"/>
          <w:szCs w:val="20"/>
        </w:rPr>
        <w:t xml:space="preserve"> </w:t>
      </w:r>
      <w:r w:rsidR="0009727A">
        <w:rPr>
          <w:rFonts w:ascii="Verdana" w:hAnsi="Verdana"/>
          <w:sz w:val="20"/>
          <w:szCs w:val="20"/>
        </w:rPr>
        <w:t>2</w:t>
      </w:r>
      <w:r w:rsidRPr="00CD6059">
        <w:rPr>
          <w:rFonts w:ascii="Verdana" w:hAnsi="Verdana"/>
          <w:sz w:val="20"/>
          <w:szCs w:val="20"/>
        </w:rPr>
        <w:t>).</w:t>
      </w:r>
    </w:p>
    <w:p w14:paraId="6D172B41" w14:textId="77777777" w:rsidR="00FB723A" w:rsidRPr="00CD6059" w:rsidRDefault="00FB723A" w:rsidP="00FB723A">
      <w:pPr>
        <w:pStyle w:val="ListParagraph"/>
        <w:ind w:left="0"/>
        <w:jc w:val="both"/>
        <w:rPr>
          <w:rFonts w:ascii="Verdana" w:hAnsi="Verdana"/>
          <w:sz w:val="20"/>
          <w:szCs w:val="20"/>
        </w:rPr>
      </w:pPr>
    </w:p>
    <w:p w14:paraId="6D172B42" w14:textId="77777777" w:rsidR="00FB723A" w:rsidRPr="00CD6059" w:rsidRDefault="00FB723A" w:rsidP="00FB723A">
      <w:pPr>
        <w:pStyle w:val="Heading1"/>
        <w:tabs>
          <w:tab w:val="left" w:pos="851"/>
        </w:tabs>
        <w:spacing w:before="0"/>
        <w:jc w:val="center"/>
        <w:rPr>
          <w:rFonts w:ascii="Verdana" w:hAnsi="Verdana" w:cs="Verdana"/>
          <w:caps/>
          <w:snapToGrid w:val="0"/>
          <w:color w:val="auto"/>
          <w:sz w:val="20"/>
          <w:szCs w:val="20"/>
        </w:rPr>
      </w:pPr>
      <w:bookmarkStart w:id="2" w:name="_Toc482093013"/>
      <w:r w:rsidRPr="00CD6059">
        <w:rPr>
          <w:rFonts w:ascii="Verdana" w:hAnsi="Verdana" w:cs="Verdana"/>
          <w:caps/>
          <w:snapToGrid w:val="0"/>
          <w:color w:val="auto"/>
          <w:sz w:val="20"/>
          <w:szCs w:val="20"/>
        </w:rPr>
        <w:t>II</w:t>
      </w:r>
      <w:r w:rsidRPr="00CD6059">
        <w:rPr>
          <w:rFonts w:ascii="Verdana" w:hAnsi="Verdana" w:cs="Verdana"/>
          <w:caps/>
          <w:snapToGrid w:val="0"/>
          <w:color w:val="auto"/>
          <w:sz w:val="20"/>
          <w:szCs w:val="20"/>
        </w:rPr>
        <w:br/>
        <w:t>PROCEDIMIENTO ANTE LA CORTE</w:t>
      </w:r>
      <w:bookmarkEnd w:id="2"/>
    </w:p>
    <w:p w14:paraId="6D172B43" w14:textId="77777777" w:rsidR="00FB723A" w:rsidRPr="00870C74" w:rsidRDefault="00FB723A" w:rsidP="00FB723A">
      <w:pPr>
        <w:pStyle w:val="ListParagraph"/>
        <w:ind w:left="0"/>
        <w:jc w:val="both"/>
        <w:rPr>
          <w:rFonts w:ascii="Verdana" w:hAnsi="Verdana"/>
          <w:sz w:val="20"/>
          <w:szCs w:val="20"/>
        </w:rPr>
      </w:pPr>
    </w:p>
    <w:p w14:paraId="6D172B44" w14:textId="72BA8C92" w:rsidR="00FB723A" w:rsidRPr="00870C74" w:rsidRDefault="00FB723A" w:rsidP="00FB723A">
      <w:pPr>
        <w:pStyle w:val="ListParagraph"/>
        <w:numPr>
          <w:ilvl w:val="0"/>
          <w:numId w:val="2"/>
        </w:numPr>
        <w:ind w:left="0" w:firstLine="0"/>
        <w:jc w:val="both"/>
        <w:rPr>
          <w:rFonts w:ascii="Verdana" w:hAnsi="Verdana"/>
          <w:sz w:val="20"/>
          <w:szCs w:val="20"/>
        </w:rPr>
      </w:pPr>
      <w:r w:rsidRPr="00870C74">
        <w:rPr>
          <w:rFonts w:ascii="Verdana" w:hAnsi="Verdana"/>
          <w:i/>
          <w:sz w:val="20"/>
          <w:szCs w:val="20"/>
        </w:rPr>
        <w:t xml:space="preserve"> </w:t>
      </w:r>
      <w:r w:rsidRPr="00870C74">
        <w:rPr>
          <w:rFonts w:ascii="Verdana" w:hAnsi="Verdana"/>
          <w:i/>
          <w:sz w:val="20"/>
          <w:szCs w:val="20"/>
          <w:lang w:val="es-CR"/>
        </w:rPr>
        <w:t>Designación de Defensores Públicos Interamericanos</w:t>
      </w:r>
      <w:r w:rsidRPr="00870C74">
        <w:rPr>
          <w:rFonts w:ascii="Verdana" w:hAnsi="Verdana"/>
          <w:sz w:val="20"/>
          <w:szCs w:val="20"/>
          <w:lang w:val="es-CR"/>
        </w:rPr>
        <w:t xml:space="preserve">. – En el escrito de presentación del caso, la Comisión indicó que </w:t>
      </w:r>
      <w:r w:rsidRPr="0007798A">
        <w:rPr>
          <w:rFonts w:ascii="Verdana" w:hAnsi="Verdana"/>
          <w:sz w:val="20"/>
          <w:szCs w:val="20"/>
          <w:lang w:val="es-ES"/>
        </w:rPr>
        <w:t>el señor Zegarra Marín</w:t>
      </w:r>
      <w:r w:rsidDel="00186534">
        <w:rPr>
          <w:rFonts w:ascii="Verdana" w:hAnsi="Verdana"/>
          <w:sz w:val="20"/>
          <w:szCs w:val="20"/>
          <w:lang w:val="es-CR"/>
        </w:rPr>
        <w:t xml:space="preserve"> </w:t>
      </w:r>
      <w:r>
        <w:rPr>
          <w:rFonts w:ascii="Verdana" w:hAnsi="Verdana"/>
          <w:sz w:val="20"/>
          <w:szCs w:val="20"/>
          <w:lang w:val="es-CR"/>
        </w:rPr>
        <w:t>ejerció su propia representación durante la tramitación del caso ante la Comisión Interamericana</w:t>
      </w:r>
      <w:r w:rsidRPr="00870C74">
        <w:rPr>
          <w:rFonts w:ascii="Verdana" w:hAnsi="Verdana"/>
          <w:sz w:val="20"/>
          <w:szCs w:val="20"/>
          <w:lang w:val="es-CR"/>
        </w:rPr>
        <w:t xml:space="preserve">. Luego de una comunicación remitida por la Secretaría, siguiendo instrucciones del Presidente de la Corte durante el examen preliminar del sometimiento del caso, el </w:t>
      </w:r>
      <w:r>
        <w:rPr>
          <w:rFonts w:ascii="Verdana" w:hAnsi="Verdana"/>
          <w:sz w:val="20"/>
          <w:szCs w:val="20"/>
          <w:lang w:val="es-CR"/>
        </w:rPr>
        <w:t>20 de septiembre de 2014</w:t>
      </w:r>
      <w:r w:rsidRPr="00870C74">
        <w:rPr>
          <w:rFonts w:ascii="Verdana" w:hAnsi="Verdana"/>
          <w:sz w:val="20"/>
          <w:szCs w:val="20"/>
          <w:lang w:val="es-CR"/>
        </w:rPr>
        <w:t xml:space="preserve"> </w:t>
      </w:r>
      <w:r w:rsidRPr="0007798A">
        <w:rPr>
          <w:rFonts w:ascii="Verdana" w:hAnsi="Verdana"/>
          <w:sz w:val="20"/>
          <w:szCs w:val="20"/>
          <w:lang w:val="es-ES"/>
        </w:rPr>
        <w:t>el señor Zegarra Marín</w:t>
      </w:r>
      <w:r w:rsidRPr="00870C74">
        <w:rPr>
          <w:rFonts w:ascii="Verdana" w:hAnsi="Verdana"/>
          <w:sz w:val="20"/>
          <w:szCs w:val="20"/>
          <w:lang w:val="es-CR"/>
        </w:rPr>
        <w:t xml:space="preserve"> solicitó la designación de un Defensor</w:t>
      </w:r>
      <w:r w:rsidR="00211A27">
        <w:rPr>
          <w:rFonts w:ascii="Verdana" w:hAnsi="Verdana"/>
          <w:sz w:val="20"/>
          <w:szCs w:val="20"/>
          <w:lang w:val="es-CR"/>
        </w:rPr>
        <w:t xml:space="preserve"> Público </w:t>
      </w:r>
      <w:r w:rsidRPr="00870C74">
        <w:rPr>
          <w:rFonts w:ascii="Verdana" w:hAnsi="Verdana"/>
          <w:sz w:val="20"/>
          <w:szCs w:val="20"/>
          <w:lang w:val="es-CR"/>
        </w:rPr>
        <w:t xml:space="preserve">Interamericano. Luego de las respectivas comunicaciones con la Asociación Interamericana de Defensorías Públicas (AIDEF), el </w:t>
      </w:r>
      <w:r>
        <w:rPr>
          <w:rFonts w:ascii="Verdana" w:hAnsi="Verdana"/>
          <w:sz w:val="20"/>
          <w:szCs w:val="20"/>
          <w:lang w:val="es-CR"/>
        </w:rPr>
        <w:t>2 de octubre</w:t>
      </w:r>
      <w:r w:rsidRPr="00870C74">
        <w:rPr>
          <w:rFonts w:ascii="Verdana" w:hAnsi="Verdana"/>
          <w:sz w:val="20"/>
          <w:szCs w:val="20"/>
          <w:lang w:val="es-CR"/>
        </w:rPr>
        <w:t xml:space="preserve"> la Coordinadora General de dicha Asociación comunicó a la Corte que </w:t>
      </w:r>
      <w:r w:rsidR="009208B1">
        <w:rPr>
          <w:rFonts w:ascii="Verdana" w:hAnsi="Verdana"/>
          <w:sz w:val="20"/>
          <w:szCs w:val="20"/>
          <w:lang w:val="es-CR"/>
        </w:rPr>
        <w:t>la señora</w:t>
      </w:r>
      <w:r w:rsidRPr="00870C74">
        <w:rPr>
          <w:rFonts w:ascii="Verdana" w:hAnsi="Verdana"/>
          <w:sz w:val="20"/>
          <w:szCs w:val="20"/>
          <w:lang w:val="es-CR"/>
        </w:rPr>
        <w:t xml:space="preserve"> </w:t>
      </w:r>
      <w:r>
        <w:rPr>
          <w:rFonts w:ascii="Verdana" w:hAnsi="Verdana"/>
          <w:sz w:val="20"/>
          <w:szCs w:val="20"/>
          <w:lang w:val="es-CR"/>
        </w:rPr>
        <w:t>Silvia Martínez (Argentina) y</w:t>
      </w:r>
      <w:r w:rsidR="009208B1">
        <w:rPr>
          <w:rFonts w:ascii="Verdana" w:hAnsi="Verdana"/>
          <w:sz w:val="20"/>
          <w:szCs w:val="20"/>
          <w:lang w:val="es-CR"/>
        </w:rPr>
        <w:t xml:space="preserve"> el señor</w:t>
      </w:r>
      <w:r>
        <w:rPr>
          <w:rFonts w:ascii="Verdana" w:hAnsi="Verdana"/>
          <w:sz w:val="20"/>
          <w:szCs w:val="20"/>
          <w:lang w:val="es-CR"/>
        </w:rPr>
        <w:t xml:space="preserve"> Daniel </w:t>
      </w:r>
      <w:r w:rsidR="009208B1">
        <w:rPr>
          <w:rFonts w:ascii="Verdana" w:hAnsi="Verdana"/>
          <w:sz w:val="20"/>
          <w:szCs w:val="20"/>
          <w:lang w:val="es-CR"/>
        </w:rPr>
        <w:t xml:space="preserve">De La </w:t>
      </w:r>
      <w:r>
        <w:rPr>
          <w:rFonts w:ascii="Verdana" w:hAnsi="Verdana"/>
          <w:sz w:val="20"/>
          <w:szCs w:val="20"/>
          <w:lang w:val="es-CR"/>
        </w:rPr>
        <w:t>Vega Echeverría</w:t>
      </w:r>
      <w:r>
        <w:rPr>
          <w:rStyle w:val="FootnoteReference"/>
          <w:szCs w:val="20"/>
          <w:lang w:val="es-CR"/>
        </w:rPr>
        <w:footnoteReference w:id="3"/>
      </w:r>
      <w:r>
        <w:rPr>
          <w:rFonts w:ascii="Verdana" w:hAnsi="Verdana"/>
          <w:sz w:val="20"/>
          <w:szCs w:val="20"/>
          <w:lang w:val="es-CR"/>
        </w:rPr>
        <w:t xml:space="preserve"> (Ecuador)</w:t>
      </w:r>
      <w:r w:rsidRPr="00870C74">
        <w:rPr>
          <w:rFonts w:ascii="Verdana" w:hAnsi="Verdana"/>
          <w:sz w:val="20"/>
          <w:szCs w:val="20"/>
          <w:lang w:val="es-CR"/>
        </w:rPr>
        <w:t xml:space="preserve"> habían sido designados como defensores públicos interamericanos para ejerce</w:t>
      </w:r>
      <w:r>
        <w:rPr>
          <w:rFonts w:ascii="Verdana" w:hAnsi="Verdana"/>
          <w:sz w:val="20"/>
          <w:szCs w:val="20"/>
          <w:lang w:val="es-CR"/>
        </w:rPr>
        <w:t>r la representación legal de la</w:t>
      </w:r>
      <w:r w:rsidRPr="00870C74">
        <w:rPr>
          <w:rFonts w:ascii="Verdana" w:hAnsi="Verdana"/>
          <w:sz w:val="20"/>
          <w:szCs w:val="20"/>
          <w:lang w:val="es-CR"/>
        </w:rPr>
        <w:t xml:space="preserve"> presunta víctima en este caso (en adelante “los representantes”).</w:t>
      </w:r>
    </w:p>
    <w:p w14:paraId="6D172B45" w14:textId="77777777" w:rsidR="00FB723A" w:rsidRPr="00870C74" w:rsidRDefault="00FB723A" w:rsidP="00FB723A">
      <w:pPr>
        <w:pStyle w:val="ListParagraph"/>
        <w:ind w:left="0"/>
        <w:jc w:val="both"/>
        <w:rPr>
          <w:rFonts w:ascii="Verdana" w:hAnsi="Verdana"/>
          <w:sz w:val="20"/>
          <w:szCs w:val="20"/>
        </w:rPr>
      </w:pPr>
    </w:p>
    <w:p w14:paraId="6D172B46" w14:textId="403E4849" w:rsidR="00FB723A" w:rsidRPr="00CD6059" w:rsidRDefault="00FB723A" w:rsidP="00FB723A">
      <w:pPr>
        <w:pStyle w:val="ListParagraph"/>
        <w:numPr>
          <w:ilvl w:val="0"/>
          <w:numId w:val="2"/>
        </w:numPr>
        <w:ind w:left="0" w:firstLine="0"/>
        <w:jc w:val="both"/>
        <w:rPr>
          <w:rFonts w:ascii="Verdana" w:hAnsi="Verdana"/>
          <w:sz w:val="20"/>
          <w:szCs w:val="20"/>
        </w:rPr>
      </w:pPr>
      <w:r w:rsidRPr="00870C74">
        <w:rPr>
          <w:rFonts w:ascii="Verdana" w:hAnsi="Verdana"/>
          <w:i/>
          <w:sz w:val="20"/>
          <w:szCs w:val="20"/>
        </w:rPr>
        <w:lastRenderedPageBreak/>
        <w:t>Notificación</w:t>
      </w:r>
      <w:r w:rsidRPr="00CD6059">
        <w:rPr>
          <w:rFonts w:ascii="Verdana" w:hAnsi="Verdana"/>
          <w:i/>
          <w:sz w:val="20"/>
          <w:szCs w:val="20"/>
        </w:rPr>
        <w:t xml:space="preserve"> al Estado</w:t>
      </w:r>
      <w:r w:rsidRPr="00CD6059">
        <w:rPr>
          <w:rStyle w:val="FootnoteReference"/>
          <w:i/>
          <w:szCs w:val="20"/>
        </w:rPr>
        <w:footnoteReference w:id="4"/>
      </w:r>
      <w:r w:rsidRPr="00CD6059">
        <w:rPr>
          <w:rFonts w:ascii="Verdana" w:hAnsi="Verdana"/>
          <w:i/>
          <w:sz w:val="20"/>
          <w:szCs w:val="20"/>
        </w:rPr>
        <w:t xml:space="preserve"> y a los representantes.</w:t>
      </w:r>
      <w:r w:rsidRPr="00CD6059">
        <w:rPr>
          <w:rFonts w:ascii="Verdana" w:hAnsi="Verdana"/>
          <w:sz w:val="20"/>
          <w:szCs w:val="20"/>
        </w:rPr>
        <w:t xml:space="preserve"> – El sometimiento del caso por la Comisión fue notificado al Estado y a los representantes el </w:t>
      </w:r>
      <w:r>
        <w:rPr>
          <w:rFonts w:ascii="Verdana" w:hAnsi="Verdana"/>
          <w:sz w:val="20"/>
          <w:szCs w:val="20"/>
        </w:rPr>
        <w:t>7 de octubre de 2014</w:t>
      </w:r>
      <w:r w:rsidRPr="00CD6059">
        <w:rPr>
          <w:rFonts w:ascii="Verdana" w:hAnsi="Verdana"/>
          <w:sz w:val="20"/>
          <w:szCs w:val="20"/>
        </w:rPr>
        <w:t>.</w:t>
      </w:r>
    </w:p>
    <w:p w14:paraId="6D172B47" w14:textId="77777777" w:rsidR="00FB723A" w:rsidRPr="00CD6059" w:rsidRDefault="00FB723A" w:rsidP="00FB723A">
      <w:pPr>
        <w:pStyle w:val="ListParagraph"/>
        <w:ind w:left="0"/>
        <w:jc w:val="both"/>
        <w:rPr>
          <w:rFonts w:ascii="Verdana" w:hAnsi="Verdana"/>
          <w:sz w:val="20"/>
          <w:szCs w:val="20"/>
        </w:rPr>
      </w:pPr>
    </w:p>
    <w:p w14:paraId="6D172B48" w14:textId="367F9A96" w:rsidR="00FB723A" w:rsidRPr="00CD6059" w:rsidRDefault="00FB723A" w:rsidP="00FB723A">
      <w:pPr>
        <w:pStyle w:val="ListParagraph"/>
        <w:numPr>
          <w:ilvl w:val="0"/>
          <w:numId w:val="2"/>
        </w:numPr>
        <w:ind w:left="0" w:firstLine="0"/>
        <w:jc w:val="both"/>
        <w:rPr>
          <w:rFonts w:ascii="Verdana" w:hAnsi="Verdana"/>
          <w:sz w:val="20"/>
          <w:szCs w:val="20"/>
        </w:rPr>
      </w:pPr>
      <w:r w:rsidRPr="00CD6059">
        <w:rPr>
          <w:rFonts w:ascii="Verdana" w:hAnsi="Verdana"/>
          <w:i/>
          <w:sz w:val="20"/>
          <w:szCs w:val="20"/>
        </w:rPr>
        <w:t>Escrito de solicitudes, argumentos y pruebas.</w:t>
      </w:r>
      <w:r w:rsidRPr="00CD6059">
        <w:rPr>
          <w:rFonts w:ascii="Verdana" w:hAnsi="Verdana"/>
          <w:sz w:val="20"/>
          <w:szCs w:val="20"/>
        </w:rPr>
        <w:t xml:space="preserve"> – El </w:t>
      </w:r>
      <w:r>
        <w:rPr>
          <w:rFonts w:ascii="Verdana" w:hAnsi="Verdana"/>
          <w:sz w:val="20"/>
          <w:szCs w:val="20"/>
        </w:rPr>
        <w:t>6 de diciembre de 2014</w:t>
      </w:r>
      <w:r w:rsidRPr="00CD6059">
        <w:rPr>
          <w:rFonts w:ascii="Verdana" w:hAnsi="Verdana"/>
          <w:sz w:val="20"/>
          <w:szCs w:val="20"/>
        </w:rPr>
        <w:t xml:space="preserve"> los representantes presentaron su escrito de solicitudes, argumentos y pruebas (en adelante “escrito de solicitudes y argumentos”)</w:t>
      </w:r>
      <w:r w:rsidR="00960A82">
        <w:rPr>
          <w:rFonts w:ascii="Verdana" w:hAnsi="Verdana"/>
          <w:sz w:val="20"/>
          <w:szCs w:val="20"/>
        </w:rPr>
        <w:t>, en el cual solicitaron acogerse al Fondo de Asistencia Legal de Víctimas de la Corte Interamericana (en adelante “Fondo de Asistencia”)</w:t>
      </w:r>
      <w:r w:rsidR="00960A82" w:rsidRPr="00CD6059">
        <w:rPr>
          <w:rFonts w:ascii="Verdana" w:hAnsi="Verdana"/>
          <w:sz w:val="20"/>
          <w:szCs w:val="20"/>
        </w:rPr>
        <w:t>.</w:t>
      </w:r>
      <w:r w:rsidR="00960A82">
        <w:rPr>
          <w:rFonts w:ascii="Verdana" w:hAnsi="Verdana"/>
          <w:sz w:val="20"/>
          <w:szCs w:val="20"/>
        </w:rPr>
        <w:t xml:space="preserve"> </w:t>
      </w:r>
      <w:r>
        <w:rPr>
          <w:rFonts w:ascii="Verdana" w:hAnsi="Verdana"/>
          <w:b/>
          <w:sz w:val="20"/>
          <w:szCs w:val="20"/>
        </w:rPr>
        <w:t xml:space="preserve"> </w:t>
      </w:r>
    </w:p>
    <w:p w14:paraId="6D172B49" w14:textId="77777777" w:rsidR="00FB723A" w:rsidRPr="00CD6059" w:rsidRDefault="00FB723A" w:rsidP="00FB723A">
      <w:pPr>
        <w:jc w:val="both"/>
        <w:rPr>
          <w:rFonts w:ascii="Verdana" w:hAnsi="Verdana"/>
          <w:sz w:val="20"/>
          <w:szCs w:val="20"/>
        </w:rPr>
      </w:pPr>
    </w:p>
    <w:p w14:paraId="6D172B4A" w14:textId="6BCE7437" w:rsidR="00FB723A" w:rsidRPr="00A659C5" w:rsidRDefault="00FB723A" w:rsidP="00FB723A">
      <w:pPr>
        <w:pStyle w:val="ListParagraph"/>
        <w:numPr>
          <w:ilvl w:val="0"/>
          <w:numId w:val="2"/>
        </w:numPr>
        <w:ind w:left="0" w:firstLine="0"/>
        <w:jc w:val="both"/>
        <w:rPr>
          <w:rFonts w:ascii="Verdana" w:hAnsi="Verdana"/>
          <w:sz w:val="20"/>
          <w:szCs w:val="20"/>
        </w:rPr>
      </w:pPr>
      <w:r w:rsidRPr="00CD6059">
        <w:rPr>
          <w:rFonts w:ascii="Verdana" w:hAnsi="Verdana"/>
          <w:i/>
          <w:sz w:val="20"/>
          <w:szCs w:val="20"/>
        </w:rPr>
        <w:t>Escrito de contestación.</w:t>
      </w:r>
      <w:r w:rsidRPr="00CD6059">
        <w:rPr>
          <w:rFonts w:ascii="Verdana" w:hAnsi="Verdana"/>
          <w:sz w:val="20"/>
          <w:szCs w:val="20"/>
        </w:rPr>
        <w:t xml:space="preserve"> – El </w:t>
      </w:r>
      <w:r>
        <w:rPr>
          <w:rFonts w:ascii="Verdana" w:hAnsi="Verdana"/>
          <w:sz w:val="20"/>
          <w:szCs w:val="20"/>
        </w:rPr>
        <w:t>16 de marzo de 2015</w:t>
      </w:r>
      <w:r w:rsidRPr="00CD6059">
        <w:rPr>
          <w:rFonts w:ascii="Verdana" w:hAnsi="Verdana"/>
          <w:sz w:val="20"/>
          <w:szCs w:val="20"/>
        </w:rPr>
        <w:t xml:space="preserve"> el Estado presentó ante la Corte su contestación al escrito de sometimiento del caso y de observaciones a</w:t>
      </w:r>
      <w:r w:rsidR="00960A82">
        <w:rPr>
          <w:rFonts w:ascii="Verdana" w:hAnsi="Verdana"/>
          <w:sz w:val="20"/>
          <w:szCs w:val="20"/>
        </w:rPr>
        <w:t>l</w:t>
      </w:r>
      <w:r w:rsidRPr="00CD6059">
        <w:rPr>
          <w:rFonts w:ascii="Verdana" w:hAnsi="Verdana"/>
          <w:sz w:val="20"/>
          <w:szCs w:val="20"/>
        </w:rPr>
        <w:t xml:space="preserve"> escrito de solicitudes y argumentos (en adelante “escrito de contestación”).</w:t>
      </w:r>
      <w:r>
        <w:rPr>
          <w:rFonts w:ascii="Verdana" w:hAnsi="Verdana"/>
          <w:b/>
          <w:sz w:val="20"/>
          <w:szCs w:val="20"/>
        </w:rPr>
        <w:t xml:space="preserve"> </w:t>
      </w:r>
      <w:r w:rsidRPr="00115F8D">
        <w:rPr>
          <w:rFonts w:ascii="Verdana" w:hAnsi="Verdana"/>
          <w:sz w:val="20"/>
          <w:szCs w:val="20"/>
        </w:rPr>
        <w:t xml:space="preserve">En dicho escrito el Estado interpuso </w:t>
      </w:r>
      <w:r w:rsidR="002D0E6C">
        <w:rPr>
          <w:rFonts w:ascii="Verdana" w:hAnsi="Verdana"/>
          <w:sz w:val="20"/>
          <w:szCs w:val="20"/>
        </w:rPr>
        <w:t xml:space="preserve">ciertas </w:t>
      </w:r>
      <w:r w:rsidRPr="00115F8D">
        <w:rPr>
          <w:rFonts w:ascii="Verdana" w:hAnsi="Verdana"/>
          <w:sz w:val="20"/>
          <w:szCs w:val="20"/>
        </w:rPr>
        <w:t>excepciones preliminares</w:t>
      </w:r>
      <w:r w:rsidR="002D0E6C">
        <w:rPr>
          <w:rFonts w:ascii="Verdana" w:hAnsi="Verdana"/>
          <w:sz w:val="20"/>
          <w:szCs w:val="20"/>
        </w:rPr>
        <w:t xml:space="preserve"> y objeciones procesales</w:t>
      </w:r>
      <w:r w:rsidRPr="00115F8D">
        <w:rPr>
          <w:rFonts w:ascii="Verdana" w:hAnsi="Verdana"/>
          <w:sz w:val="20"/>
          <w:szCs w:val="20"/>
        </w:rPr>
        <w:t>.</w:t>
      </w:r>
    </w:p>
    <w:p w14:paraId="6D172B4B" w14:textId="77777777" w:rsidR="00FB723A" w:rsidRPr="00A659C5" w:rsidRDefault="00FB723A" w:rsidP="00FB723A">
      <w:pPr>
        <w:pStyle w:val="ListParagraph"/>
        <w:rPr>
          <w:rFonts w:ascii="Verdana" w:hAnsi="Verdana"/>
          <w:sz w:val="20"/>
          <w:szCs w:val="20"/>
        </w:rPr>
      </w:pPr>
    </w:p>
    <w:p w14:paraId="6D172B4C" w14:textId="34B6BD0E" w:rsidR="00FB723A" w:rsidRPr="00A659C5" w:rsidRDefault="00FB723A" w:rsidP="00FB723A">
      <w:pPr>
        <w:pStyle w:val="ListParagraph"/>
        <w:numPr>
          <w:ilvl w:val="0"/>
          <w:numId w:val="2"/>
        </w:numPr>
        <w:ind w:left="0" w:firstLine="0"/>
        <w:jc w:val="both"/>
        <w:rPr>
          <w:rFonts w:ascii="Verdana" w:hAnsi="Verdana"/>
          <w:i/>
          <w:sz w:val="20"/>
          <w:szCs w:val="20"/>
        </w:rPr>
      </w:pPr>
      <w:r w:rsidRPr="00A659C5">
        <w:rPr>
          <w:rFonts w:ascii="Verdana" w:hAnsi="Verdana"/>
          <w:i/>
          <w:sz w:val="20"/>
          <w:szCs w:val="20"/>
        </w:rPr>
        <w:t xml:space="preserve">Observaciones a las excepciones preliminares. </w:t>
      </w:r>
      <w:r>
        <w:rPr>
          <w:rFonts w:ascii="Verdana" w:hAnsi="Verdana"/>
          <w:i/>
          <w:sz w:val="20"/>
          <w:szCs w:val="20"/>
        </w:rPr>
        <w:t>–</w:t>
      </w:r>
      <w:r w:rsidRPr="00A659C5">
        <w:rPr>
          <w:rFonts w:ascii="Verdana" w:hAnsi="Verdana"/>
          <w:i/>
          <w:sz w:val="20"/>
          <w:szCs w:val="20"/>
        </w:rPr>
        <w:t xml:space="preserve"> </w:t>
      </w:r>
      <w:r>
        <w:rPr>
          <w:rFonts w:ascii="Verdana" w:hAnsi="Verdana"/>
          <w:sz w:val="20"/>
          <w:szCs w:val="20"/>
        </w:rPr>
        <w:t xml:space="preserve">El </w:t>
      </w:r>
      <w:r w:rsidR="00EB159F">
        <w:rPr>
          <w:rFonts w:ascii="Verdana" w:hAnsi="Verdana"/>
          <w:sz w:val="20"/>
          <w:szCs w:val="20"/>
        </w:rPr>
        <w:t xml:space="preserve">5 </w:t>
      </w:r>
      <w:r>
        <w:rPr>
          <w:rFonts w:ascii="Verdana" w:hAnsi="Verdana"/>
          <w:sz w:val="20"/>
          <w:szCs w:val="20"/>
        </w:rPr>
        <w:t xml:space="preserve">de junio de 2015 los representantes y la Comisión remitieron sus observaciones a las excepciones preliminares </w:t>
      </w:r>
      <w:r w:rsidR="005852A7">
        <w:rPr>
          <w:rFonts w:ascii="Verdana" w:hAnsi="Verdana"/>
          <w:sz w:val="20"/>
          <w:szCs w:val="20"/>
        </w:rPr>
        <w:t xml:space="preserve">interpuestas por el </w:t>
      </w:r>
      <w:r>
        <w:rPr>
          <w:rFonts w:ascii="Verdana" w:hAnsi="Verdana"/>
          <w:sz w:val="20"/>
          <w:szCs w:val="20"/>
        </w:rPr>
        <w:t xml:space="preserve">Estado. </w:t>
      </w:r>
    </w:p>
    <w:p w14:paraId="6D172B4D" w14:textId="77777777" w:rsidR="00FA42E2" w:rsidRDefault="00FA42E2" w:rsidP="00EE1C50">
      <w:pPr>
        <w:autoSpaceDE w:val="0"/>
        <w:autoSpaceDN w:val="0"/>
        <w:adjustRightInd w:val="0"/>
        <w:jc w:val="both"/>
        <w:rPr>
          <w:rFonts w:ascii="Verdana" w:eastAsiaTheme="minorHAnsi" w:hAnsi="Verdana" w:cs="Verdana"/>
          <w:color w:val="000000"/>
          <w:sz w:val="20"/>
          <w:szCs w:val="20"/>
          <w:lang w:val="es-MX"/>
        </w:rPr>
      </w:pPr>
    </w:p>
    <w:p w14:paraId="6D172B4E" w14:textId="765172FE" w:rsidR="00FB723A" w:rsidRPr="00B56499" w:rsidRDefault="00FB723A" w:rsidP="00FB723A">
      <w:pPr>
        <w:pStyle w:val="ListParagraph"/>
        <w:numPr>
          <w:ilvl w:val="0"/>
          <w:numId w:val="2"/>
        </w:numPr>
        <w:ind w:left="0" w:firstLine="0"/>
        <w:jc w:val="both"/>
        <w:rPr>
          <w:rFonts w:ascii="Verdana" w:hAnsi="Verdana"/>
          <w:sz w:val="20"/>
          <w:szCs w:val="20"/>
        </w:rPr>
      </w:pPr>
      <w:r w:rsidRPr="00CD6059">
        <w:rPr>
          <w:rFonts w:ascii="Verdana" w:hAnsi="Verdana"/>
          <w:i/>
          <w:sz w:val="20"/>
          <w:szCs w:val="20"/>
        </w:rPr>
        <w:t>Audiencia pública.</w:t>
      </w:r>
      <w:r w:rsidRPr="00CD6059">
        <w:rPr>
          <w:rFonts w:ascii="Verdana" w:hAnsi="Verdana"/>
          <w:sz w:val="20"/>
          <w:szCs w:val="20"/>
        </w:rPr>
        <w:t xml:space="preserve"> </w:t>
      </w:r>
      <w:r w:rsidR="00E26699" w:rsidRPr="00EE1C50">
        <w:rPr>
          <w:rFonts w:ascii="Verdana" w:eastAsiaTheme="minorHAnsi" w:hAnsi="Verdana" w:cs="Verdana"/>
          <w:color w:val="000000"/>
          <w:sz w:val="20"/>
          <w:szCs w:val="20"/>
          <w:lang w:val="es-MX"/>
        </w:rPr>
        <w:t>–</w:t>
      </w:r>
      <w:r>
        <w:rPr>
          <w:rFonts w:ascii="Verdana" w:hAnsi="Verdana"/>
          <w:sz w:val="20"/>
          <w:szCs w:val="20"/>
        </w:rPr>
        <w:t xml:space="preserve"> </w:t>
      </w:r>
      <w:r w:rsidRPr="00BA5D3F">
        <w:rPr>
          <w:rFonts w:ascii="Verdana" w:hAnsi="Verdana"/>
          <w:sz w:val="20"/>
          <w:szCs w:val="20"/>
        </w:rPr>
        <w:t>Mediante Resolución del Presidente de la Corte de 17 de diciembre de 2015</w:t>
      </w:r>
      <w:r w:rsidRPr="00BA5D3F">
        <w:rPr>
          <w:rFonts w:ascii="Verdana" w:hAnsi="Verdana"/>
          <w:sz w:val="20"/>
          <w:szCs w:val="20"/>
          <w:vertAlign w:val="superscript"/>
        </w:rPr>
        <w:footnoteReference w:id="5"/>
      </w:r>
      <w:r w:rsidRPr="00BA5D3F">
        <w:rPr>
          <w:rFonts w:ascii="Verdana" w:hAnsi="Verdana"/>
          <w:sz w:val="20"/>
          <w:szCs w:val="20"/>
        </w:rPr>
        <w:t xml:space="preserve"> se resolvió, entre otras situaciones: </w:t>
      </w:r>
      <w:r w:rsidR="00A17B6F">
        <w:rPr>
          <w:rFonts w:ascii="Verdana" w:hAnsi="Verdana"/>
          <w:sz w:val="20"/>
          <w:szCs w:val="20"/>
        </w:rPr>
        <w:t>a</w:t>
      </w:r>
      <w:r w:rsidRPr="00BA5D3F">
        <w:rPr>
          <w:rFonts w:ascii="Verdana" w:hAnsi="Verdana"/>
          <w:sz w:val="20"/>
          <w:szCs w:val="20"/>
        </w:rPr>
        <w:t xml:space="preserve">) </w:t>
      </w:r>
      <w:r w:rsidRPr="00BA5D3F">
        <w:rPr>
          <w:rFonts w:ascii="Verdana" w:eastAsiaTheme="minorHAnsi" w:hAnsi="Verdana" w:cs="Arial"/>
          <w:sz w:val="20"/>
          <w:szCs w:val="20"/>
        </w:rPr>
        <w:t>que</w:t>
      </w:r>
      <w:r w:rsidRPr="00BA5D3F">
        <w:rPr>
          <w:rFonts w:ascii="Verdana" w:eastAsiaTheme="minorHAnsi" w:hAnsi="Verdana" w:cs="Arial"/>
          <w:sz w:val="20"/>
          <w:szCs w:val="20"/>
          <w:lang w:val="es-CR"/>
        </w:rPr>
        <w:t xml:space="preserve"> </w:t>
      </w:r>
      <w:r w:rsidR="005852A7">
        <w:rPr>
          <w:rFonts w:ascii="Verdana" w:eastAsiaTheme="minorHAnsi" w:hAnsi="Verdana" w:cs="Arial"/>
          <w:sz w:val="20"/>
          <w:szCs w:val="20"/>
          <w:lang w:val="es-CR"/>
        </w:rPr>
        <w:t xml:space="preserve">tres </w:t>
      </w:r>
      <w:r>
        <w:rPr>
          <w:rFonts w:ascii="Verdana" w:eastAsiaTheme="minorHAnsi" w:hAnsi="Verdana" w:cs="Arial"/>
          <w:sz w:val="20"/>
          <w:szCs w:val="20"/>
          <w:lang w:val="es-CR"/>
        </w:rPr>
        <w:t xml:space="preserve">testigos </w:t>
      </w:r>
      <w:r w:rsidR="005852A7">
        <w:rPr>
          <w:rFonts w:ascii="Verdana" w:eastAsiaTheme="minorHAnsi" w:hAnsi="Verdana" w:cs="Arial"/>
          <w:sz w:val="20"/>
          <w:szCs w:val="20"/>
          <w:lang w:val="es-CR"/>
        </w:rPr>
        <w:t xml:space="preserve">y un perito </w:t>
      </w:r>
      <w:r w:rsidRPr="00BA5D3F">
        <w:rPr>
          <w:rFonts w:ascii="Verdana" w:eastAsiaTheme="minorHAnsi" w:hAnsi="Verdana" w:cs="Arial"/>
          <w:sz w:val="20"/>
          <w:szCs w:val="20"/>
          <w:lang w:val="es-CR"/>
        </w:rPr>
        <w:t>rindieran sus declaraciones ante fedatario público</w:t>
      </w:r>
      <w:r w:rsidR="005852A7">
        <w:rPr>
          <w:rFonts w:ascii="Verdana" w:hAnsi="Verdana"/>
          <w:sz w:val="20"/>
          <w:szCs w:val="20"/>
        </w:rPr>
        <w:t>, y</w:t>
      </w:r>
      <w:r w:rsidR="005852A7" w:rsidRPr="00BA5D3F">
        <w:rPr>
          <w:rFonts w:ascii="Verdana" w:hAnsi="Verdana"/>
          <w:sz w:val="20"/>
          <w:szCs w:val="20"/>
        </w:rPr>
        <w:t xml:space="preserve"> </w:t>
      </w:r>
      <w:r w:rsidR="00A17B6F">
        <w:rPr>
          <w:rFonts w:ascii="Verdana" w:hAnsi="Verdana"/>
          <w:sz w:val="20"/>
          <w:szCs w:val="20"/>
        </w:rPr>
        <w:t>b</w:t>
      </w:r>
      <w:r w:rsidRPr="00BA5D3F">
        <w:rPr>
          <w:rFonts w:ascii="Verdana" w:hAnsi="Verdana"/>
          <w:sz w:val="20"/>
          <w:szCs w:val="20"/>
        </w:rPr>
        <w:t>) convocar a las partes a una audiencia pública para recibir las declaraciones de la presunta víctima</w:t>
      </w:r>
      <w:r w:rsidR="00211A27">
        <w:rPr>
          <w:rFonts w:ascii="Verdana" w:hAnsi="Verdana"/>
          <w:sz w:val="20"/>
          <w:szCs w:val="20"/>
        </w:rPr>
        <w:t>,</w:t>
      </w:r>
      <w:r w:rsidRPr="00BA5D3F">
        <w:rPr>
          <w:rFonts w:ascii="Verdana" w:hAnsi="Verdana"/>
          <w:sz w:val="20"/>
          <w:szCs w:val="20"/>
        </w:rPr>
        <w:t xml:space="preserve"> </w:t>
      </w:r>
      <w:r w:rsidRPr="0007798A">
        <w:rPr>
          <w:rFonts w:ascii="Verdana" w:hAnsi="Verdana"/>
          <w:sz w:val="20"/>
          <w:szCs w:val="20"/>
          <w:lang w:val="es-ES"/>
        </w:rPr>
        <w:t>el señor Zegarra Marín</w:t>
      </w:r>
      <w:r>
        <w:rPr>
          <w:rFonts w:ascii="Verdana" w:hAnsi="Verdana"/>
          <w:sz w:val="20"/>
          <w:szCs w:val="20"/>
          <w:lang w:val="es-ES"/>
        </w:rPr>
        <w:t>,</w:t>
      </w:r>
      <w:r w:rsidRPr="00BA5D3F" w:rsidDel="00186534">
        <w:rPr>
          <w:rFonts w:ascii="Verdana" w:hAnsi="Verdana"/>
          <w:sz w:val="20"/>
          <w:szCs w:val="20"/>
        </w:rPr>
        <w:t xml:space="preserve"> </w:t>
      </w:r>
      <w:r>
        <w:rPr>
          <w:rFonts w:ascii="Verdana" w:hAnsi="Verdana"/>
          <w:sz w:val="20"/>
          <w:szCs w:val="20"/>
        </w:rPr>
        <w:t xml:space="preserve">un </w:t>
      </w:r>
      <w:r w:rsidRPr="00BA5D3F">
        <w:rPr>
          <w:rFonts w:ascii="Verdana" w:hAnsi="Verdana"/>
          <w:sz w:val="20"/>
          <w:szCs w:val="20"/>
        </w:rPr>
        <w:t>perito propuesto por los representantes, así como la declaración de</w:t>
      </w:r>
      <w:r>
        <w:rPr>
          <w:rFonts w:ascii="Verdana" w:hAnsi="Verdana"/>
          <w:sz w:val="20"/>
          <w:szCs w:val="20"/>
        </w:rPr>
        <w:t xml:space="preserve"> un</w:t>
      </w:r>
      <w:r w:rsidRPr="00BA5D3F">
        <w:rPr>
          <w:rFonts w:ascii="Verdana" w:hAnsi="Verdana"/>
          <w:sz w:val="20"/>
          <w:szCs w:val="20"/>
        </w:rPr>
        <w:t xml:space="preserve"> perito propuesto por el Estado</w:t>
      </w:r>
      <w:r w:rsidR="00DF1458">
        <w:rPr>
          <w:rStyle w:val="FootnoteReference"/>
          <w:rFonts w:eastAsiaTheme="minorHAnsi"/>
          <w:color w:val="000000"/>
          <w:szCs w:val="20"/>
          <w:lang w:val="es-MX"/>
        </w:rPr>
        <w:footnoteReference w:id="6"/>
      </w:r>
      <w:r w:rsidRPr="00BA5D3F">
        <w:rPr>
          <w:rFonts w:ascii="Verdana" w:hAnsi="Verdana"/>
          <w:sz w:val="20"/>
          <w:szCs w:val="20"/>
        </w:rPr>
        <w:t xml:space="preserve">. Las declaraciones ante fedatario público fueron recibidas </w:t>
      </w:r>
      <w:r>
        <w:rPr>
          <w:rFonts w:ascii="Verdana" w:hAnsi="Verdana"/>
          <w:sz w:val="20"/>
          <w:szCs w:val="20"/>
        </w:rPr>
        <w:t>los</w:t>
      </w:r>
      <w:r w:rsidRPr="00BA5D3F">
        <w:rPr>
          <w:rFonts w:ascii="Verdana" w:hAnsi="Verdana"/>
          <w:sz w:val="20"/>
          <w:szCs w:val="20"/>
        </w:rPr>
        <w:t xml:space="preserve"> día</w:t>
      </w:r>
      <w:r>
        <w:rPr>
          <w:rFonts w:ascii="Verdana" w:hAnsi="Verdana"/>
          <w:sz w:val="20"/>
          <w:szCs w:val="20"/>
        </w:rPr>
        <w:t>s</w:t>
      </w:r>
      <w:r w:rsidRPr="00BA5D3F">
        <w:rPr>
          <w:rFonts w:ascii="Verdana" w:hAnsi="Verdana"/>
          <w:sz w:val="20"/>
          <w:szCs w:val="20"/>
        </w:rPr>
        <w:t xml:space="preserve"> 27 de enero</w:t>
      </w:r>
      <w:r>
        <w:rPr>
          <w:rFonts w:ascii="Verdana" w:hAnsi="Verdana"/>
          <w:sz w:val="20"/>
          <w:szCs w:val="20"/>
        </w:rPr>
        <w:t>, 1 y 2 de febrero</w:t>
      </w:r>
      <w:r w:rsidRPr="00BA5D3F">
        <w:rPr>
          <w:rFonts w:ascii="Verdana" w:hAnsi="Verdana"/>
          <w:sz w:val="20"/>
          <w:szCs w:val="20"/>
        </w:rPr>
        <w:t xml:space="preserve"> de 2016.</w:t>
      </w:r>
      <w:r w:rsidRPr="00B56499">
        <w:rPr>
          <w:rFonts w:ascii="Verdana" w:hAnsi="Verdana"/>
          <w:sz w:val="20"/>
          <w:szCs w:val="20"/>
        </w:rPr>
        <w:t xml:space="preserve"> La audiencia pública fue celebrada </w:t>
      </w:r>
      <w:r w:rsidRPr="00312E3F">
        <w:rPr>
          <w:rFonts w:ascii="Verdana" w:hAnsi="Verdana"/>
          <w:sz w:val="20"/>
          <w:szCs w:val="20"/>
        </w:rPr>
        <w:t xml:space="preserve">los días 19 y 20 de febrero de 2016 en la ciudad de San José, Costa Rica, durante el </w:t>
      </w:r>
      <w:r w:rsidRPr="00B56499">
        <w:rPr>
          <w:rFonts w:ascii="Verdana" w:hAnsi="Verdana"/>
          <w:sz w:val="20"/>
          <w:szCs w:val="20"/>
        </w:rPr>
        <w:t>113 Período Ordinario de Sesiones de la Corte</w:t>
      </w:r>
      <w:r w:rsidRPr="00CD6059">
        <w:rPr>
          <w:rStyle w:val="FootnoteReference"/>
          <w:szCs w:val="20"/>
        </w:rPr>
        <w:footnoteReference w:id="7"/>
      </w:r>
      <w:r w:rsidRPr="00B56499">
        <w:rPr>
          <w:rFonts w:ascii="Verdana" w:hAnsi="Verdana"/>
          <w:sz w:val="20"/>
          <w:szCs w:val="20"/>
        </w:rPr>
        <w:t>. En la audiencia se recibieron las declaraciones de la</w:t>
      </w:r>
      <w:r w:rsidRPr="00312E3F">
        <w:rPr>
          <w:rFonts w:ascii="Verdana" w:hAnsi="Verdana"/>
          <w:sz w:val="20"/>
          <w:szCs w:val="20"/>
        </w:rPr>
        <w:t xml:space="preserve"> presunta víctima</w:t>
      </w:r>
      <w:r w:rsidR="00806FB1">
        <w:rPr>
          <w:rFonts w:ascii="Verdana" w:hAnsi="Verdana"/>
          <w:sz w:val="20"/>
          <w:szCs w:val="20"/>
        </w:rPr>
        <w:t>,</w:t>
      </w:r>
      <w:r w:rsidRPr="00312E3F">
        <w:rPr>
          <w:rFonts w:ascii="Verdana" w:hAnsi="Verdana"/>
          <w:sz w:val="20"/>
          <w:szCs w:val="20"/>
        </w:rPr>
        <w:t xml:space="preserve"> </w:t>
      </w:r>
      <w:r w:rsidRPr="00312E3F">
        <w:rPr>
          <w:rFonts w:ascii="Verdana" w:hAnsi="Verdana"/>
          <w:sz w:val="20"/>
          <w:szCs w:val="20"/>
          <w:lang w:val="es-ES"/>
        </w:rPr>
        <w:t>el señor Zegarra Marín</w:t>
      </w:r>
      <w:r w:rsidRPr="00B56499">
        <w:rPr>
          <w:rFonts w:ascii="Verdana" w:hAnsi="Verdana"/>
          <w:sz w:val="20"/>
          <w:szCs w:val="20"/>
        </w:rPr>
        <w:t xml:space="preserve"> y del perito </w:t>
      </w:r>
      <w:r w:rsidR="005852A7" w:rsidRPr="00B56499">
        <w:rPr>
          <w:rFonts w:ascii="Verdana" w:hAnsi="Verdana"/>
          <w:sz w:val="20"/>
          <w:szCs w:val="20"/>
        </w:rPr>
        <w:t xml:space="preserve">Hernán </w:t>
      </w:r>
      <w:r w:rsidRPr="00B56499">
        <w:rPr>
          <w:rFonts w:ascii="Verdana" w:hAnsi="Verdana"/>
          <w:sz w:val="20"/>
          <w:szCs w:val="20"/>
        </w:rPr>
        <w:t>V</w:t>
      </w:r>
      <w:r w:rsidR="005852A7">
        <w:rPr>
          <w:rFonts w:ascii="Verdana" w:hAnsi="Verdana"/>
          <w:sz w:val="20"/>
          <w:szCs w:val="20"/>
        </w:rPr>
        <w:t>í</w:t>
      </w:r>
      <w:r w:rsidRPr="00B56499">
        <w:rPr>
          <w:rFonts w:ascii="Verdana" w:hAnsi="Verdana"/>
          <w:sz w:val="20"/>
          <w:szCs w:val="20"/>
        </w:rPr>
        <w:t>ctor Gullco propuestos por los representantes, así como del perito Javier Alberto Aguirre Chumbimuni, propuesto por el Estado. Asimismo, se recibieron alegatos finales orales de los representantes y del Estado, así como las observaciones de la Comisión.</w:t>
      </w:r>
    </w:p>
    <w:p w14:paraId="6D172B4F" w14:textId="77777777" w:rsidR="00FB723A" w:rsidRPr="00FB5FF8" w:rsidRDefault="00FB723A" w:rsidP="00FB723A">
      <w:pPr>
        <w:rPr>
          <w:rFonts w:ascii="Verdana" w:hAnsi="Verdana"/>
          <w:sz w:val="20"/>
          <w:szCs w:val="20"/>
        </w:rPr>
      </w:pPr>
    </w:p>
    <w:p w14:paraId="6D172B50" w14:textId="64454B77" w:rsidR="00FB723A" w:rsidRPr="008921FD" w:rsidRDefault="00FB723A" w:rsidP="00FB723A">
      <w:pPr>
        <w:pStyle w:val="ListParagraph"/>
        <w:numPr>
          <w:ilvl w:val="0"/>
          <w:numId w:val="2"/>
        </w:numPr>
        <w:ind w:left="0" w:firstLine="0"/>
        <w:jc w:val="both"/>
        <w:rPr>
          <w:rFonts w:ascii="Verdana" w:hAnsi="Verdana"/>
          <w:sz w:val="20"/>
          <w:szCs w:val="20"/>
        </w:rPr>
      </w:pPr>
      <w:r>
        <w:rPr>
          <w:rFonts w:ascii="Verdana" w:hAnsi="Verdana"/>
          <w:i/>
          <w:sz w:val="20"/>
          <w:szCs w:val="20"/>
        </w:rPr>
        <w:t>A</w:t>
      </w:r>
      <w:r w:rsidRPr="00734D22">
        <w:rPr>
          <w:rFonts w:ascii="Verdana" w:hAnsi="Verdana"/>
          <w:i/>
          <w:sz w:val="20"/>
          <w:szCs w:val="20"/>
        </w:rPr>
        <w:t xml:space="preserve">legatos </w:t>
      </w:r>
      <w:r>
        <w:rPr>
          <w:rFonts w:ascii="Verdana" w:hAnsi="Verdana"/>
          <w:i/>
          <w:sz w:val="20"/>
          <w:szCs w:val="20"/>
        </w:rPr>
        <w:t>y o</w:t>
      </w:r>
      <w:r w:rsidRPr="00734D22">
        <w:rPr>
          <w:rFonts w:ascii="Verdana" w:hAnsi="Verdana"/>
          <w:i/>
          <w:sz w:val="20"/>
          <w:szCs w:val="20"/>
        </w:rPr>
        <w:t>bservaciones finales escrit</w:t>
      </w:r>
      <w:r>
        <w:rPr>
          <w:rFonts w:ascii="Verdana" w:hAnsi="Verdana"/>
          <w:i/>
          <w:sz w:val="20"/>
          <w:szCs w:val="20"/>
        </w:rPr>
        <w:t>a</w:t>
      </w:r>
      <w:r w:rsidRPr="00734D22">
        <w:rPr>
          <w:rFonts w:ascii="Verdana" w:hAnsi="Verdana"/>
          <w:i/>
          <w:sz w:val="20"/>
          <w:szCs w:val="20"/>
        </w:rPr>
        <w:t>s.</w:t>
      </w:r>
      <w:r w:rsidRPr="00734D22">
        <w:rPr>
          <w:rFonts w:ascii="Verdana" w:hAnsi="Verdana"/>
          <w:sz w:val="20"/>
          <w:szCs w:val="20"/>
        </w:rPr>
        <w:t xml:space="preserve"> – El 21 de marzo de 2016 el Estado</w:t>
      </w:r>
      <w:r>
        <w:rPr>
          <w:rFonts w:ascii="Verdana" w:hAnsi="Verdana"/>
          <w:sz w:val="20"/>
          <w:szCs w:val="20"/>
        </w:rPr>
        <w:t xml:space="preserve"> y</w:t>
      </w:r>
      <w:r w:rsidRPr="00734D22">
        <w:rPr>
          <w:rFonts w:ascii="Verdana" w:hAnsi="Verdana"/>
          <w:sz w:val="20"/>
          <w:szCs w:val="20"/>
        </w:rPr>
        <w:t xml:space="preserve"> los representantes presentaron sus alegatos finales escritos y </w:t>
      </w:r>
      <w:r>
        <w:rPr>
          <w:rFonts w:ascii="Verdana" w:hAnsi="Verdana"/>
          <w:sz w:val="20"/>
          <w:szCs w:val="20"/>
        </w:rPr>
        <w:t xml:space="preserve">sus </w:t>
      </w:r>
      <w:r w:rsidRPr="00734D22">
        <w:rPr>
          <w:rFonts w:ascii="Verdana" w:hAnsi="Verdana"/>
          <w:sz w:val="20"/>
          <w:szCs w:val="20"/>
        </w:rPr>
        <w:t xml:space="preserve">anexos, así </w:t>
      </w:r>
      <w:r>
        <w:rPr>
          <w:rFonts w:ascii="Verdana" w:hAnsi="Verdana"/>
          <w:sz w:val="20"/>
          <w:szCs w:val="20"/>
        </w:rPr>
        <w:t>como</w:t>
      </w:r>
      <w:r w:rsidRPr="00734D22">
        <w:rPr>
          <w:rFonts w:ascii="Verdana" w:hAnsi="Verdana"/>
          <w:sz w:val="20"/>
          <w:szCs w:val="20"/>
        </w:rPr>
        <w:t xml:space="preserve"> la Comisión </w:t>
      </w:r>
      <w:r>
        <w:rPr>
          <w:rFonts w:ascii="Verdana" w:hAnsi="Verdana"/>
          <w:sz w:val="20"/>
          <w:szCs w:val="20"/>
        </w:rPr>
        <w:t xml:space="preserve">presentó </w:t>
      </w:r>
      <w:r w:rsidRPr="00734D22">
        <w:rPr>
          <w:rFonts w:ascii="Verdana" w:hAnsi="Verdana"/>
          <w:sz w:val="20"/>
          <w:szCs w:val="20"/>
        </w:rPr>
        <w:t>sus observaciones finales escritas.</w:t>
      </w:r>
    </w:p>
    <w:p w14:paraId="6D172B51" w14:textId="77777777" w:rsidR="00FB723A" w:rsidRPr="006A7FA3" w:rsidRDefault="00FB723A" w:rsidP="00FB723A">
      <w:pPr>
        <w:pStyle w:val="ListParagraph"/>
        <w:ind w:left="0"/>
        <w:jc w:val="both"/>
        <w:rPr>
          <w:rFonts w:ascii="Verdana" w:hAnsi="Verdana"/>
          <w:sz w:val="20"/>
          <w:szCs w:val="20"/>
        </w:rPr>
      </w:pPr>
    </w:p>
    <w:p w14:paraId="6D172B52" w14:textId="1FB29881" w:rsidR="00FB723A" w:rsidRPr="009C7422" w:rsidRDefault="00FB723A" w:rsidP="00FB723A">
      <w:pPr>
        <w:pStyle w:val="ListParagraph"/>
        <w:numPr>
          <w:ilvl w:val="0"/>
          <w:numId w:val="2"/>
        </w:numPr>
        <w:ind w:left="0" w:firstLine="0"/>
        <w:jc w:val="both"/>
        <w:rPr>
          <w:rFonts w:ascii="Verdana" w:hAnsi="Verdana"/>
          <w:sz w:val="20"/>
          <w:szCs w:val="20"/>
        </w:rPr>
      </w:pPr>
      <w:r w:rsidRPr="006A7FA3">
        <w:rPr>
          <w:rFonts w:ascii="Verdana" w:hAnsi="Verdana"/>
          <w:i/>
          <w:sz w:val="20"/>
          <w:szCs w:val="20"/>
        </w:rPr>
        <w:t>Observaciones a los anexos.</w:t>
      </w:r>
      <w:r w:rsidRPr="006A7FA3">
        <w:rPr>
          <w:rFonts w:ascii="Verdana" w:hAnsi="Verdana"/>
          <w:sz w:val="20"/>
          <w:szCs w:val="20"/>
        </w:rPr>
        <w:t xml:space="preserve"> – El 31 de marzo de 2016 la Secretaría de la Corte remitió los anexos a los alegatos finales escritos y solicitó a las partes y a la Comisión las observac</w:t>
      </w:r>
      <w:r w:rsidRPr="00D80987">
        <w:rPr>
          <w:rFonts w:ascii="Verdana" w:hAnsi="Verdana"/>
          <w:sz w:val="20"/>
          <w:szCs w:val="20"/>
        </w:rPr>
        <w:t>iones que estimaren pertinentes</w:t>
      </w:r>
      <w:r w:rsidRPr="00895EAB">
        <w:rPr>
          <w:rFonts w:ascii="Verdana" w:hAnsi="Verdana"/>
          <w:sz w:val="20"/>
          <w:szCs w:val="20"/>
        </w:rPr>
        <w:t xml:space="preserve">. </w:t>
      </w:r>
      <w:r w:rsidRPr="009C7422">
        <w:rPr>
          <w:rFonts w:ascii="Verdana" w:hAnsi="Verdana"/>
          <w:sz w:val="20"/>
          <w:szCs w:val="20"/>
        </w:rPr>
        <w:t xml:space="preserve">Mediante comunicación de 14 de abril de 2016 el Estado objetó algunos anexos. </w:t>
      </w:r>
    </w:p>
    <w:p w14:paraId="6D172B53" w14:textId="77777777" w:rsidR="00FB723A" w:rsidRPr="009C7422" w:rsidRDefault="00FB723A" w:rsidP="00FB723A">
      <w:pPr>
        <w:pStyle w:val="ListParagraph"/>
        <w:rPr>
          <w:rFonts w:ascii="Verdana" w:hAnsi="Verdana"/>
          <w:sz w:val="20"/>
          <w:szCs w:val="20"/>
        </w:rPr>
      </w:pPr>
    </w:p>
    <w:p w14:paraId="6D172B54" w14:textId="2DEC86F2" w:rsidR="00FB723A" w:rsidRPr="009C7422" w:rsidRDefault="00FB723A" w:rsidP="00FB723A">
      <w:pPr>
        <w:pStyle w:val="ListParagraph"/>
        <w:numPr>
          <w:ilvl w:val="0"/>
          <w:numId w:val="2"/>
        </w:numPr>
        <w:ind w:left="0" w:firstLine="0"/>
        <w:jc w:val="both"/>
        <w:rPr>
          <w:rFonts w:ascii="Verdana" w:hAnsi="Verdana"/>
          <w:sz w:val="20"/>
          <w:szCs w:val="20"/>
        </w:rPr>
      </w:pPr>
      <w:r w:rsidRPr="008921FD">
        <w:rPr>
          <w:rFonts w:ascii="Verdana" w:hAnsi="Verdana"/>
          <w:i/>
          <w:sz w:val="20"/>
          <w:szCs w:val="20"/>
        </w:rPr>
        <w:lastRenderedPageBreak/>
        <w:t>Erogaciones</w:t>
      </w:r>
      <w:r w:rsidRPr="008921FD">
        <w:rPr>
          <w:rFonts w:ascii="Verdana" w:hAnsi="Verdana"/>
          <w:sz w:val="20"/>
          <w:szCs w:val="20"/>
        </w:rPr>
        <w:t xml:space="preserve"> </w:t>
      </w:r>
      <w:r w:rsidRPr="00786F4B">
        <w:rPr>
          <w:rFonts w:ascii="Verdana" w:hAnsi="Verdana"/>
          <w:i/>
          <w:sz w:val="20"/>
          <w:szCs w:val="20"/>
        </w:rPr>
        <w:t>en aplicación del</w:t>
      </w:r>
      <w:r w:rsidRPr="008921FD">
        <w:rPr>
          <w:rFonts w:ascii="Verdana" w:hAnsi="Verdana"/>
          <w:sz w:val="20"/>
          <w:szCs w:val="20"/>
        </w:rPr>
        <w:t xml:space="preserve"> </w:t>
      </w:r>
      <w:r w:rsidRPr="00786F4B">
        <w:rPr>
          <w:rFonts w:ascii="Verdana" w:hAnsi="Verdana"/>
          <w:i/>
          <w:sz w:val="20"/>
          <w:szCs w:val="20"/>
        </w:rPr>
        <w:t>Fondo de Asistencia</w:t>
      </w:r>
      <w:r w:rsidRPr="008921FD">
        <w:rPr>
          <w:rFonts w:ascii="Verdana" w:hAnsi="Verdana"/>
          <w:sz w:val="20"/>
          <w:szCs w:val="20"/>
        </w:rPr>
        <w:t xml:space="preserve">. – </w:t>
      </w:r>
      <w:r w:rsidRPr="009C7422">
        <w:rPr>
          <w:rFonts w:ascii="Verdana" w:hAnsi="Verdana"/>
          <w:sz w:val="20"/>
          <w:szCs w:val="20"/>
        </w:rPr>
        <w:t>El 10 de agosto de 2016 la Secretaría</w:t>
      </w:r>
      <w:r w:rsidRPr="008921FD">
        <w:rPr>
          <w:rFonts w:ascii="Verdana" w:hAnsi="Verdana"/>
          <w:sz w:val="20"/>
          <w:szCs w:val="20"/>
        </w:rPr>
        <w:t>, siguiendo instrucciones del Presidente de la Corte, remitió información al Estado sobre las eroga</w:t>
      </w:r>
      <w:r w:rsidRPr="006A7FA3">
        <w:rPr>
          <w:rFonts w:ascii="Verdana" w:hAnsi="Verdana"/>
          <w:sz w:val="20"/>
          <w:szCs w:val="20"/>
        </w:rPr>
        <w:t xml:space="preserve">ciones efectuadas en aplicación del Fondo de Asistencia en el presente caso y, según lo dispuesto en el artículo 5 del Reglamento de la Corte sobre el Funcionamiento del referido Fondo, le otorgó un plazo para presentar las observaciones que estimara pertinentes. El Estado presentó observaciones el </w:t>
      </w:r>
      <w:r w:rsidRPr="009C7422">
        <w:rPr>
          <w:rFonts w:ascii="Verdana" w:hAnsi="Verdana"/>
          <w:sz w:val="20"/>
          <w:szCs w:val="20"/>
        </w:rPr>
        <w:t>19 de agosto de 2016.</w:t>
      </w:r>
    </w:p>
    <w:p w14:paraId="6D172B55" w14:textId="77777777" w:rsidR="00FB723A" w:rsidRPr="008921FD" w:rsidRDefault="00FB723A" w:rsidP="00FB723A">
      <w:pPr>
        <w:pStyle w:val="ListParagraph"/>
        <w:ind w:left="0"/>
        <w:jc w:val="both"/>
        <w:rPr>
          <w:rFonts w:ascii="Verdana" w:hAnsi="Verdana"/>
          <w:sz w:val="20"/>
          <w:szCs w:val="20"/>
        </w:rPr>
      </w:pPr>
    </w:p>
    <w:p w14:paraId="6D172B56" w14:textId="77777777" w:rsidR="00FB723A" w:rsidRDefault="00FB723A" w:rsidP="00FB723A">
      <w:pPr>
        <w:pStyle w:val="ListParagraph"/>
        <w:numPr>
          <w:ilvl w:val="0"/>
          <w:numId w:val="2"/>
        </w:numPr>
        <w:ind w:left="0" w:firstLine="0"/>
        <w:jc w:val="both"/>
        <w:rPr>
          <w:rFonts w:ascii="Verdana" w:hAnsi="Verdana"/>
          <w:sz w:val="20"/>
          <w:szCs w:val="20"/>
        </w:rPr>
      </w:pPr>
      <w:r w:rsidRPr="009C7422">
        <w:rPr>
          <w:rFonts w:ascii="Verdana" w:hAnsi="Verdana"/>
          <w:i/>
          <w:sz w:val="20"/>
          <w:szCs w:val="20"/>
        </w:rPr>
        <w:t>Deliberación del presente caso</w:t>
      </w:r>
      <w:r w:rsidRPr="008921FD">
        <w:rPr>
          <w:rFonts w:ascii="Verdana" w:hAnsi="Verdana"/>
          <w:i/>
          <w:sz w:val="20"/>
          <w:szCs w:val="20"/>
        </w:rPr>
        <w:t>.</w:t>
      </w:r>
      <w:r w:rsidRPr="008921FD">
        <w:rPr>
          <w:rFonts w:ascii="Verdana" w:hAnsi="Verdana"/>
          <w:sz w:val="20"/>
          <w:szCs w:val="20"/>
        </w:rPr>
        <w:t xml:space="preserve"> – La Corte inició la deliberación de</w:t>
      </w:r>
      <w:r w:rsidRPr="00CD6059">
        <w:rPr>
          <w:rFonts w:ascii="Verdana" w:hAnsi="Verdana"/>
          <w:sz w:val="20"/>
          <w:szCs w:val="20"/>
        </w:rPr>
        <w:t xml:space="preserve"> la presente Sentencia </w:t>
      </w:r>
      <w:r w:rsidR="00C94C64">
        <w:rPr>
          <w:rFonts w:ascii="Verdana" w:hAnsi="Verdana"/>
          <w:sz w:val="20"/>
          <w:szCs w:val="20"/>
        </w:rPr>
        <w:t xml:space="preserve">el </w:t>
      </w:r>
      <w:r w:rsidR="000E5422" w:rsidRPr="006231F4">
        <w:rPr>
          <w:rFonts w:ascii="Verdana" w:hAnsi="Verdana"/>
          <w:sz w:val="20"/>
        </w:rPr>
        <w:t>13</w:t>
      </w:r>
      <w:r w:rsidR="00DF1458" w:rsidRPr="006231F4">
        <w:rPr>
          <w:rFonts w:ascii="Verdana" w:hAnsi="Verdana"/>
          <w:sz w:val="20"/>
        </w:rPr>
        <w:t xml:space="preserve"> de febrero </w:t>
      </w:r>
      <w:r>
        <w:rPr>
          <w:rFonts w:ascii="Verdana" w:hAnsi="Verdana"/>
          <w:sz w:val="20"/>
          <w:szCs w:val="20"/>
        </w:rPr>
        <w:t>de 201</w:t>
      </w:r>
      <w:r w:rsidR="00DF1458">
        <w:rPr>
          <w:rFonts w:ascii="Verdana" w:hAnsi="Verdana"/>
          <w:sz w:val="20"/>
          <w:szCs w:val="20"/>
        </w:rPr>
        <w:t>7</w:t>
      </w:r>
      <w:r w:rsidRPr="009F6F45">
        <w:rPr>
          <w:rFonts w:ascii="Verdana" w:hAnsi="Verdana"/>
          <w:sz w:val="20"/>
          <w:szCs w:val="20"/>
        </w:rPr>
        <w:t>.</w:t>
      </w:r>
      <w:r>
        <w:rPr>
          <w:rFonts w:ascii="Verdana" w:hAnsi="Verdana"/>
          <w:sz w:val="20"/>
          <w:szCs w:val="20"/>
        </w:rPr>
        <w:t xml:space="preserve"> </w:t>
      </w:r>
    </w:p>
    <w:p w14:paraId="6D172B57" w14:textId="77777777" w:rsidR="00FB723A" w:rsidRPr="00786F4B" w:rsidRDefault="00FB723A" w:rsidP="00FB723A">
      <w:pPr>
        <w:pStyle w:val="ListParagraph"/>
        <w:rPr>
          <w:rFonts w:ascii="Verdana" w:hAnsi="Verdana"/>
          <w:sz w:val="20"/>
          <w:szCs w:val="20"/>
        </w:rPr>
      </w:pPr>
    </w:p>
    <w:p w14:paraId="6D172B58" w14:textId="77777777" w:rsidR="00FB723A" w:rsidRDefault="00FB723A" w:rsidP="00FB723A">
      <w:pPr>
        <w:pStyle w:val="Heading1"/>
        <w:tabs>
          <w:tab w:val="left" w:pos="851"/>
        </w:tabs>
        <w:spacing w:before="0"/>
        <w:jc w:val="center"/>
        <w:rPr>
          <w:rFonts w:ascii="Verdana" w:hAnsi="Verdana" w:cs="Verdana"/>
          <w:caps/>
          <w:snapToGrid w:val="0"/>
          <w:color w:val="auto"/>
          <w:sz w:val="20"/>
          <w:szCs w:val="20"/>
        </w:rPr>
      </w:pPr>
      <w:bookmarkStart w:id="3" w:name="_Toc437960385"/>
      <w:bookmarkStart w:id="4" w:name="_Toc482093014"/>
      <w:r w:rsidRPr="009F6F45">
        <w:rPr>
          <w:rFonts w:ascii="Verdana" w:hAnsi="Verdana" w:cs="Verdana"/>
          <w:caps/>
          <w:snapToGrid w:val="0"/>
          <w:color w:val="auto"/>
          <w:sz w:val="20"/>
          <w:szCs w:val="20"/>
        </w:rPr>
        <w:t>III</w:t>
      </w:r>
      <w:r w:rsidRPr="009F6F45">
        <w:rPr>
          <w:rFonts w:ascii="Verdana" w:hAnsi="Verdana" w:cs="Verdana"/>
          <w:caps/>
          <w:snapToGrid w:val="0"/>
          <w:color w:val="auto"/>
          <w:sz w:val="20"/>
          <w:szCs w:val="20"/>
        </w:rPr>
        <w:br/>
        <w:t>COMPETENCIA</w:t>
      </w:r>
      <w:bookmarkEnd w:id="3"/>
      <w:bookmarkEnd w:id="4"/>
    </w:p>
    <w:p w14:paraId="6D172B59" w14:textId="77777777" w:rsidR="00FB723A" w:rsidRPr="006C3B8D" w:rsidRDefault="00FB723A" w:rsidP="00FB723A"/>
    <w:p w14:paraId="6D172B5A" w14:textId="61C06636" w:rsidR="00FB723A" w:rsidRPr="00844E7B" w:rsidRDefault="00FB723A" w:rsidP="00FB723A">
      <w:pPr>
        <w:pStyle w:val="ListParagraph"/>
        <w:numPr>
          <w:ilvl w:val="0"/>
          <w:numId w:val="2"/>
        </w:numPr>
        <w:ind w:left="0" w:firstLine="0"/>
        <w:jc w:val="both"/>
        <w:rPr>
          <w:rFonts w:ascii="Verdana" w:hAnsi="Verdana"/>
          <w:sz w:val="20"/>
          <w:szCs w:val="20"/>
        </w:rPr>
      </w:pPr>
      <w:r w:rsidRPr="00844E7B">
        <w:rPr>
          <w:rFonts w:ascii="Verdana" w:hAnsi="Verdana"/>
          <w:sz w:val="20"/>
          <w:szCs w:val="20"/>
          <w:lang w:val="es-ES"/>
        </w:rPr>
        <w:t>La</w:t>
      </w:r>
      <w:r w:rsidRPr="00844E7B">
        <w:rPr>
          <w:rFonts w:ascii="Verdana" w:eastAsia="Times New Roman" w:hAnsi="Verdana"/>
          <w:sz w:val="20"/>
          <w:szCs w:val="20"/>
          <w:lang w:val="es-ES"/>
        </w:rPr>
        <w:t xml:space="preserve"> Corte es competente para conocer del presente caso en los términos del artículo 62.3 de la Convención Americana, </w:t>
      </w:r>
      <w:r w:rsidR="00890046">
        <w:rPr>
          <w:rFonts w:ascii="Verdana" w:eastAsia="Times New Roman" w:hAnsi="Verdana"/>
          <w:sz w:val="20"/>
          <w:szCs w:val="20"/>
          <w:lang w:val="es-ES"/>
        </w:rPr>
        <w:t xml:space="preserve">en razón de </w:t>
      </w:r>
      <w:r w:rsidRPr="00844E7B">
        <w:rPr>
          <w:rFonts w:ascii="Verdana" w:eastAsia="Times New Roman" w:hAnsi="Verdana"/>
          <w:sz w:val="20"/>
          <w:szCs w:val="20"/>
          <w:lang w:val="es-ES"/>
        </w:rPr>
        <w:t>que Perú</w:t>
      </w:r>
      <w:r w:rsidR="00890046">
        <w:rPr>
          <w:rFonts w:ascii="Verdana" w:eastAsia="Times New Roman" w:hAnsi="Verdana"/>
          <w:sz w:val="20"/>
          <w:szCs w:val="20"/>
          <w:lang w:val="es-ES"/>
        </w:rPr>
        <w:t xml:space="preserve"> es Estado Parte de dicho instrumento desde el </w:t>
      </w:r>
      <w:r w:rsidRPr="00844E7B">
        <w:rPr>
          <w:rFonts w:ascii="Verdana" w:eastAsia="Times New Roman" w:hAnsi="Verdana"/>
          <w:sz w:val="20"/>
          <w:szCs w:val="20"/>
          <w:lang w:val="es-ES"/>
        </w:rPr>
        <w:t>28 de julio de 1978 y reconoció la competencia contenciosa de la Corte el 21 de enero de 1981.</w:t>
      </w:r>
    </w:p>
    <w:p w14:paraId="6D172B5B" w14:textId="77777777" w:rsidR="00FB723A" w:rsidRPr="009F6F45" w:rsidRDefault="00FB723A" w:rsidP="00FB723A">
      <w:pPr>
        <w:pStyle w:val="ListParagraph"/>
        <w:ind w:left="0"/>
        <w:jc w:val="both"/>
        <w:rPr>
          <w:rFonts w:ascii="Verdana" w:hAnsi="Verdana"/>
          <w:sz w:val="20"/>
          <w:szCs w:val="20"/>
          <w:lang w:val="es-ES"/>
        </w:rPr>
      </w:pPr>
    </w:p>
    <w:p w14:paraId="6D172B5C" w14:textId="77777777" w:rsidR="00FB723A" w:rsidRDefault="00FB723A" w:rsidP="00FB723A">
      <w:pPr>
        <w:pStyle w:val="Heading1"/>
        <w:tabs>
          <w:tab w:val="left" w:pos="851"/>
        </w:tabs>
        <w:spacing w:before="0"/>
        <w:jc w:val="center"/>
        <w:rPr>
          <w:rFonts w:ascii="Verdana" w:hAnsi="Verdana" w:cs="Verdana"/>
          <w:caps/>
          <w:snapToGrid w:val="0"/>
          <w:color w:val="auto"/>
          <w:sz w:val="20"/>
          <w:szCs w:val="20"/>
        </w:rPr>
      </w:pPr>
      <w:bookmarkStart w:id="5" w:name="_Toc437960386"/>
      <w:bookmarkStart w:id="6" w:name="_Toc482093015"/>
      <w:r w:rsidRPr="009F6F45">
        <w:rPr>
          <w:rFonts w:ascii="Verdana" w:hAnsi="Verdana" w:cs="Verdana"/>
          <w:caps/>
          <w:snapToGrid w:val="0"/>
          <w:color w:val="auto"/>
          <w:sz w:val="20"/>
          <w:szCs w:val="20"/>
        </w:rPr>
        <w:t>iV</w:t>
      </w:r>
      <w:r w:rsidRPr="009F6F45">
        <w:rPr>
          <w:rFonts w:ascii="Verdana" w:hAnsi="Verdana" w:cs="Verdana"/>
          <w:caps/>
          <w:snapToGrid w:val="0"/>
          <w:color w:val="auto"/>
          <w:sz w:val="20"/>
          <w:szCs w:val="20"/>
        </w:rPr>
        <w:br/>
        <w:t>EXCEPCIONES PRELIMINARES</w:t>
      </w:r>
      <w:bookmarkEnd w:id="5"/>
      <w:bookmarkEnd w:id="6"/>
    </w:p>
    <w:p w14:paraId="6D172B5D" w14:textId="77777777" w:rsidR="00FB723A" w:rsidRPr="006C3B8D" w:rsidRDefault="00FB723A" w:rsidP="00FB723A"/>
    <w:p w14:paraId="6D172B5E" w14:textId="4AFCE9EB" w:rsidR="00FB723A" w:rsidRPr="00A659C5" w:rsidRDefault="00FB723A" w:rsidP="00FB723A">
      <w:pPr>
        <w:pStyle w:val="ListParagraph"/>
        <w:numPr>
          <w:ilvl w:val="0"/>
          <w:numId w:val="2"/>
        </w:numPr>
        <w:ind w:left="0" w:firstLine="0"/>
        <w:jc w:val="both"/>
        <w:rPr>
          <w:rFonts w:ascii="Verdana" w:hAnsi="Verdana"/>
          <w:sz w:val="20"/>
          <w:szCs w:val="20"/>
          <w:lang w:val="es-ES"/>
        </w:rPr>
      </w:pPr>
      <w:r w:rsidRPr="00F57829">
        <w:rPr>
          <w:rFonts w:ascii="Verdana" w:hAnsi="Verdana"/>
          <w:sz w:val="20"/>
          <w:szCs w:val="20"/>
          <w:lang w:val="es-CR"/>
        </w:rPr>
        <w:t>El Estado</w:t>
      </w:r>
      <w:r w:rsidRPr="00F57829">
        <w:rPr>
          <w:rFonts w:ascii="Verdana" w:hAnsi="Verdana"/>
          <w:i/>
          <w:sz w:val="20"/>
          <w:szCs w:val="20"/>
          <w:lang w:val="es-CR"/>
        </w:rPr>
        <w:t xml:space="preserve"> </w:t>
      </w:r>
      <w:r w:rsidRPr="00F57829">
        <w:rPr>
          <w:rFonts w:ascii="Verdana" w:hAnsi="Verdana"/>
          <w:sz w:val="20"/>
          <w:szCs w:val="20"/>
          <w:lang w:val="es-CR"/>
        </w:rPr>
        <w:t xml:space="preserve">alegó expresamente dos </w:t>
      </w:r>
      <w:r w:rsidRPr="00F57829">
        <w:rPr>
          <w:rFonts w:ascii="Verdana" w:hAnsi="Verdana"/>
          <w:sz w:val="20"/>
          <w:szCs w:val="20"/>
          <w:lang w:val="es-MX"/>
        </w:rPr>
        <w:t>excepciones preliminares, a saber:</w:t>
      </w:r>
      <w:r>
        <w:rPr>
          <w:rFonts w:ascii="Verdana" w:hAnsi="Verdana"/>
          <w:sz w:val="20"/>
          <w:szCs w:val="20"/>
          <w:lang w:val="es-MX"/>
        </w:rPr>
        <w:t xml:space="preserve"> a</w:t>
      </w:r>
      <w:r w:rsidRPr="00F57829">
        <w:rPr>
          <w:rFonts w:ascii="Verdana" w:hAnsi="Verdana"/>
          <w:sz w:val="20"/>
          <w:szCs w:val="20"/>
          <w:lang w:val="es-MX"/>
        </w:rPr>
        <w:t xml:space="preserve">) falta de agotamiento de recursos internos, y </w:t>
      </w:r>
      <w:r>
        <w:rPr>
          <w:rFonts w:ascii="Verdana" w:hAnsi="Verdana"/>
          <w:sz w:val="20"/>
          <w:szCs w:val="20"/>
          <w:lang w:val="es-MX"/>
        </w:rPr>
        <w:t>b</w:t>
      </w:r>
      <w:r w:rsidRPr="00F57829">
        <w:rPr>
          <w:rFonts w:ascii="Verdana" w:hAnsi="Verdana"/>
          <w:sz w:val="20"/>
          <w:szCs w:val="20"/>
          <w:lang w:val="es-MX"/>
        </w:rPr>
        <w:t>) vencimiento del plazo de seis meses para interponer la petición</w:t>
      </w:r>
      <w:r w:rsidR="00181F1C">
        <w:rPr>
          <w:rFonts w:ascii="Verdana" w:hAnsi="Verdana"/>
          <w:sz w:val="20"/>
          <w:szCs w:val="20"/>
          <w:lang w:val="es-MX"/>
        </w:rPr>
        <w:t xml:space="preserve"> a partir del recurso de nulidad</w:t>
      </w:r>
      <w:r w:rsidRPr="00F57829">
        <w:rPr>
          <w:rFonts w:ascii="Verdana" w:hAnsi="Verdana"/>
          <w:sz w:val="20"/>
          <w:szCs w:val="20"/>
          <w:lang w:val="es-MX"/>
        </w:rPr>
        <w:t>.</w:t>
      </w:r>
      <w:r>
        <w:rPr>
          <w:rFonts w:ascii="Verdana" w:hAnsi="Verdana"/>
          <w:sz w:val="20"/>
          <w:szCs w:val="20"/>
          <w:lang w:val="es-MX"/>
        </w:rPr>
        <w:t xml:space="preserve"> </w:t>
      </w:r>
    </w:p>
    <w:p w14:paraId="6D172B5F" w14:textId="77777777" w:rsidR="00FB723A" w:rsidRPr="00A659C5" w:rsidRDefault="00FB723A" w:rsidP="00FB723A">
      <w:pPr>
        <w:pStyle w:val="ListParagraph"/>
        <w:ind w:left="0"/>
        <w:jc w:val="both"/>
        <w:rPr>
          <w:rFonts w:ascii="Verdana" w:hAnsi="Verdana"/>
          <w:sz w:val="20"/>
          <w:szCs w:val="20"/>
          <w:lang w:val="es-ES"/>
        </w:rPr>
      </w:pPr>
    </w:p>
    <w:p w14:paraId="6D172B60" w14:textId="0F389551" w:rsidR="00FB723A" w:rsidRDefault="00FB723A" w:rsidP="00FB723A">
      <w:pPr>
        <w:pStyle w:val="ListParagraph"/>
        <w:numPr>
          <w:ilvl w:val="0"/>
          <w:numId w:val="2"/>
        </w:numPr>
        <w:ind w:left="0" w:firstLine="0"/>
        <w:jc w:val="both"/>
        <w:rPr>
          <w:rFonts w:ascii="Verdana" w:hAnsi="Verdana"/>
          <w:sz w:val="20"/>
          <w:szCs w:val="20"/>
          <w:lang w:val="es-ES"/>
        </w:rPr>
      </w:pPr>
      <w:r w:rsidRPr="00730BD4">
        <w:rPr>
          <w:rFonts w:ascii="Verdana" w:hAnsi="Verdana"/>
          <w:sz w:val="20"/>
          <w:szCs w:val="20"/>
          <w:lang w:val="es-MX"/>
        </w:rPr>
        <w:t xml:space="preserve">Al respecto, </w:t>
      </w:r>
      <w:r w:rsidRPr="00730BD4">
        <w:rPr>
          <w:rFonts w:ascii="Verdana" w:hAnsi="Verdana"/>
          <w:sz w:val="20"/>
          <w:szCs w:val="20"/>
          <w:lang w:val="es-CR"/>
        </w:rPr>
        <w:t xml:space="preserve">la Corte ha afirmado que las excepciones preliminares son </w:t>
      </w:r>
      <w:r w:rsidR="00273BAE" w:rsidRPr="000A0953">
        <w:rPr>
          <w:rFonts w:ascii="Verdana" w:hAnsi="Verdana"/>
          <w:sz w:val="20"/>
          <w:lang w:val="es-CR"/>
        </w:rPr>
        <w:t>objeciones a la admisibilidad</w:t>
      </w:r>
      <w:r w:rsidR="00273BAE" w:rsidRPr="00730BD4">
        <w:rPr>
          <w:rFonts w:ascii="Verdana" w:hAnsi="Verdana"/>
          <w:sz w:val="20"/>
          <w:szCs w:val="20"/>
          <w:lang w:val="es-CR"/>
        </w:rPr>
        <w:t xml:space="preserve"> </w:t>
      </w:r>
      <w:r w:rsidRPr="00402471">
        <w:rPr>
          <w:rFonts w:ascii="Verdana" w:hAnsi="Verdana"/>
          <w:sz w:val="20"/>
          <w:szCs w:val="20"/>
          <w:lang w:val="es-CR"/>
        </w:rPr>
        <w:t>de una demanda o la competencia del Tribunal para conocer de un determinado caso o de alguno de sus aspectos, ya sea en razón de la persona, materia, tiempo o lugar, siempre y cuando dichos planteamientos tengan el carácter de preliminares</w:t>
      </w:r>
      <w:r>
        <w:rPr>
          <w:rStyle w:val="FootnoteReference"/>
          <w:szCs w:val="20"/>
        </w:rPr>
        <w:footnoteReference w:id="8"/>
      </w:r>
      <w:r w:rsidRPr="00730BD4">
        <w:rPr>
          <w:rFonts w:ascii="Verdana" w:hAnsi="Verdana"/>
          <w:sz w:val="20"/>
          <w:szCs w:val="20"/>
          <w:lang w:val="es-CR"/>
        </w:rPr>
        <w:t>.</w:t>
      </w:r>
      <w:r>
        <w:rPr>
          <w:rFonts w:ascii="Verdana" w:hAnsi="Verdana"/>
          <w:sz w:val="20"/>
          <w:szCs w:val="20"/>
          <w:lang w:val="es-ES"/>
        </w:rPr>
        <w:t xml:space="preserve"> </w:t>
      </w:r>
      <w:r w:rsidRPr="00730BD4">
        <w:rPr>
          <w:rFonts w:ascii="Verdana" w:hAnsi="Verdana"/>
          <w:sz w:val="20"/>
          <w:szCs w:val="20"/>
          <w:lang w:val="es-MX"/>
        </w:rPr>
        <w:t>En tal sentido, por su fundamento</w:t>
      </w:r>
      <w:r>
        <w:rPr>
          <w:rFonts w:ascii="Verdana" w:hAnsi="Verdana"/>
          <w:sz w:val="20"/>
          <w:szCs w:val="20"/>
          <w:lang w:val="es-MX"/>
        </w:rPr>
        <w:t xml:space="preserve">, </w:t>
      </w:r>
      <w:r w:rsidRPr="00730BD4">
        <w:rPr>
          <w:rFonts w:ascii="Verdana" w:hAnsi="Verdana"/>
          <w:sz w:val="20"/>
          <w:szCs w:val="20"/>
          <w:lang w:val="es-MX"/>
        </w:rPr>
        <w:t>también será analizad</w:t>
      </w:r>
      <w:r>
        <w:rPr>
          <w:rFonts w:ascii="Verdana" w:hAnsi="Verdana"/>
          <w:sz w:val="20"/>
          <w:szCs w:val="20"/>
          <w:lang w:val="es-MX"/>
        </w:rPr>
        <w:t>a</w:t>
      </w:r>
      <w:r w:rsidRPr="00730BD4">
        <w:rPr>
          <w:rFonts w:ascii="Verdana" w:hAnsi="Verdana"/>
          <w:sz w:val="20"/>
          <w:szCs w:val="20"/>
          <w:lang w:val="es-MX"/>
        </w:rPr>
        <w:t xml:space="preserve"> </w:t>
      </w:r>
      <w:r>
        <w:rPr>
          <w:rFonts w:ascii="Verdana" w:hAnsi="Verdana"/>
          <w:sz w:val="20"/>
          <w:szCs w:val="20"/>
          <w:lang w:val="es-MX"/>
        </w:rPr>
        <w:t>como</w:t>
      </w:r>
      <w:r w:rsidRPr="00730BD4">
        <w:rPr>
          <w:rFonts w:ascii="Verdana" w:hAnsi="Verdana"/>
          <w:sz w:val="20"/>
          <w:szCs w:val="20"/>
          <w:lang w:val="es-MX"/>
        </w:rPr>
        <w:t xml:space="preserve"> excepci</w:t>
      </w:r>
      <w:r>
        <w:rPr>
          <w:rFonts w:ascii="Verdana" w:hAnsi="Verdana"/>
          <w:sz w:val="20"/>
          <w:szCs w:val="20"/>
          <w:lang w:val="es-MX"/>
        </w:rPr>
        <w:t>ón</w:t>
      </w:r>
      <w:r w:rsidRPr="00730BD4">
        <w:rPr>
          <w:rFonts w:ascii="Verdana" w:hAnsi="Verdana"/>
          <w:sz w:val="20"/>
          <w:szCs w:val="20"/>
          <w:lang w:val="es-MX"/>
        </w:rPr>
        <w:t xml:space="preserve"> preliminar </w:t>
      </w:r>
      <w:r>
        <w:rPr>
          <w:rFonts w:ascii="Verdana" w:hAnsi="Verdana"/>
          <w:sz w:val="20"/>
          <w:szCs w:val="20"/>
          <w:lang w:val="es-MX"/>
        </w:rPr>
        <w:t>el alegato del Estado referente a: c) la</w:t>
      </w:r>
      <w:r>
        <w:rPr>
          <w:rFonts w:ascii="Verdana" w:hAnsi="Verdana"/>
          <w:sz w:val="20"/>
          <w:szCs w:val="20"/>
          <w:lang w:val="es-ES"/>
        </w:rPr>
        <w:t xml:space="preserve"> </w:t>
      </w:r>
      <w:r w:rsidRPr="00402471">
        <w:rPr>
          <w:rFonts w:ascii="Verdana" w:hAnsi="Verdana"/>
          <w:sz w:val="20"/>
          <w:szCs w:val="20"/>
          <w:lang w:val="es-ES"/>
        </w:rPr>
        <w:t>cuarta instancia</w:t>
      </w:r>
      <w:r>
        <w:rPr>
          <w:rFonts w:ascii="Verdana" w:hAnsi="Verdana"/>
          <w:sz w:val="20"/>
          <w:szCs w:val="20"/>
          <w:lang w:val="es-ES"/>
        </w:rPr>
        <w:t xml:space="preserve">. </w:t>
      </w:r>
    </w:p>
    <w:p w14:paraId="6D172B61" w14:textId="77777777" w:rsidR="00FB723A" w:rsidRPr="00F57829" w:rsidRDefault="00FB723A" w:rsidP="00FB723A">
      <w:pPr>
        <w:pStyle w:val="ListParagraph"/>
        <w:ind w:left="0"/>
        <w:jc w:val="both"/>
        <w:rPr>
          <w:rFonts w:ascii="Verdana" w:hAnsi="Verdana"/>
          <w:b/>
          <w:sz w:val="20"/>
          <w:szCs w:val="20"/>
          <w:lang w:val="es-ES"/>
        </w:rPr>
      </w:pPr>
      <w:r>
        <w:rPr>
          <w:rFonts w:ascii="Verdana" w:hAnsi="Verdana"/>
          <w:b/>
          <w:sz w:val="20"/>
          <w:szCs w:val="20"/>
          <w:lang w:val="es-ES"/>
        </w:rPr>
        <w:tab/>
      </w:r>
    </w:p>
    <w:p w14:paraId="6D172B62" w14:textId="77777777" w:rsidR="00FB723A" w:rsidRPr="00DF66CC" w:rsidRDefault="00FB723A" w:rsidP="00FB723A">
      <w:pPr>
        <w:pStyle w:val="Heading2"/>
        <w:numPr>
          <w:ilvl w:val="0"/>
          <w:numId w:val="1"/>
        </w:numPr>
        <w:spacing w:before="0"/>
        <w:jc w:val="both"/>
        <w:rPr>
          <w:rFonts w:ascii="Verdana" w:hAnsi="Verdana"/>
          <w:i/>
          <w:sz w:val="20"/>
          <w:szCs w:val="20"/>
          <w:lang w:val="es-MX"/>
        </w:rPr>
      </w:pPr>
      <w:bookmarkStart w:id="7" w:name="_Toc482093016"/>
      <w:r w:rsidRPr="00DF66CC">
        <w:rPr>
          <w:rFonts w:ascii="Verdana" w:hAnsi="Verdana"/>
          <w:i/>
          <w:color w:val="auto"/>
          <w:sz w:val="20"/>
          <w:szCs w:val="20"/>
        </w:rPr>
        <w:t>Falta de agotamiento de recursos internos</w:t>
      </w:r>
      <w:bookmarkEnd w:id="7"/>
    </w:p>
    <w:p w14:paraId="6D172B63" w14:textId="77777777" w:rsidR="00FB723A" w:rsidRPr="000A0953" w:rsidRDefault="00FB723A" w:rsidP="00FB723A">
      <w:pPr>
        <w:jc w:val="both"/>
        <w:rPr>
          <w:rFonts w:ascii="Verdana" w:hAnsi="Verdana"/>
          <w:sz w:val="20"/>
          <w:szCs w:val="20"/>
          <w:lang w:val="es-MX"/>
        </w:rPr>
      </w:pPr>
    </w:p>
    <w:p w14:paraId="6D172B64" w14:textId="08C4FA14" w:rsidR="00FB723A" w:rsidRPr="00E114CC" w:rsidRDefault="00FB723A" w:rsidP="006231F4">
      <w:pPr>
        <w:pStyle w:val="Heading3"/>
        <w:numPr>
          <w:ilvl w:val="0"/>
          <w:numId w:val="19"/>
        </w:numPr>
        <w:spacing w:before="0"/>
        <w:jc w:val="both"/>
        <w:rPr>
          <w:rFonts w:ascii="Verdana" w:hAnsi="Verdana"/>
          <w:i/>
          <w:color w:val="auto"/>
          <w:sz w:val="20"/>
          <w:szCs w:val="20"/>
          <w:lang w:val="es-MX"/>
        </w:rPr>
      </w:pPr>
      <w:r w:rsidRPr="00E114CC">
        <w:rPr>
          <w:rFonts w:ascii="Verdana" w:hAnsi="Verdana"/>
          <w:i/>
          <w:color w:val="auto"/>
          <w:sz w:val="20"/>
          <w:szCs w:val="20"/>
          <w:lang w:val="es-MX"/>
        </w:rPr>
        <w:t xml:space="preserve"> </w:t>
      </w:r>
      <w:bookmarkStart w:id="8" w:name="_Toc482093017"/>
      <w:r w:rsidRPr="00E114CC">
        <w:rPr>
          <w:rFonts w:ascii="Verdana" w:hAnsi="Verdana"/>
          <w:i/>
          <w:color w:val="auto"/>
          <w:sz w:val="20"/>
          <w:szCs w:val="20"/>
          <w:lang w:val="es-MX"/>
        </w:rPr>
        <w:t>Argumentos de la</w:t>
      </w:r>
      <w:r w:rsidR="00C95838" w:rsidRPr="000A0953">
        <w:rPr>
          <w:rFonts w:ascii="Verdana" w:hAnsi="Verdana"/>
          <w:i/>
          <w:color w:val="auto"/>
          <w:sz w:val="20"/>
          <w:szCs w:val="20"/>
          <w:lang w:val="es-MX"/>
        </w:rPr>
        <w:t xml:space="preserve">s partes y de </w:t>
      </w:r>
      <w:r w:rsidR="00C95838" w:rsidRPr="000A0953">
        <w:rPr>
          <w:rFonts w:ascii="Verdana" w:hAnsi="Verdana"/>
          <w:i/>
          <w:color w:val="auto"/>
          <w:sz w:val="20"/>
          <w:lang w:val="es-MX"/>
        </w:rPr>
        <w:t>la</w:t>
      </w:r>
      <w:r w:rsidRPr="00E114CC">
        <w:rPr>
          <w:rFonts w:ascii="Verdana" w:hAnsi="Verdana"/>
          <w:i/>
          <w:color w:val="auto"/>
          <w:sz w:val="20"/>
          <w:szCs w:val="20"/>
          <w:lang w:val="es-MX"/>
        </w:rPr>
        <w:t xml:space="preserve"> Comisión</w:t>
      </w:r>
      <w:bookmarkEnd w:id="8"/>
    </w:p>
    <w:p w14:paraId="6D172B65" w14:textId="77777777" w:rsidR="00FB723A" w:rsidRPr="00DF66CC" w:rsidRDefault="00FB723A" w:rsidP="00FB723A">
      <w:pPr>
        <w:jc w:val="both"/>
        <w:rPr>
          <w:rFonts w:ascii="Verdana" w:hAnsi="Verdana"/>
          <w:b/>
          <w:sz w:val="20"/>
          <w:szCs w:val="20"/>
          <w:lang w:val="es-MX"/>
        </w:rPr>
      </w:pPr>
    </w:p>
    <w:p w14:paraId="6D172B66" w14:textId="19D3BB14" w:rsidR="00FB723A" w:rsidRPr="00844E7B" w:rsidRDefault="00FB723A" w:rsidP="00FB723A">
      <w:pPr>
        <w:pStyle w:val="ListParagraph"/>
        <w:numPr>
          <w:ilvl w:val="0"/>
          <w:numId w:val="2"/>
        </w:numPr>
        <w:ind w:left="0" w:firstLine="0"/>
        <w:jc w:val="both"/>
        <w:rPr>
          <w:rFonts w:ascii="Verdana" w:hAnsi="Verdana"/>
          <w:sz w:val="20"/>
          <w:szCs w:val="20"/>
          <w:lang w:val="es-MX"/>
        </w:rPr>
      </w:pPr>
      <w:r w:rsidRPr="00844E7B">
        <w:rPr>
          <w:rFonts w:ascii="Verdana" w:hAnsi="Verdana"/>
          <w:sz w:val="20"/>
          <w:szCs w:val="20"/>
          <w:lang w:val="es-MX"/>
        </w:rPr>
        <w:t xml:space="preserve">El </w:t>
      </w:r>
      <w:r w:rsidRPr="00844E7B">
        <w:rPr>
          <w:rFonts w:ascii="Verdana" w:hAnsi="Verdana"/>
          <w:b/>
          <w:i/>
          <w:sz w:val="20"/>
          <w:szCs w:val="20"/>
          <w:lang w:val="es-MX"/>
        </w:rPr>
        <w:t>Estado</w:t>
      </w:r>
      <w:r w:rsidRPr="00844E7B">
        <w:rPr>
          <w:rFonts w:ascii="Verdana" w:hAnsi="Verdana"/>
          <w:sz w:val="20"/>
          <w:szCs w:val="20"/>
          <w:lang w:val="es-MX"/>
        </w:rPr>
        <w:t xml:space="preserve"> argumentó que el señor Zegarra Marín no cumplió con el requisito de interponer y agotar los recursos que la jurisdicción interna le proveía, de acuerdo con lo establecido por el artículo 46.1.a) de la Convención. En este sentido, el Estado consideró que la presunta víctima tuvo la oportunidad de presentar una demanda de amparo contra las resoluciones que</w:t>
      </w:r>
      <w:r w:rsidR="00562FA5">
        <w:rPr>
          <w:rFonts w:ascii="Verdana" w:hAnsi="Verdana"/>
          <w:sz w:val="20"/>
          <w:szCs w:val="20"/>
          <w:lang w:val="es-MX"/>
        </w:rPr>
        <w:t>,</w:t>
      </w:r>
      <w:r w:rsidRPr="00844E7B">
        <w:rPr>
          <w:rFonts w:ascii="Verdana" w:hAnsi="Verdana"/>
          <w:sz w:val="20"/>
          <w:szCs w:val="20"/>
          <w:lang w:val="es-MX"/>
        </w:rPr>
        <w:t xml:space="preserve"> bajo su criterio</w:t>
      </w:r>
      <w:r w:rsidR="00562FA5">
        <w:rPr>
          <w:rFonts w:ascii="Verdana" w:hAnsi="Verdana"/>
          <w:sz w:val="20"/>
          <w:szCs w:val="20"/>
          <w:lang w:val="es-MX"/>
        </w:rPr>
        <w:t>,</w:t>
      </w:r>
      <w:r w:rsidRPr="00844E7B">
        <w:rPr>
          <w:rFonts w:ascii="Verdana" w:hAnsi="Verdana"/>
          <w:sz w:val="20"/>
          <w:szCs w:val="20"/>
          <w:lang w:val="es-MX"/>
        </w:rPr>
        <w:t xml:space="preserve"> habían lesionado sus derechos. Al respecto, destacó que la Corte ha establecido que un recurso extraordinario no necesariamente debe ser siempre agotado, con lo cual la jurisprudencia no descarta tajantemente que, de acuerdo con las particularidades del caso en concreto, resulte aplicable la exigencia del agotamiento de un recurso extraordinario. De esta forma, si bien es cierto</w:t>
      </w:r>
      <w:r>
        <w:rPr>
          <w:rFonts w:ascii="Verdana" w:hAnsi="Verdana"/>
          <w:sz w:val="20"/>
          <w:szCs w:val="20"/>
          <w:lang w:val="es-MX"/>
        </w:rPr>
        <w:t xml:space="preserve"> </w:t>
      </w:r>
      <w:r w:rsidR="00C95838">
        <w:rPr>
          <w:rFonts w:ascii="Verdana" w:hAnsi="Verdana"/>
          <w:sz w:val="20"/>
          <w:szCs w:val="20"/>
          <w:lang w:val="es-MX"/>
        </w:rPr>
        <w:t xml:space="preserve">que </w:t>
      </w:r>
      <w:r w:rsidRPr="00844E7B">
        <w:rPr>
          <w:rFonts w:ascii="Verdana" w:hAnsi="Verdana"/>
          <w:sz w:val="20"/>
          <w:szCs w:val="20"/>
          <w:lang w:val="es-MX"/>
        </w:rPr>
        <w:t xml:space="preserve">el amparo es un recurso extraordinario, debido a la naturaleza de las afectaciones alegadas, la presunta víctima debió interponer </w:t>
      </w:r>
      <w:r>
        <w:rPr>
          <w:rFonts w:ascii="Verdana" w:hAnsi="Verdana"/>
          <w:sz w:val="20"/>
          <w:szCs w:val="20"/>
          <w:lang w:val="es-MX"/>
        </w:rPr>
        <w:t>una</w:t>
      </w:r>
      <w:r w:rsidRPr="00844E7B">
        <w:rPr>
          <w:rFonts w:ascii="Verdana" w:hAnsi="Verdana"/>
          <w:sz w:val="20"/>
          <w:szCs w:val="20"/>
          <w:lang w:val="es-MX"/>
        </w:rPr>
        <w:t xml:space="preserve"> demanda de amparo, y al no hacerlo incumplió dicho requisito de admisibilidad.</w:t>
      </w:r>
    </w:p>
    <w:p w14:paraId="6D172B67" w14:textId="77777777" w:rsidR="00FB723A" w:rsidRPr="00844E7B" w:rsidRDefault="00FB723A" w:rsidP="00FB723A">
      <w:pPr>
        <w:pStyle w:val="ListParagraph"/>
        <w:ind w:left="0"/>
        <w:jc w:val="both"/>
        <w:rPr>
          <w:rFonts w:ascii="Verdana" w:hAnsi="Verdana"/>
          <w:sz w:val="20"/>
          <w:szCs w:val="20"/>
          <w:lang w:val="es-MX"/>
        </w:rPr>
      </w:pPr>
    </w:p>
    <w:p w14:paraId="6D172B68" w14:textId="60D7B248" w:rsidR="00FB723A" w:rsidRPr="00844E7B" w:rsidRDefault="00FB723A" w:rsidP="00FB723A">
      <w:pPr>
        <w:pStyle w:val="ListParagraph"/>
        <w:numPr>
          <w:ilvl w:val="0"/>
          <w:numId w:val="2"/>
        </w:numPr>
        <w:ind w:left="0" w:firstLine="0"/>
        <w:jc w:val="both"/>
        <w:rPr>
          <w:rFonts w:ascii="Verdana" w:hAnsi="Verdana"/>
          <w:sz w:val="20"/>
          <w:szCs w:val="20"/>
          <w:lang w:val="es-MX"/>
        </w:rPr>
      </w:pPr>
      <w:r w:rsidRPr="00844E7B">
        <w:rPr>
          <w:rFonts w:ascii="Verdana" w:hAnsi="Verdana"/>
          <w:sz w:val="20"/>
          <w:szCs w:val="20"/>
          <w:lang w:val="es-CR"/>
        </w:rPr>
        <w:t xml:space="preserve">Por su parte, la </w:t>
      </w:r>
      <w:r w:rsidRPr="00844E7B">
        <w:rPr>
          <w:rFonts w:ascii="Verdana" w:hAnsi="Verdana"/>
          <w:b/>
          <w:i/>
          <w:sz w:val="20"/>
          <w:szCs w:val="20"/>
          <w:lang w:val="es-CR"/>
        </w:rPr>
        <w:t>Comisión</w:t>
      </w:r>
      <w:r w:rsidRPr="00844E7B">
        <w:rPr>
          <w:rFonts w:ascii="Verdana" w:hAnsi="Verdana"/>
          <w:sz w:val="20"/>
          <w:szCs w:val="20"/>
          <w:lang w:val="es-CR"/>
        </w:rPr>
        <w:t xml:space="preserve"> observó que </w:t>
      </w:r>
      <w:r>
        <w:rPr>
          <w:rFonts w:ascii="Verdana" w:hAnsi="Verdana"/>
          <w:sz w:val="20"/>
          <w:szCs w:val="20"/>
          <w:lang w:val="es-CR"/>
        </w:rPr>
        <w:t>la</w:t>
      </w:r>
      <w:r w:rsidRPr="00844E7B">
        <w:rPr>
          <w:rFonts w:ascii="Verdana" w:hAnsi="Verdana"/>
          <w:sz w:val="20"/>
          <w:szCs w:val="20"/>
          <w:lang w:val="es-CR"/>
        </w:rPr>
        <w:t xml:space="preserve"> excepción </w:t>
      </w:r>
      <w:r w:rsidR="00562FA5">
        <w:rPr>
          <w:rFonts w:ascii="Verdana" w:hAnsi="Verdana"/>
          <w:sz w:val="20"/>
          <w:szCs w:val="20"/>
          <w:lang w:val="es-CR"/>
        </w:rPr>
        <w:t xml:space="preserve">preliminar </w:t>
      </w:r>
      <w:r w:rsidRPr="00844E7B">
        <w:rPr>
          <w:rFonts w:ascii="Verdana" w:hAnsi="Verdana"/>
          <w:sz w:val="20"/>
          <w:szCs w:val="20"/>
          <w:lang w:val="es-CR"/>
        </w:rPr>
        <w:t xml:space="preserve">era extemporánea, toda vez que no fue presentada en la etapa de admisibilidad ante la Comisión. </w:t>
      </w:r>
      <w:r w:rsidRPr="00844E7B">
        <w:rPr>
          <w:rFonts w:ascii="Verdana" w:hAnsi="Verdana"/>
          <w:sz w:val="20"/>
          <w:szCs w:val="20"/>
          <w:lang w:val="es-MX"/>
        </w:rPr>
        <w:t>Adicionalmente</w:t>
      </w:r>
      <w:r w:rsidR="00562FA5">
        <w:rPr>
          <w:rFonts w:ascii="Verdana" w:hAnsi="Verdana"/>
          <w:sz w:val="20"/>
          <w:szCs w:val="20"/>
          <w:lang w:val="es-MX"/>
        </w:rPr>
        <w:t>,</w:t>
      </w:r>
      <w:r w:rsidRPr="00844E7B">
        <w:rPr>
          <w:rFonts w:ascii="Verdana" w:hAnsi="Verdana"/>
          <w:sz w:val="20"/>
          <w:szCs w:val="20"/>
          <w:lang w:val="es-MX"/>
        </w:rPr>
        <w:t xml:space="preserve"> señaló que el Estado no </w:t>
      </w:r>
      <w:r w:rsidR="008176AD">
        <w:rPr>
          <w:rFonts w:ascii="Verdana" w:hAnsi="Verdana"/>
          <w:sz w:val="20"/>
          <w:szCs w:val="20"/>
          <w:lang w:val="es-MX"/>
        </w:rPr>
        <w:t xml:space="preserve">indicó </w:t>
      </w:r>
      <w:r w:rsidRPr="00844E7B">
        <w:rPr>
          <w:rFonts w:ascii="Verdana" w:hAnsi="Verdana"/>
          <w:sz w:val="20"/>
          <w:szCs w:val="20"/>
          <w:lang w:val="es-MX"/>
        </w:rPr>
        <w:t>a la Corte la regulación del recurso alegado, su idoneidad, así como prueba específica de su efectividad en las circunstancias del caso concreto. Además, indicó que</w:t>
      </w:r>
      <w:r w:rsidR="00657A3E">
        <w:rPr>
          <w:rFonts w:ascii="Verdana" w:hAnsi="Verdana"/>
          <w:sz w:val="20"/>
          <w:szCs w:val="20"/>
          <w:lang w:val="es-MX"/>
        </w:rPr>
        <w:t>,</w:t>
      </w:r>
      <w:r w:rsidRPr="00844E7B">
        <w:rPr>
          <w:rFonts w:ascii="Verdana" w:hAnsi="Verdana"/>
          <w:sz w:val="20"/>
          <w:szCs w:val="20"/>
          <w:lang w:val="es-MX"/>
        </w:rPr>
        <w:t xml:space="preserve"> como norma general, los únicos recursos que eran necesarios agotar eran los recursos ordinarios. Finalmente, la Comisión consideró que el peticionario agotó los recursos de nulidad y de revisión, por lo que exigir el agotamiento de un recurso extraordinario adicional no resultaría razonable.</w:t>
      </w:r>
    </w:p>
    <w:p w14:paraId="6D172B69" w14:textId="77777777" w:rsidR="00FB723A" w:rsidRPr="00844E7B" w:rsidRDefault="00FB723A" w:rsidP="00FB723A">
      <w:pPr>
        <w:pStyle w:val="ListParagraph"/>
        <w:rPr>
          <w:rFonts w:ascii="Verdana" w:hAnsi="Verdana"/>
          <w:sz w:val="20"/>
          <w:szCs w:val="20"/>
          <w:lang w:val="es-CR"/>
        </w:rPr>
      </w:pPr>
    </w:p>
    <w:p w14:paraId="6D172B6A" w14:textId="0DEA9CD8" w:rsidR="00FB723A" w:rsidRPr="00844E7B" w:rsidRDefault="00FB723A" w:rsidP="00FB723A">
      <w:pPr>
        <w:pStyle w:val="ListParagraph"/>
        <w:numPr>
          <w:ilvl w:val="0"/>
          <w:numId w:val="2"/>
        </w:numPr>
        <w:ind w:left="0" w:firstLine="0"/>
        <w:jc w:val="both"/>
        <w:rPr>
          <w:rFonts w:ascii="Verdana" w:hAnsi="Verdana"/>
          <w:sz w:val="20"/>
          <w:szCs w:val="20"/>
          <w:lang w:val="es-MX"/>
        </w:rPr>
      </w:pPr>
      <w:r w:rsidRPr="00844E7B">
        <w:rPr>
          <w:rFonts w:ascii="Verdana" w:hAnsi="Verdana"/>
          <w:sz w:val="20"/>
          <w:szCs w:val="20"/>
          <w:lang w:val="es-CR"/>
        </w:rPr>
        <w:t xml:space="preserve">Los </w:t>
      </w:r>
      <w:r w:rsidRPr="00844E7B">
        <w:rPr>
          <w:rFonts w:ascii="Verdana" w:hAnsi="Verdana"/>
          <w:b/>
          <w:i/>
          <w:sz w:val="20"/>
          <w:szCs w:val="20"/>
          <w:lang w:val="es-CR"/>
        </w:rPr>
        <w:t>representantes</w:t>
      </w:r>
      <w:r w:rsidRPr="00844E7B">
        <w:rPr>
          <w:rFonts w:ascii="Verdana" w:hAnsi="Verdana"/>
          <w:sz w:val="20"/>
          <w:szCs w:val="20"/>
          <w:lang w:val="es-CR"/>
        </w:rPr>
        <w:t xml:space="preserve"> coincidieron con la Comisión</w:t>
      </w:r>
      <w:r>
        <w:rPr>
          <w:rFonts w:ascii="Verdana" w:hAnsi="Verdana"/>
          <w:sz w:val="20"/>
          <w:szCs w:val="20"/>
          <w:lang w:val="es-CR"/>
        </w:rPr>
        <w:t xml:space="preserve"> al</w:t>
      </w:r>
      <w:r w:rsidRPr="00844E7B">
        <w:rPr>
          <w:rFonts w:ascii="Verdana" w:hAnsi="Verdana"/>
          <w:sz w:val="20"/>
          <w:szCs w:val="20"/>
          <w:lang w:val="es-CR"/>
        </w:rPr>
        <w:t xml:space="preserve"> respecto</w:t>
      </w:r>
      <w:r w:rsidR="00657A3E">
        <w:rPr>
          <w:rFonts w:ascii="Verdana" w:hAnsi="Verdana"/>
          <w:sz w:val="20"/>
          <w:szCs w:val="20"/>
          <w:lang w:val="es-CR"/>
        </w:rPr>
        <w:t>,</w:t>
      </w:r>
      <w:r>
        <w:rPr>
          <w:rFonts w:ascii="Verdana" w:hAnsi="Verdana"/>
          <w:sz w:val="20"/>
          <w:szCs w:val="20"/>
          <w:lang w:val="es-CR"/>
        </w:rPr>
        <w:t xml:space="preserve"> y </w:t>
      </w:r>
      <w:r>
        <w:rPr>
          <w:rFonts w:ascii="Verdana" w:hAnsi="Verdana"/>
          <w:sz w:val="20"/>
          <w:szCs w:val="20"/>
          <w:lang w:val="es-MX"/>
        </w:rPr>
        <w:t>a</w:t>
      </w:r>
      <w:r w:rsidRPr="00844E7B">
        <w:rPr>
          <w:rFonts w:ascii="Verdana" w:hAnsi="Verdana"/>
          <w:sz w:val="20"/>
          <w:szCs w:val="20"/>
          <w:lang w:val="es-MX"/>
        </w:rPr>
        <w:t>gregaron que</w:t>
      </w:r>
      <w:r w:rsidRPr="00844E7B">
        <w:rPr>
          <w:rFonts w:ascii="Verdana" w:hAnsi="Verdana"/>
          <w:b/>
          <w:sz w:val="20"/>
          <w:szCs w:val="20"/>
          <w:lang w:val="es-MX"/>
        </w:rPr>
        <w:t xml:space="preserve"> </w:t>
      </w:r>
      <w:r w:rsidRPr="00844E7B">
        <w:rPr>
          <w:rFonts w:ascii="Verdana" w:hAnsi="Verdana"/>
          <w:sz w:val="20"/>
          <w:szCs w:val="20"/>
          <w:lang w:val="es-MX"/>
        </w:rPr>
        <w:t xml:space="preserve">la presunta víctima no solo intentó todos los recursos ordinarios que le autorizaba la legislación peruana, sino que, incluso, interpuso un recurso extraordinario de revisión para </w:t>
      </w:r>
      <w:r w:rsidR="000F00FB">
        <w:rPr>
          <w:rFonts w:ascii="Verdana" w:hAnsi="Verdana"/>
          <w:sz w:val="20"/>
          <w:szCs w:val="20"/>
          <w:lang w:val="es-MX"/>
        </w:rPr>
        <w:t>intentar</w:t>
      </w:r>
      <w:r w:rsidR="000F00FB" w:rsidRPr="00844E7B">
        <w:rPr>
          <w:rFonts w:ascii="Verdana" w:hAnsi="Verdana"/>
          <w:sz w:val="20"/>
          <w:szCs w:val="20"/>
          <w:lang w:val="es-MX"/>
        </w:rPr>
        <w:t xml:space="preserve"> </w:t>
      </w:r>
      <w:r w:rsidRPr="00844E7B">
        <w:rPr>
          <w:rFonts w:ascii="Verdana" w:hAnsi="Verdana"/>
          <w:sz w:val="20"/>
          <w:szCs w:val="20"/>
          <w:lang w:val="es-MX"/>
        </w:rPr>
        <w:t xml:space="preserve">obtener, sin éxito, </w:t>
      </w:r>
      <w:r w:rsidR="0051719B">
        <w:rPr>
          <w:rFonts w:ascii="Verdana" w:hAnsi="Verdana"/>
          <w:sz w:val="20"/>
          <w:szCs w:val="20"/>
          <w:lang w:val="es-MX"/>
        </w:rPr>
        <w:t xml:space="preserve">un </w:t>
      </w:r>
      <w:r w:rsidRPr="00844E7B">
        <w:rPr>
          <w:rFonts w:ascii="Verdana" w:hAnsi="Verdana"/>
          <w:sz w:val="20"/>
          <w:szCs w:val="20"/>
          <w:lang w:val="es-MX"/>
        </w:rPr>
        <w:t>remedio a las violaciones sufridas. Asimismo, señaló que la acción de amparo consist</w:t>
      </w:r>
      <w:r>
        <w:rPr>
          <w:rFonts w:ascii="Verdana" w:hAnsi="Verdana"/>
          <w:sz w:val="20"/>
          <w:szCs w:val="20"/>
          <w:lang w:val="es-MX"/>
        </w:rPr>
        <w:t>ía</w:t>
      </w:r>
      <w:r w:rsidRPr="00844E7B">
        <w:rPr>
          <w:rFonts w:ascii="Verdana" w:hAnsi="Verdana"/>
          <w:sz w:val="20"/>
          <w:szCs w:val="20"/>
          <w:lang w:val="es-MX"/>
        </w:rPr>
        <w:t xml:space="preserve"> en un proceso constitucional en sí mismo y no un recurso procesal útil para revisar decisiones judiciales, lo cual se enc</w:t>
      </w:r>
      <w:r>
        <w:rPr>
          <w:rFonts w:ascii="Verdana" w:hAnsi="Verdana"/>
          <w:sz w:val="20"/>
          <w:szCs w:val="20"/>
          <w:lang w:val="es-MX"/>
        </w:rPr>
        <w:t>ontraba</w:t>
      </w:r>
      <w:r w:rsidRPr="00844E7B">
        <w:rPr>
          <w:rFonts w:ascii="Verdana" w:hAnsi="Verdana"/>
          <w:sz w:val="20"/>
          <w:szCs w:val="20"/>
          <w:lang w:val="es-MX"/>
        </w:rPr>
        <w:t xml:space="preserve"> contemplado en la Constitución Política de</w:t>
      </w:r>
      <w:r w:rsidR="004F7C5F">
        <w:rPr>
          <w:rFonts w:ascii="Verdana" w:hAnsi="Verdana"/>
          <w:sz w:val="20"/>
          <w:szCs w:val="20"/>
          <w:lang w:val="es-MX"/>
        </w:rPr>
        <w:t>l</w:t>
      </w:r>
      <w:r w:rsidRPr="00844E7B">
        <w:rPr>
          <w:rFonts w:ascii="Verdana" w:hAnsi="Verdana"/>
          <w:sz w:val="20"/>
          <w:szCs w:val="20"/>
          <w:lang w:val="es-MX"/>
        </w:rPr>
        <w:t xml:space="preserve"> Perú</w:t>
      </w:r>
      <w:r w:rsidRPr="00DF66CC">
        <w:rPr>
          <w:rStyle w:val="FootnoteReference"/>
          <w:rFonts w:eastAsiaTheme="majorEastAsia"/>
          <w:szCs w:val="20"/>
          <w:lang w:val="es-MX"/>
        </w:rPr>
        <w:footnoteReference w:id="9"/>
      </w:r>
      <w:r w:rsidRPr="00844E7B">
        <w:rPr>
          <w:rFonts w:ascii="Verdana" w:hAnsi="Verdana"/>
          <w:sz w:val="20"/>
          <w:szCs w:val="20"/>
          <w:lang w:val="es-MX"/>
        </w:rPr>
        <w:t xml:space="preserve">. </w:t>
      </w:r>
    </w:p>
    <w:p w14:paraId="6D172B6B" w14:textId="77777777" w:rsidR="00FB723A" w:rsidRPr="000A0953" w:rsidRDefault="00FB723A" w:rsidP="00FB723A">
      <w:pPr>
        <w:jc w:val="both"/>
        <w:rPr>
          <w:rFonts w:ascii="Verdana" w:hAnsi="Verdana"/>
          <w:sz w:val="20"/>
          <w:szCs w:val="20"/>
          <w:lang w:val="es-MX"/>
        </w:rPr>
      </w:pPr>
    </w:p>
    <w:p w14:paraId="6D172B6C" w14:textId="77777777" w:rsidR="00FB723A" w:rsidRPr="00E114CC" w:rsidRDefault="00FB723A" w:rsidP="006231F4">
      <w:pPr>
        <w:pStyle w:val="Heading3"/>
        <w:numPr>
          <w:ilvl w:val="0"/>
          <w:numId w:val="19"/>
        </w:numPr>
        <w:spacing w:before="0"/>
        <w:jc w:val="both"/>
        <w:rPr>
          <w:rFonts w:ascii="Verdana" w:hAnsi="Verdana"/>
          <w:i/>
          <w:color w:val="auto"/>
          <w:sz w:val="20"/>
          <w:szCs w:val="20"/>
          <w:lang w:val="es-MX"/>
        </w:rPr>
      </w:pPr>
      <w:r w:rsidRPr="00E114CC">
        <w:rPr>
          <w:rFonts w:ascii="Verdana" w:hAnsi="Verdana"/>
          <w:i/>
          <w:color w:val="auto"/>
          <w:sz w:val="20"/>
          <w:szCs w:val="20"/>
          <w:lang w:val="es-MX"/>
        </w:rPr>
        <w:t xml:space="preserve"> </w:t>
      </w:r>
      <w:bookmarkStart w:id="9" w:name="_Toc482093018"/>
      <w:r w:rsidRPr="00E114CC">
        <w:rPr>
          <w:rFonts w:ascii="Verdana" w:hAnsi="Verdana"/>
          <w:i/>
          <w:color w:val="auto"/>
          <w:sz w:val="20"/>
          <w:szCs w:val="20"/>
          <w:lang w:val="es-MX"/>
        </w:rPr>
        <w:t>Consideraciones de la Corte</w:t>
      </w:r>
      <w:bookmarkEnd w:id="9"/>
    </w:p>
    <w:p w14:paraId="6D172B6D" w14:textId="77777777" w:rsidR="00FB723A" w:rsidRPr="00844E7B" w:rsidRDefault="00FB723A" w:rsidP="00FB723A">
      <w:pPr>
        <w:pStyle w:val="ListParagraph"/>
        <w:ind w:left="0"/>
        <w:jc w:val="both"/>
        <w:rPr>
          <w:rFonts w:ascii="Verdana" w:hAnsi="Verdana"/>
          <w:sz w:val="20"/>
          <w:szCs w:val="20"/>
        </w:rPr>
      </w:pPr>
    </w:p>
    <w:p w14:paraId="6D172B6E" w14:textId="6C57990D" w:rsidR="00FB723A" w:rsidRDefault="00FB723A" w:rsidP="00FB723A">
      <w:pPr>
        <w:pStyle w:val="ListParagraph"/>
        <w:numPr>
          <w:ilvl w:val="0"/>
          <w:numId w:val="2"/>
        </w:numPr>
        <w:ind w:left="0" w:firstLine="0"/>
        <w:jc w:val="both"/>
        <w:rPr>
          <w:rFonts w:ascii="Verdana" w:hAnsi="Verdana"/>
          <w:sz w:val="20"/>
          <w:szCs w:val="20"/>
          <w:lang w:val="es-ES"/>
        </w:rPr>
      </w:pPr>
      <w:r w:rsidRPr="00DF66CC">
        <w:rPr>
          <w:rFonts w:ascii="Verdana" w:hAnsi="Verdana"/>
          <w:sz w:val="20"/>
          <w:szCs w:val="20"/>
          <w:lang w:val="es-ES"/>
        </w:rPr>
        <w:t>El artículo 46.1.a) de la Convención Americana dispone que</w:t>
      </w:r>
      <w:r w:rsidR="00657A3E">
        <w:rPr>
          <w:rFonts w:ascii="Verdana" w:hAnsi="Verdana"/>
          <w:sz w:val="20"/>
          <w:szCs w:val="20"/>
          <w:lang w:val="es-ES"/>
        </w:rPr>
        <w:t>,</w:t>
      </w:r>
      <w:r w:rsidRPr="00DF66CC">
        <w:rPr>
          <w:rFonts w:ascii="Verdana" w:hAnsi="Verdana"/>
          <w:sz w:val="20"/>
          <w:szCs w:val="20"/>
          <w:lang w:val="es-ES"/>
        </w:rPr>
        <w:t xml:space="preserve"> para determinar la admisibilidad de una petición o comunicación presentada ante la Comisión, de conformidad con los artículos 44 o 45</w:t>
      </w:r>
      <w:r w:rsidRPr="00DF66CC">
        <w:rPr>
          <w:rFonts w:ascii="Verdana" w:hAnsi="Verdana"/>
          <w:sz w:val="20"/>
          <w:szCs w:val="20"/>
          <w:vertAlign w:val="superscript"/>
          <w:lang w:val="es-ES"/>
        </w:rPr>
        <w:t xml:space="preserve"> </w:t>
      </w:r>
      <w:r w:rsidRPr="00DF66CC">
        <w:rPr>
          <w:rFonts w:ascii="Verdana" w:hAnsi="Verdana"/>
          <w:sz w:val="20"/>
          <w:szCs w:val="20"/>
          <w:lang w:val="es-ES"/>
        </w:rPr>
        <w:t>de la Convención, es necesario que se hayan interpuesto y agotado los recursos de la jurisdicción interna, conforme a los principios del Derecho Internacional generalmente reconocidos</w:t>
      </w:r>
      <w:r w:rsidRPr="00DF66CC">
        <w:rPr>
          <w:rFonts w:ascii="Verdana" w:hAnsi="Verdana"/>
          <w:sz w:val="20"/>
          <w:szCs w:val="20"/>
          <w:vertAlign w:val="superscript"/>
          <w:lang w:val="es-ES"/>
        </w:rPr>
        <w:footnoteReference w:id="10"/>
      </w:r>
      <w:r w:rsidRPr="00DF66CC">
        <w:rPr>
          <w:rFonts w:ascii="Verdana" w:hAnsi="Verdana"/>
          <w:sz w:val="20"/>
          <w:szCs w:val="20"/>
          <w:lang w:val="es-ES"/>
        </w:rPr>
        <w:t xml:space="preserve">. </w:t>
      </w:r>
    </w:p>
    <w:p w14:paraId="6D172B6F" w14:textId="77777777" w:rsidR="00FB723A" w:rsidRDefault="00FB723A" w:rsidP="00FB723A">
      <w:pPr>
        <w:pStyle w:val="ListParagraph"/>
        <w:ind w:left="0"/>
        <w:jc w:val="both"/>
        <w:rPr>
          <w:rFonts w:ascii="Verdana" w:hAnsi="Verdana"/>
          <w:sz w:val="20"/>
          <w:szCs w:val="20"/>
          <w:lang w:val="es-ES"/>
        </w:rPr>
      </w:pPr>
    </w:p>
    <w:p w14:paraId="6D172B70" w14:textId="77777777" w:rsidR="00FB723A" w:rsidRPr="00A32925" w:rsidRDefault="00FB723A" w:rsidP="00FB723A">
      <w:pPr>
        <w:pStyle w:val="ListParagraph"/>
        <w:numPr>
          <w:ilvl w:val="0"/>
          <w:numId w:val="2"/>
        </w:numPr>
        <w:ind w:left="0" w:firstLine="0"/>
        <w:jc w:val="both"/>
        <w:rPr>
          <w:rFonts w:ascii="Verdana" w:hAnsi="Verdana"/>
          <w:sz w:val="20"/>
          <w:szCs w:val="20"/>
          <w:lang w:val="es-ES"/>
        </w:rPr>
      </w:pPr>
      <w:r w:rsidRPr="00844E7B">
        <w:rPr>
          <w:rFonts w:ascii="Verdana" w:hAnsi="Verdana"/>
          <w:sz w:val="20"/>
          <w:szCs w:val="20"/>
          <w:lang w:val="es-ES"/>
        </w:rPr>
        <w:t>Asimismo, la Corte ha sostenido en su jurisprudencia constante que una objeción al ejercicio de su jurisdicción basada en la supuesta falta de agotamiento de los recursos internos debe ser presentada en el momento procesal oportuno, esto es, durante el procedimiento de admisibilidad ante la Comisión</w:t>
      </w:r>
      <w:r w:rsidRPr="00DF66CC">
        <w:rPr>
          <w:rFonts w:ascii="Verdana" w:hAnsi="Verdana"/>
          <w:sz w:val="20"/>
          <w:szCs w:val="20"/>
          <w:vertAlign w:val="superscript"/>
          <w:lang w:val="es-ES"/>
        </w:rPr>
        <w:footnoteReference w:id="11"/>
      </w:r>
      <w:r w:rsidRPr="00844E7B">
        <w:rPr>
          <w:rFonts w:ascii="Verdana" w:hAnsi="Verdana"/>
          <w:sz w:val="20"/>
          <w:szCs w:val="20"/>
          <w:lang w:val="es-ES"/>
        </w:rPr>
        <w:t>, por lo cual se entiende que luego de dicho momento opera el principio de preclusión procesal</w:t>
      </w:r>
      <w:r w:rsidRPr="00DF66CC">
        <w:rPr>
          <w:rFonts w:ascii="Verdana" w:hAnsi="Verdana"/>
          <w:sz w:val="20"/>
          <w:szCs w:val="20"/>
          <w:vertAlign w:val="superscript"/>
          <w:lang w:val="es-ES"/>
        </w:rPr>
        <w:footnoteReference w:id="12"/>
      </w:r>
      <w:r w:rsidR="004D4E6A">
        <w:rPr>
          <w:rFonts w:ascii="Verdana" w:hAnsi="Verdana"/>
          <w:sz w:val="20"/>
          <w:szCs w:val="20"/>
          <w:lang w:val="es-ES"/>
        </w:rPr>
        <w:t xml:space="preserve">, </w:t>
      </w:r>
      <w:r w:rsidR="004D4E6A" w:rsidRPr="000A0953">
        <w:rPr>
          <w:rFonts w:ascii="Verdana" w:hAnsi="Verdana"/>
          <w:sz w:val="20"/>
          <w:szCs w:val="20"/>
          <w:lang w:val="es-ES"/>
        </w:rPr>
        <w:t xml:space="preserve">lo cual sucedió en el presente caso al no ser presentada dicha excepción </w:t>
      </w:r>
      <w:r w:rsidR="004E4BBD" w:rsidRPr="000A0953">
        <w:rPr>
          <w:rFonts w:ascii="Verdana" w:hAnsi="Verdana"/>
          <w:sz w:val="20"/>
          <w:szCs w:val="20"/>
          <w:lang w:val="es-ES"/>
        </w:rPr>
        <w:t xml:space="preserve">de conformidad </w:t>
      </w:r>
      <w:r w:rsidR="004D4E6A" w:rsidRPr="000A0953">
        <w:rPr>
          <w:rFonts w:ascii="Verdana" w:hAnsi="Verdana"/>
          <w:sz w:val="20"/>
          <w:szCs w:val="20"/>
          <w:lang w:val="es-ES"/>
        </w:rPr>
        <w:t>ante la Comisión.</w:t>
      </w:r>
    </w:p>
    <w:p w14:paraId="6D172B71" w14:textId="77777777" w:rsidR="00FB723A" w:rsidRPr="00844E7B" w:rsidRDefault="00FB723A" w:rsidP="00FB723A">
      <w:pPr>
        <w:pStyle w:val="ListParagraph"/>
        <w:ind w:left="1416"/>
        <w:rPr>
          <w:rFonts w:ascii="Verdana" w:hAnsi="Verdana"/>
          <w:sz w:val="20"/>
          <w:szCs w:val="20"/>
          <w:lang w:val="es-ES"/>
        </w:rPr>
      </w:pPr>
    </w:p>
    <w:p w14:paraId="6D172B72" w14:textId="1DC1B3F0" w:rsidR="00FB723A" w:rsidRDefault="00D66927" w:rsidP="00FB723A">
      <w:pPr>
        <w:pStyle w:val="ListParagraph"/>
        <w:numPr>
          <w:ilvl w:val="0"/>
          <w:numId w:val="2"/>
        </w:numPr>
        <w:ind w:left="0" w:firstLine="0"/>
        <w:jc w:val="both"/>
        <w:rPr>
          <w:rFonts w:ascii="Verdana" w:hAnsi="Verdana"/>
          <w:sz w:val="20"/>
          <w:szCs w:val="20"/>
          <w:lang w:val="es-ES"/>
        </w:rPr>
      </w:pPr>
      <w:r w:rsidRPr="001933F2">
        <w:rPr>
          <w:rFonts w:ascii="Verdana" w:hAnsi="Verdana"/>
          <w:sz w:val="20"/>
          <w:szCs w:val="20"/>
          <w:lang w:val="es-ES"/>
        </w:rPr>
        <w:t xml:space="preserve">Respecto lo anterior, </w:t>
      </w:r>
      <w:r w:rsidRPr="00D66927">
        <w:rPr>
          <w:rFonts w:ascii="Verdana" w:hAnsi="Verdana"/>
          <w:sz w:val="20"/>
          <w:szCs w:val="20"/>
          <w:lang w:val="es-ES"/>
        </w:rPr>
        <w:t>l</w:t>
      </w:r>
      <w:r w:rsidR="00A32925" w:rsidRPr="00D66927">
        <w:rPr>
          <w:rFonts w:ascii="Verdana" w:hAnsi="Verdana"/>
          <w:sz w:val="20"/>
          <w:szCs w:val="20"/>
          <w:lang w:val="es-ES"/>
        </w:rPr>
        <w:t>a</w:t>
      </w:r>
      <w:r w:rsidR="00A32925">
        <w:rPr>
          <w:rFonts w:ascii="Verdana" w:hAnsi="Verdana"/>
          <w:sz w:val="20"/>
          <w:szCs w:val="20"/>
          <w:lang w:val="es-ES"/>
        </w:rPr>
        <w:t xml:space="preserve"> Corte </w:t>
      </w:r>
      <w:r w:rsidR="00FB723A" w:rsidRPr="00844E7B">
        <w:rPr>
          <w:rFonts w:ascii="Verdana" w:hAnsi="Verdana"/>
          <w:sz w:val="20"/>
          <w:szCs w:val="20"/>
          <w:lang w:val="es-ES"/>
        </w:rPr>
        <w:t xml:space="preserve">constata que durante el procedimiento de admisibilidad de la petición, mediante escrito de 20 de junio de 2003, el Estado </w:t>
      </w:r>
      <w:r w:rsidR="00FB723A">
        <w:rPr>
          <w:rFonts w:ascii="Verdana" w:hAnsi="Verdana"/>
          <w:sz w:val="20"/>
          <w:szCs w:val="20"/>
          <w:lang w:val="es-ES"/>
        </w:rPr>
        <w:t>señaló</w:t>
      </w:r>
      <w:r w:rsidR="00FB723A" w:rsidRPr="00844E7B">
        <w:rPr>
          <w:rFonts w:ascii="Verdana" w:hAnsi="Verdana"/>
          <w:sz w:val="20"/>
          <w:szCs w:val="20"/>
          <w:lang w:val="es-ES"/>
        </w:rPr>
        <w:t xml:space="preserve"> que el señor Zegarra Marín no </w:t>
      </w:r>
      <w:r w:rsidR="00FB723A">
        <w:rPr>
          <w:rFonts w:ascii="Verdana" w:hAnsi="Verdana"/>
          <w:sz w:val="20"/>
          <w:szCs w:val="20"/>
          <w:lang w:val="es-ES"/>
        </w:rPr>
        <w:t xml:space="preserve">había </w:t>
      </w:r>
      <w:r w:rsidR="00FB723A" w:rsidRPr="00844E7B">
        <w:rPr>
          <w:rFonts w:ascii="Verdana" w:hAnsi="Verdana"/>
          <w:sz w:val="20"/>
          <w:szCs w:val="20"/>
          <w:lang w:val="es-ES"/>
        </w:rPr>
        <w:t>agot</w:t>
      </w:r>
      <w:r w:rsidR="00FB723A">
        <w:rPr>
          <w:rFonts w:ascii="Verdana" w:hAnsi="Verdana"/>
          <w:sz w:val="20"/>
          <w:szCs w:val="20"/>
          <w:lang w:val="es-ES"/>
        </w:rPr>
        <w:t>ado</w:t>
      </w:r>
      <w:r w:rsidR="00FB723A" w:rsidRPr="00844E7B">
        <w:rPr>
          <w:rFonts w:ascii="Verdana" w:hAnsi="Verdana"/>
          <w:sz w:val="20"/>
          <w:szCs w:val="20"/>
          <w:lang w:val="es-ES"/>
        </w:rPr>
        <w:t xml:space="preserve"> la vía administrativa para lograr su reincorporación al servicio policial activo</w:t>
      </w:r>
      <w:r w:rsidR="00FB723A" w:rsidRPr="00DF66CC">
        <w:rPr>
          <w:rStyle w:val="FootnoteReference"/>
          <w:szCs w:val="20"/>
        </w:rPr>
        <w:footnoteReference w:id="13"/>
      </w:r>
      <w:r w:rsidR="00FB723A" w:rsidRPr="00844E7B">
        <w:rPr>
          <w:rFonts w:ascii="Verdana" w:hAnsi="Verdana"/>
          <w:sz w:val="20"/>
          <w:szCs w:val="20"/>
          <w:lang w:val="es-ES"/>
        </w:rPr>
        <w:t xml:space="preserve">. Posteriormente, en sus escritos de 29 de abril de 2005 y 28 de mayo de 2008, presentados con anterioridad al Informe de Admisibilidad de 19 de marzo de </w:t>
      </w:r>
      <w:r w:rsidR="00FB723A" w:rsidRPr="00844E7B">
        <w:rPr>
          <w:rFonts w:ascii="Verdana" w:hAnsi="Verdana"/>
          <w:sz w:val="20"/>
          <w:szCs w:val="20"/>
          <w:lang w:val="es-ES"/>
        </w:rPr>
        <w:lastRenderedPageBreak/>
        <w:t>2009 (</w:t>
      </w:r>
      <w:r w:rsidR="00FB723A" w:rsidRPr="0058104A">
        <w:rPr>
          <w:rFonts w:ascii="Verdana" w:hAnsi="Verdana"/>
          <w:i/>
          <w:sz w:val="20"/>
          <w:szCs w:val="20"/>
          <w:lang w:val="es-ES"/>
        </w:rPr>
        <w:t>supra</w:t>
      </w:r>
      <w:r w:rsidR="00FB723A" w:rsidRPr="00844E7B">
        <w:rPr>
          <w:rFonts w:ascii="Verdana" w:hAnsi="Verdana"/>
          <w:sz w:val="20"/>
          <w:szCs w:val="20"/>
          <w:lang w:val="es-ES"/>
        </w:rPr>
        <w:t xml:space="preserve"> párr.</w:t>
      </w:r>
      <w:r w:rsidR="005F41EA">
        <w:rPr>
          <w:rFonts w:ascii="Verdana" w:hAnsi="Verdana"/>
          <w:sz w:val="20"/>
          <w:szCs w:val="20"/>
          <w:lang w:val="es-ES"/>
        </w:rPr>
        <w:t xml:space="preserve"> </w:t>
      </w:r>
      <w:r w:rsidR="00D0051D">
        <w:rPr>
          <w:rFonts w:ascii="Verdana" w:hAnsi="Verdana"/>
          <w:sz w:val="20"/>
          <w:szCs w:val="20"/>
          <w:lang w:val="es-ES"/>
        </w:rPr>
        <w:t>2</w:t>
      </w:r>
      <w:r w:rsidR="00FB723A" w:rsidRPr="00844E7B">
        <w:rPr>
          <w:rFonts w:ascii="Verdana" w:hAnsi="Verdana"/>
          <w:sz w:val="20"/>
          <w:szCs w:val="20"/>
          <w:lang w:val="es-ES"/>
        </w:rPr>
        <w:t>), el Estado no se refirió a la falta de agotamiento de recursos internos, en particular el recurso de amparo</w:t>
      </w:r>
      <w:r w:rsidR="00FB723A" w:rsidRPr="00DF66CC">
        <w:rPr>
          <w:rStyle w:val="FootnoteReference"/>
          <w:szCs w:val="20"/>
          <w:lang w:val="es-ES"/>
        </w:rPr>
        <w:footnoteReference w:id="14"/>
      </w:r>
      <w:r w:rsidR="00FB723A" w:rsidRPr="00844E7B">
        <w:rPr>
          <w:rFonts w:ascii="Verdana" w:hAnsi="Verdana"/>
          <w:sz w:val="20"/>
          <w:szCs w:val="20"/>
          <w:lang w:val="es-ES"/>
        </w:rPr>
        <w:t>.</w:t>
      </w:r>
    </w:p>
    <w:p w14:paraId="6D172B73" w14:textId="77777777" w:rsidR="00FB723A" w:rsidRPr="00844E7B" w:rsidRDefault="00FB723A" w:rsidP="00FB723A">
      <w:pPr>
        <w:rPr>
          <w:lang w:val="es-ES"/>
        </w:rPr>
      </w:pPr>
    </w:p>
    <w:p w14:paraId="6D172B74" w14:textId="6E550757" w:rsidR="00FB723A" w:rsidRDefault="00FB723A" w:rsidP="00FB723A">
      <w:pPr>
        <w:pStyle w:val="ListParagraph"/>
        <w:numPr>
          <w:ilvl w:val="0"/>
          <w:numId w:val="2"/>
        </w:numPr>
        <w:ind w:left="0" w:firstLine="0"/>
        <w:jc w:val="both"/>
        <w:rPr>
          <w:rFonts w:ascii="Verdana" w:hAnsi="Verdana"/>
          <w:sz w:val="20"/>
          <w:szCs w:val="20"/>
          <w:lang w:val="es-ES"/>
        </w:rPr>
      </w:pPr>
      <w:r w:rsidRPr="00844E7B">
        <w:rPr>
          <w:rFonts w:ascii="Verdana" w:hAnsi="Verdana"/>
          <w:sz w:val="20"/>
          <w:szCs w:val="20"/>
          <w:lang w:val="es-ES"/>
        </w:rPr>
        <w:t>Este Tribunal recuerda que los argumentos que dan contenido a la excepción preliminar interpuesta ante la Comisión durante la etapa de admisibilidad deben corresponder con aquellos esgrimidos ante la Corte</w:t>
      </w:r>
      <w:r w:rsidRPr="00DF66CC">
        <w:rPr>
          <w:rStyle w:val="FootnoteReference"/>
          <w:szCs w:val="20"/>
        </w:rPr>
        <w:footnoteReference w:id="15"/>
      </w:r>
      <w:r w:rsidRPr="00844E7B">
        <w:rPr>
          <w:rFonts w:ascii="Verdana" w:hAnsi="Verdana"/>
          <w:sz w:val="20"/>
          <w:szCs w:val="20"/>
          <w:lang w:val="es-ES"/>
        </w:rPr>
        <w:t>. En este sentido, la Corte constata que</w:t>
      </w:r>
      <w:r w:rsidR="00A32925">
        <w:rPr>
          <w:rFonts w:ascii="Verdana" w:hAnsi="Verdana"/>
          <w:sz w:val="20"/>
          <w:szCs w:val="20"/>
          <w:lang w:val="es-ES"/>
        </w:rPr>
        <w:t>,</w:t>
      </w:r>
      <w:r w:rsidRPr="00844E7B">
        <w:rPr>
          <w:rFonts w:ascii="Verdana" w:hAnsi="Verdana"/>
          <w:sz w:val="20"/>
          <w:szCs w:val="20"/>
          <w:lang w:val="es-ES"/>
        </w:rPr>
        <w:t xml:space="preserve"> </w:t>
      </w:r>
      <w:r w:rsidRPr="00844E7B">
        <w:rPr>
          <w:rFonts w:ascii="Verdana" w:hAnsi="Verdana" w:cs="Verdana Bold"/>
          <w:bCs/>
          <w:sz w:val="20"/>
          <w:szCs w:val="20"/>
          <w:lang w:val="es-ES"/>
        </w:rPr>
        <w:t>aunque el Estado efectivamente presentó durante la admisibilidad de la petición ante la Comisión una excepción de falta de agotamiento de la vía interna</w:t>
      </w:r>
      <w:r>
        <w:rPr>
          <w:rFonts w:ascii="Verdana" w:hAnsi="Verdana" w:cs="Verdana Bold"/>
          <w:bCs/>
          <w:sz w:val="20"/>
          <w:szCs w:val="20"/>
          <w:lang w:val="es-ES"/>
        </w:rPr>
        <w:t>, referente a</w:t>
      </w:r>
      <w:r w:rsidRPr="00844E7B">
        <w:rPr>
          <w:rFonts w:ascii="Verdana" w:hAnsi="Verdana" w:cs="Verdana Bold"/>
          <w:bCs/>
          <w:sz w:val="20"/>
          <w:szCs w:val="20"/>
          <w:lang w:val="es-ES"/>
        </w:rPr>
        <w:t xml:space="preserve"> </w:t>
      </w:r>
      <w:r w:rsidRPr="00844E7B">
        <w:rPr>
          <w:rFonts w:ascii="Verdana" w:hAnsi="Verdana"/>
          <w:sz w:val="20"/>
          <w:szCs w:val="20"/>
          <w:lang w:val="es-ES"/>
        </w:rPr>
        <w:t>la reincorporación al servicio policial activo</w:t>
      </w:r>
      <w:r>
        <w:rPr>
          <w:rFonts w:ascii="Verdana" w:hAnsi="Verdana"/>
          <w:sz w:val="20"/>
          <w:szCs w:val="20"/>
          <w:lang w:val="es-ES"/>
        </w:rPr>
        <w:t>,</w:t>
      </w:r>
      <w:r w:rsidRPr="00844E7B">
        <w:rPr>
          <w:rFonts w:ascii="Verdana" w:hAnsi="Verdana" w:cs="Verdana Bold"/>
          <w:bCs/>
          <w:sz w:val="20"/>
          <w:szCs w:val="20"/>
          <w:lang w:val="es-ES"/>
        </w:rPr>
        <w:t xml:space="preserve"> el recurso alegado en dicha oportunidad no coincide con aquel que se argumenta en el proceso ante esta Corte. </w:t>
      </w:r>
    </w:p>
    <w:p w14:paraId="6D172B75" w14:textId="77777777" w:rsidR="00FB723A" w:rsidRPr="00844E7B" w:rsidRDefault="00FB723A" w:rsidP="00FB723A">
      <w:pPr>
        <w:pStyle w:val="ListParagraph"/>
        <w:rPr>
          <w:rFonts w:ascii="Verdana" w:hAnsi="Verdana" w:cs="Verdana Bold"/>
          <w:bCs/>
          <w:sz w:val="20"/>
          <w:szCs w:val="20"/>
          <w:lang w:val="es-ES"/>
        </w:rPr>
      </w:pPr>
    </w:p>
    <w:p w14:paraId="6D172B76" w14:textId="0425AB96" w:rsidR="00FB723A" w:rsidRPr="00844E7B" w:rsidRDefault="00FB723A" w:rsidP="00FB723A">
      <w:pPr>
        <w:pStyle w:val="ListParagraph"/>
        <w:numPr>
          <w:ilvl w:val="0"/>
          <w:numId w:val="2"/>
        </w:numPr>
        <w:ind w:left="0" w:firstLine="0"/>
        <w:jc w:val="both"/>
        <w:rPr>
          <w:rFonts w:ascii="Verdana" w:hAnsi="Verdana"/>
          <w:sz w:val="20"/>
          <w:szCs w:val="20"/>
          <w:lang w:val="es-ES"/>
        </w:rPr>
      </w:pPr>
      <w:r w:rsidRPr="00844E7B">
        <w:rPr>
          <w:rFonts w:ascii="Verdana" w:hAnsi="Verdana" w:cs="Verdana Bold"/>
          <w:bCs/>
          <w:sz w:val="20"/>
          <w:szCs w:val="20"/>
          <w:lang w:val="es-ES"/>
        </w:rPr>
        <w:t xml:space="preserve">Por tanto, la Corte desestima </w:t>
      </w:r>
      <w:r>
        <w:rPr>
          <w:rFonts w:ascii="Verdana" w:hAnsi="Verdana" w:cs="Verdana Bold"/>
          <w:bCs/>
          <w:sz w:val="20"/>
          <w:szCs w:val="20"/>
          <w:lang w:val="es-ES"/>
        </w:rPr>
        <w:t xml:space="preserve">por </w:t>
      </w:r>
      <w:r w:rsidRPr="006B7684">
        <w:rPr>
          <w:rFonts w:ascii="Verdana" w:hAnsi="Verdana" w:cs="Verdana Bold"/>
          <w:bCs/>
          <w:sz w:val="20"/>
          <w:szCs w:val="20"/>
          <w:lang w:val="es-ES"/>
        </w:rPr>
        <w:t>extemporánea</w:t>
      </w:r>
      <w:r w:rsidR="00D66927">
        <w:rPr>
          <w:rFonts w:ascii="Verdana" w:hAnsi="Verdana" w:cs="Verdana Bold"/>
          <w:bCs/>
          <w:sz w:val="20"/>
          <w:szCs w:val="20"/>
          <w:lang w:val="es-ES"/>
        </w:rPr>
        <w:t xml:space="preserve"> e inconsistente</w:t>
      </w:r>
      <w:r>
        <w:rPr>
          <w:rFonts w:ascii="Verdana" w:hAnsi="Verdana" w:cs="Verdana Bold"/>
          <w:bCs/>
          <w:sz w:val="20"/>
          <w:szCs w:val="20"/>
          <w:lang w:val="es-ES"/>
        </w:rPr>
        <w:t xml:space="preserve"> </w:t>
      </w:r>
      <w:r w:rsidR="006B7684">
        <w:rPr>
          <w:rFonts w:ascii="Verdana" w:hAnsi="Verdana" w:cs="Verdana Bold"/>
          <w:bCs/>
          <w:sz w:val="20"/>
          <w:szCs w:val="20"/>
          <w:lang w:val="es-ES"/>
        </w:rPr>
        <w:t xml:space="preserve">con lo alegado previamente </w:t>
      </w:r>
      <w:r w:rsidRPr="00844E7B">
        <w:rPr>
          <w:rFonts w:ascii="Verdana" w:hAnsi="Verdana" w:cs="Verdana Bold"/>
          <w:bCs/>
          <w:sz w:val="20"/>
          <w:szCs w:val="20"/>
          <w:lang w:val="es-ES"/>
        </w:rPr>
        <w:t xml:space="preserve">la excepción de falta de agotamiento del </w:t>
      </w:r>
      <w:r w:rsidRPr="00844E7B">
        <w:rPr>
          <w:rFonts w:ascii="Verdana" w:hAnsi="Verdana"/>
          <w:sz w:val="20"/>
          <w:szCs w:val="20"/>
          <w:lang w:val="es-ES"/>
        </w:rPr>
        <w:t>recurso de amparo</w:t>
      </w:r>
      <w:r w:rsidRPr="00844E7B">
        <w:rPr>
          <w:rFonts w:ascii="Verdana" w:hAnsi="Verdana" w:cs="Verdana Bold"/>
          <w:bCs/>
          <w:sz w:val="20"/>
          <w:szCs w:val="20"/>
          <w:lang w:val="es-ES"/>
        </w:rPr>
        <w:t>.</w:t>
      </w:r>
    </w:p>
    <w:p w14:paraId="6D172B77" w14:textId="77777777" w:rsidR="00FB723A" w:rsidRPr="00DF66CC" w:rsidRDefault="00FB723A" w:rsidP="00FB723A">
      <w:pPr>
        <w:jc w:val="both"/>
        <w:rPr>
          <w:rFonts w:ascii="Verdana" w:hAnsi="Verdana"/>
          <w:b/>
          <w:sz w:val="20"/>
          <w:szCs w:val="20"/>
          <w:lang w:val="es-ES"/>
        </w:rPr>
      </w:pPr>
    </w:p>
    <w:p w14:paraId="6D172B78" w14:textId="77777777" w:rsidR="00FB723A" w:rsidRPr="00223A84" w:rsidRDefault="00FB723A" w:rsidP="00FB723A">
      <w:pPr>
        <w:pStyle w:val="Heading2"/>
        <w:numPr>
          <w:ilvl w:val="0"/>
          <w:numId w:val="1"/>
        </w:numPr>
        <w:spacing w:before="0"/>
        <w:jc w:val="both"/>
        <w:rPr>
          <w:rFonts w:ascii="Verdana" w:hAnsi="Verdana"/>
          <w:i/>
          <w:color w:val="auto"/>
          <w:sz w:val="20"/>
          <w:szCs w:val="20"/>
        </w:rPr>
      </w:pPr>
      <w:bookmarkStart w:id="10" w:name="_Toc482093019"/>
      <w:r w:rsidRPr="00223A84">
        <w:rPr>
          <w:rFonts w:ascii="Verdana" w:hAnsi="Verdana"/>
          <w:i/>
          <w:color w:val="auto"/>
          <w:sz w:val="20"/>
          <w:szCs w:val="20"/>
        </w:rPr>
        <w:t>Vencimiento del plazo de seis meses para interponer la petición</w:t>
      </w:r>
      <w:r>
        <w:rPr>
          <w:rFonts w:ascii="Verdana" w:hAnsi="Verdana"/>
          <w:i/>
          <w:color w:val="auto"/>
          <w:sz w:val="20"/>
          <w:szCs w:val="20"/>
        </w:rPr>
        <w:t xml:space="preserve"> a partir del recurso de nulidad</w:t>
      </w:r>
      <w:bookmarkEnd w:id="10"/>
    </w:p>
    <w:p w14:paraId="6D172B79" w14:textId="77777777" w:rsidR="00FB723A" w:rsidRPr="00F57829" w:rsidRDefault="00FB723A" w:rsidP="00FB723A">
      <w:pPr>
        <w:jc w:val="both"/>
        <w:rPr>
          <w:rFonts w:ascii="Verdana" w:hAnsi="Verdana"/>
          <w:sz w:val="20"/>
          <w:szCs w:val="20"/>
          <w:lang w:val="es-MX"/>
        </w:rPr>
      </w:pPr>
    </w:p>
    <w:p w14:paraId="6D172B7A" w14:textId="045781B6" w:rsidR="00FB723A" w:rsidRPr="00E114CC" w:rsidRDefault="00FB723A" w:rsidP="006231F4">
      <w:pPr>
        <w:pStyle w:val="Heading3"/>
        <w:numPr>
          <w:ilvl w:val="0"/>
          <w:numId w:val="20"/>
        </w:numPr>
        <w:spacing w:before="0"/>
        <w:jc w:val="both"/>
        <w:rPr>
          <w:rFonts w:ascii="Verdana" w:hAnsi="Verdana"/>
          <w:i/>
          <w:color w:val="auto"/>
          <w:sz w:val="20"/>
          <w:szCs w:val="20"/>
          <w:lang w:val="es-MX"/>
        </w:rPr>
      </w:pPr>
      <w:r w:rsidRPr="00E114CC">
        <w:rPr>
          <w:rFonts w:ascii="Verdana" w:hAnsi="Verdana"/>
          <w:i/>
          <w:color w:val="auto"/>
          <w:sz w:val="20"/>
          <w:szCs w:val="20"/>
          <w:lang w:val="es-MX"/>
        </w:rPr>
        <w:t xml:space="preserve"> </w:t>
      </w:r>
      <w:bookmarkStart w:id="11" w:name="_Toc482093020"/>
      <w:r w:rsidRPr="00E114CC">
        <w:rPr>
          <w:rFonts w:ascii="Verdana" w:hAnsi="Verdana"/>
          <w:i/>
          <w:color w:val="auto"/>
          <w:sz w:val="20"/>
          <w:szCs w:val="20"/>
          <w:lang w:val="es-MX"/>
        </w:rPr>
        <w:t>Argumentos</w:t>
      </w:r>
      <w:r w:rsidR="00675808" w:rsidRPr="000A0953">
        <w:rPr>
          <w:rFonts w:ascii="Verdana" w:hAnsi="Verdana"/>
          <w:i/>
          <w:color w:val="auto"/>
          <w:sz w:val="20"/>
          <w:lang w:val="es-MX"/>
        </w:rPr>
        <w:t xml:space="preserve"> </w:t>
      </w:r>
      <w:r w:rsidRPr="00E114CC">
        <w:rPr>
          <w:rFonts w:ascii="Verdana" w:hAnsi="Verdana"/>
          <w:i/>
          <w:color w:val="auto"/>
          <w:sz w:val="20"/>
          <w:szCs w:val="20"/>
          <w:lang w:val="es-MX"/>
        </w:rPr>
        <w:t>de las partes</w:t>
      </w:r>
      <w:r w:rsidR="00675808" w:rsidRPr="000A0953">
        <w:rPr>
          <w:rFonts w:ascii="Verdana" w:hAnsi="Verdana"/>
          <w:i/>
          <w:color w:val="auto"/>
          <w:sz w:val="20"/>
          <w:szCs w:val="20"/>
          <w:lang w:val="es-MX"/>
        </w:rPr>
        <w:t xml:space="preserve"> y de la Comisión</w:t>
      </w:r>
      <w:bookmarkEnd w:id="11"/>
    </w:p>
    <w:p w14:paraId="6D172B7B" w14:textId="77777777" w:rsidR="00FB723A" w:rsidRPr="00F57829" w:rsidRDefault="00FB723A" w:rsidP="00FB723A">
      <w:pPr>
        <w:jc w:val="both"/>
        <w:rPr>
          <w:rFonts w:ascii="Verdana" w:hAnsi="Verdana"/>
          <w:b/>
          <w:sz w:val="20"/>
          <w:szCs w:val="20"/>
          <w:lang w:val="es-MX"/>
        </w:rPr>
      </w:pPr>
    </w:p>
    <w:p w14:paraId="6D172B7C" w14:textId="0C68A8D3" w:rsidR="00FB723A" w:rsidRPr="00844E7B" w:rsidRDefault="00FB723A" w:rsidP="00FB723A">
      <w:pPr>
        <w:pStyle w:val="ListParagraph"/>
        <w:numPr>
          <w:ilvl w:val="0"/>
          <w:numId w:val="2"/>
        </w:numPr>
        <w:ind w:left="0" w:firstLine="0"/>
        <w:jc w:val="both"/>
        <w:rPr>
          <w:rFonts w:ascii="Verdana" w:hAnsi="Verdana"/>
          <w:sz w:val="20"/>
          <w:szCs w:val="20"/>
          <w:lang w:val="es-MX"/>
        </w:rPr>
      </w:pPr>
      <w:r w:rsidRPr="00844E7B">
        <w:rPr>
          <w:rFonts w:ascii="Verdana" w:hAnsi="Verdana"/>
          <w:sz w:val="20"/>
          <w:szCs w:val="20"/>
          <w:lang w:val="es-MX"/>
        </w:rPr>
        <w:t xml:space="preserve">El </w:t>
      </w:r>
      <w:r w:rsidRPr="00844E7B">
        <w:rPr>
          <w:rFonts w:ascii="Verdana" w:hAnsi="Verdana"/>
          <w:b/>
          <w:i/>
          <w:sz w:val="20"/>
          <w:szCs w:val="20"/>
          <w:lang w:val="es-MX"/>
        </w:rPr>
        <w:t>Estado</w:t>
      </w:r>
      <w:r w:rsidRPr="00844E7B">
        <w:rPr>
          <w:rFonts w:ascii="Verdana" w:hAnsi="Verdana"/>
          <w:sz w:val="20"/>
          <w:szCs w:val="20"/>
          <w:lang w:val="es-MX"/>
        </w:rPr>
        <w:t xml:space="preserve"> argumentó que</w:t>
      </w:r>
      <w:r>
        <w:rPr>
          <w:rFonts w:ascii="Verdana" w:hAnsi="Verdana"/>
          <w:sz w:val="20"/>
          <w:szCs w:val="20"/>
          <w:lang w:val="es-MX"/>
        </w:rPr>
        <w:t>,</w:t>
      </w:r>
      <w:r w:rsidRPr="00844E7B">
        <w:rPr>
          <w:rFonts w:ascii="Verdana" w:hAnsi="Verdana"/>
          <w:sz w:val="20"/>
          <w:szCs w:val="20"/>
          <w:lang w:val="es-MX"/>
        </w:rPr>
        <w:t xml:space="preserve"> de acuerdo </w:t>
      </w:r>
      <w:r>
        <w:rPr>
          <w:rFonts w:ascii="Verdana" w:hAnsi="Verdana"/>
          <w:sz w:val="20"/>
          <w:szCs w:val="20"/>
          <w:lang w:val="es-MX"/>
        </w:rPr>
        <w:t>con el</w:t>
      </w:r>
      <w:r w:rsidRPr="00844E7B">
        <w:rPr>
          <w:rFonts w:ascii="Verdana" w:hAnsi="Verdana"/>
          <w:sz w:val="20"/>
          <w:szCs w:val="20"/>
          <w:lang w:val="es-MX"/>
        </w:rPr>
        <w:t xml:space="preserve"> artículo 46.1.b) de la Convención, para que una petición sea admitida, se requiere que ésta sea presentada dentro del plazo de seis meses, a partir de la fecha en que el presunto lesionado en sus derechos haya sido notificado de la decisión definitiva. Al respecto, el Estado señaló que la Comisión contó el plazo de los seis meses a partir del 5 de noviembre de 1999, fecha en </w:t>
      </w:r>
      <w:r>
        <w:rPr>
          <w:rFonts w:ascii="Verdana" w:hAnsi="Verdana"/>
          <w:sz w:val="20"/>
          <w:szCs w:val="20"/>
          <w:lang w:val="es-MX"/>
        </w:rPr>
        <w:t>que</w:t>
      </w:r>
      <w:r w:rsidRPr="00844E7B">
        <w:rPr>
          <w:rFonts w:ascii="Verdana" w:hAnsi="Verdana"/>
          <w:sz w:val="20"/>
          <w:szCs w:val="20"/>
          <w:lang w:val="es-MX"/>
        </w:rPr>
        <w:t xml:space="preserve"> se notificó la resolución </w:t>
      </w:r>
      <w:r w:rsidRPr="000E4245">
        <w:rPr>
          <w:rFonts w:ascii="Verdana" w:hAnsi="Verdana"/>
          <w:sz w:val="20"/>
          <w:szCs w:val="20"/>
          <w:lang w:val="es-MX"/>
        </w:rPr>
        <w:t>d</w:t>
      </w:r>
      <w:r w:rsidRPr="000A0953">
        <w:rPr>
          <w:rFonts w:ascii="Verdana" w:hAnsi="Verdana"/>
          <w:sz w:val="20"/>
          <w:szCs w:val="20"/>
          <w:lang w:val="es-MX"/>
        </w:rPr>
        <w:t>el</w:t>
      </w:r>
      <w:r w:rsidRPr="00D41B50">
        <w:rPr>
          <w:rFonts w:ascii="Verdana" w:hAnsi="Verdana"/>
          <w:sz w:val="20"/>
          <w:szCs w:val="20"/>
          <w:u w:val="single"/>
          <w:lang w:val="es-MX"/>
        </w:rPr>
        <w:t xml:space="preserve"> </w:t>
      </w:r>
      <w:r w:rsidRPr="00B446C7">
        <w:rPr>
          <w:rFonts w:ascii="Verdana" w:hAnsi="Verdana"/>
          <w:sz w:val="20"/>
          <w:szCs w:val="20"/>
          <w:lang w:val="es-MX"/>
        </w:rPr>
        <w:t>recurso de revisión</w:t>
      </w:r>
      <w:r w:rsidRPr="00844E7B">
        <w:rPr>
          <w:rFonts w:ascii="Verdana" w:hAnsi="Verdana"/>
          <w:sz w:val="20"/>
          <w:szCs w:val="20"/>
          <w:lang w:val="es-MX"/>
        </w:rPr>
        <w:t>, el cual era de carácter extraordinario. Sobre ello, el Estado manifestó su disconformidad con el criterio empleado por la Comisión, pues la naturaleza excepcional del recurso implica</w:t>
      </w:r>
      <w:r>
        <w:rPr>
          <w:rFonts w:ascii="Verdana" w:hAnsi="Verdana"/>
          <w:sz w:val="20"/>
          <w:szCs w:val="20"/>
          <w:lang w:val="es-MX"/>
        </w:rPr>
        <w:t>ba</w:t>
      </w:r>
      <w:r w:rsidRPr="00844E7B">
        <w:rPr>
          <w:rFonts w:ascii="Verdana" w:hAnsi="Verdana"/>
          <w:sz w:val="20"/>
          <w:szCs w:val="20"/>
          <w:lang w:val="es-MX"/>
        </w:rPr>
        <w:t xml:space="preserve"> que éste no se </w:t>
      </w:r>
      <w:r>
        <w:rPr>
          <w:rFonts w:ascii="Verdana" w:hAnsi="Verdana"/>
          <w:sz w:val="20"/>
          <w:szCs w:val="20"/>
          <w:lang w:val="es-MX"/>
        </w:rPr>
        <w:t>encontraba</w:t>
      </w:r>
      <w:r w:rsidRPr="00844E7B">
        <w:rPr>
          <w:rFonts w:ascii="Verdana" w:hAnsi="Verdana"/>
          <w:sz w:val="20"/>
          <w:szCs w:val="20"/>
          <w:lang w:val="es-MX"/>
        </w:rPr>
        <w:t xml:space="preserve"> sujeto a un límite temporal para su presentación, teniendo la parte condenada la posibilidad de plantearlo en cualquier momento que considere conveniente. En virtud de ello, el Estado señaló que la contabilización del plazo debería realizarse tomando como referencia la resolución sobre el </w:t>
      </w:r>
      <w:r w:rsidRPr="00B446C7">
        <w:rPr>
          <w:rFonts w:ascii="Verdana" w:hAnsi="Verdana"/>
          <w:sz w:val="20"/>
          <w:szCs w:val="20"/>
          <w:lang w:val="es-MX"/>
        </w:rPr>
        <w:t>recurso de nulidad</w:t>
      </w:r>
      <w:r w:rsidR="000E4245">
        <w:rPr>
          <w:rFonts w:ascii="Verdana" w:hAnsi="Verdana"/>
          <w:sz w:val="20"/>
          <w:szCs w:val="20"/>
          <w:u w:val="single"/>
          <w:lang w:val="es-MX"/>
        </w:rPr>
        <w:t xml:space="preserve"> </w:t>
      </w:r>
      <w:r w:rsidRPr="007205E5">
        <w:rPr>
          <w:rFonts w:ascii="Verdana" w:hAnsi="Verdana"/>
          <w:sz w:val="20"/>
          <w:szCs w:val="20"/>
          <w:lang w:val="es-MX"/>
        </w:rPr>
        <w:t>de 17 de diciembre de 1997</w:t>
      </w:r>
      <w:r w:rsidRPr="00844E7B">
        <w:rPr>
          <w:rFonts w:ascii="Verdana" w:hAnsi="Verdana"/>
          <w:sz w:val="20"/>
          <w:szCs w:val="20"/>
          <w:lang w:val="es-MX"/>
        </w:rPr>
        <w:t xml:space="preserve">, por ser </w:t>
      </w:r>
      <w:r>
        <w:rPr>
          <w:rFonts w:ascii="Verdana" w:hAnsi="Verdana"/>
          <w:sz w:val="20"/>
          <w:szCs w:val="20"/>
          <w:lang w:val="es-MX"/>
        </w:rPr>
        <w:t>é</w:t>
      </w:r>
      <w:r w:rsidRPr="00844E7B">
        <w:rPr>
          <w:rFonts w:ascii="Verdana" w:hAnsi="Verdana"/>
          <w:sz w:val="20"/>
          <w:szCs w:val="20"/>
          <w:lang w:val="es-MX"/>
        </w:rPr>
        <w:t>ste un recurso impugnatorio de carácter ordinario.</w:t>
      </w:r>
      <w:r w:rsidR="00BD0D97">
        <w:rPr>
          <w:rFonts w:ascii="Verdana" w:hAnsi="Verdana"/>
          <w:sz w:val="20"/>
          <w:szCs w:val="20"/>
          <w:lang w:val="es-MX"/>
        </w:rPr>
        <w:t xml:space="preserve"> </w:t>
      </w:r>
      <w:r w:rsidRPr="00844E7B">
        <w:rPr>
          <w:rFonts w:ascii="Verdana" w:hAnsi="Verdana"/>
          <w:sz w:val="20"/>
          <w:szCs w:val="20"/>
          <w:lang w:val="es-MX"/>
        </w:rPr>
        <w:t>En consecuencia,</w:t>
      </w:r>
      <w:r w:rsidR="00675808">
        <w:rPr>
          <w:rFonts w:ascii="Verdana" w:hAnsi="Verdana"/>
          <w:sz w:val="20"/>
          <w:szCs w:val="20"/>
          <w:lang w:val="es-MX"/>
        </w:rPr>
        <w:t xml:space="preserve"> </w:t>
      </w:r>
      <w:r w:rsidRPr="00844E7B">
        <w:rPr>
          <w:rFonts w:ascii="Verdana" w:hAnsi="Verdana"/>
          <w:sz w:val="20"/>
          <w:szCs w:val="20"/>
          <w:lang w:val="es-MX"/>
        </w:rPr>
        <w:t>la petición debió ser declarada inadmisible por la Comisión al haberse incumplido el plazo para su presentación.</w:t>
      </w:r>
      <w:r>
        <w:rPr>
          <w:rFonts w:ascii="Verdana" w:hAnsi="Verdana"/>
          <w:b/>
          <w:sz w:val="20"/>
          <w:szCs w:val="20"/>
          <w:lang w:val="es-MX"/>
        </w:rPr>
        <w:t xml:space="preserve"> </w:t>
      </w:r>
    </w:p>
    <w:p w14:paraId="6D172B7D" w14:textId="77777777" w:rsidR="00FB723A" w:rsidRPr="00844E7B" w:rsidRDefault="00FB723A" w:rsidP="00FB723A">
      <w:pPr>
        <w:pStyle w:val="ListParagraph"/>
        <w:ind w:left="0"/>
        <w:jc w:val="both"/>
        <w:rPr>
          <w:rFonts w:ascii="Verdana" w:hAnsi="Verdana"/>
          <w:sz w:val="20"/>
          <w:szCs w:val="20"/>
          <w:lang w:val="es-MX"/>
        </w:rPr>
      </w:pPr>
    </w:p>
    <w:p w14:paraId="6D172B7E" w14:textId="6A8B1EA3" w:rsidR="00FB723A" w:rsidRPr="00844E7B" w:rsidRDefault="00FB723A" w:rsidP="00FB723A">
      <w:pPr>
        <w:pStyle w:val="ListParagraph"/>
        <w:numPr>
          <w:ilvl w:val="0"/>
          <w:numId w:val="2"/>
        </w:numPr>
        <w:ind w:left="0" w:firstLine="0"/>
        <w:jc w:val="both"/>
        <w:rPr>
          <w:rFonts w:ascii="Verdana" w:hAnsi="Verdana"/>
          <w:sz w:val="20"/>
          <w:szCs w:val="20"/>
          <w:lang w:val="es-MX"/>
        </w:rPr>
      </w:pPr>
      <w:r w:rsidRPr="00844E7B">
        <w:rPr>
          <w:rFonts w:ascii="Verdana" w:hAnsi="Verdana"/>
          <w:sz w:val="20"/>
          <w:szCs w:val="20"/>
          <w:lang w:val="es-MX"/>
        </w:rPr>
        <w:t xml:space="preserve">La </w:t>
      </w:r>
      <w:r w:rsidRPr="00844E7B">
        <w:rPr>
          <w:rFonts w:ascii="Verdana" w:hAnsi="Verdana"/>
          <w:b/>
          <w:i/>
          <w:sz w:val="20"/>
          <w:szCs w:val="20"/>
          <w:lang w:val="es-MX"/>
        </w:rPr>
        <w:t>Comisión</w:t>
      </w:r>
      <w:r w:rsidRPr="00844E7B">
        <w:rPr>
          <w:rFonts w:ascii="Verdana" w:hAnsi="Verdana"/>
          <w:sz w:val="20"/>
          <w:szCs w:val="20"/>
          <w:lang w:val="es-MX"/>
        </w:rPr>
        <w:t xml:space="preserve"> observó que el Estado no presentó la excepción en el momento procesal oportuno, es decir en la etapa de admisibilidad. Asimismo, señaló que si bien el agotamiento de algunos recursos extraordinarios no </w:t>
      </w:r>
      <w:r>
        <w:rPr>
          <w:rFonts w:ascii="Verdana" w:hAnsi="Verdana"/>
          <w:sz w:val="20"/>
          <w:szCs w:val="20"/>
          <w:lang w:val="es-MX"/>
        </w:rPr>
        <w:t>era</w:t>
      </w:r>
      <w:r w:rsidRPr="00844E7B">
        <w:rPr>
          <w:rFonts w:ascii="Verdana" w:hAnsi="Verdana"/>
          <w:sz w:val="20"/>
          <w:szCs w:val="20"/>
          <w:lang w:val="es-MX"/>
        </w:rPr>
        <w:t xml:space="preserve"> exigible conforme a los criterios sostenidos por ambos órganos del sistema interamericano, cuando una presunta víctima decide agotarlos, ello no puede redundar en su perjuicio en cuanto a la aplicación del plazo de </w:t>
      </w:r>
      <w:r w:rsidR="00181F1C">
        <w:rPr>
          <w:rFonts w:ascii="Verdana" w:hAnsi="Verdana"/>
          <w:sz w:val="20"/>
          <w:szCs w:val="20"/>
          <w:lang w:val="es-MX"/>
        </w:rPr>
        <w:t>seis</w:t>
      </w:r>
      <w:r w:rsidR="00181F1C" w:rsidRPr="00844E7B">
        <w:rPr>
          <w:rFonts w:ascii="Verdana" w:hAnsi="Verdana"/>
          <w:sz w:val="20"/>
          <w:szCs w:val="20"/>
          <w:lang w:val="es-MX"/>
        </w:rPr>
        <w:t xml:space="preserve"> </w:t>
      </w:r>
      <w:r w:rsidRPr="00844E7B">
        <w:rPr>
          <w:rFonts w:ascii="Verdana" w:hAnsi="Verdana"/>
          <w:sz w:val="20"/>
          <w:szCs w:val="20"/>
          <w:lang w:val="es-MX"/>
        </w:rPr>
        <w:t xml:space="preserve">meses, el cual debe contarse a partir de la notificación de la sentencia del último recurso intentado por la presunta víctima. </w:t>
      </w:r>
    </w:p>
    <w:p w14:paraId="6D172B7F" w14:textId="77777777" w:rsidR="00FB723A" w:rsidRPr="00844E7B" w:rsidRDefault="00FB723A" w:rsidP="00FB723A">
      <w:pPr>
        <w:pStyle w:val="ListParagraph"/>
        <w:rPr>
          <w:rFonts w:ascii="Verdana" w:hAnsi="Verdana"/>
          <w:sz w:val="20"/>
          <w:szCs w:val="20"/>
          <w:lang w:val="es-CR"/>
        </w:rPr>
      </w:pPr>
    </w:p>
    <w:p w14:paraId="6D172B80" w14:textId="3547EA52" w:rsidR="00FB723A" w:rsidRPr="00351900" w:rsidRDefault="00FB723A" w:rsidP="00FB723A">
      <w:pPr>
        <w:pStyle w:val="ListParagraph"/>
        <w:numPr>
          <w:ilvl w:val="0"/>
          <w:numId w:val="2"/>
        </w:numPr>
        <w:ind w:left="0" w:firstLine="0"/>
        <w:jc w:val="both"/>
        <w:rPr>
          <w:rFonts w:ascii="Verdana" w:hAnsi="Verdana"/>
          <w:sz w:val="20"/>
          <w:szCs w:val="20"/>
          <w:lang w:val="es-MX"/>
        </w:rPr>
      </w:pPr>
      <w:r w:rsidRPr="00844E7B">
        <w:rPr>
          <w:rFonts w:ascii="Verdana" w:hAnsi="Verdana"/>
          <w:sz w:val="20"/>
          <w:szCs w:val="20"/>
          <w:lang w:val="es-CR"/>
        </w:rPr>
        <w:t xml:space="preserve">Los </w:t>
      </w:r>
      <w:r w:rsidRPr="00844E7B">
        <w:rPr>
          <w:rFonts w:ascii="Verdana" w:hAnsi="Verdana"/>
          <w:b/>
          <w:i/>
          <w:sz w:val="20"/>
          <w:szCs w:val="20"/>
          <w:lang w:val="es-CR"/>
        </w:rPr>
        <w:t>representantes</w:t>
      </w:r>
      <w:r w:rsidRPr="00844E7B">
        <w:rPr>
          <w:rFonts w:ascii="Verdana" w:hAnsi="Verdana"/>
          <w:sz w:val="20"/>
          <w:szCs w:val="20"/>
          <w:lang w:val="es-CR"/>
        </w:rPr>
        <w:t xml:space="preserve"> coincidieron con la Comisión en el sentido de que el planteamiento deviene tardío, por lo cual debe ser rechazad</w:t>
      </w:r>
      <w:r>
        <w:rPr>
          <w:rFonts w:ascii="Verdana" w:hAnsi="Verdana"/>
          <w:sz w:val="20"/>
          <w:szCs w:val="20"/>
          <w:lang w:val="es-CR"/>
        </w:rPr>
        <w:t>o</w:t>
      </w:r>
      <w:r w:rsidRPr="00844E7B">
        <w:rPr>
          <w:rFonts w:ascii="Verdana" w:hAnsi="Verdana"/>
          <w:sz w:val="20"/>
          <w:szCs w:val="20"/>
          <w:lang w:val="es-CR"/>
        </w:rPr>
        <w:t>.</w:t>
      </w:r>
      <w:r w:rsidR="000E4245">
        <w:rPr>
          <w:rFonts w:ascii="Verdana" w:hAnsi="Verdana"/>
          <w:sz w:val="20"/>
          <w:szCs w:val="20"/>
          <w:lang w:val="es-CR"/>
        </w:rPr>
        <w:t xml:space="preserve"> A</w:t>
      </w:r>
      <w:r w:rsidR="00E33FF6">
        <w:rPr>
          <w:rFonts w:ascii="Verdana" w:hAnsi="Verdana"/>
          <w:sz w:val="20"/>
          <w:szCs w:val="20"/>
          <w:lang w:val="es-CR"/>
        </w:rPr>
        <w:t>gregaron</w:t>
      </w:r>
      <w:r w:rsidRPr="00844E7B">
        <w:rPr>
          <w:rFonts w:ascii="Verdana" w:hAnsi="Verdana"/>
          <w:sz w:val="20"/>
          <w:szCs w:val="20"/>
          <w:lang w:val="es-MX"/>
        </w:rPr>
        <w:t xml:space="preserve"> que </w:t>
      </w:r>
      <w:r w:rsidR="00E33FF6">
        <w:rPr>
          <w:rFonts w:ascii="Verdana" w:hAnsi="Verdana"/>
          <w:sz w:val="20"/>
          <w:szCs w:val="20"/>
          <w:lang w:val="es-MX"/>
        </w:rPr>
        <w:t>“</w:t>
      </w:r>
      <w:r w:rsidRPr="00844E7B">
        <w:rPr>
          <w:rFonts w:ascii="Verdana" w:hAnsi="Verdana"/>
          <w:sz w:val="20"/>
          <w:szCs w:val="20"/>
          <w:lang w:val="es-MX"/>
        </w:rPr>
        <w:t>les llamó la atención</w:t>
      </w:r>
      <w:r w:rsidR="00E33FF6">
        <w:rPr>
          <w:rFonts w:ascii="Verdana" w:hAnsi="Verdana"/>
          <w:sz w:val="20"/>
          <w:szCs w:val="20"/>
          <w:lang w:val="es-MX"/>
        </w:rPr>
        <w:t>”</w:t>
      </w:r>
      <w:r w:rsidRPr="00844E7B">
        <w:rPr>
          <w:rFonts w:ascii="Verdana" w:hAnsi="Verdana"/>
          <w:sz w:val="20"/>
          <w:szCs w:val="20"/>
          <w:lang w:val="es-MX"/>
        </w:rPr>
        <w:t xml:space="preserve"> que</w:t>
      </w:r>
      <w:r>
        <w:rPr>
          <w:rFonts w:ascii="Verdana" w:hAnsi="Verdana"/>
          <w:sz w:val="20"/>
          <w:szCs w:val="20"/>
          <w:lang w:val="es-MX"/>
        </w:rPr>
        <w:t>,</w:t>
      </w:r>
      <w:r w:rsidRPr="001C3D4C">
        <w:rPr>
          <w:rFonts w:ascii="Verdana" w:hAnsi="Verdana"/>
          <w:sz w:val="20"/>
          <w:szCs w:val="20"/>
          <w:lang w:val="es-MX"/>
        </w:rPr>
        <w:t xml:space="preserve"> por una parte</w:t>
      </w:r>
      <w:r>
        <w:rPr>
          <w:rFonts w:ascii="Verdana" w:hAnsi="Verdana"/>
          <w:sz w:val="20"/>
          <w:szCs w:val="20"/>
          <w:lang w:val="es-MX"/>
        </w:rPr>
        <w:t>,</w:t>
      </w:r>
      <w:r w:rsidRPr="001C3D4C">
        <w:rPr>
          <w:rFonts w:ascii="Verdana" w:hAnsi="Verdana"/>
          <w:sz w:val="20"/>
          <w:szCs w:val="20"/>
          <w:lang w:val="es-MX"/>
        </w:rPr>
        <w:t xml:space="preserve"> el Estado</w:t>
      </w:r>
      <w:r w:rsidRPr="001C3D4C">
        <w:rPr>
          <w:rFonts w:ascii="Verdana" w:hAnsi="Verdana"/>
          <w:b/>
          <w:sz w:val="20"/>
          <w:szCs w:val="20"/>
          <w:lang w:val="es-MX"/>
        </w:rPr>
        <w:t xml:space="preserve"> </w:t>
      </w:r>
      <w:r w:rsidRPr="001C3D4C">
        <w:rPr>
          <w:rFonts w:ascii="Verdana" w:hAnsi="Verdana"/>
          <w:sz w:val="20"/>
          <w:szCs w:val="20"/>
          <w:lang w:val="es-MX"/>
        </w:rPr>
        <w:t>afirme que el señor Zegarra Marín debió haber interpuesto</w:t>
      </w:r>
      <w:r w:rsidRPr="00351900">
        <w:rPr>
          <w:rFonts w:ascii="Verdana" w:hAnsi="Verdana"/>
          <w:sz w:val="20"/>
          <w:szCs w:val="20"/>
          <w:lang w:val="es-MX"/>
        </w:rPr>
        <w:t xml:space="preserve"> una acción constitucional (extraordinaria) de amparo para agotar los recursos </w:t>
      </w:r>
      <w:r w:rsidRPr="00351900">
        <w:rPr>
          <w:rFonts w:ascii="Verdana" w:hAnsi="Verdana"/>
          <w:sz w:val="20"/>
          <w:szCs w:val="20"/>
          <w:lang w:val="es-MX"/>
        </w:rPr>
        <w:lastRenderedPageBreak/>
        <w:t>internos y que</w:t>
      </w:r>
      <w:r>
        <w:rPr>
          <w:rFonts w:ascii="Verdana" w:hAnsi="Verdana"/>
          <w:sz w:val="20"/>
          <w:szCs w:val="20"/>
          <w:lang w:val="es-MX"/>
        </w:rPr>
        <w:t>,</w:t>
      </w:r>
      <w:r w:rsidRPr="001C3D4C">
        <w:rPr>
          <w:rFonts w:ascii="Verdana" w:hAnsi="Verdana"/>
          <w:sz w:val="20"/>
          <w:szCs w:val="20"/>
          <w:lang w:val="es-MX"/>
        </w:rPr>
        <w:t xml:space="preserve"> por otra parte, afirme que el plazo para la interposición de la petición </w:t>
      </w:r>
      <w:r w:rsidRPr="001C3D4C">
        <w:rPr>
          <w:rFonts w:ascii="Verdana" w:hAnsi="Verdana"/>
          <w:sz w:val="20"/>
          <w:szCs w:val="20"/>
          <w:lang w:val="es-CR"/>
        </w:rPr>
        <w:t>debe contarse desde que se agotaron los recursos internos sin contemplar los recursos ex</w:t>
      </w:r>
      <w:r w:rsidRPr="00351900">
        <w:rPr>
          <w:rFonts w:ascii="Verdana" w:hAnsi="Verdana"/>
          <w:sz w:val="20"/>
          <w:szCs w:val="20"/>
          <w:lang w:val="es-CR"/>
        </w:rPr>
        <w:t>traordinarios presentados.</w:t>
      </w:r>
      <w:r w:rsidRPr="00351900">
        <w:rPr>
          <w:rFonts w:ascii="Verdana" w:hAnsi="Verdana"/>
          <w:b/>
          <w:sz w:val="20"/>
          <w:szCs w:val="20"/>
          <w:lang w:val="es-MX"/>
        </w:rPr>
        <w:t xml:space="preserve"> </w:t>
      </w:r>
    </w:p>
    <w:p w14:paraId="6D172B81" w14:textId="77777777" w:rsidR="00FB723A" w:rsidRPr="000A0953" w:rsidRDefault="00FB723A" w:rsidP="00FB723A">
      <w:pPr>
        <w:jc w:val="both"/>
        <w:rPr>
          <w:rFonts w:ascii="Verdana" w:hAnsi="Verdana"/>
          <w:sz w:val="20"/>
          <w:szCs w:val="20"/>
          <w:lang w:val="es-MX"/>
        </w:rPr>
      </w:pPr>
    </w:p>
    <w:p w14:paraId="6D172B82" w14:textId="77777777" w:rsidR="00FB723A" w:rsidRPr="00054386" w:rsidRDefault="00FB723A" w:rsidP="006231F4">
      <w:pPr>
        <w:pStyle w:val="Heading3"/>
        <w:numPr>
          <w:ilvl w:val="0"/>
          <w:numId w:val="20"/>
        </w:numPr>
        <w:spacing w:before="0"/>
        <w:jc w:val="both"/>
        <w:rPr>
          <w:rFonts w:ascii="Verdana" w:hAnsi="Verdana"/>
          <w:i/>
          <w:color w:val="auto"/>
          <w:sz w:val="20"/>
          <w:szCs w:val="20"/>
          <w:lang w:val="es-MX"/>
        </w:rPr>
      </w:pPr>
      <w:r w:rsidRPr="000A0953">
        <w:rPr>
          <w:rFonts w:ascii="Verdana" w:hAnsi="Verdana"/>
          <w:b w:val="0"/>
          <w:i/>
          <w:color w:val="auto"/>
          <w:sz w:val="20"/>
          <w:szCs w:val="20"/>
          <w:lang w:val="es-MX"/>
        </w:rPr>
        <w:t xml:space="preserve"> </w:t>
      </w:r>
      <w:bookmarkStart w:id="12" w:name="_Toc482093021"/>
      <w:r w:rsidRPr="00054386">
        <w:rPr>
          <w:rFonts w:ascii="Verdana" w:hAnsi="Verdana"/>
          <w:i/>
          <w:color w:val="auto"/>
          <w:sz w:val="20"/>
          <w:szCs w:val="20"/>
          <w:lang w:val="es-MX"/>
        </w:rPr>
        <w:t>Consideraciones de la Corte</w:t>
      </w:r>
      <w:bookmarkEnd w:id="12"/>
    </w:p>
    <w:p w14:paraId="6D172B83" w14:textId="77777777" w:rsidR="00FB723A" w:rsidRDefault="00FB723A" w:rsidP="00FB723A">
      <w:pPr>
        <w:jc w:val="both"/>
        <w:rPr>
          <w:rFonts w:ascii="Verdana" w:hAnsi="Verdana"/>
          <w:sz w:val="20"/>
          <w:szCs w:val="20"/>
          <w:lang w:val="es-CR"/>
        </w:rPr>
      </w:pPr>
    </w:p>
    <w:p w14:paraId="6D172B84" w14:textId="2CE08F4B" w:rsidR="00FB723A" w:rsidRPr="00844E7B" w:rsidRDefault="00FB723A" w:rsidP="00FB723A">
      <w:pPr>
        <w:pStyle w:val="ListParagraph"/>
        <w:numPr>
          <w:ilvl w:val="0"/>
          <w:numId w:val="2"/>
        </w:numPr>
        <w:ind w:left="0" w:firstLine="0"/>
        <w:jc w:val="both"/>
        <w:rPr>
          <w:rFonts w:ascii="Verdana" w:hAnsi="Verdana"/>
          <w:sz w:val="20"/>
          <w:szCs w:val="20"/>
          <w:lang w:val="es-CR"/>
        </w:rPr>
      </w:pPr>
      <w:r w:rsidRPr="00844E7B">
        <w:rPr>
          <w:rFonts w:ascii="Verdana" w:hAnsi="Verdana"/>
          <w:sz w:val="20"/>
          <w:szCs w:val="20"/>
          <w:lang w:val="es-CR"/>
        </w:rPr>
        <w:t>La Corte destaca que la Comisión Interamericana señaló que</w:t>
      </w:r>
      <w:r w:rsidR="00260B4F">
        <w:rPr>
          <w:rFonts w:ascii="Verdana" w:hAnsi="Verdana"/>
          <w:sz w:val="20"/>
          <w:szCs w:val="20"/>
          <w:lang w:val="es-CR"/>
        </w:rPr>
        <w:t>,</w:t>
      </w:r>
      <w:r w:rsidRPr="00844E7B">
        <w:rPr>
          <w:rFonts w:ascii="Verdana" w:hAnsi="Verdana"/>
          <w:sz w:val="20"/>
          <w:szCs w:val="20"/>
          <w:lang w:val="es-CR"/>
        </w:rPr>
        <w:t xml:space="preserve"> durante el trámite de admisibilidad de la petición, el Estado no presentó objeción alguna respecto del alegado vencimiento plazo de los </w:t>
      </w:r>
      <w:r w:rsidR="00181F1C">
        <w:rPr>
          <w:rFonts w:ascii="Verdana" w:hAnsi="Verdana"/>
          <w:sz w:val="20"/>
          <w:szCs w:val="20"/>
          <w:lang w:val="es-CR"/>
        </w:rPr>
        <w:t>seis</w:t>
      </w:r>
      <w:r w:rsidR="00181F1C" w:rsidRPr="00844E7B">
        <w:rPr>
          <w:rFonts w:ascii="Verdana" w:hAnsi="Verdana"/>
          <w:sz w:val="20"/>
          <w:szCs w:val="20"/>
          <w:lang w:val="es-CR"/>
        </w:rPr>
        <w:t xml:space="preserve"> </w:t>
      </w:r>
      <w:r w:rsidRPr="00844E7B">
        <w:rPr>
          <w:rFonts w:ascii="Verdana" w:hAnsi="Verdana"/>
          <w:sz w:val="20"/>
          <w:szCs w:val="20"/>
          <w:lang w:val="es-CR"/>
        </w:rPr>
        <w:t xml:space="preserve">meses para la presentación de la petición. Lo anterior fue corroborado por la Corte mediante la revisión de los escritos del Estado de </w:t>
      </w:r>
      <w:r w:rsidRPr="00844E7B">
        <w:rPr>
          <w:rFonts w:ascii="Verdana" w:hAnsi="Verdana"/>
          <w:sz w:val="20"/>
          <w:szCs w:val="20"/>
          <w:lang w:val="es-ES"/>
        </w:rPr>
        <w:t>20 de junio de 2003, 29 de abril de 2005 y 28 de mayo de 2008 (</w:t>
      </w:r>
      <w:r w:rsidRPr="0058104A">
        <w:rPr>
          <w:rFonts w:ascii="Verdana" w:hAnsi="Verdana"/>
          <w:i/>
          <w:sz w:val="20"/>
          <w:szCs w:val="20"/>
          <w:lang w:val="es-ES"/>
        </w:rPr>
        <w:t>supra</w:t>
      </w:r>
      <w:r w:rsidRPr="00844E7B">
        <w:rPr>
          <w:rFonts w:ascii="Verdana" w:hAnsi="Verdana"/>
          <w:sz w:val="20"/>
          <w:szCs w:val="20"/>
          <w:lang w:val="es-ES"/>
        </w:rPr>
        <w:t xml:space="preserve"> párr. </w:t>
      </w:r>
      <w:r w:rsidR="00F64CF2">
        <w:rPr>
          <w:rFonts w:ascii="Verdana" w:hAnsi="Verdana"/>
          <w:sz w:val="20"/>
          <w:szCs w:val="20"/>
          <w:lang w:val="es-ES"/>
        </w:rPr>
        <w:t>22</w:t>
      </w:r>
      <w:r w:rsidRPr="00844E7B">
        <w:rPr>
          <w:rFonts w:ascii="Verdana" w:hAnsi="Verdana"/>
          <w:sz w:val="20"/>
          <w:szCs w:val="20"/>
          <w:lang w:val="es-ES"/>
        </w:rPr>
        <w:t xml:space="preserve">), los cuales no </w:t>
      </w:r>
      <w:r w:rsidR="008900C9">
        <w:rPr>
          <w:rFonts w:ascii="Verdana" w:hAnsi="Verdana"/>
          <w:sz w:val="20"/>
          <w:szCs w:val="20"/>
          <w:lang w:val="es-ES"/>
        </w:rPr>
        <w:t xml:space="preserve">hacen ninguna referencia </w:t>
      </w:r>
      <w:r>
        <w:rPr>
          <w:rFonts w:ascii="Verdana" w:hAnsi="Verdana"/>
          <w:sz w:val="20"/>
          <w:szCs w:val="20"/>
          <w:lang w:val="es-ES"/>
        </w:rPr>
        <w:t>al respecto.</w:t>
      </w:r>
    </w:p>
    <w:p w14:paraId="6D172B85" w14:textId="77777777" w:rsidR="00FB723A" w:rsidRDefault="00FB723A" w:rsidP="00FB723A">
      <w:pPr>
        <w:pStyle w:val="ListParagraph"/>
        <w:ind w:left="0"/>
        <w:jc w:val="both"/>
        <w:rPr>
          <w:rFonts w:ascii="Verdana" w:hAnsi="Verdana"/>
          <w:sz w:val="20"/>
          <w:szCs w:val="20"/>
          <w:lang w:val="es-CR"/>
        </w:rPr>
      </w:pPr>
    </w:p>
    <w:p w14:paraId="6D172B86" w14:textId="5F5F8E64" w:rsidR="00FB723A" w:rsidRPr="00844E7B" w:rsidRDefault="00FB723A" w:rsidP="00FB723A">
      <w:pPr>
        <w:pStyle w:val="ListParagraph"/>
        <w:numPr>
          <w:ilvl w:val="0"/>
          <w:numId w:val="2"/>
        </w:numPr>
        <w:ind w:left="0" w:firstLine="0"/>
        <w:jc w:val="both"/>
        <w:rPr>
          <w:rFonts w:ascii="Verdana" w:hAnsi="Verdana"/>
          <w:sz w:val="20"/>
          <w:szCs w:val="20"/>
          <w:lang w:val="es-CR"/>
        </w:rPr>
      </w:pPr>
      <w:r w:rsidRPr="00844E7B">
        <w:rPr>
          <w:rFonts w:ascii="Verdana" w:hAnsi="Verdana"/>
          <w:sz w:val="20"/>
          <w:szCs w:val="20"/>
        </w:rPr>
        <w:t>En consecuencia, en virtud de que no fue alegado en el momento procesal oportuno</w:t>
      </w:r>
      <w:r>
        <w:rPr>
          <w:rFonts w:ascii="Verdana" w:hAnsi="Verdana"/>
          <w:sz w:val="20"/>
          <w:szCs w:val="20"/>
        </w:rPr>
        <w:t xml:space="preserve">, </w:t>
      </w:r>
      <w:r w:rsidRPr="00844E7B">
        <w:rPr>
          <w:rFonts w:ascii="Verdana" w:hAnsi="Verdana"/>
          <w:sz w:val="20"/>
          <w:szCs w:val="20"/>
        </w:rPr>
        <w:t xml:space="preserve">la Corte estima que el argumento relacionado con </w:t>
      </w:r>
      <w:r>
        <w:rPr>
          <w:rFonts w:ascii="Verdana" w:hAnsi="Verdana"/>
          <w:sz w:val="20"/>
          <w:szCs w:val="20"/>
        </w:rPr>
        <w:t>el vencimiento del plazo de seis meses</w:t>
      </w:r>
      <w:r w:rsidR="00260B4F">
        <w:rPr>
          <w:rFonts w:ascii="Verdana" w:hAnsi="Verdana"/>
          <w:sz w:val="20"/>
          <w:szCs w:val="20"/>
        </w:rPr>
        <w:t>,</w:t>
      </w:r>
      <w:r w:rsidR="00181F1C">
        <w:rPr>
          <w:rFonts w:ascii="Verdana" w:hAnsi="Verdana"/>
          <w:sz w:val="20"/>
          <w:szCs w:val="20"/>
        </w:rPr>
        <w:t xml:space="preserve"> para interponer la petición</w:t>
      </w:r>
      <w:r>
        <w:rPr>
          <w:rFonts w:ascii="Verdana" w:hAnsi="Verdana"/>
          <w:sz w:val="20"/>
          <w:szCs w:val="20"/>
        </w:rPr>
        <w:t xml:space="preserve"> a partir de la notificación del recurso de nulidad, </w:t>
      </w:r>
      <w:r w:rsidRPr="00844E7B">
        <w:rPr>
          <w:rFonts w:ascii="Verdana" w:hAnsi="Verdana"/>
          <w:sz w:val="20"/>
          <w:szCs w:val="20"/>
        </w:rPr>
        <w:t>es extemporáneo. Por lo tanto, la Corte desestima la referida excepción.</w:t>
      </w:r>
    </w:p>
    <w:p w14:paraId="6D172B87" w14:textId="77777777" w:rsidR="00FB723A" w:rsidRPr="00F57829" w:rsidRDefault="00FB723A" w:rsidP="00FB723A">
      <w:pPr>
        <w:jc w:val="both"/>
        <w:rPr>
          <w:rFonts w:ascii="Verdana" w:hAnsi="Verdana"/>
          <w:sz w:val="20"/>
          <w:szCs w:val="20"/>
          <w:lang w:val="es-CR"/>
        </w:rPr>
      </w:pPr>
    </w:p>
    <w:p w14:paraId="6D172B88" w14:textId="77777777" w:rsidR="00FB723A" w:rsidRPr="00223A84" w:rsidRDefault="00FB723A" w:rsidP="00FB723A">
      <w:pPr>
        <w:pStyle w:val="Heading2"/>
        <w:numPr>
          <w:ilvl w:val="0"/>
          <w:numId w:val="1"/>
        </w:numPr>
        <w:spacing w:before="0"/>
        <w:rPr>
          <w:rFonts w:ascii="Verdana" w:hAnsi="Verdana"/>
          <w:i/>
          <w:color w:val="auto"/>
          <w:sz w:val="20"/>
          <w:szCs w:val="20"/>
        </w:rPr>
      </w:pPr>
      <w:bookmarkStart w:id="13" w:name="_Toc482093022"/>
      <w:r w:rsidRPr="00223A84">
        <w:rPr>
          <w:rFonts w:ascii="Verdana" w:hAnsi="Verdana"/>
          <w:i/>
          <w:color w:val="auto"/>
          <w:sz w:val="20"/>
          <w:szCs w:val="20"/>
        </w:rPr>
        <w:t>Cuarta instancia</w:t>
      </w:r>
      <w:bookmarkEnd w:id="13"/>
    </w:p>
    <w:p w14:paraId="6D172B89" w14:textId="77777777" w:rsidR="00FB723A" w:rsidRPr="00F57829" w:rsidRDefault="00FB723A" w:rsidP="00FB723A">
      <w:pPr>
        <w:jc w:val="both"/>
        <w:rPr>
          <w:rFonts w:ascii="Verdana" w:hAnsi="Verdana"/>
          <w:b/>
          <w:sz w:val="20"/>
          <w:szCs w:val="20"/>
          <w:lang w:val="es-ES"/>
        </w:rPr>
      </w:pPr>
    </w:p>
    <w:p w14:paraId="6D172B8A" w14:textId="22F526E7" w:rsidR="00FB723A" w:rsidRPr="00054386" w:rsidRDefault="00FB723A" w:rsidP="000A0953">
      <w:pPr>
        <w:pStyle w:val="Heading3"/>
        <w:numPr>
          <w:ilvl w:val="0"/>
          <w:numId w:val="24"/>
        </w:numPr>
        <w:spacing w:before="0"/>
        <w:jc w:val="both"/>
        <w:rPr>
          <w:rFonts w:ascii="Verdana" w:hAnsi="Verdana"/>
          <w:i/>
          <w:color w:val="auto"/>
          <w:sz w:val="20"/>
          <w:szCs w:val="20"/>
          <w:lang w:val="es-MX"/>
        </w:rPr>
      </w:pPr>
      <w:r w:rsidRPr="00E114CC">
        <w:rPr>
          <w:rFonts w:ascii="Verdana" w:hAnsi="Verdana"/>
          <w:i/>
          <w:color w:val="auto"/>
          <w:sz w:val="20"/>
          <w:szCs w:val="20"/>
          <w:lang w:val="es-MX"/>
        </w:rPr>
        <w:t xml:space="preserve"> </w:t>
      </w:r>
      <w:bookmarkStart w:id="14" w:name="_Toc482093023"/>
      <w:r w:rsidRPr="00054386">
        <w:rPr>
          <w:rFonts w:ascii="Verdana" w:hAnsi="Verdana"/>
          <w:i/>
          <w:color w:val="auto"/>
          <w:sz w:val="20"/>
          <w:szCs w:val="20"/>
          <w:lang w:val="es-MX"/>
        </w:rPr>
        <w:t>Argumentos de las partes y de la Comisión</w:t>
      </w:r>
      <w:bookmarkEnd w:id="14"/>
    </w:p>
    <w:p w14:paraId="6D172B8B" w14:textId="77777777" w:rsidR="00FB723A" w:rsidRPr="00C76F7C" w:rsidRDefault="00FB723A" w:rsidP="00FB723A">
      <w:pPr>
        <w:jc w:val="both"/>
        <w:rPr>
          <w:rFonts w:ascii="Verdana" w:hAnsi="Verdana"/>
          <w:b/>
          <w:sz w:val="20"/>
          <w:szCs w:val="20"/>
          <w:lang w:val="es-ES"/>
        </w:rPr>
      </w:pPr>
    </w:p>
    <w:p w14:paraId="6D172B8C" w14:textId="495C4798" w:rsidR="00FB723A" w:rsidRPr="00844E7B" w:rsidRDefault="00FB723A" w:rsidP="00FB723A">
      <w:pPr>
        <w:pStyle w:val="ListParagraph"/>
        <w:numPr>
          <w:ilvl w:val="0"/>
          <w:numId w:val="2"/>
        </w:numPr>
        <w:ind w:left="0" w:firstLine="0"/>
        <w:jc w:val="both"/>
        <w:rPr>
          <w:rFonts w:ascii="Verdana" w:hAnsi="Verdana"/>
          <w:sz w:val="20"/>
          <w:szCs w:val="20"/>
          <w:lang w:val="es-ES"/>
        </w:rPr>
      </w:pPr>
      <w:r w:rsidRPr="00844E7B">
        <w:rPr>
          <w:rFonts w:ascii="Verdana" w:hAnsi="Verdana"/>
          <w:sz w:val="20"/>
          <w:szCs w:val="20"/>
          <w:lang w:val="es-ES"/>
        </w:rPr>
        <w:t xml:space="preserve">El </w:t>
      </w:r>
      <w:r w:rsidRPr="00844E7B">
        <w:rPr>
          <w:rFonts w:ascii="Verdana" w:hAnsi="Verdana"/>
          <w:b/>
          <w:i/>
          <w:sz w:val="20"/>
          <w:szCs w:val="20"/>
          <w:lang w:val="es-ES"/>
        </w:rPr>
        <w:t>Estado</w:t>
      </w:r>
      <w:r w:rsidRPr="00844E7B">
        <w:rPr>
          <w:rFonts w:ascii="Verdana" w:hAnsi="Verdana"/>
          <w:sz w:val="20"/>
          <w:szCs w:val="20"/>
          <w:lang w:val="es-ES"/>
        </w:rPr>
        <w:t xml:space="preserve"> argumentó que ni la Comisión ni la Corte </w:t>
      </w:r>
      <w:r>
        <w:rPr>
          <w:rFonts w:ascii="Verdana" w:hAnsi="Verdana"/>
          <w:sz w:val="20"/>
          <w:szCs w:val="20"/>
          <w:lang w:val="es-ES"/>
        </w:rPr>
        <w:t>podrían</w:t>
      </w:r>
      <w:r w:rsidRPr="00844E7B">
        <w:rPr>
          <w:rFonts w:ascii="Verdana" w:hAnsi="Verdana"/>
          <w:sz w:val="20"/>
          <w:szCs w:val="20"/>
          <w:lang w:val="es-ES"/>
        </w:rPr>
        <w:t xml:space="preserve"> sustituir la evaluación de los hechos realizada por los tribunales internos, ya que esto representaría su actuación en calidad de “cuarta instancia”. En este sentido, el Estado recordó que la Corte Interamericana ha establecido que no es un tribunal de alzada o apelación para dirimir los desacuerdos que tenga</w:t>
      </w:r>
      <w:r>
        <w:rPr>
          <w:rFonts w:ascii="Verdana" w:hAnsi="Verdana"/>
          <w:sz w:val="20"/>
          <w:szCs w:val="20"/>
          <w:lang w:val="es-ES"/>
        </w:rPr>
        <w:t>n</w:t>
      </w:r>
      <w:r w:rsidRPr="00844E7B">
        <w:rPr>
          <w:rFonts w:ascii="Verdana" w:hAnsi="Verdana"/>
          <w:sz w:val="20"/>
          <w:szCs w:val="20"/>
          <w:lang w:val="es-ES"/>
        </w:rPr>
        <w:t xml:space="preserve"> las partes sobre algunos alcances de la valoración de la prueba. Asimismo, observó que parte de la controversia gira</w:t>
      </w:r>
      <w:r>
        <w:rPr>
          <w:rFonts w:ascii="Verdana" w:hAnsi="Verdana"/>
          <w:sz w:val="20"/>
          <w:szCs w:val="20"/>
          <w:lang w:val="es-ES"/>
        </w:rPr>
        <w:t>ba</w:t>
      </w:r>
      <w:r w:rsidRPr="00844E7B">
        <w:rPr>
          <w:rFonts w:ascii="Verdana" w:hAnsi="Verdana"/>
          <w:sz w:val="20"/>
          <w:szCs w:val="20"/>
          <w:lang w:val="es-ES"/>
        </w:rPr>
        <w:t xml:space="preserve"> en torno a la valoración de la prueba en el marco del proceso penal que se siguió contra el señor Zegarra Marín</w:t>
      </w:r>
      <w:r w:rsidR="00DB2A82">
        <w:rPr>
          <w:rFonts w:ascii="Verdana" w:hAnsi="Verdana"/>
          <w:sz w:val="20"/>
          <w:szCs w:val="20"/>
          <w:lang w:val="es-ES"/>
        </w:rPr>
        <w:t>,</w:t>
      </w:r>
      <w:r w:rsidRPr="00844E7B">
        <w:rPr>
          <w:rFonts w:ascii="Verdana" w:hAnsi="Verdana"/>
          <w:sz w:val="20"/>
          <w:szCs w:val="20"/>
          <w:lang w:val="es-ES"/>
        </w:rPr>
        <w:t xml:space="preserve"> por lo que consideró que la valoración de la prueba</w:t>
      </w:r>
      <w:r>
        <w:rPr>
          <w:rFonts w:ascii="Verdana" w:hAnsi="Verdana"/>
          <w:sz w:val="20"/>
          <w:szCs w:val="20"/>
          <w:lang w:val="es-ES"/>
        </w:rPr>
        <w:t xml:space="preserve"> </w:t>
      </w:r>
      <w:r w:rsidRPr="00844E7B">
        <w:rPr>
          <w:rFonts w:ascii="Verdana" w:hAnsi="Verdana"/>
          <w:sz w:val="20"/>
          <w:szCs w:val="20"/>
          <w:lang w:val="es-ES"/>
        </w:rPr>
        <w:t xml:space="preserve">excedía la competencia que le ha sido reconocida a ambos órganos del sistema interamericano. En virtud de ello, el Estado consideró que la Corte </w:t>
      </w:r>
      <w:r>
        <w:rPr>
          <w:rFonts w:ascii="Verdana" w:hAnsi="Verdana"/>
          <w:sz w:val="20"/>
          <w:szCs w:val="20"/>
          <w:lang w:val="es-ES"/>
        </w:rPr>
        <w:t>debía</w:t>
      </w:r>
      <w:r w:rsidRPr="00844E7B">
        <w:rPr>
          <w:rFonts w:ascii="Verdana" w:hAnsi="Verdana"/>
          <w:sz w:val="20"/>
          <w:szCs w:val="20"/>
          <w:lang w:val="es-ES"/>
        </w:rPr>
        <w:t xml:space="preserve"> rechazar el pedido de la presunta víctima de dejar sin efecto en todos sus extremos la sentencia expedida por la Quinta Sala Penal. De acuerdo con el Estado, el presente caso fue resuelto en la jurisdicción interna, garantizándole a la presunta víctima un debido proceso y el derecho a recurrir el fallo cuestionado, que si bien no fue satisfactorio para sus intereses, no debe desvirtuar la legalidad, constitucionalidad y convencionalidad de dichos procesos. </w:t>
      </w:r>
    </w:p>
    <w:p w14:paraId="6D172B8D" w14:textId="77777777" w:rsidR="00FB723A" w:rsidRPr="00844E7B" w:rsidRDefault="00FB723A" w:rsidP="00FB723A">
      <w:pPr>
        <w:pStyle w:val="ListParagraph"/>
        <w:ind w:left="0"/>
        <w:jc w:val="both"/>
        <w:rPr>
          <w:rFonts w:ascii="Verdana" w:hAnsi="Verdana"/>
          <w:sz w:val="20"/>
          <w:szCs w:val="20"/>
          <w:lang w:val="es-ES"/>
        </w:rPr>
      </w:pPr>
    </w:p>
    <w:p w14:paraId="6D172B8E" w14:textId="6EE8760C" w:rsidR="00FB723A" w:rsidRPr="00844E7B" w:rsidRDefault="00FB723A" w:rsidP="00FB723A">
      <w:pPr>
        <w:pStyle w:val="ListParagraph"/>
        <w:numPr>
          <w:ilvl w:val="0"/>
          <w:numId w:val="2"/>
        </w:numPr>
        <w:ind w:left="0" w:firstLine="0"/>
        <w:jc w:val="both"/>
        <w:rPr>
          <w:rFonts w:ascii="Verdana" w:hAnsi="Verdana"/>
          <w:sz w:val="20"/>
          <w:szCs w:val="20"/>
          <w:lang w:val="es-ES"/>
        </w:rPr>
      </w:pPr>
      <w:r w:rsidRPr="00844E7B">
        <w:rPr>
          <w:rFonts w:ascii="Verdana" w:hAnsi="Verdana"/>
          <w:sz w:val="20"/>
          <w:szCs w:val="20"/>
          <w:lang w:val="es-ES"/>
        </w:rPr>
        <w:t xml:space="preserve">La </w:t>
      </w:r>
      <w:r w:rsidRPr="00844E7B">
        <w:rPr>
          <w:rFonts w:ascii="Verdana" w:hAnsi="Verdana"/>
          <w:b/>
          <w:i/>
          <w:sz w:val="20"/>
          <w:szCs w:val="20"/>
          <w:lang w:val="es-ES"/>
        </w:rPr>
        <w:t>Comisión</w:t>
      </w:r>
      <w:r w:rsidRPr="00844E7B">
        <w:rPr>
          <w:rFonts w:ascii="Verdana" w:hAnsi="Verdana"/>
          <w:sz w:val="20"/>
          <w:szCs w:val="20"/>
          <w:lang w:val="es-ES"/>
        </w:rPr>
        <w:t xml:space="preserve"> señaló que en el presente caso se plantea</w:t>
      </w:r>
      <w:r>
        <w:rPr>
          <w:rFonts w:ascii="Verdana" w:hAnsi="Verdana"/>
          <w:sz w:val="20"/>
          <w:szCs w:val="20"/>
          <w:lang w:val="es-ES"/>
        </w:rPr>
        <w:t>ba</w:t>
      </w:r>
      <w:r w:rsidRPr="00844E7B">
        <w:rPr>
          <w:rFonts w:ascii="Verdana" w:hAnsi="Verdana"/>
          <w:sz w:val="20"/>
          <w:szCs w:val="20"/>
          <w:lang w:val="es-ES"/>
        </w:rPr>
        <w:t xml:space="preserve"> precisamente que las decisiones adoptadas a nivel interno respecto de la responsabilidad penal del señor Zegarra Marín violaron su derecho a diversas garantías del debido proceso, principalmente el principio de presunción de inocencia, por lo que la noción de cuarta instancia no resulta aplicable como una cuestión preliminar. </w:t>
      </w:r>
    </w:p>
    <w:p w14:paraId="6D172B8F" w14:textId="77777777" w:rsidR="00FB723A" w:rsidRPr="00844E7B" w:rsidRDefault="00FB723A" w:rsidP="00FB723A">
      <w:pPr>
        <w:pStyle w:val="ListParagraph"/>
        <w:rPr>
          <w:rFonts w:ascii="Verdana" w:hAnsi="Verdana"/>
          <w:sz w:val="20"/>
          <w:szCs w:val="20"/>
          <w:lang w:val="es-ES"/>
        </w:rPr>
      </w:pPr>
    </w:p>
    <w:p w14:paraId="6D172B90" w14:textId="6705ACE2" w:rsidR="00FB723A" w:rsidRPr="00844E7B" w:rsidRDefault="00FB723A" w:rsidP="00FB723A">
      <w:pPr>
        <w:pStyle w:val="ListParagraph"/>
        <w:numPr>
          <w:ilvl w:val="0"/>
          <w:numId w:val="2"/>
        </w:numPr>
        <w:ind w:left="0" w:firstLine="0"/>
        <w:jc w:val="both"/>
        <w:rPr>
          <w:rFonts w:ascii="Verdana" w:hAnsi="Verdana"/>
          <w:sz w:val="20"/>
          <w:szCs w:val="20"/>
          <w:lang w:val="es-ES"/>
        </w:rPr>
      </w:pPr>
      <w:r w:rsidRPr="00844E7B">
        <w:rPr>
          <w:rFonts w:ascii="Verdana" w:hAnsi="Verdana"/>
          <w:sz w:val="20"/>
          <w:szCs w:val="20"/>
          <w:lang w:val="es-ES"/>
        </w:rPr>
        <w:t xml:space="preserve">Los </w:t>
      </w:r>
      <w:r w:rsidRPr="00844E7B">
        <w:rPr>
          <w:rFonts w:ascii="Verdana" w:hAnsi="Verdana"/>
          <w:b/>
          <w:i/>
          <w:sz w:val="20"/>
          <w:szCs w:val="20"/>
          <w:lang w:val="es-ES"/>
        </w:rPr>
        <w:t>representantes</w:t>
      </w:r>
      <w:r w:rsidRPr="00844E7B">
        <w:rPr>
          <w:rFonts w:ascii="Verdana" w:hAnsi="Verdana"/>
          <w:sz w:val="20"/>
          <w:szCs w:val="20"/>
          <w:lang w:val="es-ES"/>
        </w:rPr>
        <w:t xml:space="preserve"> manifestaron que el hecho de que el acto estatal presuntamente violatorio de la Convención se trate del dictado de una sentencia no </w:t>
      </w:r>
      <w:r>
        <w:rPr>
          <w:rFonts w:ascii="Verdana" w:hAnsi="Verdana"/>
          <w:sz w:val="20"/>
          <w:szCs w:val="20"/>
          <w:lang w:val="es-ES"/>
        </w:rPr>
        <w:t>impediría</w:t>
      </w:r>
      <w:r w:rsidRPr="00844E7B">
        <w:rPr>
          <w:rFonts w:ascii="Verdana" w:hAnsi="Verdana"/>
          <w:sz w:val="20"/>
          <w:szCs w:val="20"/>
          <w:lang w:val="es-ES"/>
        </w:rPr>
        <w:t xml:space="preserve"> a los órganos del sistema interamericano examinarlo bajo las obligaciones convencionales de los Estados, pues se trata de un escrutinio convencional y no de uno legal del orden interno. </w:t>
      </w:r>
    </w:p>
    <w:p w14:paraId="6D172B91" w14:textId="77777777" w:rsidR="00FB723A" w:rsidRPr="005F2F61" w:rsidRDefault="00FB723A" w:rsidP="00FB723A">
      <w:pPr>
        <w:jc w:val="both"/>
        <w:rPr>
          <w:rFonts w:ascii="Verdana" w:hAnsi="Verdana"/>
          <w:sz w:val="20"/>
          <w:szCs w:val="20"/>
          <w:lang w:val="es-CR"/>
        </w:rPr>
      </w:pPr>
    </w:p>
    <w:p w14:paraId="6D172B92" w14:textId="5FC643F9" w:rsidR="00FB723A" w:rsidRPr="00E114CC" w:rsidRDefault="00FB723A" w:rsidP="000A0953">
      <w:pPr>
        <w:pStyle w:val="Heading3"/>
        <w:numPr>
          <w:ilvl w:val="0"/>
          <w:numId w:val="24"/>
        </w:numPr>
        <w:spacing w:before="0"/>
        <w:jc w:val="both"/>
        <w:rPr>
          <w:rFonts w:ascii="Verdana" w:hAnsi="Verdana"/>
          <w:i/>
          <w:color w:val="auto"/>
          <w:sz w:val="20"/>
          <w:szCs w:val="20"/>
          <w:lang w:val="es-MX"/>
        </w:rPr>
      </w:pPr>
      <w:r w:rsidRPr="00E114CC">
        <w:rPr>
          <w:rFonts w:ascii="Verdana" w:hAnsi="Verdana"/>
          <w:i/>
          <w:color w:val="auto"/>
          <w:sz w:val="20"/>
          <w:szCs w:val="20"/>
          <w:lang w:val="es-MX"/>
        </w:rPr>
        <w:t xml:space="preserve"> </w:t>
      </w:r>
      <w:bookmarkStart w:id="15" w:name="_Toc482093024"/>
      <w:r w:rsidRPr="00E114CC">
        <w:rPr>
          <w:rFonts w:ascii="Verdana" w:hAnsi="Verdana"/>
          <w:i/>
          <w:color w:val="auto"/>
          <w:sz w:val="20"/>
          <w:szCs w:val="20"/>
          <w:lang w:val="es-MX"/>
        </w:rPr>
        <w:t>Consideraciones de la Corte</w:t>
      </w:r>
      <w:bookmarkEnd w:id="15"/>
    </w:p>
    <w:p w14:paraId="6D172B93" w14:textId="77777777" w:rsidR="00FB723A" w:rsidRPr="00A13056" w:rsidRDefault="00FB723A" w:rsidP="00FB723A">
      <w:pPr>
        <w:jc w:val="both"/>
        <w:rPr>
          <w:rFonts w:ascii="Verdana" w:hAnsi="Verdana"/>
          <w:b/>
          <w:sz w:val="20"/>
          <w:szCs w:val="20"/>
          <w:lang w:val="es-MX"/>
        </w:rPr>
      </w:pPr>
    </w:p>
    <w:p w14:paraId="6D172B94" w14:textId="77777777" w:rsidR="00FB723A" w:rsidRDefault="00FB723A" w:rsidP="00FB723A">
      <w:pPr>
        <w:pStyle w:val="ListParagraph"/>
        <w:numPr>
          <w:ilvl w:val="0"/>
          <w:numId w:val="2"/>
        </w:numPr>
        <w:ind w:left="0" w:firstLine="0"/>
        <w:jc w:val="both"/>
        <w:rPr>
          <w:rFonts w:ascii="Verdana" w:hAnsi="Verdana"/>
          <w:sz w:val="20"/>
          <w:szCs w:val="20"/>
        </w:rPr>
      </w:pPr>
      <w:r w:rsidRPr="00844E7B">
        <w:rPr>
          <w:rFonts w:ascii="Verdana" w:hAnsi="Verdana"/>
          <w:sz w:val="20"/>
          <w:szCs w:val="20"/>
        </w:rPr>
        <w:lastRenderedPageBreak/>
        <w:t>Este Tribunal ha establecido que la jurisdicción internacional tiene carácter coadyuvante y complementari</w:t>
      </w:r>
      <w:r>
        <w:rPr>
          <w:rFonts w:ascii="Verdana" w:hAnsi="Verdana"/>
          <w:sz w:val="20"/>
          <w:szCs w:val="20"/>
        </w:rPr>
        <w:t>o</w:t>
      </w:r>
      <w:r w:rsidRPr="00A13056">
        <w:rPr>
          <w:rStyle w:val="FootnoteReference"/>
          <w:szCs w:val="20"/>
        </w:rPr>
        <w:footnoteReference w:id="16"/>
      </w:r>
      <w:r w:rsidRPr="00844E7B">
        <w:rPr>
          <w:rFonts w:ascii="Verdana" w:hAnsi="Verdana"/>
          <w:sz w:val="20"/>
          <w:szCs w:val="20"/>
        </w:rPr>
        <w:t>, razón por la cual no desempeña funciones de tribunal de “cuarta instancia”, ni es un tribunal de alzada o de apelación para dirimir los desacuerdos que tengan las partes sobre algunos alcances de la valoración de prueba o de la aplicación del derecho interno en aspectos que no estén directamente relacionados con el cumplimiento de obligaciones internacionales en derechos humanos</w:t>
      </w:r>
      <w:r w:rsidRPr="00A13056">
        <w:rPr>
          <w:rStyle w:val="FootnoteReference"/>
          <w:szCs w:val="20"/>
        </w:rPr>
        <w:footnoteReference w:id="17"/>
      </w:r>
      <w:r w:rsidRPr="00844E7B">
        <w:rPr>
          <w:rFonts w:ascii="Verdana" w:hAnsi="Verdana"/>
          <w:sz w:val="20"/>
          <w:szCs w:val="20"/>
        </w:rPr>
        <w:t>.</w:t>
      </w:r>
      <w:r>
        <w:rPr>
          <w:rFonts w:ascii="Verdana" w:hAnsi="Verdana"/>
          <w:sz w:val="20"/>
          <w:szCs w:val="20"/>
        </w:rPr>
        <w:t xml:space="preserve"> </w:t>
      </w:r>
    </w:p>
    <w:p w14:paraId="6D172B95" w14:textId="77777777" w:rsidR="00FB723A" w:rsidRDefault="00FB723A" w:rsidP="00FB723A">
      <w:pPr>
        <w:pStyle w:val="ListParagraph"/>
        <w:ind w:left="0"/>
        <w:jc w:val="both"/>
        <w:rPr>
          <w:rFonts w:ascii="Verdana" w:hAnsi="Verdana"/>
          <w:sz w:val="20"/>
          <w:szCs w:val="20"/>
        </w:rPr>
      </w:pPr>
    </w:p>
    <w:p w14:paraId="6D172B96" w14:textId="74AF5FFD" w:rsidR="00FB723A" w:rsidRDefault="00FB723A" w:rsidP="00FB723A">
      <w:pPr>
        <w:pStyle w:val="ListParagraph"/>
        <w:numPr>
          <w:ilvl w:val="0"/>
          <w:numId w:val="2"/>
        </w:numPr>
        <w:ind w:left="0" w:firstLine="0"/>
        <w:jc w:val="both"/>
        <w:rPr>
          <w:rFonts w:ascii="Verdana" w:hAnsi="Verdana"/>
          <w:sz w:val="20"/>
          <w:szCs w:val="20"/>
        </w:rPr>
      </w:pPr>
      <w:r w:rsidRPr="00844E7B">
        <w:rPr>
          <w:rFonts w:ascii="Verdana" w:hAnsi="Verdana"/>
          <w:sz w:val="20"/>
          <w:szCs w:val="20"/>
          <w:lang w:val="es-ES"/>
        </w:rPr>
        <w:t xml:space="preserve">En relación con </w:t>
      </w:r>
      <w:r w:rsidRPr="00844E7B">
        <w:rPr>
          <w:rFonts w:ascii="Verdana" w:hAnsi="Verdana"/>
          <w:sz w:val="20"/>
          <w:szCs w:val="20"/>
        </w:rPr>
        <w:t>lo anterior, la Corte ha afirmado que</w:t>
      </w:r>
      <w:r w:rsidR="00DB2A82">
        <w:rPr>
          <w:rFonts w:ascii="Verdana" w:hAnsi="Verdana"/>
          <w:sz w:val="20"/>
          <w:szCs w:val="20"/>
        </w:rPr>
        <w:t>,</w:t>
      </w:r>
      <w:r>
        <w:rPr>
          <w:rFonts w:ascii="Verdana" w:hAnsi="Verdana"/>
          <w:sz w:val="20"/>
          <w:szCs w:val="20"/>
        </w:rPr>
        <w:t xml:space="preserve"> </w:t>
      </w:r>
      <w:r w:rsidRPr="00844E7B">
        <w:rPr>
          <w:rFonts w:ascii="Verdana" w:hAnsi="Verdana"/>
          <w:sz w:val="20"/>
          <w:szCs w:val="20"/>
        </w:rPr>
        <w:t>para que esta excepción pudiera ser procedente, sería necesario que el solicitante busque que la Corte revise el fallo de un tribunal interno</w:t>
      </w:r>
      <w:r w:rsidRPr="00844E7B">
        <w:rPr>
          <w:rFonts w:ascii="Verdana" w:hAnsi="Verdana"/>
          <w:b/>
          <w:sz w:val="20"/>
          <w:szCs w:val="20"/>
        </w:rPr>
        <w:t xml:space="preserve"> </w:t>
      </w:r>
      <w:r w:rsidRPr="00844E7B">
        <w:rPr>
          <w:rFonts w:ascii="Verdana" w:hAnsi="Verdana"/>
          <w:sz w:val="20"/>
          <w:szCs w:val="20"/>
        </w:rPr>
        <w:t xml:space="preserve">en virtud de su incorrecta apreciación de la prueba, los hechos o el derecho </w:t>
      </w:r>
      <w:r w:rsidRPr="00D80987">
        <w:rPr>
          <w:rFonts w:ascii="Verdana" w:hAnsi="Verdana"/>
          <w:sz w:val="20"/>
          <w:szCs w:val="20"/>
        </w:rPr>
        <w:t>interno</w:t>
      </w:r>
      <w:r w:rsidRPr="009C7422">
        <w:rPr>
          <w:rFonts w:ascii="Verdana" w:hAnsi="Verdana"/>
          <w:sz w:val="20"/>
          <w:szCs w:val="20"/>
        </w:rPr>
        <w:t>, sin que,</w:t>
      </w:r>
      <w:r w:rsidRPr="00844E7B">
        <w:rPr>
          <w:rFonts w:ascii="Verdana" w:hAnsi="Verdana"/>
          <w:sz w:val="20"/>
          <w:szCs w:val="20"/>
        </w:rPr>
        <w:t xml:space="preserve"> a la vez, se alegue que tal fallo incurrió en una violación de tratados internacionales respecto de los que tenga competencia el Tribunal</w:t>
      </w:r>
      <w:r w:rsidRPr="00A13056">
        <w:rPr>
          <w:rStyle w:val="Smbolodenotaalpie"/>
          <w:rFonts w:ascii="Verdana" w:hAnsi="Verdana"/>
          <w:sz w:val="20"/>
          <w:szCs w:val="20"/>
        </w:rPr>
        <w:footnoteReference w:id="18"/>
      </w:r>
      <w:r>
        <w:rPr>
          <w:rFonts w:ascii="Verdana" w:hAnsi="Verdana"/>
          <w:sz w:val="20"/>
          <w:szCs w:val="20"/>
        </w:rPr>
        <w:t>.</w:t>
      </w:r>
    </w:p>
    <w:p w14:paraId="6D172B97" w14:textId="77777777" w:rsidR="00FB723A" w:rsidRPr="00844E7B" w:rsidRDefault="00FB723A" w:rsidP="00FB723A">
      <w:pPr>
        <w:pStyle w:val="ListParagraph"/>
        <w:rPr>
          <w:rFonts w:ascii="Verdana" w:hAnsi="Verdana"/>
          <w:sz w:val="20"/>
          <w:szCs w:val="20"/>
        </w:rPr>
      </w:pPr>
    </w:p>
    <w:p w14:paraId="6D172B98" w14:textId="34193E57" w:rsidR="00FB723A" w:rsidRPr="00844E7B" w:rsidRDefault="00FB723A" w:rsidP="00FB723A">
      <w:pPr>
        <w:pStyle w:val="ListParagraph"/>
        <w:numPr>
          <w:ilvl w:val="0"/>
          <w:numId w:val="2"/>
        </w:numPr>
        <w:ind w:left="0" w:firstLine="0"/>
        <w:jc w:val="both"/>
        <w:rPr>
          <w:rFonts w:ascii="Verdana" w:hAnsi="Verdana"/>
          <w:sz w:val="20"/>
          <w:szCs w:val="20"/>
        </w:rPr>
      </w:pPr>
      <w:r w:rsidRPr="00844E7B">
        <w:rPr>
          <w:rFonts w:ascii="Verdana" w:hAnsi="Verdana"/>
          <w:sz w:val="20"/>
          <w:szCs w:val="20"/>
        </w:rPr>
        <w:t>Así</w:t>
      </w:r>
      <w:r w:rsidRPr="00844E7B">
        <w:rPr>
          <w:rFonts w:ascii="Verdana" w:hAnsi="Verdana"/>
          <w:sz w:val="20"/>
          <w:szCs w:val="20"/>
          <w:lang w:val="es-ES"/>
        </w:rPr>
        <w:t xml:space="preserve">, </w:t>
      </w:r>
      <w:r w:rsidRPr="00844E7B">
        <w:rPr>
          <w:rFonts w:ascii="Verdana" w:hAnsi="Verdana"/>
          <w:sz w:val="20"/>
          <w:szCs w:val="20"/>
        </w:rPr>
        <w:t>al valorarse el cumplimiento de ciertas obligaciones internacionales</w:t>
      </w:r>
      <w:r w:rsidR="00260B4F">
        <w:rPr>
          <w:rFonts w:ascii="Verdana" w:hAnsi="Verdana"/>
          <w:sz w:val="20"/>
          <w:szCs w:val="20"/>
        </w:rPr>
        <w:t>,</w:t>
      </w:r>
      <w:r w:rsidRPr="00844E7B">
        <w:rPr>
          <w:rFonts w:ascii="Verdana" w:hAnsi="Verdana"/>
          <w:sz w:val="20"/>
          <w:szCs w:val="20"/>
        </w:rPr>
        <w:t xml:space="preserve"> puede darse una intrínseca interrelación entre el análisis de derecho internacional y de derecho interno</w:t>
      </w:r>
      <w:r w:rsidRPr="00A13056">
        <w:rPr>
          <w:rStyle w:val="FootnoteReference"/>
          <w:szCs w:val="20"/>
        </w:rPr>
        <w:footnoteReference w:id="19"/>
      </w:r>
      <w:r w:rsidRPr="00844E7B">
        <w:rPr>
          <w:rFonts w:ascii="Verdana" w:hAnsi="Verdana"/>
          <w:sz w:val="20"/>
          <w:szCs w:val="20"/>
        </w:rPr>
        <w:t xml:space="preserve">. Puesto que compete a la Corte verificar si en los procedimientos llevados a nivel interno se violaron o no obligaciones internacionales del Estado derivadas de los instrumentos interamericanos que le otorgan competencia, la </w:t>
      </w:r>
      <w:r w:rsidRPr="00844E7B">
        <w:rPr>
          <w:rFonts w:ascii="Verdana" w:hAnsi="Verdana" w:cs="Verdana"/>
          <w:spacing w:val="-2"/>
          <w:sz w:val="20"/>
          <w:szCs w:val="20"/>
          <w:lang w:eastAsia="es-MX"/>
        </w:rPr>
        <w:t>determinación</w:t>
      </w:r>
      <w:r w:rsidRPr="00844E7B">
        <w:rPr>
          <w:rFonts w:ascii="Verdana" w:hAnsi="Verdana"/>
          <w:sz w:val="20"/>
          <w:szCs w:val="20"/>
        </w:rPr>
        <w:t xml:space="preserve"> de si las actuaciones de órganos judiciales constituyen o no una violación de tales obligaciones puede conducir a que la Corte deba ocuparse de examinar los respectivos procesos internos para establecer su compatibilidad con esos instrumentos</w:t>
      </w:r>
      <w:r w:rsidRPr="00A13056">
        <w:rPr>
          <w:rStyle w:val="FootnoteReference"/>
          <w:szCs w:val="20"/>
        </w:rPr>
        <w:footnoteReference w:id="20"/>
      </w:r>
      <w:r w:rsidRPr="00844E7B">
        <w:rPr>
          <w:rFonts w:ascii="Verdana" w:hAnsi="Verdana" w:cs="Verdana Bold"/>
          <w:bCs/>
          <w:sz w:val="20"/>
          <w:szCs w:val="20"/>
        </w:rPr>
        <w:t xml:space="preserve">. </w:t>
      </w:r>
    </w:p>
    <w:p w14:paraId="6D172B99" w14:textId="77777777" w:rsidR="00FB723A" w:rsidRPr="00844E7B" w:rsidRDefault="00FB723A" w:rsidP="00FB723A">
      <w:pPr>
        <w:pStyle w:val="ListParagraph"/>
        <w:rPr>
          <w:rFonts w:ascii="Verdana" w:hAnsi="Verdana"/>
          <w:sz w:val="20"/>
          <w:szCs w:val="20"/>
          <w:lang w:val="es-CL"/>
        </w:rPr>
      </w:pPr>
    </w:p>
    <w:p w14:paraId="6D172B9A" w14:textId="42DABF21" w:rsidR="00FB723A" w:rsidRPr="00926F7E" w:rsidRDefault="00FB723A" w:rsidP="00FB723A">
      <w:pPr>
        <w:pStyle w:val="ListParagraph"/>
        <w:numPr>
          <w:ilvl w:val="0"/>
          <w:numId w:val="2"/>
        </w:numPr>
        <w:ind w:left="0" w:firstLine="0"/>
        <w:jc w:val="both"/>
        <w:rPr>
          <w:rFonts w:ascii="Verdana" w:hAnsi="Verdana"/>
          <w:sz w:val="20"/>
          <w:szCs w:val="20"/>
        </w:rPr>
      </w:pPr>
      <w:r w:rsidRPr="00C9212E">
        <w:rPr>
          <w:rFonts w:ascii="Verdana" w:hAnsi="Verdana"/>
          <w:sz w:val="20"/>
          <w:szCs w:val="20"/>
        </w:rPr>
        <w:t xml:space="preserve">En este sentido, </w:t>
      </w:r>
      <w:r w:rsidRPr="00C9212E">
        <w:rPr>
          <w:rFonts w:ascii="Verdana" w:hAnsi="Verdana"/>
          <w:sz w:val="20"/>
          <w:szCs w:val="20"/>
          <w:lang w:val="es-ES"/>
        </w:rPr>
        <w:t>se debate si las decisiones adoptadas a nivel interno violaron el derecho al debido proceso del señor Zegarra Marí</w:t>
      </w:r>
      <w:r w:rsidRPr="008822C0">
        <w:rPr>
          <w:rFonts w:ascii="Verdana" w:hAnsi="Verdana"/>
          <w:sz w:val="20"/>
          <w:szCs w:val="20"/>
          <w:lang w:val="es-ES"/>
        </w:rPr>
        <w:t>n</w:t>
      </w:r>
      <w:r w:rsidR="008822C0" w:rsidRPr="00B446C7">
        <w:rPr>
          <w:rFonts w:ascii="Verdana" w:hAnsi="Verdana"/>
          <w:sz w:val="20"/>
          <w:lang w:val="es-ES"/>
        </w:rPr>
        <w:t xml:space="preserve">. </w:t>
      </w:r>
      <w:r w:rsidR="002B338F" w:rsidRPr="000A0953">
        <w:rPr>
          <w:rFonts w:ascii="Verdana" w:hAnsi="Verdana"/>
          <w:sz w:val="20"/>
          <w:szCs w:val="20"/>
        </w:rPr>
        <w:t>Particularmente, respecto de</w:t>
      </w:r>
      <w:r w:rsidR="002B338F">
        <w:rPr>
          <w:rFonts w:ascii="Verdana" w:hAnsi="Verdana"/>
          <w:b/>
          <w:sz w:val="20"/>
          <w:szCs w:val="20"/>
        </w:rPr>
        <w:t xml:space="preserve"> </w:t>
      </w:r>
      <w:r w:rsidRPr="00C9212E">
        <w:rPr>
          <w:rFonts w:ascii="Verdana" w:hAnsi="Verdana"/>
          <w:sz w:val="20"/>
          <w:szCs w:val="20"/>
        </w:rPr>
        <w:t xml:space="preserve">las alegadas violaciones de los derechos establecidos en los artículos </w:t>
      </w:r>
      <w:r w:rsidRPr="00C66661">
        <w:rPr>
          <w:rFonts w:ascii="Verdana" w:hAnsi="Verdana"/>
          <w:sz w:val="20"/>
          <w:szCs w:val="20"/>
        </w:rPr>
        <w:t xml:space="preserve">8.1 y 8.2 de la </w:t>
      </w:r>
      <w:r w:rsidRPr="00C66661">
        <w:rPr>
          <w:rFonts w:ascii="Verdana" w:hAnsi="Verdana" w:cs="Verdana"/>
          <w:spacing w:val="-2"/>
          <w:sz w:val="20"/>
          <w:szCs w:val="20"/>
          <w:lang w:eastAsia="es-MX"/>
        </w:rPr>
        <w:t>Convención</w:t>
      </w:r>
      <w:r w:rsidR="002B338F" w:rsidRPr="00015043">
        <w:rPr>
          <w:rFonts w:ascii="Verdana" w:hAnsi="Verdana" w:cs="Verdana"/>
          <w:spacing w:val="-2"/>
          <w:sz w:val="20"/>
          <w:szCs w:val="20"/>
          <w:lang w:eastAsia="es-MX"/>
        </w:rPr>
        <w:t xml:space="preserve"> </w:t>
      </w:r>
      <w:r w:rsidR="002B338F" w:rsidRPr="000A0953">
        <w:rPr>
          <w:rFonts w:ascii="Verdana" w:hAnsi="Verdana" w:cs="Verdana"/>
          <w:spacing w:val="-2"/>
          <w:sz w:val="20"/>
          <w:szCs w:val="20"/>
          <w:lang w:eastAsia="es-MX"/>
        </w:rPr>
        <w:t>Americana</w:t>
      </w:r>
      <w:r w:rsidR="008822C0">
        <w:rPr>
          <w:rFonts w:ascii="Verdana" w:hAnsi="Verdana" w:cs="Verdana"/>
          <w:b/>
          <w:spacing w:val="-2"/>
          <w:sz w:val="20"/>
          <w:szCs w:val="20"/>
          <w:lang w:eastAsia="es-MX"/>
        </w:rPr>
        <w:t xml:space="preserve"> </w:t>
      </w:r>
      <w:r>
        <w:rPr>
          <w:rFonts w:ascii="Verdana" w:hAnsi="Verdana" w:cs="Verdana"/>
          <w:spacing w:val="-2"/>
          <w:sz w:val="20"/>
          <w:szCs w:val="20"/>
          <w:lang w:eastAsia="es-MX"/>
        </w:rPr>
        <w:t>y su eventual reparación</w:t>
      </w:r>
      <w:r w:rsidR="00247E3F">
        <w:rPr>
          <w:rFonts w:ascii="Verdana" w:hAnsi="Verdana"/>
          <w:sz w:val="20"/>
          <w:szCs w:val="20"/>
        </w:rPr>
        <w:t>.</w:t>
      </w:r>
      <w:r w:rsidR="00247E3F" w:rsidRPr="005D20D8">
        <w:rPr>
          <w:rFonts w:ascii="Verdana" w:hAnsi="Verdana"/>
          <w:sz w:val="20"/>
          <w:szCs w:val="20"/>
        </w:rPr>
        <w:t xml:space="preserve"> </w:t>
      </w:r>
      <w:r w:rsidRPr="008C18FF">
        <w:rPr>
          <w:rFonts w:ascii="Verdana" w:hAnsi="Verdana"/>
          <w:sz w:val="20"/>
          <w:szCs w:val="20"/>
        </w:rPr>
        <w:t xml:space="preserve">En razón de </w:t>
      </w:r>
      <w:r w:rsidRPr="0038713C">
        <w:rPr>
          <w:rFonts w:ascii="Verdana" w:hAnsi="Verdana"/>
          <w:sz w:val="20"/>
          <w:szCs w:val="20"/>
        </w:rPr>
        <w:t>ello, la Corte desestima la objeción interpuesta</w:t>
      </w:r>
      <w:r w:rsidRPr="00926F7E">
        <w:rPr>
          <w:rFonts w:ascii="Verdana" w:hAnsi="Verdana"/>
          <w:sz w:val="20"/>
          <w:szCs w:val="20"/>
        </w:rPr>
        <w:t xml:space="preserve"> por el Estado.</w:t>
      </w:r>
    </w:p>
    <w:p w14:paraId="6D172B9B" w14:textId="77777777" w:rsidR="00FB723A" w:rsidRDefault="00FB723A" w:rsidP="00FB723A">
      <w:pPr>
        <w:rPr>
          <w:rFonts w:ascii="Verdana" w:hAnsi="Verdana"/>
          <w:sz w:val="20"/>
          <w:szCs w:val="20"/>
        </w:rPr>
      </w:pPr>
    </w:p>
    <w:p w14:paraId="6D172B9C" w14:textId="77777777" w:rsidR="00FB723A" w:rsidRDefault="00FB723A" w:rsidP="00FB723A">
      <w:pPr>
        <w:pStyle w:val="Heading1"/>
        <w:tabs>
          <w:tab w:val="left" w:pos="851"/>
        </w:tabs>
        <w:spacing w:before="0"/>
        <w:jc w:val="center"/>
        <w:rPr>
          <w:rFonts w:ascii="Verdana" w:hAnsi="Verdana" w:cs="Verdana"/>
          <w:caps/>
          <w:snapToGrid w:val="0"/>
          <w:color w:val="auto"/>
          <w:sz w:val="20"/>
          <w:szCs w:val="20"/>
        </w:rPr>
      </w:pPr>
      <w:bookmarkStart w:id="16" w:name="_Toc482093025"/>
      <w:r w:rsidRPr="009F6F45">
        <w:rPr>
          <w:rFonts w:ascii="Verdana" w:hAnsi="Verdana" w:cs="Verdana"/>
          <w:caps/>
          <w:snapToGrid w:val="0"/>
          <w:color w:val="auto"/>
          <w:sz w:val="20"/>
          <w:szCs w:val="20"/>
        </w:rPr>
        <w:t>V</w:t>
      </w:r>
      <w:r w:rsidRPr="009F6F45">
        <w:rPr>
          <w:rFonts w:ascii="Verdana" w:hAnsi="Verdana" w:cs="Verdana"/>
          <w:caps/>
          <w:snapToGrid w:val="0"/>
          <w:color w:val="auto"/>
          <w:sz w:val="20"/>
          <w:szCs w:val="20"/>
        </w:rPr>
        <w:br/>
      </w:r>
      <w:r>
        <w:rPr>
          <w:rFonts w:ascii="Verdana" w:hAnsi="Verdana" w:cs="Verdana"/>
          <w:caps/>
          <w:snapToGrid w:val="0"/>
          <w:color w:val="auto"/>
          <w:sz w:val="20"/>
          <w:szCs w:val="20"/>
        </w:rPr>
        <w:t>Consideraciones previas</w:t>
      </w:r>
      <w:bookmarkEnd w:id="16"/>
    </w:p>
    <w:p w14:paraId="6D172B9D" w14:textId="77777777" w:rsidR="00FB723A" w:rsidRDefault="00FB723A" w:rsidP="00FB723A">
      <w:pPr>
        <w:rPr>
          <w:rFonts w:ascii="Verdana" w:hAnsi="Verdana"/>
          <w:sz w:val="20"/>
          <w:szCs w:val="20"/>
        </w:rPr>
      </w:pPr>
    </w:p>
    <w:p w14:paraId="6D172B9E" w14:textId="291EB66B" w:rsidR="00FB723A" w:rsidRPr="00402471" w:rsidRDefault="00FB723A" w:rsidP="00FB723A">
      <w:pPr>
        <w:pStyle w:val="ListParagraph"/>
        <w:numPr>
          <w:ilvl w:val="0"/>
          <w:numId w:val="2"/>
        </w:numPr>
        <w:ind w:left="0" w:firstLine="0"/>
        <w:jc w:val="both"/>
        <w:rPr>
          <w:rFonts w:ascii="Verdana" w:hAnsi="Verdana"/>
          <w:sz w:val="20"/>
          <w:szCs w:val="20"/>
          <w:lang w:val="es-ES"/>
        </w:rPr>
      </w:pPr>
      <w:r>
        <w:rPr>
          <w:rFonts w:ascii="Verdana" w:hAnsi="Verdana"/>
          <w:sz w:val="20"/>
          <w:szCs w:val="20"/>
          <w:lang w:val="es-MX"/>
        </w:rPr>
        <w:t>E</w:t>
      </w:r>
      <w:r w:rsidRPr="00730BD4">
        <w:rPr>
          <w:rFonts w:ascii="Verdana" w:hAnsi="Verdana"/>
          <w:sz w:val="20"/>
          <w:szCs w:val="20"/>
          <w:lang w:val="es-MX"/>
        </w:rPr>
        <w:t>l Estado alegó una serie de “aspectos procesales”, relacionados con la delimitación de la controversia</w:t>
      </w:r>
      <w:r>
        <w:rPr>
          <w:rFonts w:ascii="Verdana" w:hAnsi="Verdana"/>
          <w:sz w:val="20"/>
          <w:szCs w:val="20"/>
          <w:lang w:val="es-MX"/>
        </w:rPr>
        <w:t xml:space="preserve">, respecto de </w:t>
      </w:r>
      <w:r w:rsidR="00247E3F">
        <w:rPr>
          <w:rFonts w:ascii="Verdana" w:hAnsi="Verdana"/>
          <w:sz w:val="20"/>
          <w:szCs w:val="20"/>
          <w:lang w:val="es-MX"/>
        </w:rPr>
        <w:t xml:space="preserve">los </w:t>
      </w:r>
      <w:r>
        <w:rPr>
          <w:rFonts w:ascii="Verdana" w:hAnsi="Verdana"/>
          <w:sz w:val="20"/>
          <w:szCs w:val="20"/>
          <w:lang w:val="es-MX"/>
        </w:rPr>
        <w:t xml:space="preserve">cuales, por sus características, la Corte abordará como consideración previa </w:t>
      </w:r>
      <w:r w:rsidR="00247E3F">
        <w:rPr>
          <w:rFonts w:ascii="Verdana" w:hAnsi="Verdana"/>
          <w:sz w:val="20"/>
          <w:szCs w:val="20"/>
          <w:lang w:val="es-MX"/>
        </w:rPr>
        <w:t xml:space="preserve">los </w:t>
      </w:r>
      <w:r>
        <w:rPr>
          <w:rFonts w:ascii="Verdana" w:hAnsi="Verdana"/>
          <w:sz w:val="20"/>
          <w:szCs w:val="20"/>
          <w:lang w:val="es-MX"/>
        </w:rPr>
        <w:t>siguientes:</w:t>
      </w:r>
      <w:r>
        <w:rPr>
          <w:rFonts w:ascii="Verdana" w:hAnsi="Verdana"/>
          <w:sz w:val="20"/>
          <w:szCs w:val="20"/>
          <w:lang w:val="es-ES"/>
        </w:rPr>
        <w:t xml:space="preserve"> a</w:t>
      </w:r>
      <w:r w:rsidRPr="00402471">
        <w:rPr>
          <w:rFonts w:ascii="Verdana" w:hAnsi="Verdana"/>
          <w:sz w:val="20"/>
          <w:szCs w:val="20"/>
          <w:lang w:val="es-MX"/>
        </w:rPr>
        <w:t xml:space="preserve">) </w:t>
      </w:r>
      <w:r>
        <w:rPr>
          <w:rFonts w:ascii="Verdana" w:hAnsi="Verdana"/>
          <w:sz w:val="20"/>
          <w:szCs w:val="20"/>
          <w:lang w:val="es-MX"/>
        </w:rPr>
        <w:t>admisibilidad de</w:t>
      </w:r>
      <w:r w:rsidR="00993107">
        <w:rPr>
          <w:rFonts w:ascii="Verdana" w:hAnsi="Verdana"/>
          <w:sz w:val="20"/>
          <w:szCs w:val="20"/>
          <w:lang w:val="es-MX"/>
        </w:rPr>
        <w:t xml:space="preserve">l reclamo </w:t>
      </w:r>
      <w:r w:rsidRPr="00402471">
        <w:rPr>
          <w:rFonts w:ascii="Verdana" w:hAnsi="Verdana"/>
          <w:sz w:val="20"/>
          <w:szCs w:val="20"/>
          <w:lang w:val="es-MX"/>
        </w:rPr>
        <w:t>relacionado con la privación de la libertad</w:t>
      </w:r>
      <w:r w:rsidR="00247E3F">
        <w:rPr>
          <w:rFonts w:ascii="Verdana" w:hAnsi="Verdana"/>
          <w:sz w:val="20"/>
          <w:szCs w:val="20"/>
          <w:lang w:val="es-MX"/>
        </w:rPr>
        <w:t>, y</w:t>
      </w:r>
      <w:r w:rsidR="00247E3F" w:rsidRPr="00402471">
        <w:rPr>
          <w:rFonts w:ascii="Verdana" w:hAnsi="Verdana"/>
          <w:sz w:val="20"/>
          <w:szCs w:val="20"/>
          <w:lang w:val="es-MX"/>
        </w:rPr>
        <w:t xml:space="preserve"> </w:t>
      </w:r>
      <w:r>
        <w:rPr>
          <w:rFonts w:ascii="Verdana" w:hAnsi="Verdana"/>
          <w:sz w:val="20"/>
          <w:szCs w:val="20"/>
          <w:lang w:val="es-MX"/>
        </w:rPr>
        <w:t>b</w:t>
      </w:r>
      <w:r w:rsidRPr="00402471">
        <w:rPr>
          <w:rFonts w:ascii="Verdana" w:hAnsi="Verdana"/>
          <w:sz w:val="20"/>
          <w:szCs w:val="20"/>
          <w:lang w:val="es-MX"/>
        </w:rPr>
        <w:t xml:space="preserve">) </w:t>
      </w:r>
      <w:r>
        <w:rPr>
          <w:rFonts w:ascii="Verdana" w:hAnsi="Verdana"/>
          <w:sz w:val="20"/>
          <w:szCs w:val="20"/>
          <w:lang w:val="es-MX"/>
        </w:rPr>
        <w:t xml:space="preserve">admisibilidad de los </w:t>
      </w:r>
      <w:r w:rsidRPr="00402471">
        <w:rPr>
          <w:rFonts w:ascii="Verdana" w:hAnsi="Verdana"/>
          <w:sz w:val="20"/>
          <w:szCs w:val="20"/>
          <w:lang w:val="es-MX"/>
        </w:rPr>
        <w:t>hechos relacionados con el pase a retiro</w:t>
      </w:r>
      <w:r w:rsidR="009B4F50">
        <w:rPr>
          <w:rFonts w:ascii="Verdana" w:hAnsi="Verdana"/>
          <w:sz w:val="20"/>
          <w:szCs w:val="20"/>
          <w:lang w:val="es-MX"/>
        </w:rPr>
        <w:t>, cuadro de mérito</w:t>
      </w:r>
      <w:r w:rsidR="008714BD">
        <w:rPr>
          <w:rFonts w:ascii="Verdana" w:hAnsi="Verdana"/>
          <w:sz w:val="20"/>
          <w:szCs w:val="20"/>
          <w:lang w:val="es-MX"/>
        </w:rPr>
        <w:t xml:space="preserve"> y su agotamiento interno</w:t>
      </w:r>
      <w:r w:rsidRPr="00402471">
        <w:rPr>
          <w:rFonts w:ascii="Verdana" w:hAnsi="Verdana"/>
          <w:sz w:val="20"/>
          <w:szCs w:val="20"/>
          <w:lang w:val="es-MX"/>
        </w:rPr>
        <w:t>.</w:t>
      </w:r>
    </w:p>
    <w:p w14:paraId="6D172B9F" w14:textId="77777777" w:rsidR="00FB723A" w:rsidRPr="009C7422" w:rsidRDefault="00FB723A" w:rsidP="00FB723A">
      <w:pPr>
        <w:jc w:val="both"/>
        <w:rPr>
          <w:rFonts w:ascii="Verdana" w:hAnsi="Verdana"/>
          <w:sz w:val="20"/>
          <w:szCs w:val="20"/>
          <w:lang w:val="es-ES"/>
        </w:rPr>
      </w:pPr>
    </w:p>
    <w:p w14:paraId="6D172BA0" w14:textId="77777777" w:rsidR="00FB723A" w:rsidRPr="00223A84" w:rsidRDefault="00FB723A" w:rsidP="00D83DC8">
      <w:pPr>
        <w:pStyle w:val="Heading2"/>
        <w:numPr>
          <w:ilvl w:val="0"/>
          <w:numId w:val="15"/>
        </w:numPr>
        <w:spacing w:before="0"/>
        <w:jc w:val="both"/>
        <w:rPr>
          <w:rFonts w:ascii="Verdana" w:hAnsi="Verdana"/>
          <w:i/>
          <w:color w:val="auto"/>
          <w:sz w:val="20"/>
          <w:szCs w:val="20"/>
        </w:rPr>
      </w:pPr>
      <w:bookmarkStart w:id="17" w:name="_Toc482093026"/>
      <w:r>
        <w:rPr>
          <w:rFonts w:ascii="Verdana" w:hAnsi="Verdana"/>
          <w:i/>
          <w:color w:val="auto"/>
          <w:sz w:val="20"/>
          <w:szCs w:val="20"/>
          <w:lang w:val="es-MX"/>
        </w:rPr>
        <w:t>Admisibilidad de</w:t>
      </w:r>
      <w:r w:rsidR="00993107">
        <w:rPr>
          <w:rFonts w:ascii="Verdana" w:hAnsi="Verdana"/>
          <w:i/>
          <w:color w:val="auto"/>
          <w:sz w:val="20"/>
          <w:szCs w:val="20"/>
          <w:lang w:val="es-MX"/>
        </w:rPr>
        <w:t>l reclamo r</w:t>
      </w:r>
      <w:r>
        <w:rPr>
          <w:rFonts w:ascii="Verdana" w:hAnsi="Verdana"/>
          <w:i/>
          <w:color w:val="auto"/>
          <w:sz w:val="20"/>
          <w:szCs w:val="20"/>
          <w:lang w:val="es-MX"/>
        </w:rPr>
        <w:t>elacionado con la privación de libertad</w:t>
      </w:r>
      <w:bookmarkEnd w:id="17"/>
      <w:r>
        <w:rPr>
          <w:rFonts w:ascii="Verdana" w:hAnsi="Verdana"/>
          <w:i/>
          <w:color w:val="auto"/>
          <w:sz w:val="20"/>
          <w:szCs w:val="20"/>
          <w:lang w:val="es-MX"/>
        </w:rPr>
        <w:t xml:space="preserve"> </w:t>
      </w:r>
    </w:p>
    <w:p w14:paraId="6D172BA1" w14:textId="77777777" w:rsidR="00FB723A" w:rsidRDefault="00FB723A" w:rsidP="00FB723A">
      <w:pPr>
        <w:pStyle w:val="Heading3"/>
        <w:spacing w:before="0"/>
        <w:jc w:val="both"/>
        <w:rPr>
          <w:rFonts w:ascii="Verdana" w:hAnsi="Verdana"/>
          <w:i/>
          <w:color w:val="auto"/>
          <w:sz w:val="20"/>
          <w:szCs w:val="20"/>
          <w:lang w:val="es-MX"/>
        </w:rPr>
      </w:pPr>
    </w:p>
    <w:p w14:paraId="6D172BA2" w14:textId="77777777" w:rsidR="00FB723A" w:rsidRPr="00E114CC" w:rsidRDefault="00FB723A" w:rsidP="006231F4">
      <w:pPr>
        <w:pStyle w:val="Heading3"/>
        <w:numPr>
          <w:ilvl w:val="0"/>
          <w:numId w:val="21"/>
        </w:numPr>
        <w:spacing w:before="0"/>
        <w:jc w:val="both"/>
        <w:rPr>
          <w:rFonts w:ascii="Verdana" w:hAnsi="Verdana"/>
          <w:i/>
          <w:color w:val="auto"/>
          <w:sz w:val="20"/>
          <w:szCs w:val="20"/>
          <w:lang w:val="es-MX"/>
        </w:rPr>
      </w:pPr>
      <w:r w:rsidRPr="00E114CC">
        <w:rPr>
          <w:rFonts w:ascii="Verdana" w:hAnsi="Verdana"/>
          <w:i/>
          <w:color w:val="auto"/>
          <w:sz w:val="20"/>
          <w:szCs w:val="20"/>
          <w:lang w:val="es-MX"/>
        </w:rPr>
        <w:t xml:space="preserve"> </w:t>
      </w:r>
      <w:bookmarkStart w:id="18" w:name="_Toc482093027"/>
      <w:r w:rsidRPr="00E114CC">
        <w:rPr>
          <w:rFonts w:ascii="Verdana" w:hAnsi="Verdana"/>
          <w:i/>
          <w:color w:val="auto"/>
          <w:sz w:val="20"/>
          <w:szCs w:val="20"/>
          <w:lang w:val="es-MX"/>
        </w:rPr>
        <w:t>Argumentos de las partes y de la Comisión</w:t>
      </w:r>
      <w:bookmarkEnd w:id="18"/>
    </w:p>
    <w:p w14:paraId="6D172BA3" w14:textId="77777777" w:rsidR="00FB723A" w:rsidRPr="00F57829" w:rsidRDefault="00FB723A" w:rsidP="00FB723A">
      <w:pPr>
        <w:jc w:val="both"/>
        <w:rPr>
          <w:rFonts w:ascii="Verdana" w:hAnsi="Verdana"/>
          <w:b/>
          <w:sz w:val="20"/>
          <w:szCs w:val="20"/>
          <w:lang w:val="es-ES"/>
        </w:rPr>
      </w:pPr>
    </w:p>
    <w:p w14:paraId="6D172BA4" w14:textId="69B84E6A" w:rsidR="00FB723A" w:rsidRDefault="00FB723A" w:rsidP="00FB723A">
      <w:pPr>
        <w:pStyle w:val="ListParagraph"/>
        <w:numPr>
          <w:ilvl w:val="0"/>
          <w:numId w:val="2"/>
        </w:numPr>
        <w:ind w:left="0" w:firstLine="0"/>
        <w:jc w:val="both"/>
        <w:rPr>
          <w:rFonts w:ascii="Verdana" w:hAnsi="Verdana"/>
          <w:b/>
          <w:sz w:val="20"/>
          <w:szCs w:val="20"/>
          <w:lang w:val="es-ES"/>
        </w:rPr>
      </w:pPr>
      <w:r w:rsidRPr="00844E7B">
        <w:rPr>
          <w:rFonts w:ascii="Verdana" w:hAnsi="Verdana"/>
          <w:sz w:val="20"/>
          <w:szCs w:val="20"/>
          <w:lang w:val="es-ES"/>
        </w:rPr>
        <w:lastRenderedPageBreak/>
        <w:t xml:space="preserve">El </w:t>
      </w:r>
      <w:r w:rsidRPr="00844E7B">
        <w:rPr>
          <w:rFonts w:ascii="Verdana" w:hAnsi="Verdana"/>
          <w:b/>
          <w:i/>
          <w:sz w:val="20"/>
          <w:szCs w:val="20"/>
          <w:lang w:val="es-ES"/>
        </w:rPr>
        <w:t>Estado</w:t>
      </w:r>
      <w:r w:rsidRPr="00844E7B">
        <w:rPr>
          <w:rFonts w:ascii="Verdana" w:hAnsi="Verdana"/>
          <w:sz w:val="20"/>
          <w:szCs w:val="20"/>
          <w:lang w:val="es-ES"/>
        </w:rPr>
        <w:t xml:space="preserve"> argumentó que resulta</w:t>
      </w:r>
      <w:r>
        <w:rPr>
          <w:rFonts w:ascii="Verdana" w:hAnsi="Verdana"/>
          <w:sz w:val="20"/>
          <w:szCs w:val="20"/>
          <w:lang w:val="es-ES"/>
        </w:rPr>
        <w:t>ba</w:t>
      </w:r>
      <w:r w:rsidRPr="00844E7B">
        <w:rPr>
          <w:rFonts w:ascii="Verdana" w:hAnsi="Verdana"/>
          <w:sz w:val="20"/>
          <w:szCs w:val="20"/>
          <w:lang w:val="es-ES"/>
        </w:rPr>
        <w:t xml:space="preserve"> pertinente delimitar la controversia del presente caso a partir de lo resuelto por la Comisión en su Informe de Admisibilidad. </w:t>
      </w:r>
      <w:r>
        <w:rPr>
          <w:rFonts w:ascii="Verdana" w:hAnsi="Verdana"/>
          <w:sz w:val="20"/>
          <w:szCs w:val="20"/>
          <w:lang w:val="es-ES"/>
        </w:rPr>
        <w:t>De esta forma</w:t>
      </w:r>
      <w:r w:rsidRPr="00844E7B">
        <w:rPr>
          <w:rFonts w:ascii="Verdana" w:hAnsi="Verdana"/>
          <w:sz w:val="20"/>
          <w:szCs w:val="20"/>
          <w:lang w:val="es-ES"/>
        </w:rPr>
        <w:t xml:space="preserve">, el Estado se refirió a </w:t>
      </w:r>
      <w:r>
        <w:rPr>
          <w:rFonts w:ascii="Verdana" w:hAnsi="Verdana"/>
          <w:sz w:val="20"/>
          <w:szCs w:val="20"/>
          <w:lang w:val="es-ES"/>
        </w:rPr>
        <w:t>que</w:t>
      </w:r>
      <w:r w:rsidRPr="00844E7B">
        <w:rPr>
          <w:rFonts w:ascii="Verdana" w:hAnsi="Verdana"/>
          <w:sz w:val="20"/>
          <w:szCs w:val="20"/>
          <w:lang w:val="es-ES"/>
        </w:rPr>
        <w:t xml:space="preserve"> la Comisión consideró inadmisible la petición de la presunta víctima en lo relativo a la detención durante más de ocho meses del señor Zegarra Marín como consecuencia del proceso penal seguido en su contra, en virtud de que dicho aspecto de la petición fue resuelto por el Estado en la vía interna</w:t>
      </w:r>
      <w:r>
        <w:rPr>
          <w:rFonts w:ascii="Verdana" w:hAnsi="Verdana"/>
          <w:sz w:val="20"/>
          <w:szCs w:val="20"/>
          <w:lang w:val="es-ES"/>
        </w:rPr>
        <w:t>.</w:t>
      </w:r>
      <w:r>
        <w:rPr>
          <w:rFonts w:ascii="Verdana" w:hAnsi="Verdana"/>
          <w:b/>
          <w:sz w:val="20"/>
          <w:szCs w:val="20"/>
          <w:lang w:val="es-ES"/>
        </w:rPr>
        <w:t xml:space="preserve"> </w:t>
      </w:r>
      <w:r w:rsidRPr="00A659C5">
        <w:rPr>
          <w:rFonts w:ascii="Verdana" w:hAnsi="Verdana"/>
          <w:sz w:val="20"/>
          <w:szCs w:val="20"/>
          <w:lang w:val="es-ES"/>
        </w:rPr>
        <w:t xml:space="preserve">Advirtió que la Comisión señaló en su informe de admisibilidad que la pretensión del peticionario se limitó a la obtención de una reparación por la detención, sin que se cuente con </w:t>
      </w:r>
      <w:r w:rsidRPr="005673EE">
        <w:rPr>
          <w:rFonts w:ascii="Verdana" w:hAnsi="Verdana"/>
          <w:sz w:val="20"/>
          <w:szCs w:val="20"/>
          <w:lang w:val="es-ES"/>
        </w:rPr>
        <w:t>información</w:t>
      </w:r>
      <w:r w:rsidRPr="00A659C5">
        <w:rPr>
          <w:rFonts w:ascii="Verdana" w:hAnsi="Verdana"/>
          <w:sz w:val="20"/>
          <w:szCs w:val="20"/>
          <w:lang w:val="es-ES"/>
        </w:rPr>
        <w:t xml:space="preserve"> sobre recursos intentados en este sentido</w:t>
      </w:r>
      <w:r w:rsidRPr="00F57D24">
        <w:rPr>
          <w:rFonts w:ascii="Verdana" w:hAnsi="Verdana"/>
          <w:sz w:val="20"/>
          <w:szCs w:val="20"/>
          <w:lang w:val="es-ES"/>
        </w:rPr>
        <w:t>.</w:t>
      </w:r>
    </w:p>
    <w:p w14:paraId="6D172BA5" w14:textId="77777777" w:rsidR="00FB723A" w:rsidRDefault="00FB723A" w:rsidP="00FB723A">
      <w:pPr>
        <w:pStyle w:val="ListParagraph"/>
        <w:ind w:left="0"/>
        <w:jc w:val="both"/>
        <w:rPr>
          <w:rFonts w:ascii="Verdana" w:hAnsi="Verdana"/>
          <w:b/>
          <w:sz w:val="20"/>
          <w:szCs w:val="20"/>
          <w:lang w:val="es-ES"/>
        </w:rPr>
      </w:pPr>
    </w:p>
    <w:p w14:paraId="6D172BA6" w14:textId="7AA6E3DB" w:rsidR="00FB723A" w:rsidRPr="00717BC6" w:rsidRDefault="00FB723A" w:rsidP="00FB723A">
      <w:pPr>
        <w:pStyle w:val="ListParagraph"/>
        <w:numPr>
          <w:ilvl w:val="0"/>
          <w:numId w:val="2"/>
        </w:numPr>
        <w:ind w:left="0" w:firstLine="0"/>
        <w:jc w:val="both"/>
        <w:rPr>
          <w:rFonts w:ascii="Verdana" w:hAnsi="Verdana"/>
          <w:b/>
          <w:sz w:val="20"/>
          <w:szCs w:val="20"/>
          <w:lang w:val="es-ES"/>
        </w:rPr>
      </w:pPr>
      <w:r w:rsidRPr="00844E7B">
        <w:rPr>
          <w:rFonts w:ascii="Verdana" w:hAnsi="Verdana"/>
          <w:sz w:val="20"/>
          <w:szCs w:val="20"/>
          <w:lang w:val="es-ES"/>
        </w:rPr>
        <w:t xml:space="preserve">La </w:t>
      </w:r>
      <w:r w:rsidRPr="00844E7B">
        <w:rPr>
          <w:rFonts w:ascii="Verdana" w:hAnsi="Verdana"/>
          <w:b/>
          <w:i/>
          <w:sz w:val="20"/>
          <w:szCs w:val="20"/>
          <w:lang w:val="es-ES"/>
        </w:rPr>
        <w:t>Comisión</w:t>
      </w:r>
      <w:r w:rsidRPr="00844E7B">
        <w:rPr>
          <w:rFonts w:ascii="Verdana" w:hAnsi="Verdana"/>
          <w:sz w:val="20"/>
          <w:szCs w:val="20"/>
          <w:lang w:val="es-ES"/>
        </w:rPr>
        <w:t xml:space="preserve"> observó que la descripción efectuada por el Estado sobre la delimitación realizada en el Informe de Admisibilidad era acertada. En efecto, la Comisión declaró en dicha etapa que el reclamo </w:t>
      </w:r>
      <w:r w:rsidRPr="00844E7B">
        <w:rPr>
          <w:rFonts w:ascii="Verdana" w:hAnsi="Verdana"/>
          <w:sz w:val="20"/>
          <w:szCs w:val="20"/>
          <w:lang w:val="es-CR"/>
        </w:rPr>
        <w:t>relativo a la libertad personal era inadmisible pues había sido subsanado por el Estado a nivel interno, quedando pendiente una posible reparación económica respecto de la cual el peticionario no presentó información relativa al agotami</w:t>
      </w:r>
      <w:r>
        <w:rPr>
          <w:rFonts w:ascii="Verdana" w:hAnsi="Verdana"/>
          <w:sz w:val="20"/>
          <w:szCs w:val="20"/>
          <w:lang w:val="es-CR"/>
        </w:rPr>
        <w:t xml:space="preserve">ento de los recursos internos. </w:t>
      </w:r>
    </w:p>
    <w:p w14:paraId="6D172BA7" w14:textId="77777777" w:rsidR="00FB723A" w:rsidRPr="005E6306" w:rsidRDefault="00FB723A" w:rsidP="00FB723A">
      <w:pPr>
        <w:rPr>
          <w:rFonts w:ascii="Verdana" w:hAnsi="Verdana"/>
          <w:sz w:val="20"/>
          <w:szCs w:val="20"/>
          <w:lang w:val="es-ES"/>
        </w:rPr>
      </w:pPr>
    </w:p>
    <w:p w14:paraId="6D172BA8" w14:textId="74B4FE8D" w:rsidR="00FB723A" w:rsidRDefault="00FB723A" w:rsidP="00FB723A">
      <w:pPr>
        <w:pStyle w:val="ListParagraph"/>
        <w:numPr>
          <w:ilvl w:val="0"/>
          <w:numId w:val="2"/>
        </w:numPr>
        <w:ind w:left="0" w:firstLine="0"/>
        <w:jc w:val="both"/>
        <w:rPr>
          <w:rFonts w:ascii="Verdana" w:hAnsi="Verdana"/>
          <w:b/>
          <w:sz w:val="20"/>
          <w:szCs w:val="20"/>
          <w:lang w:val="es-ES"/>
        </w:rPr>
      </w:pPr>
      <w:r w:rsidRPr="00844E7B">
        <w:rPr>
          <w:rFonts w:ascii="Verdana" w:hAnsi="Verdana"/>
          <w:sz w:val="20"/>
          <w:szCs w:val="20"/>
          <w:lang w:val="es-ES"/>
        </w:rPr>
        <w:t xml:space="preserve">Los </w:t>
      </w:r>
      <w:r w:rsidRPr="00844E7B">
        <w:rPr>
          <w:rFonts w:ascii="Verdana" w:hAnsi="Verdana"/>
          <w:b/>
          <w:i/>
          <w:sz w:val="20"/>
          <w:szCs w:val="20"/>
          <w:lang w:val="es-ES"/>
        </w:rPr>
        <w:t>representantes</w:t>
      </w:r>
      <w:r w:rsidRPr="00844E7B">
        <w:rPr>
          <w:rFonts w:ascii="Verdana" w:hAnsi="Verdana"/>
          <w:sz w:val="20"/>
          <w:szCs w:val="20"/>
          <w:lang w:val="es-ES"/>
        </w:rPr>
        <w:t xml:space="preserve"> indicaron que el Informe de Fondo de la Comisión mencionó entre los hechos probados la detención preventiva que durante ocho meses sufriera el señor Zegarra Marín. Asimismo, agregaron que la circunstancia de que la Comisión no haya encontrado una violación a la Convención por determinados hechos no </w:t>
      </w:r>
      <w:r>
        <w:rPr>
          <w:rFonts w:ascii="Verdana" w:hAnsi="Verdana"/>
          <w:sz w:val="20"/>
          <w:szCs w:val="20"/>
          <w:lang w:val="es-ES"/>
        </w:rPr>
        <w:t>e</w:t>
      </w:r>
      <w:r w:rsidR="009B4F50">
        <w:rPr>
          <w:rFonts w:ascii="Verdana" w:hAnsi="Verdana"/>
          <w:sz w:val="20"/>
          <w:szCs w:val="20"/>
          <w:lang w:val="es-ES"/>
        </w:rPr>
        <w:t>s</w:t>
      </w:r>
      <w:r w:rsidRPr="00844E7B">
        <w:rPr>
          <w:rFonts w:ascii="Verdana" w:hAnsi="Verdana"/>
          <w:sz w:val="20"/>
          <w:szCs w:val="20"/>
          <w:lang w:val="es-ES"/>
        </w:rPr>
        <w:t xml:space="preserve"> obstáculo para que los representantes la reiteren ante la Corte. </w:t>
      </w:r>
      <w:r w:rsidRPr="00717BC6">
        <w:rPr>
          <w:rFonts w:ascii="Verdana" w:hAnsi="Verdana"/>
          <w:sz w:val="20"/>
          <w:szCs w:val="20"/>
          <w:lang w:val="es-ES"/>
        </w:rPr>
        <w:t>A su vez, indicaron que los hechos objeto de este cuestionamiento fueron puestos en conocimiento del Estado a lo largo del proceso ante la Comisión, por lo que en esta oportunidad no podía alegarse la falta de posibilidad de defensa y/o desconocimiento de los hechos</w:t>
      </w:r>
      <w:r w:rsidR="00F57D24">
        <w:rPr>
          <w:rFonts w:ascii="Verdana" w:hAnsi="Verdana"/>
          <w:sz w:val="20"/>
          <w:szCs w:val="20"/>
          <w:lang w:val="es-ES"/>
        </w:rPr>
        <w:t>.</w:t>
      </w:r>
    </w:p>
    <w:p w14:paraId="6D172BA9" w14:textId="77777777" w:rsidR="00FB723A" w:rsidRPr="00E114CC" w:rsidRDefault="00FB723A" w:rsidP="00FB723A">
      <w:pPr>
        <w:jc w:val="both"/>
        <w:rPr>
          <w:rFonts w:ascii="Verdana" w:hAnsi="Verdana"/>
          <w:b/>
          <w:sz w:val="20"/>
          <w:szCs w:val="20"/>
          <w:lang w:val="es-ES"/>
        </w:rPr>
      </w:pPr>
    </w:p>
    <w:p w14:paraId="6D172BAA" w14:textId="77777777" w:rsidR="00FB723A" w:rsidRPr="00054386" w:rsidRDefault="00FB723A" w:rsidP="006231F4">
      <w:pPr>
        <w:pStyle w:val="Heading3"/>
        <w:numPr>
          <w:ilvl w:val="0"/>
          <w:numId w:val="21"/>
        </w:numPr>
        <w:spacing w:before="0"/>
        <w:jc w:val="both"/>
        <w:rPr>
          <w:rFonts w:ascii="Verdana" w:hAnsi="Verdana"/>
          <w:i/>
          <w:color w:val="auto"/>
          <w:sz w:val="20"/>
          <w:szCs w:val="20"/>
          <w:lang w:val="es-MX"/>
        </w:rPr>
      </w:pPr>
      <w:r w:rsidRPr="00054386">
        <w:rPr>
          <w:rFonts w:ascii="Verdana" w:hAnsi="Verdana"/>
          <w:i/>
          <w:color w:val="auto"/>
          <w:sz w:val="20"/>
          <w:szCs w:val="20"/>
          <w:lang w:val="es-MX"/>
        </w:rPr>
        <w:t xml:space="preserve"> </w:t>
      </w:r>
      <w:bookmarkStart w:id="19" w:name="_Toc482093028"/>
      <w:r w:rsidRPr="00054386">
        <w:rPr>
          <w:rFonts w:ascii="Verdana" w:hAnsi="Verdana"/>
          <w:i/>
          <w:color w:val="auto"/>
          <w:sz w:val="20"/>
          <w:szCs w:val="20"/>
          <w:lang w:val="es-MX"/>
        </w:rPr>
        <w:t>Consideraciones de la Corte</w:t>
      </w:r>
      <w:bookmarkEnd w:id="19"/>
    </w:p>
    <w:p w14:paraId="6D172BAB" w14:textId="77777777" w:rsidR="00FB723A" w:rsidRPr="00B6113B" w:rsidRDefault="00FB723A" w:rsidP="00FB723A">
      <w:pPr>
        <w:jc w:val="both"/>
        <w:rPr>
          <w:rFonts w:ascii="Verdana" w:hAnsi="Verdana"/>
          <w:b/>
          <w:sz w:val="20"/>
          <w:szCs w:val="20"/>
          <w:lang w:val="es-MX"/>
        </w:rPr>
      </w:pPr>
    </w:p>
    <w:p w14:paraId="6D172BAC" w14:textId="77777777" w:rsidR="00FB723A" w:rsidRPr="008A301C" w:rsidRDefault="00FB723A" w:rsidP="00FB723A">
      <w:pPr>
        <w:pStyle w:val="ListParagraph"/>
        <w:numPr>
          <w:ilvl w:val="0"/>
          <w:numId w:val="2"/>
        </w:numPr>
        <w:ind w:left="0" w:firstLine="0"/>
        <w:jc w:val="both"/>
        <w:rPr>
          <w:rFonts w:ascii="Verdana" w:hAnsi="Verdana"/>
          <w:sz w:val="20"/>
          <w:szCs w:val="20"/>
        </w:rPr>
      </w:pPr>
      <w:r>
        <w:rPr>
          <w:rFonts w:ascii="Verdana" w:hAnsi="Verdana"/>
          <w:sz w:val="20"/>
          <w:szCs w:val="20"/>
        </w:rPr>
        <w:t>Primeramente</w:t>
      </w:r>
      <w:r w:rsidRPr="00844E7B">
        <w:rPr>
          <w:rFonts w:ascii="Verdana" w:hAnsi="Verdana"/>
          <w:sz w:val="20"/>
          <w:szCs w:val="20"/>
        </w:rPr>
        <w:t xml:space="preserve">, la Corte recuerda su jurisprudencia constante según la cual </w:t>
      </w:r>
      <w:r w:rsidRPr="00844E7B">
        <w:rPr>
          <w:rFonts w:ascii="Verdana" w:hAnsi="Verdana"/>
          <w:sz w:val="20"/>
          <w:szCs w:val="20"/>
          <w:lang w:val="es-CR"/>
        </w:rPr>
        <w:t xml:space="preserve">las presuntas víctimas y sus representantes </w:t>
      </w:r>
      <w:r w:rsidR="00247E3F">
        <w:rPr>
          <w:rFonts w:ascii="Verdana" w:hAnsi="Verdana"/>
          <w:sz w:val="20"/>
          <w:szCs w:val="20"/>
          <w:lang w:val="es-CR"/>
        </w:rPr>
        <w:t>pueden</w:t>
      </w:r>
      <w:r w:rsidR="00247E3F" w:rsidRPr="00844E7B">
        <w:rPr>
          <w:rFonts w:ascii="Verdana" w:hAnsi="Verdana"/>
          <w:sz w:val="20"/>
          <w:szCs w:val="20"/>
          <w:lang w:val="es-CR"/>
        </w:rPr>
        <w:t xml:space="preserve"> </w:t>
      </w:r>
      <w:r w:rsidRPr="00844E7B">
        <w:rPr>
          <w:rFonts w:ascii="Verdana" w:hAnsi="Verdana"/>
          <w:sz w:val="20"/>
          <w:szCs w:val="20"/>
          <w:lang w:val="es-CR"/>
        </w:rPr>
        <w:t>invocar la violación de otros derechos distintos a los comprendidos en el Informe de Fondo, siempre y cuando se atengan a los hechos contenidos en dicho documento, en tanto son las presuntas víctimas las titulares de todos los derechos consagrados en la Convención</w:t>
      </w:r>
      <w:r w:rsidRPr="00B6113B">
        <w:rPr>
          <w:rStyle w:val="FootnoteReference"/>
          <w:szCs w:val="20"/>
        </w:rPr>
        <w:footnoteReference w:id="21"/>
      </w:r>
      <w:r w:rsidRPr="00844E7B">
        <w:rPr>
          <w:rFonts w:ascii="Verdana" w:hAnsi="Verdana"/>
          <w:sz w:val="20"/>
          <w:szCs w:val="20"/>
          <w:lang w:val="es-CR"/>
        </w:rPr>
        <w:t>.</w:t>
      </w:r>
    </w:p>
    <w:p w14:paraId="6D172BAD" w14:textId="77777777" w:rsidR="00FB723A" w:rsidRPr="008A301C" w:rsidRDefault="00FB723A" w:rsidP="00FB723A">
      <w:pPr>
        <w:pStyle w:val="ListParagraph"/>
        <w:ind w:left="0"/>
        <w:jc w:val="both"/>
        <w:rPr>
          <w:rFonts w:ascii="Verdana" w:hAnsi="Verdana"/>
          <w:sz w:val="20"/>
          <w:szCs w:val="20"/>
        </w:rPr>
      </w:pPr>
    </w:p>
    <w:p w14:paraId="6D172BAE" w14:textId="6B4043E1" w:rsidR="00FB723A" w:rsidRDefault="00FB723A" w:rsidP="00FB723A">
      <w:pPr>
        <w:pStyle w:val="ListParagraph"/>
        <w:numPr>
          <w:ilvl w:val="0"/>
          <w:numId w:val="2"/>
        </w:numPr>
        <w:ind w:left="0" w:firstLine="0"/>
        <w:jc w:val="both"/>
        <w:rPr>
          <w:rFonts w:ascii="Verdana" w:hAnsi="Verdana"/>
          <w:sz w:val="20"/>
          <w:szCs w:val="20"/>
        </w:rPr>
      </w:pPr>
      <w:r>
        <w:rPr>
          <w:rFonts w:ascii="Verdana" w:hAnsi="Verdana"/>
          <w:sz w:val="20"/>
          <w:szCs w:val="20"/>
        </w:rPr>
        <w:t>Al respecto, la Corte constata que los hechos referentes a la detención preventiva y sus respectivas instancias fueron ampliamente descritos en el Informe de Fondo de la Comisión. Además, en el sometimiento del caso ante la Corte, la Comisión determinó “someter la totalidad de los hechos</w:t>
      </w:r>
      <w:r w:rsidR="00F70C0B">
        <w:rPr>
          <w:rFonts w:ascii="Verdana" w:hAnsi="Verdana"/>
          <w:sz w:val="20"/>
          <w:szCs w:val="20"/>
        </w:rPr>
        <w:t xml:space="preserve"> […]</w:t>
      </w:r>
      <w:r>
        <w:rPr>
          <w:rFonts w:ascii="Verdana" w:hAnsi="Verdana"/>
          <w:sz w:val="20"/>
          <w:szCs w:val="20"/>
        </w:rPr>
        <w:t xml:space="preserve"> descritos en el informe de fondo”, sin excluir aquellos, de conformidad con el artículo 35.3 del Reglamento de la Corte. </w:t>
      </w:r>
    </w:p>
    <w:p w14:paraId="6D172BAF" w14:textId="77777777" w:rsidR="00FB723A" w:rsidRDefault="00FB723A" w:rsidP="00FB723A">
      <w:pPr>
        <w:pStyle w:val="ListParagraph"/>
        <w:ind w:left="0"/>
        <w:jc w:val="both"/>
        <w:rPr>
          <w:rFonts w:ascii="Verdana" w:hAnsi="Verdana"/>
          <w:sz w:val="20"/>
          <w:szCs w:val="20"/>
        </w:rPr>
      </w:pPr>
    </w:p>
    <w:p w14:paraId="6D172BB0" w14:textId="77777777" w:rsidR="00FB723A" w:rsidRDefault="00FB723A" w:rsidP="00FB723A">
      <w:pPr>
        <w:pStyle w:val="ListParagraph"/>
        <w:numPr>
          <w:ilvl w:val="0"/>
          <w:numId w:val="2"/>
        </w:numPr>
        <w:ind w:left="0" w:firstLine="0"/>
        <w:jc w:val="both"/>
        <w:rPr>
          <w:rFonts w:ascii="Verdana" w:hAnsi="Verdana"/>
          <w:sz w:val="20"/>
          <w:szCs w:val="20"/>
        </w:rPr>
      </w:pPr>
      <w:r w:rsidRPr="003043F8">
        <w:rPr>
          <w:rFonts w:ascii="Verdana" w:hAnsi="Verdana"/>
          <w:sz w:val="20"/>
          <w:szCs w:val="20"/>
        </w:rPr>
        <w:t xml:space="preserve">En </w:t>
      </w:r>
      <w:r>
        <w:rPr>
          <w:rFonts w:ascii="Verdana" w:hAnsi="Verdana"/>
          <w:sz w:val="20"/>
          <w:szCs w:val="20"/>
        </w:rPr>
        <w:t>segundo lugar</w:t>
      </w:r>
      <w:r w:rsidRPr="003043F8">
        <w:rPr>
          <w:rFonts w:ascii="Verdana" w:hAnsi="Verdana"/>
          <w:sz w:val="20"/>
          <w:szCs w:val="20"/>
        </w:rPr>
        <w:t xml:space="preserve">, </w:t>
      </w:r>
      <w:r w:rsidRPr="00844E7B">
        <w:rPr>
          <w:rFonts w:ascii="Verdana" w:hAnsi="Verdana"/>
          <w:sz w:val="20"/>
          <w:szCs w:val="20"/>
        </w:rPr>
        <w:t xml:space="preserve">en el Informe de Admisibilidad la Comisión Interamericana declaró inadmisible la alegada violación de los artículos 5, 7, 9, </w:t>
      </w:r>
      <w:r w:rsidR="00023420">
        <w:rPr>
          <w:rFonts w:ascii="Verdana" w:hAnsi="Verdana"/>
          <w:sz w:val="20"/>
          <w:szCs w:val="20"/>
        </w:rPr>
        <w:t>10</w:t>
      </w:r>
      <w:r w:rsidRPr="00844E7B">
        <w:rPr>
          <w:rFonts w:ascii="Verdana" w:hAnsi="Verdana"/>
          <w:sz w:val="20"/>
          <w:szCs w:val="20"/>
        </w:rPr>
        <w:t>, 11 y 24 de la Convención</w:t>
      </w:r>
      <w:r w:rsidRPr="00B6113B">
        <w:rPr>
          <w:rStyle w:val="FootnoteReference"/>
          <w:szCs w:val="20"/>
        </w:rPr>
        <w:footnoteReference w:id="22"/>
      </w:r>
      <w:r>
        <w:rPr>
          <w:rFonts w:ascii="Verdana" w:hAnsi="Verdana"/>
          <w:sz w:val="20"/>
          <w:szCs w:val="20"/>
        </w:rPr>
        <w:t>.</w:t>
      </w:r>
    </w:p>
    <w:p w14:paraId="6D172BB1" w14:textId="77777777" w:rsidR="00FB723A" w:rsidRPr="008A301C" w:rsidRDefault="00FB723A" w:rsidP="00FB723A">
      <w:pPr>
        <w:pStyle w:val="ListParagraph"/>
        <w:rPr>
          <w:rFonts w:ascii="Verdana" w:hAnsi="Verdana"/>
          <w:sz w:val="20"/>
          <w:szCs w:val="20"/>
        </w:rPr>
      </w:pPr>
    </w:p>
    <w:p w14:paraId="6D172BB2" w14:textId="77777777" w:rsidR="00FB723A" w:rsidRPr="0029064A" w:rsidRDefault="00FB723A" w:rsidP="00FB723A">
      <w:pPr>
        <w:pStyle w:val="ListParagraph"/>
        <w:numPr>
          <w:ilvl w:val="0"/>
          <w:numId w:val="2"/>
        </w:numPr>
        <w:ind w:left="0" w:firstLine="0"/>
        <w:jc w:val="both"/>
        <w:rPr>
          <w:rFonts w:ascii="Verdana" w:hAnsi="Verdana"/>
          <w:sz w:val="20"/>
          <w:szCs w:val="20"/>
        </w:rPr>
      </w:pPr>
      <w:r>
        <w:rPr>
          <w:rFonts w:ascii="Verdana" w:hAnsi="Verdana"/>
          <w:sz w:val="20"/>
          <w:szCs w:val="20"/>
        </w:rPr>
        <w:t xml:space="preserve">De conformidad con su jurisprudencia, </w:t>
      </w:r>
      <w:r w:rsidRPr="003043F8">
        <w:rPr>
          <w:rFonts w:ascii="Verdana" w:hAnsi="Verdana"/>
          <w:sz w:val="20"/>
          <w:szCs w:val="20"/>
        </w:rPr>
        <w:t xml:space="preserve">la Corte debe analizar si en el Informe de Admisibilidad de la Comisión fueron inadmitidos los hechos que sustentan los alegatos sobre la presunta vulneración </w:t>
      </w:r>
      <w:r w:rsidRPr="00C66661">
        <w:rPr>
          <w:rFonts w:ascii="Verdana" w:hAnsi="Verdana"/>
          <w:sz w:val="20"/>
          <w:szCs w:val="20"/>
        </w:rPr>
        <w:t xml:space="preserve">del artículo 7 de la Convención, </w:t>
      </w:r>
      <w:r w:rsidRPr="00C66661">
        <w:rPr>
          <w:rFonts w:ascii="Verdana" w:hAnsi="Verdana" w:cs="Arial"/>
          <w:sz w:val="20"/>
          <w:szCs w:val="20"/>
          <w:lang w:val="es-CR"/>
        </w:rPr>
        <w:t>o si, por el contrario, la Comisión en su Informe de A</w:t>
      </w:r>
      <w:r w:rsidRPr="005D20D8">
        <w:rPr>
          <w:rFonts w:ascii="Verdana" w:hAnsi="Verdana" w:cs="Arial"/>
          <w:sz w:val="20"/>
          <w:szCs w:val="20"/>
          <w:lang w:val="es-CR"/>
        </w:rPr>
        <w:t xml:space="preserve">dmisibilidad realizó exclusivamente una valoración sobre la calificación </w:t>
      </w:r>
      <w:r w:rsidRPr="005D20D8">
        <w:rPr>
          <w:rFonts w:ascii="Verdana" w:hAnsi="Verdana" w:cs="Arial"/>
          <w:sz w:val="20"/>
          <w:szCs w:val="20"/>
          <w:lang w:val="es-CR"/>
        </w:rPr>
        <w:lastRenderedPageBreak/>
        <w:t>jurídica de determinados hechos.</w:t>
      </w:r>
      <w:r w:rsidRPr="008C18FF">
        <w:rPr>
          <w:rFonts w:ascii="Verdana" w:hAnsi="Verdana" w:cs="Arial"/>
          <w:sz w:val="20"/>
          <w:szCs w:val="20"/>
          <w:lang w:val="es-CR"/>
        </w:rPr>
        <w:t xml:space="preserve"> Lo</w:t>
      </w:r>
      <w:r w:rsidRPr="00844E7B">
        <w:rPr>
          <w:rFonts w:ascii="Verdana" w:hAnsi="Verdana" w:cs="Arial"/>
          <w:sz w:val="20"/>
          <w:szCs w:val="20"/>
          <w:lang w:val="es-CR"/>
        </w:rPr>
        <w:t xml:space="preserve"> anterior debido a que la Corte ya ha determinado en casos anteriores que</w:t>
      </w:r>
      <w:r w:rsidRPr="00844E7B">
        <w:rPr>
          <w:rFonts w:ascii="Verdana" w:hAnsi="Verdana"/>
          <w:sz w:val="20"/>
          <w:szCs w:val="20"/>
        </w:rPr>
        <w:t xml:space="preserve"> no es posible considerar que se han sometido a su consideración alegaciones de violación de derechos fundadas en hechos que han sido declarados inadmisibles por la Comisión en </w:t>
      </w:r>
      <w:r>
        <w:rPr>
          <w:rFonts w:ascii="Verdana" w:hAnsi="Verdana"/>
          <w:sz w:val="20"/>
          <w:szCs w:val="20"/>
          <w:lang w:val="es-CR"/>
        </w:rPr>
        <w:t>su Informe de A</w:t>
      </w:r>
      <w:r w:rsidRPr="00844E7B">
        <w:rPr>
          <w:rFonts w:ascii="Verdana" w:hAnsi="Verdana"/>
          <w:sz w:val="20"/>
          <w:szCs w:val="20"/>
          <w:lang w:val="es-CR"/>
        </w:rPr>
        <w:t>dmisibilidad</w:t>
      </w:r>
      <w:r w:rsidRPr="00B6113B">
        <w:rPr>
          <w:rStyle w:val="FootnoteReference"/>
          <w:szCs w:val="20"/>
          <w:lang w:val="es-CR"/>
        </w:rPr>
        <w:footnoteReference w:id="23"/>
      </w:r>
      <w:r w:rsidRPr="00844E7B">
        <w:rPr>
          <w:rFonts w:ascii="Verdana" w:hAnsi="Verdana" w:cs="Arial"/>
          <w:sz w:val="20"/>
          <w:szCs w:val="20"/>
          <w:lang w:val="es-CR"/>
        </w:rPr>
        <w:t xml:space="preserve">. </w:t>
      </w:r>
      <w:r w:rsidRPr="00A659C5">
        <w:rPr>
          <w:rFonts w:ascii="Verdana" w:hAnsi="Verdana"/>
          <w:sz w:val="20"/>
          <w:szCs w:val="20"/>
        </w:rPr>
        <w:t>Distinto es cuando la inadmisibilidad se concentra en la caracterización o clasificación jurídica que se le puede dar inicialmente a ciertos hechos,</w:t>
      </w:r>
      <w:r w:rsidRPr="00813867">
        <w:rPr>
          <w:rFonts w:ascii="Verdana" w:hAnsi="Verdana"/>
          <w:sz w:val="20"/>
          <w:szCs w:val="20"/>
        </w:rPr>
        <w:t xml:space="preserve"> pue</w:t>
      </w:r>
      <w:r w:rsidRPr="00844E7B">
        <w:rPr>
          <w:rFonts w:ascii="Verdana" w:hAnsi="Verdana"/>
          <w:sz w:val="20"/>
          <w:szCs w:val="20"/>
        </w:rPr>
        <w:t xml:space="preserve">sto que la Corte ya ha establecido que el Estado siempre debe conocer con antelación los hechos, pero la valoración jurídica sobre éstos puede cambiar a lo largo del </w:t>
      </w:r>
      <w:r w:rsidRPr="000B2C94">
        <w:rPr>
          <w:rFonts w:ascii="Verdana" w:hAnsi="Verdana"/>
          <w:sz w:val="20"/>
          <w:szCs w:val="20"/>
        </w:rPr>
        <w:t>proceso</w:t>
      </w:r>
      <w:r w:rsidRPr="000B2C94">
        <w:rPr>
          <w:rStyle w:val="FootnoteReference"/>
          <w:szCs w:val="20"/>
        </w:rPr>
        <w:footnoteReference w:id="24"/>
      </w:r>
      <w:r w:rsidRPr="000B2C94">
        <w:rPr>
          <w:rFonts w:ascii="Verdana" w:hAnsi="Verdana"/>
          <w:sz w:val="20"/>
          <w:szCs w:val="20"/>
        </w:rPr>
        <w:t xml:space="preserve">, tal como lo indica la mencionada posibilidad de alegar derechos no planteados por la Comisión o la utilización del principio </w:t>
      </w:r>
      <w:r w:rsidRPr="000B2C94">
        <w:rPr>
          <w:rFonts w:ascii="Verdana" w:hAnsi="Verdana"/>
          <w:i/>
          <w:sz w:val="20"/>
          <w:szCs w:val="20"/>
        </w:rPr>
        <w:t>iura novit curia</w:t>
      </w:r>
      <w:r w:rsidRPr="000B2C94">
        <w:rPr>
          <w:rFonts w:ascii="Verdana" w:hAnsi="Verdana"/>
          <w:sz w:val="20"/>
          <w:szCs w:val="20"/>
        </w:rPr>
        <w:t xml:space="preserve"> por parte de la Corte</w:t>
      </w:r>
      <w:r w:rsidRPr="000B2C94">
        <w:rPr>
          <w:rStyle w:val="FootnoteReference"/>
          <w:szCs w:val="20"/>
        </w:rPr>
        <w:footnoteReference w:id="25"/>
      </w:r>
      <w:r w:rsidRPr="000B2C94">
        <w:rPr>
          <w:rFonts w:ascii="Verdana" w:hAnsi="Verdana"/>
          <w:sz w:val="20"/>
          <w:szCs w:val="20"/>
        </w:rPr>
        <w:t>.</w:t>
      </w:r>
      <w:r>
        <w:rPr>
          <w:rFonts w:ascii="Verdana" w:hAnsi="Verdana"/>
          <w:sz w:val="20"/>
          <w:szCs w:val="20"/>
        </w:rPr>
        <w:t xml:space="preserve"> </w:t>
      </w:r>
    </w:p>
    <w:p w14:paraId="6D172BB3" w14:textId="77777777" w:rsidR="00FB723A" w:rsidRDefault="00FB723A" w:rsidP="00FB723A">
      <w:pPr>
        <w:pStyle w:val="ListParagraph"/>
        <w:ind w:left="0"/>
        <w:jc w:val="both"/>
        <w:rPr>
          <w:rFonts w:ascii="Verdana" w:hAnsi="Verdana"/>
          <w:sz w:val="20"/>
          <w:szCs w:val="20"/>
        </w:rPr>
      </w:pPr>
    </w:p>
    <w:p w14:paraId="6D172BB4" w14:textId="77777777" w:rsidR="00FB723A" w:rsidRDefault="00FB723A" w:rsidP="00FB723A">
      <w:pPr>
        <w:pStyle w:val="ListParagraph"/>
        <w:numPr>
          <w:ilvl w:val="0"/>
          <w:numId w:val="2"/>
        </w:numPr>
        <w:ind w:left="0" w:firstLine="0"/>
        <w:jc w:val="both"/>
        <w:rPr>
          <w:rFonts w:ascii="Verdana" w:hAnsi="Verdana"/>
          <w:sz w:val="20"/>
          <w:szCs w:val="20"/>
        </w:rPr>
      </w:pPr>
      <w:r>
        <w:rPr>
          <w:rFonts w:ascii="Verdana" w:hAnsi="Verdana"/>
          <w:sz w:val="20"/>
          <w:szCs w:val="20"/>
        </w:rPr>
        <w:t>Así, l</w:t>
      </w:r>
      <w:r w:rsidRPr="00BF58A6">
        <w:rPr>
          <w:rFonts w:ascii="Verdana" w:hAnsi="Verdana"/>
          <w:sz w:val="20"/>
          <w:szCs w:val="20"/>
        </w:rPr>
        <w:t>a Comisión señaló que “la información disponible indica</w:t>
      </w:r>
      <w:r>
        <w:rPr>
          <w:rFonts w:ascii="Verdana" w:hAnsi="Verdana"/>
          <w:sz w:val="20"/>
          <w:szCs w:val="20"/>
        </w:rPr>
        <w:t>[ba]</w:t>
      </w:r>
      <w:r w:rsidRPr="00BF58A6">
        <w:rPr>
          <w:rFonts w:ascii="Verdana" w:hAnsi="Verdana"/>
          <w:sz w:val="20"/>
          <w:szCs w:val="20"/>
        </w:rPr>
        <w:t xml:space="preserve"> que al momento de presentar la petición el señor Zegarra Marín se encontraba en libertad pues durante el proceso se profirió un auto que declaró la improcedencia de la detención preventiva en su contra. En tal sentido, este aspecto de la petición habría sido resuelto por el Estado en la vía interna. […] Por lo tanto proced[ió] a declarar inadmisible este extremo de su petición”</w:t>
      </w:r>
      <w:r w:rsidR="00631B30">
        <w:rPr>
          <w:rFonts w:ascii="Verdana" w:hAnsi="Verdana"/>
          <w:sz w:val="20"/>
          <w:szCs w:val="20"/>
        </w:rPr>
        <w:t>, quedando pendiente la reparación (</w:t>
      </w:r>
      <w:r w:rsidR="00631B30" w:rsidRPr="000A0953">
        <w:rPr>
          <w:rFonts w:ascii="Verdana" w:hAnsi="Verdana"/>
          <w:i/>
          <w:sz w:val="20"/>
          <w:szCs w:val="20"/>
        </w:rPr>
        <w:t xml:space="preserve">supra </w:t>
      </w:r>
      <w:r w:rsidR="00631B30">
        <w:rPr>
          <w:rFonts w:ascii="Verdana" w:hAnsi="Verdana"/>
          <w:sz w:val="20"/>
          <w:szCs w:val="20"/>
        </w:rPr>
        <w:t>párr. 39)</w:t>
      </w:r>
      <w:r w:rsidRPr="00BF58A6">
        <w:rPr>
          <w:rFonts w:ascii="Verdana" w:hAnsi="Verdana"/>
          <w:sz w:val="20"/>
          <w:szCs w:val="20"/>
        </w:rPr>
        <w:t xml:space="preserve">. </w:t>
      </w:r>
      <w:r w:rsidRPr="00BF58A6">
        <w:rPr>
          <w:rFonts w:ascii="Verdana" w:hAnsi="Verdana"/>
          <w:sz w:val="20"/>
          <w:szCs w:val="20"/>
          <w:lang w:val="es-ES"/>
        </w:rPr>
        <w:t xml:space="preserve">Por esta razón, la Comisión consideró que el peticionario “no presentó elementos suficientes para identificar </w:t>
      </w:r>
      <w:r w:rsidRPr="00BF58A6">
        <w:rPr>
          <w:rFonts w:ascii="Verdana" w:hAnsi="Verdana"/>
          <w:i/>
          <w:sz w:val="20"/>
          <w:szCs w:val="20"/>
          <w:lang w:val="es-ES"/>
        </w:rPr>
        <w:t xml:space="preserve">prima facie </w:t>
      </w:r>
      <w:r w:rsidRPr="00BF58A6">
        <w:rPr>
          <w:rFonts w:ascii="Verdana" w:hAnsi="Verdana"/>
          <w:sz w:val="20"/>
          <w:szCs w:val="20"/>
          <w:lang w:val="es-ES"/>
        </w:rPr>
        <w:t xml:space="preserve">la caracterización de una violación bajo </w:t>
      </w:r>
      <w:r w:rsidR="00023420">
        <w:rPr>
          <w:rFonts w:ascii="Verdana" w:hAnsi="Verdana"/>
          <w:sz w:val="20"/>
          <w:szCs w:val="20"/>
          <w:lang w:val="es-ES"/>
        </w:rPr>
        <w:t>[</w:t>
      </w:r>
      <w:r w:rsidRPr="00BF58A6">
        <w:rPr>
          <w:rFonts w:ascii="Verdana" w:hAnsi="Verdana"/>
          <w:sz w:val="20"/>
          <w:szCs w:val="20"/>
          <w:lang w:val="es-ES"/>
        </w:rPr>
        <w:t>el artículo 7</w:t>
      </w:r>
      <w:r w:rsidR="00023420">
        <w:rPr>
          <w:rFonts w:ascii="Verdana" w:hAnsi="Verdana"/>
          <w:sz w:val="20"/>
          <w:szCs w:val="20"/>
          <w:lang w:val="es-ES"/>
        </w:rPr>
        <w:t>]</w:t>
      </w:r>
      <w:r w:rsidRPr="00BF58A6">
        <w:rPr>
          <w:rFonts w:ascii="Verdana" w:hAnsi="Verdana"/>
          <w:sz w:val="20"/>
          <w:szCs w:val="20"/>
          <w:lang w:val="es-ES"/>
        </w:rPr>
        <w:t xml:space="preserve"> de la Convención Americana”</w:t>
      </w:r>
      <w:r w:rsidRPr="00B6113B">
        <w:rPr>
          <w:rStyle w:val="FootnoteReference"/>
          <w:szCs w:val="20"/>
          <w:lang w:val="es-ES"/>
        </w:rPr>
        <w:footnoteReference w:id="26"/>
      </w:r>
      <w:r w:rsidRPr="00BF58A6">
        <w:rPr>
          <w:rFonts w:ascii="Verdana" w:hAnsi="Verdana"/>
          <w:sz w:val="20"/>
          <w:szCs w:val="20"/>
          <w:lang w:val="es-ES"/>
        </w:rPr>
        <w:t>.</w:t>
      </w:r>
    </w:p>
    <w:p w14:paraId="6D172BB5" w14:textId="77777777" w:rsidR="00FB723A" w:rsidRPr="00BF58A6" w:rsidRDefault="00FB723A" w:rsidP="00FB723A">
      <w:pPr>
        <w:pStyle w:val="ListParagraph"/>
        <w:ind w:left="0"/>
        <w:jc w:val="both"/>
        <w:rPr>
          <w:rFonts w:ascii="Verdana" w:hAnsi="Verdana"/>
          <w:sz w:val="20"/>
          <w:szCs w:val="20"/>
        </w:rPr>
      </w:pPr>
    </w:p>
    <w:p w14:paraId="6D172BB6" w14:textId="0EDE1D19" w:rsidR="0006169A" w:rsidRPr="006231F4" w:rsidRDefault="00FB723A" w:rsidP="006231F4">
      <w:pPr>
        <w:pStyle w:val="ListParagraph"/>
        <w:numPr>
          <w:ilvl w:val="0"/>
          <w:numId w:val="2"/>
        </w:numPr>
        <w:ind w:left="0" w:firstLine="0"/>
        <w:jc w:val="both"/>
        <w:rPr>
          <w:rFonts w:ascii="Verdana" w:hAnsi="Verdana"/>
          <w:sz w:val="20"/>
          <w:szCs w:val="20"/>
        </w:rPr>
      </w:pPr>
      <w:r w:rsidRPr="0029064A">
        <w:rPr>
          <w:rFonts w:ascii="Verdana" w:hAnsi="Verdana"/>
          <w:sz w:val="20"/>
          <w:szCs w:val="20"/>
        </w:rPr>
        <w:t xml:space="preserve">Teniendo en cuenta lo anterior, la Corte </w:t>
      </w:r>
      <w:r w:rsidR="00993107">
        <w:rPr>
          <w:rFonts w:ascii="Verdana" w:hAnsi="Verdana"/>
          <w:sz w:val="20"/>
          <w:szCs w:val="20"/>
        </w:rPr>
        <w:t>constató</w:t>
      </w:r>
      <w:r w:rsidR="00993107" w:rsidRPr="0029064A">
        <w:rPr>
          <w:rFonts w:ascii="Verdana" w:hAnsi="Verdana"/>
          <w:sz w:val="20"/>
          <w:szCs w:val="20"/>
        </w:rPr>
        <w:t xml:space="preserve"> </w:t>
      </w:r>
      <w:r w:rsidRPr="0029064A">
        <w:rPr>
          <w:rFonts w:ascii="Verdana" w:hAnsi="Verdana"/>
          <w:sz w:val="20"/>
          <w:szCs w:val="20"/>
        </w:rPr>
        <w:t xml:space="preserve">que en el Informe de Admisibilidad se declaró inadmisible el </w:t>
      </w:r>
      <w:r w:rsidR="00A831AE">
        <w:rPr>
          <w:rFonts w:ascii="Verdana" w:hAnsi="Verdana"/>
          <w:sz w:val="20"/>
          <w:szCs w:val="20"/>
        </w:rPr>
        <w:t xml:space="preserve">alegato relativo al </w:t>
      </w:r>
      <w:r w:rsidRPr="0029064A">
        <w:rPr>
          <w:rFonts w:ascii="Verdana" w:hAnsi="Verdana"/>
          <w:sz w:val="20"/>
          <w:szCs w:val="20"/>
        </w:rPr>
        <w:t xml:space="preserve">artículo </w:t>
      </w:r>
      <w:r w:rsidRPr="008B79BA">
        <w:rPr>
          <w:rFonts w:ascii="Verdana" w:hAnsi="Verdana"/>
          <w:sz w:val="20"/>
          <w:szCs w:val="20"/>
        </w:rPr>
        <w:t>7 de la Convención, ya que la Comisión consideró que en l</w:t>
      </w:r>
      <w:r w:rsidRPr="00C9212E">
        <w:rPr>
          <w:rFonts w:ascii="Verdana" w:hAnsi="Verdana"/>
          <w:sz w:val="20"/>
          <w:szCs w:val="20"/>
        </w:rPr>
        <w:t>a petición presentada no existían elementos que indicaran la potencial vulneración de dicho artículo</w:t>
      </w:r>
      <w:r w:rsidRPr="00C66661">
        <w:rPr>
          <w:rFonts w:ascii="Verdana" w:hAnsi="Verdana"/>
          <w:sz w:val="20"/>
          <w:szCs w:val="20"/>
        </w:rPr>
        <w:t xml:space="preserve">. </w:t>
      </w:r>
      <w:r>
        <w:rPr>
          <w:rFonts w:ascii="Verdana" w:hAnsi="Verdana"/>
          <w:sz w:val="20"/>
          <w:szCs w:val="20"/>
        </w:rPr>
        <w:t xml:space="preserve">En vista de ello, se trata por tanto de </w:t>
      </w:r>
      <w:r w:rsidRPr="00C66661">
        <w:rPr>
          <w:rFonts w:ascii="Verdana" w:hAnsi="Verdana"/>
          <w:sz w:val="20"/>
          <w:szCs w:val="20"/>
        </w:rPr>
        <w:t xml:space="preserve">una </w:t>
      </w:r>
      <w:r>
        <w:rPr>
          <w:rFonts w:ascii="Verdana" w:hAnsi="Verdana"/>
          <w:sz w:val="20"/>
          <w:szCs w:val="20"/>
        </w:rPr>
        <w:t>valoración</w:t>
      </w:r>
      <w:r w:rsidRPr="00C66661">
        <w:rPr>
          <w:rFonts w:ascii="Verdana" w:hAnsi="Verdana"/>
          <w:sz w:val="20"/>
          <w:szCs w:val="20"/>
        </w:rPr>
        <w:t xml:space="preserve"> jurídica</w:t>
      </w:r>
      <w:r w:rsidRPr="00C66661">
        <w:rPr>
          <w:rFonts w:ascii="Verdana" w:hAnsi="Verdana"/>
          <w:i/>
          <w:sz w:val="20"/>
          <w:szCs w:val="20"/>
        </w:rPr>
        <w:t xml:space="preserve"> prima facie </w:t>
      </w:r>
      <w:r w:rsidRPr="005D20D8">
        <w:rPr>
          <w:rFonts w:ascii="Verdana" w:hAnsi="Verdana"/>
          <w:sz w:val="20"/>
          <w:szCs w:val="20"/>
        </w:rPr>
        <w:t>realizada por la Comisión</w:t>
      </w:r>
      <w:r>
        <w:rPr>
          <w:rFonts w:ascii="Verdana" w:hAnsi="Verdana"/>
          <w:sz w:val="20"/>
          <w:szCs w:val="20"/>
        </w:rPr>
        <w:t xml:space="preserve">. </w:t>
      </w:r>
    </w:p>
    <w:p w14:paraId="6D172BB7" w14:textId="77777777" w:rsidR="0006169A" w:rsidRDefault="0006169A" w:rsidP="006231F4">
      <w:pPr>
        <w:pStyle w:val="ListParagraph"/>
        <w:ind w:left="0"/>
        <w:jc w:val="both"/>
        <w:rPr>
          <w:rFonts w:ascii="Verdana" w:hAnsi="Verdana"/>
          <w:b/>
          <w:sz w:val="20"/>
          <w:szCs w:val="20"/>
        </w:rPr>
      </w:pPr>
    </w:p>
    <w:p w14:paraId="6D172BB8" w14:textId="0901E07E" w:rsidR="002B338F" w:rsidRPr="00C41D9B" w:rsidRDefault="009B4F50" w:rsidP="00B446C7">
      <w:pPr>
        <w:pStyle w:val="ListParagraph"/>
        <w:numPr>
          <w:ilvl w:val="0"/>
          <w:numId w:val="2"/>
        </w:numPr>
        <w:ind w:left="0" w:firstLine="0"/>
        <w:jc w:val="both"/>
        <w:rPr>
          <w:rFonts w:ascii="Verdana" w:hAnsi="Verdana"/>
          <w:sz w:val="20"/>
          <w:szCs w:val="20"/>
        </w:rPr>
      </w:pPr>
      <w:r>
        <w:rPr>
          <w:rFonts w:ascii="Verdana" w:hAnsi="Verdana"/>
          <w:sz w:val="20"/>
          <w:szCs w:val="20"/>
        </w:rPr>
        <w:t>No obstante, e</w:t>
      </w:r>
      <w:r w:rsidR="0006169A" w:rsidRPr="000A0953">
        <w:rPr>
          <w:rFonts w:ascii="Verdana" w:hAnsi="Verdana"/>
          <w:sz w:val="20"/>
          <w:szCs w:val="20"/>
        </w:rPr>
        <w:t>n el presente caso</w:t>
      </w:r>
      <w:r w:rsidR="00686E7E" w:rsidRPr="000A0953">
        <w:rPr>
          <w:rFonts w:ascii="Verdana" w:hAnsi="Verdana"/>
          <w:sz w:val="20"/>
          <w:szCs w:val="20"/>
        </w:rPr>
        <w:t>,</w:t>
      </w:r>
      <w:r w:rsidR="0006169A" w:rsidRPr="000A0953">
        <w:rPr>
          <w:rFonts w:ascii="Verdana" w:hAnsi="Verdana"/>
          <w:sz w:val="20"/>
          <w:szCs w:val="20"/>
        </w:rPr>
        <w:t xml:space="preserve"> </w:t>
      </w:r>
      <w:r w:rsidR="002B338F" w:rsidRPr="000A0953">
        <w:rPr>
          <w:rFonts w:ascii="Verdana" w:hAnsi="Verdana"/>
          <w:sz w:val="20"/>
          <w:szCs w:val="20"/>
        </w:rPr>
        <w:t xml:space="preserve">la Corte verificó que </w:t>
      </w:r>
      <w:r w:rsidR="008D2F28" w:rsidRPr="000A0953">
        <w:rPr>
          <w:rFonts w:ascii="Verdana" w:hAnsi="Verdana"/>
          <w:sz w:val="20"/>
          <w:szCs w:val="20"/>
        </w:rPr>
        <w:t>la presunta víctima, luego de</w:t>
      </w:r>
      <w:r w:rsidR="00B52E68" w:rsidRPr="000A0953">
        <w:rPr>
          <w:rFonts w:ascii="Verdana" w:hAnsi="Verdana"/>
          <w:sz w:val="20"/>
          <w:szCs w:val="20"/>
        </w:rPr>
        <w:t>l otorgamiento de</w:t>
      </w:r>
      <w:r w:rsidR="008D2F28" w:rsidRPr="000A0953">
        <w:rPr>
          <w:rFonts w:ascii="Verdana" w:hAnsi="Verdana"/>
          <w:sz w:val="20"/>
          <w:szCs w:val="20"/>
        </w:rPr>
        <w:t xml:space="preserve"> su libertad provisional, </w:t>
      </w:r>
      <w:r w:rsidR="009F693E" w:rsidRPr="000A0953">
        <w:rPr>
          <w:rFonts w:ascii="Verdana" w:hAnsi="Verdana"/>
          <w:sz w:val="20"/>
          <w:szCs w:val="20"/>
        </w:rPr>
        <w:t xml:space="preserve">y antes de presentar su petición ante la Comisión, </w:t>
      </w:r>
      <w:r w:rsidR="008D2F28" w:rsidRPr="000A0953">
        <w:rPr>
          <w:rFonts w:ascii="Verdana" w:hAnsi="Verdana"/>
          <w:sz w:val="20"/>
          <w:szCs w:val="20"/>
        </w:rPr>
        <w:t xml:space="preserve">no </w:t>
      </w:r>
      <w:r w:rsidR="00B52E68" w:rsidRPr="000A0953">
        <w:rPr>
          <w:rFonts w:ascii="Verdana" w:hAnsi="Verdana"/>
          <w:sz w:val="20"/>
          <w:szCs w:val="20"/>
        </w:rPr>
        <w:t xml:space="preserve">interpuso ningún recurso </w:t>
      </w:r>
      <w:r w:rsidR="00993107" w:rsidRPr="000A0953">
        <w:rPr>
          <w:rFonts w:ascii="Verdana" w:hAnsi="Verdana"/>
          <w:sz w:val="20"/>
          <w:szCs w:val="20"/>
        </w:rPr>
        <w:t>interno</w:t>
      </w:r>
      <w:r w:rsidR="008D2F28" w:rsidRPr="000A0953">
        <w:rPr>
          <w:rFonts w:ascii="Verdana" w:hAnsi="Verdana"/>
          <w:sz w:val="20"/>
          <w:szCs w:val="20"/>
        </w:rPr>
        <w:t xml:space="preserve"> para hacer </w:t>
      </w:r>
      <w:r w:rsidR="008D2F28" w:rsidRPr="000A0953">
        <w:rPr>
          <w:rFonts w:ascii="Verdana" w:hAnsi="Verdana"/>
          <w:sz w:val="20"/>
        </w:rPr>
        <w:t>valer una eventual reparación</w:t>
      </w:r>
      <w:r w:rsidR="00D75BB9" w:rsidRPr="000A0953">
        <w:rPr>
          <w:rStyle w:val="FootnoteReference"/>
        </w:rPr>
        <w:footnoteReference w:id="27"/>
      </w:r>
      <w:r w:rsidR="008D2F28" w:rsidRPr="000A0953">
        <w:rPr>
          <w:rFonts w:ascii="Verdana" w:hAnsi="Verdana"/>
          <w:sz w:val="20"/>
        </w:rPr>
        <w:t xml:space="preserve">. </w:t>
      </w:r>
      <w:r w:rsidR="00D75BB9" w:rsidRPr="000A0953">
        <w:rPr>
          <w:rFonts w:ascii="Verdana" w:hAnsi="Verdana"/>
          <w:sz w:val="20"/>
          <w:szCs w:val="20"/>
        </w:rPr>
        <w:t>Ante tal situación</w:t>
      </w:r>
      <w:r w:rsidR="008D2F28" w:rsidRPr="000A0953">
        <w:rPr>
          <w:rFonts w:ascii="Verdana" w:hAnsi="Verdana"/>
          <w:sz w:val="20"/>
          <w:szCs w:val="20"/>
        </w:rPr>
        <w:t xml:space="preserve">, </w:t>
      </w:r>
      <w:r w:rsidR="00D75BB9" w:rsidRPr="000A0953">
        <w:rPr>
          <w:rFonts w:ascii="Verdana" w:hAnsi="Verdana"/>
          <w:sz w:val="20"/>
          <w:szCs w:val="20"/>
        </w:rPr>
        <w:t xml:space="preserve">la cual fue verificada por la Comisión e </w:t>
      </w:r>
      <w:r w:rsidR="00FC3797" w:rsidRPr="000A0953">
        <w:rPr>
          <w:rFonts w:ascii="Verdana" w:hAnsi="Verdana"/>
          <w:sz w:val="20"/>
          <w:szCs w:val="20"/>
        </w:rPr>
        <w:t xml:space="preserve">inclusive </w:t>
      </w:r>
      <w:r w:rsidR="00D75BB9" w:rsidRPr="000A0953">
        <w:rPr>
          <w:rFonts w:ascii="Verdana" w:hAnsi="Verdana"/>
          <w:sz w:val="20"/>
          <w:szCs w:val="20"/>
        </w:rPr>
        <w:t xml:space="preserve">reiterado </w:t>
      </w:r>
      <w:r w:rsidR="00FC3797" w:rsidRPr="000A0953">
        <w:rPr>
          <w:rFonts w:ascii="Verdana" w:hAnsi="Verdana"/>
          <w:sz w:val="20"/>
          <w:szCs w:val="20"/>
        </w:rPr>
        <w:t>en las observaciones a las objeciones del Estad</w:t>
      </w:r>
      <w:r w:rsidR="00BD0D97">
        <w:rPr>
          <w:rFonts w:ascii="Verdana" w:hAnsi="Verdana"/>
          <w:sz w:val="20"/>
          <w:szCs w:val="20"/>
        </w:rPr>
        <w:t>o</w:t>
      </w:r>
      <w:r w:rsidR="00FC3797" w:rsidRPr="000A0953">
        <w:rPr>
          <w:rFonts w:ascii="Verdana" w:hAnsi="Verdana"/>
          <w:sz w:val="20"/>
          <w:szCs w:val="20"/>
        </w:rPr>
        <w:t xml:space="preserve">, </w:t>
      </w:r>
      <w:r w:rsidR="008D2F28" w:rsidRPr="000A0953">
        <w:rPr>
          <w:rFonts w:ascii="Verdana" w:hAnsi="Verdana"/>
          <w:sz w:val="20"/>
          <w:szCs w:val="20"/>
        </w:rPr>
        <w:t xml:space="preserve">los representantes no señalaron que el señor Zegarra hubiera estado impedido de acceder a un recurso para tal efecto o la </w:t>
      </w:r>
      <w:r w:rsidR="009F693E" w:rsidRPr="000A0953">
        <w:rPr>
          <w:rFonts w:ascii="Verdana" w:hAnsi="Verdana"/>
          <w:sz w:val="20"/>
          <w:szCs w:val="20"/>
        </w:rPr>
        <w:t>in</w:t>
      </w:r>
      <w:r w:rsidR="008D2F28" w:rsidRPr="000A0953">
        <w:rPr>
          <w:rFonts w:ascii="Verdana" w:hAnsi="Verdana"/>
          <w:sz w:val="20"/>
          <w:szCs w:val="20"/>
        </w:rPr>
        <w:t xml:space="preserve">existencia del mismo. </w:t>
      </w:r>
    </w:p>
    <w:p w14:paraId="6D172BB9" w14:textId="77777777" w:rsidR="00FB723A" w:rsidRPr="003F1BE4" w:rsidRDefault="00FB723A" w:rsidP="00FB723A">
      <w:pPr>
        <w:rPr>
          <w:rFonts w:ascii="Verdana" w:hAnsi="Verdana"/>
          <w:sz w:val="20"/>
          <w:szCs w:val="20"/>
        </w:rPr>
      </w:pPr>
    </w:p>
    <w:p w14:paraId="6D172BBA" w14:textId="77777777" w:rsidR="00FB723A" w:rsidRPr="009C7422" w:rsidRDefault="00FB723A" w:rsidP="00FB723A">
      <w:pPr>
        <w:pStyle w:val="ListParagraph"/>
        <w:numPr>
          <w:ilvl w:val="0"/>
          <w:numId w:val="2"/>
        </w:numPr>
        <w:ind w:left="0" w:firstLine="0"/>
        <w:jc w:val="both"/>
        <w:rPr>
          <w:rFonts w:ascii="Verdana" w:hAnsi="Verdana"/>
          <w:sz w:val="20"/>
          <w:szCs w:val="20"/>
        </w:rPr>
      </w:pPr>
      <w:r w:rsidRPr="002765D2">
        <w:rPr>
          <w:rFonts w:ascii="Verdana" w:hAnsi="Verdana"/>
          <w:sz w:val="20"/>
          <w:szCs w:val="20"/>
        </w:rPr>
        <w:t xml:space="preserve">Por lo anterior, </w:t>
      </w:r>
      <w:r w:rsidR="008714BD" w:rsidRPr="00330BF4">
        <w:rPr>
          <w:rFonts w:ascii="Verdana" w:hAnsi="Verdana"/>
          <w:sz w:val="20"/>
          <w:szCs w:val="20"/>
        </w:rPr>
        <w:t xml:space="preserve">la </w:t>
      </w:r>
      <w:r w:rsidR="008714BD" w:rsidRPr="00C41D9B">
        <w:rPr>
          <w:rFonts w:ascii="Verdana" w:hAnsi="Verdana"/>
          <w:sz w:val="20"/>
          <w:szCs w:val="20"/>
        </w:rPr>
        <w:t xml:space="preserve">Corte </w:t>
      </w:r>
      <w:r w:rsidR="008D2F28" w:rsidRPr="000A0953">
        <w:rPr>
          <w:rFonts w:ascii="Verdana" w:hAnsi="Verdana"/>
          <w:sz w:val="20"/>
          <w:szCs w:val="20"/>
        </w:rPr>
        <w:t>admite la objeción</w:t>
      </w:r>
      <w:r w:rsidRPr="00C41D9B">
        <w:rPr>
          <w:rFonts w:ascii="Verdana" w:hAnsi="Verdana"/>
          <w:sz w:val="20"/>
          <w:szCs w:val="20"/>
        </w:rPr>
        <w:t xml:space="preserve"> planteada y </w:t>
      </w:r>
      <w:r w:rsidR="008D2F28" w:rsidRPr="000A0953">
        <w:rPr>
          <w:rFonts w:ascii="Verdana" w:hAnsi="Verdana"/>
          <w:sz w:val="20"/>
          <w:szCs w:val="20"/>
        </w:rPr>
        <w:t xml:space="preserve">por ende no se pronunciará en el fondo respecto de </w:t>
      </w:r>
      <w:r w:rsidRPr="000A0953">
        <w:rPr>
          <w:rFonts w:ascii="Verdana" w:hAnsi="Verdana"/>
          <w:sz w:val="20"/>
        </w:rPr>
        <w:t xml:space="preserve">los alegatos de los representantes </w:t>
      </w:r>
      <w:r w:rsidR="008D2F28" w:rsidRPr="000A0953">
        <w:rPr>
          <w:rFonts w:ascii="Verdana" w:hAnsi="Verdana" w:cs="Arial"/>
          <w:sz w:val="20"/>
          <w:szCs w:val="20"/>
          <w:lang w:val="es-CR"/>
        </w:rPr>
        <w:t xml:space="preserve">en relación con </w:t>
      </w:r>
      <w:r w:rsidR="008D2F28" w:rsidRPr="000A0953">
        <w:rPr>
          <w:rFonts w:ascii="Verdana" w:hAnsi="Verdana"/>
          <w:sz w:val="20"/>
          <w:szCs w:val="20"/>
        </w:rPr>
        <w:t>e</w:t>
      </w:r>
      <w:r w:rsidRPr="00C41D9B">
        <w:rPr>
          <w:rFonts w:ascii="Verdana" w:hAnsi="Verdana"/>
          <w:sz w:val="20"/>
          <w:szCs w:val="20"/>
        </w:rPr>
        <w:t>l</w:t>
      </w:r>
      <w:r w:rsidRPr="005673EE">
        <w:rPr>
          <w:rFonts w:ascii="Verdana" w:hAnsi="Verdana"/>
          <w:sz w:val="20"/>
          <w:szCs w:val="20"/>
        </w:rPr>
        <w:t xml:space="preserve"> derecho a la libertad personal.</w:t>
      </w:r>
    </w:p>
    <w:p w14:paraId="6D172BBB" w14:textId="77777777" w:rsidR="00FB723A" w:rsidRPr="00981EBD" w:rsidRDefault="00FB723A" w:rsidP="00FB723A">
      <w:pPr>
        <w:pStyle w:val="ListParagraph"/>
        <w:ind w:left="0"/>
        <w:jc w:val="both"/>
        <w:rPr>
          <w:rFonts w:ascii="Verdana" w:hAnsi="Verdana"/>
          <w:sz w:val="20"/>
          <w:szCs w:val="20"/>
        </w:rPr>
      </w:pPr>
    </w:p>
    <w:p w14:paraId="6D172BBC" w14:textId="77777777" w:rsidR="00FB723A" w:rsidRDefault="00FB723A" w:rsidP="00D83DC8">
      <w:pPr>
        <w:pStyle w:val="Heading2"/>
        <w:numPr>
          <w:ilvl w:val="0"/>
          <w:numId w:val="15"/>
        </w:numPr>
        <w:spacing w:before="0"/>
        <w:jc w:val="both"/>
        <w:rPr>
          <w:rFonts w:ascii="Verdana" w:hAnsi="Verdana"/>
          <w:i/>
          <w:color w:val="auto"/>
          <w:sz w:val="20"/>
          <w:szCs w:val="20"/>
          <w:lang w:val="es-MX"/>
        </w:rPr>
      </w:pPr>
      <w:bookmarkStart w:id="20" w:name="_Toc482093029"/>
      <w:r w:rsidRPr="00C9212E">
        <w:rPr>
          <w:rFonts w:ascii="Verdana" w:hAnsi="Verdana"/>
          <w:i/>
          <w:color w:val="auto"/>
          <w:sz w:val="20"/>
          <w:szCs w:val="20"/>
          <w:lang w:val="es-MX"/>
        </w:rPr>
        <w:lastRenderedPageBreak/>
        <w:t>Admisibilidad de los hechos relacionados con el pase a retiro</w:t>
      </w:r>
      <w:r w:rsidR="000E5422">
        <w:rPr>
          <w:rFonts w:ascii="Verdana" w:hAnsi="Verdana"/>
          <w:i/>
          <w:color w:val="auto"/>
          <w:sz w:val="20"/>
          <w:szCs w:val="20"/>
          <w:lang w:val="es-MX"/>
        </w:rPr>
        <w:t>, cuadro de mérito</w:t>
      </w:r>
      <w:r w:rsidRPr="00C9212E">
        <w:rPr>
          <w:rFonts w:ascii="Verdana" w:hAnsi="Verdana"/>
          <w:i/>
          <w:color w:val="auto"/>
          <w:sz w:val="20"/>
          <w:szCs w:val="20"/>
          <w:lang w:val="es-MX"/>
        </w:rPr>
        <w:t xml:space="preserve"> </w:t>
      </w:r>
      <w:r>
        <w:rPr>
          <w:rFonts w:ascii="Verdana" w:hAnsi="Verdana"/>
          <w:i/>
          <w:color w:val="auto"/>
          <w:sz w:val="20"/>
          <w:szCs w:val="20"/>
          <w:lang w:val="es-MX"/>
        </w:rPr>
        <w:t>y su agotamiento interno</w:t>
      </w:r>
      <w:bookmarkEnd w:id="20"/>
    </w:p>
    <w:p w14:paraId="6D172BBD" w14:textId="77777777" w:rsidR="00FB723A" w:rsidRPr="00C9212E" w:rsidRDefault="00FB723A" w:rsidP="00FB723A">
      <w:pPr>
        <w:pStyle w:val="Heading2"/>
        <w:spacing w:before="0"/>
        <w:ind w:left="360"/>
        <w:jc w:val="both"/>
        <w:rPr>
          <w:rFonts w:ascii="Verdana" w:hAnsi="Verdana"/>
          <w:i/>
          <w:color w:val="auto"/>
          <w:sz w:val="20"/>
          <w:szCs w:val="20"/>
          <w:lang w:val="es-MX"/>
        </w:rPr>
      </w:pPr>
    </w:p>
    <w:p w14:paraId="6D172BBE" w14:textId="77777777" w:rsidR="00FB723A" w:rsidRPr="00E114CC" w:rsidRDefault="00FB723A" w:rsidP="006231F4">
      <w:pPr>
        <w:pStyle w:val="Heading3"/>
        <w:numPr>
          <w:ilvl w:val="0"/>
          <w:numId w:val="22"/>
        </w:numPr>
        <w:spacing w:before="0"/>
        <w:jc w:val="both"/>
        <w:rPr>
          <w:rFonts w:ascii="Verdana" w:hAnsi="Verdana"/>
          <w:i/>
          <w:color w:val="auto"/>
          <w:sz w:val="20"/>
          <w:szCs w:val="20"/>
          <w:lang w:val="es-MX"/>
        </w:rPr>
      </w:pPr>
      <w:r w:rsidRPr="00E114CC">
        <w:rPr>
          <w:rFonts w:ascii="Verdana" w:hAnsi="Verdana"/>
          <w:i/>
          <w:color w:val="auto"/>
          <w:sz w:val="20"/>
          <w:szCs w:val="20"/>
          <w:lang w:val="es-MX"/>
        </w:rPr>
        <w:t xml:space="preserve"> </w:t>
      </w:r>
      <w:bookmarkStart w:id="21" w:name="_Toc482093030"/>
      <w:r w:rsidRPr="00E114CC">
        <w:rPr>
          <w:rFonts w:ascii="Verdana" w:hAnsi="Verdana"/>
          <w:i/>
          <w:color w:val="auto"/>
          <w:sz w:val="20"/>
          <w:szCs w:val="20"/>
          <w:lang w:val="es-MX"/>
        </w:rPr>
        <w:t>Argumentos de las partes y de la Comisión</w:t>
      </w:r>
      <w:bookmarkEnd w:id="21"/>
    </w:p>
    <w:p w14:paraId="6D172BBF" w14:textId="77777777" w:rsidR="00FB723A" w:rsidRDefault="00FB723A" w:rsidP="00FB723A">
      <w:pPr>
        <w:rPr>
          <w:rFonts w:ascii="Verdana" w:hAnsi="Verdana"/>
          <w:sz w:val="20"/>
          <w:szCs w:val="20"/>
          <w:lang w:val="es-MX"/>
        </w:rPr>
      </w:pPr>
    </w:p>
    <w:p w14:paraId="6D172BC0" w14:textId="3C554C18" w:rsidR="00FB723A" w:rsidRDefault="00FB723A" w:rsidP="00FB723A">
      <w:pPr>
        <w:pStyle w:val="ListParagraph"/>
        <w:numPr>
          <w:ilvl w:val="0"/>
          <w:numId w:val="2"/>
        </w:numPr>
        <w:ind w:left="0" w:firstLine="0"/>
        <w:jc w:val="both"/>
        <w:rPr>
          <w:rFonts w:ascii="Verdana" w:hAnsi="Verdana"/>
          <w:b/>
          <w:sz w:val="20"/>
          <w:szCs w:val="20"/>
          <w:lang w:val="es-ES"/>
        </w:rPr>
      </w:pPr>
      <w:r>
        <w:rPr>
          <w:rFonts w:ascii="Verdana" w:hAnsi="Verdana"/>
          <w:sz w:val="20"/>
          <w:szCs w:val="20"/>
          <w:lang w:val="es-ES"/>
        </w:rPr>
        <w:t xml:space="preserve">El </w:t>
      </w:r>
      <w:r w:rsidRPr="00717BC6">
        <w:rPr>
          <w:rFonts w:ascii="Verdana" w:hAnsi="Verdana"/>
          <w:b/>
          <w:i/>
          <w:sz w:val="20"/>
          <w:szCs w:val="20"/>
          <w:lang w:val="es-ES"/>
        </w:rPr>
        <w:t>Estado</w:t>
      </w:r>
      <w:r>
        <w:rPr>
          <w:rFonts w:ascii="Verdana" w:hAnsi="Verdana"/>
          <w:sz w:val="20"/>
          <w:szCs w:val="20"/>
          <w:lang w:val="es-ES"/>
        </w:rPr>
        <w:t xml:space="preserve">, al igual que en el apartado anterior, argumentó </w:t>
      </w:r>
      <w:r w:rsidRPr="00844E7B">
        <w:rPr>
          <w:rFonts w:ascii="Verdana" w:hAnsi="Verdana"/>
          <w:sz w:val="20"/>
          <w:szCs w:val="20"/>
          <w:lang w:val="es-ES"/>
        </w:rPr>
        <w:t>que resulta</w:t>
      </w:r>
      <w:r>
        <w:rPr>
          <w:rFonts w:ascii="Verdana" w:hAnsi="Verdana"/>
          <w:sz w:val="20"/>
          <w:szCs w:val="20"/>
          <w:lang w:val="es-ES"/>
        </w:rPr>
        <w:t>ba</w:t>
      </w:r>
      <w:r w:rsidRPr="00844E7B">
        <w:rPr>
          <w:rFonts w:ascii="Verdana" w:hAnsi="Verdana"/>
          <w:sz w:val="20"/>
          <w:szCs w:val="20"/>
          <w:lang w:val="es-ES"/>
        </w:rPr>
        <w:t xml:space="preserve"> pertinente delimitar la controversia del presente caso a partir de lo resuelto por la Comisión en su Informe de Admisibilidad.</w:t>
      </w:r>
      <w:r>
        <w:rPr>
          <w:rFonts w:ascii="Verdana" w:hAnsi="Verdana"/>
          <w:sz w:val="20"/>
          <w:szCs w:val="20"/>
          <w:lang w:val="es-ES"/>
        </w:rPr>
        <w:t xml:space="preserve"> En este sentido, recordó que</w:t>
      </w:r>
      <w:r w:rsidRPr="00844E7B">
        <w:rPr>
          <w:rFonts w:ascii="Verdana" w:hAnsi="Verdana"/>
          <w:sz w:val="20"/>
          <w:szCs w:val="20"/>
          <w:lang w:val="es-ES"/>
        </w:rPr>
        <w:t xml:space="preserve"> la Comisión consideró que la presunta víctima agotó indebidamente los recursos internos respecto del pase a retiro por renovación, con motivo de la presentación extemporánea del recurso de reconsideración. En consecuencia, el Estado consideró que la controversia del presente caso </w:t>
      </w:r>
      <w:r>
        <w:rPr>
          <w:rFonts w:ascii="Verdana" w:hAnsi="Verdana"/>
          <w:sz w:val="20"/>
          <w:szCs w:val="20"/>
          <w:lang w:val="es-ES"/>
        </w:rPr>
        <w:t>debía</w:t>
      </w:r>
      <w:r w:rsidRPr="00844E7B">
        <w:rPr>
          <w:rFonts w:ascii="Verdana" w:hAnsi="Verdana"/>
          <w:sz w:val="20"/>
          <w:szCs w:val="20"/>
          <w:lang w:val="es-ES"/>
        </w:rPr>
        <w:t xml:space="preserve"> restringirse a la presunta inversión de la carga de la prueba sobre la culpabilidad y consecuente condena del señor Zegarra Marín.</w:t>
      </w:r>
    </w:p>
    <w:p w14:paraId="6D172BC1" w14:textId="77777777" w:rsidR="00FB723A" w:rsidRDefault="00FB723A" w:rsidP="00FB723A">
      <w:pPr>
        <w:rPr>
          <w:rFonts w:ascii="Verdana" w:hAnsi="Verdana"/>
          <w:sz w:val="20"/>
          <w:szCs w:val="20"/>
          <w:lang w:val="es-MX"/>
        </w:rPr>
      </w:pPr>
    </w:p>
    <w:p w14:paraId="6D172BC2" w14:textId="396CAA60" w:rsidR="00FB723A" w:rsidRPr="00844E7B" w:rsidRDefault="00FB723A" w:rsidP="00FB723A">
      <w:pPr>
        <w:pStyle w:val="ListParagraph"/>
        <w:numPr>
          <w:ilvl w:val="0"/>
          <w:numId w:val="2"/>
        </w:numPr>
        <w:ind w:left="0" w:firstLine="0"/>
        <w:jc w:val="both"/>
        <w:rPr>
          <w:rFonts w:ascii="Verdana" w:hAnsi="Verdana"/>
          <w:b/>
          <w:sz w:val="20"/>
          <w:szCs w:val="20"/>
          <w:lang w:val="es-ES"/>
        </w:rPr>
      </w:pPr>
      <w:r>
        <w:rPr>
          <w:rFonts w:ascii="Verdana" w:hAnsi="Verdana"/>
          <w:sz w:val="20"/>
          <w:szCs w:val="20"/>
          <w:lang w:val="es-CR"/>
        </w:rPr>
        <w:t xml:space="preserve">La </w:t>
      </w:r>
      <w:r w:rsidRPr="00717BC6">
        <w:rPr>
          <w:rFonts w:ascii="Verdana" w:hAnsi="Verdana"/>
          <w:b/>
          <w:i/>
          <w:sz w:val="20"/>
          <w:szCs w:val="20"/>
          <w:lang w:val="es-CR"/>
        </w:rPr>
        <w:t>Comisión</w:t>
      </w:r>
      <w:r>
        <w:rPr>
          <w:rFonts w:ascii="Verdana" w:hAnsi="Verdana"/>
          <w:sz w:val="20"/>
          <w:szCs w:val="20"/>
          <w:lang w:val="es-CR"/>
        </w:rPr>
        <w:t xml:space="preserve"> señaló que </w:t>
      </w:r>
      <w:r w:rsidRPr="00844E7B">
        <w:rPr>
          <w:rFonts w:ascii="Verdana" w:hAnsi="Verdana"/>
          <w:sz w:val="20"/>
          <w:szCs w:val="20"/>
          <w:lang w:val="es-CR"/>
        </w:rPr>
        <w:t>el pase a retiro fue declarado inadmisible por agotamiento indebido, ya que la información indicaba que los recursos internos fueron presentados extemporáneamente. En ese sentido,</w:t>
      </w:r>
      <w:r w:rsidR="00BE5365">
        <w:rPr>
          <w:rFonts w:ascii="Verdana" w:hAnsi="Verdana"/>
          <w:sz w:val="20"/>
          <w:szCs w:val="20"/>
          <w:lang w:val="es-CR"/>
        </w:rPr>
        <w:t xml:space="preserve"> durante</w:t>
      </w:r>
      <w:r w:rsidRPr="00844E7B">
        <w:rPr>
          <w:rFonts w:ascii="Verdana" w:hAnsi="Verdana"/>
          <w:sz w:val="20"/>
          <w:szCs w:val="20"/>
          <w:lang w:val="es-CR"/>
        </w:rPr>
        <w:t xml:space="preserve"> la etapa de fondo la Comisión se pronunció únicamente sobre las alegadas violaciones al debido proceso en el marco del proceso penal y condena</w:t>
      </w:r>
      <w:r w:rsidR="00C41D9B" w:rsidRPr="000A0953">
        <w:rPr>
          <w:rFonts w:ascii="Verdana" w:hAnsi="Verdana"/>
          <w:sz w:val="20"/>
          <w:szCs w:val="20"/>
          <w:lang w:val="es-CR"/>
        </w:rPr>
        <w:t>.</w:t>
      </w:r>
    </w:p>
    <w:p w14:paraId="6D172BC3" w14:textId="77777777" w:rsidR="00FB723A" w:rsidRDefault="00FB723A" w:rsidP="00FB723A">
      <w:pPr>
        <w:rPr>
          <w:rFonts w:ascii="Verdana" w:hAnsi="Verdana"/>
          <w:sz w:val="20"/>
          <w:szCs w:val="20"/>
          <w:lang w:val="es-MX"/>
        </w:rPr>
      </w:pPr>
    </w:p>
    <w:p w14:paraId="6D172BC4" w14:textId="2421CBA8" w:rsidR="00FB723A" w:rsidRPr="00C9212E" w:rsidRDefault="00FB723A" w:rsidP="00FB723A">
      <w:pPr>
        <w:pStyle w:val="ListParagraph"/>
        <w:numPr>
          <w:ilvl w:val="0"/>
          <w:numId w:val="2"/>
        </w:numPr>
        <w:ind w:left="0" w:firstLine="0"/>
        <w:jc w:val="both"/>
        <w:rPr>
          <w:rFonts w:ascii="Verdana" w:hAnsi="Verdana"/>
          <w:sz w:val="20"/>
          <w:szCs w:val="20"/>
          <w:lang w:val="es-ES"/>
        </w:rPr>
      </w:pPr>
      <w:r w:rsidRPr="00C9212E">
        <w:rPr>
          <w:rFonts w:ascii="Verdana" w:hAnsi="Verdana"/>
          <w:sz w:val="20"/>
          <w:szCs w:val="20"/>
          <w:lang w:val="es-ES"/>
        </w:rPr>
        <w:t xml:space="preserve">Los </w:t>
      </w:r>
      <w:r w:rsidRPr="00A232F9">
        <w:rPr>
          <w:rFonts w:ascii="Verdana" w:hAnsi="Verdana"/>
          <w:b/>
          <w:i/>
          <w:sz w:val="20"/>
          <w:szCs w:val="20"/>
          <w:lang w:val="es-ES"/>
        </w:rPr>
        <w:t>representan</w:t>
      </w:r>
      <w:r w:rsidRPr="008A301C">
        <w:rPr>
          <w:rFonts w:ascii="Verdana" w:hAnsi="Verdana"/>
          <w:b/>
          <w:i/>
          <w:sz w:val="20"/>
          <w:szCs w:val="20"/>
          <w:lang w:val="es-ES"/>
        </w:rPr>
        <w:t>tes</w:t>
      </w:r>
      <w:r w:rsidRPr="008A301C">
        <w:rPr>
          <w:rFonts w:ascii="Verdana" w:hAnsi="Verdana"/>
          <w:sz w:val="20"/>
          <w:szCs w:val="20"/>
          <w:lang w:val="es-ES"/>
        </w:rPr>
        <w:t xml:space="preserve"> plantearon este tema como una consecuencia en reparaciones. No obstante, no se refirieron de forma específica a la objeción interpuesta por el Estado.</w:t>
      </w:r>
      <w:r>
        <w:rPr>
          <w:rFonts w:ascii="Verdana" w:hAnsi="Verdana"/>
          <w:sz w:val="20"/>
          <w:szCs w:val="20"/>
          <w:lang w:val="es-ES"/>
        </w:rPr>
        <w:t xml:space="preserve"> </w:t>
      </w:r>
    </w:p>
    <w:p w14:paraId="6D172BC5" w14:textId="77777777" w:rsidR="00FB723A" w:rsidRPr="000A0953" w:rsidRDefault="00FB723A" w:rsidP="00FB723A">
      <w:pPr>
        <w:pStyle w:val="Heading3"/>
        <w:spacing w:before="0"/>
        <w:ind w:firstLine="708"/>
        <w:jc w:val="both"/>
        <w:rPr>
          <w:rFonts w:ascii="Verdana" w:hAnsi="Verdana"/>
          <w:b w:val="0"/>
          <w:i/>
          <w:color w:val="auto"/>
          <w:sz w:val="20"/>
          <w:szCs w:val="20"/>
          <w:lang w:val="es-MX"/>
        </w:rPr>
      </w:pPr>
    </w:p>
    <w:p w14:paraId="6D172BC6" w14:textId="77777777" w:rsidR="00FB723A" w:rsidRPr="00E114CC" w:rsidRDefault="00FB723A" w:rsidP="006231F4">
      <w:pPr>
        <w:pStyle w:val="Heading3"/>
        <w:numPr>
          <w:ilvl w:val="0"/>
          <w:numId w:val="22"/>
        </w:numPr>
        <w:spacing w:before="0"/>
        <w:jc w:val="both"/>
        <w:rPr>
          <w:rFonts w:ascii="Verdana" w:hAnsi="Verdana"/>
          <w:i/>
          <w:color w:val="auto"/>
          <w:sz w:val="20"/>
          <w:szCs w:val="20"/>
          <w:lang w:val="es-MX"/>
        </w:rPr>
      </w:pPr>
      <w:r w:rsidRPr="00E114CC">
        <w:rPr>
          <w:rFonts w:ascii="Verdana" w:hAnsi="Verdana"/>
          <w:i/>
          <w:color w:val="auto"/>
          <w:sz w:val="20"/>
          <w:szCs w:val="20"/>
          <w:lang w:val="es-MX"/>
        </w:rPr>
        <w:t xml:space="preserve"> </w:t>
      </w:r>
      <w:bookmarkStart w:id="22" w:name="_Toc482093031"/>
      <w:r w:rsidRPr="00E114CC">
        <w:rPr>
          <w:rFonts w:ascii="Verdana" w:hAnsi="Verdana"/>
          <w:i/>
          <w:color w:val="auto"/>
          <w:sz w:val="20"/>
          <w:szCs w:val="20"/>
          <w:lang w:val="es-MX"/>
        </w:rPr>
        <w:t>Consideraciones de la Corte</w:t>
      </w:r>
      <w:bookmarkEnd w:id="22"/>
    </w:p>
    <w:p w14:paraId="6D172BC7" w14:textId="77777777" w:rsidR="00FB723A" w:rsidRPr="008A301C" w:rsidRDefault="00FB723A" w:rsidP="00FB723A">
      <w:pPr>
        <w:rPr>
          <w:lang w:val="es-MX"/>
        </w:rPr>
      </w:pPr>
    </w:p>
    <w:p w14:paraId="6D172BC8" w14:textId="77777777" w:rsidR="00FB723A" w:rsidRDefault="00FB723A" w:rsidP="00FB723A">
      <w:pPr>
        <w:pStyle w:val="ListParagraph"/>
        <w:numPr>
          <w:ilvl w:val="0"/>
          <w:numId w:val="2"/>
        </w:numPr>
        <w:ind w:left="0" w:firstLine="0"/>
        <w:jc w:val="both"/>
        <w:rPr>
          <w:rFonts w:ascii="Verdana" w:hAnsi="Verdana"/>
          <w:sz w:val="20"/>
          <w:szCs w:val="20"/>
        </w:rPr>
      </w:pPr>
      <w:r>
        <w:rPr>
          <w:rFonts w:ascii="Verdana" w:hAnsi="Verdana"/>
          <w:sz w:val="20"/>
          <w:szCs w:val="20"/>
          <w:lang w:val="es-ES"/>
        </w:rPr>
        <w:t>L</w:t>
      </w:r>
      <w:r w:rsidRPr="0049156B">
        <w:rPr>
          <w:rFonts w:ascii="Verdana" w:hAnsi="Verdana"/>
          <w:sz w:val="20"/>
          <w:szCs w:val="20"/>
          <w:lang w:val="es-ES"/>
        </w:rPr>
        <w:t xml:space="preserve">a </w:t>
      </w:r>
      <w:r>
        <w:rPr>
          <w:rFonts w:ascii="Verdana" w:hAnsi="Verdana"/>
          <w:sz w:val="20"/>
          <w:szCs w:val="20"/>
          <w:lang w:val="es-ES"/>
        </w:rPr>
        <w:t>Corte reitera</w:t>
      </w:r>
      <w:r w:rsidRPr="0049156B">
        <w:rPr>
          <w:rFonts w:ascii="Verdana" w:hAnsi="Verdana"/>
          <w:sz w:val="20"/>
          <w:szCs w:val="20"/>
          <w:lang w:val="es-ES"/>
        </w:rPr>
        <w:t xml:space="preserve"> que resulta inadmisible que las partes aleguen nuevos hechos disti</w:t>
      </w:r>
      <w:r>
        <w:rPr>
          <w:rFonts w:ascii="Verdana" w:hAnsi="Verdana"/>
          <w:sz w:val="20"/>
          <w:szCs w:val="20"/>
          <w:lang w:val="es-ES"/>
        </w:rPr>
        <w:t>ntos a los contenidos en el I</w:t>
      </w:r>
      <w:r w:rsidRPr="0049156B">
        <w:rPr>
          <w:rFonts w:ascii="Verdana" w:hAnsi="Verdana"/>
          <w:sz w:val="20"/>
          <w:szCs w:val="20"/>
          <w:lang w:val="es-ES"/>
        </w:rPr>
        <w:t>nforme</w:t>
      </w:r>
      <w:r>
        <w:rPr>
          <w:rFonts w:ascii="Verdana" w:hAnsi="Verdana"/>
          <w:sz w:val="20"/>
          <w:szCs w:val="20"/>
          <w:lang w:val="es-ES"/>
        </w:rPr>
        <w:t xml:space="preserve"> de Fondo</w:t>
      </w:r>
      <w:r w:rsidRPr="0049156B">
        <w:rPr>
          <w:rFonts w:ascii="Verdana" w:hAnsi="Verdana"/>
          <w:sz w:val="20"/>
          <w:szCs w:val="20"/>
        </w:rPr>
        <w:t>, sin perjuicio de exponer aquellos que permitan explicar, aclarar o desestimar los que hayan sido mencionados en el mismo y hayan sido sometidos a consideración de la Corte</w:t>
      </w:r>
      <w:r w:rsidRPr="0049156B">
        <w:rPr>
          <w:rFonts w:ascii="Verdana" w:hAnsi="Verdana"/>
          <w:sz w:val="20"/>
          <w:szCs w:val="20"/>
          <w:vertAlign w:val="superscript"/>
          <w:lang w:val="es-ES"/>
        </w:rPr>
        <w:footnoteReference w:id="28"/>
      </w:r>
      <w:r w:rsidRPr="0049156B">
        <w:rPr>
          <w:rFonts w:ascii="Verdana" w:hAnsi="Verdana"/>
          <w:sz w:val="20"/>
          <w:szCs w:val="20"/>
        </w:rPr>
        <w:t>.</w:t>
      </w:r>
    </w:p>
    <w:p w14:paraId="6D172BC9" w14:textId="77777777" w:rsidR="00FB723A" w:rsidRDefault="00FB723A" w:rsidP="00FB723A">
      <w:pPr>
        <w:pStyle w:val="ListParagraph"/>
        <w:ind w:left="0"/>
        <w:jc w:val="both"/>
        <w:rPr>
          <w:rFonts w:ascii="Verdana" w:hAnsi="Verdana"/>
          <w:sz w:val="20"/>
          <w:szCs w:val="20"/>
        </w:rPr>
      </w:pPr>
    </w:p>
    <w:p w14:paraId="6D172BCA" w14:textId="4A12CC6B" w:rsidR="00651413" w:rsidRDefault="00FB723A" w:rsidP="00DA360D">
      <w:pPr>
        <w:pStyle w:val="ListParagraph"/>
        <w:numPr>
          <w:ilvl w:val="0"/>
          <w:numId w:val="2"/>
        </w:numPr>
        <w:ind w:left="0" w:firstLine="0"/>
        <w:jc w:val="both"/>
        <w:rPr>
          <w:rFonts w:ascii="Verdana" w:hAnsi="Verdana"/>
          <w:sz w:val="20"/>
          <w:szCs w:val="20"/>
        </w:rPr>
      </w:pPr>
      <w:r w:rsidRPr="00A659C5">
        <w:rPr>
          <w:rFonts w:ascii="Verdana" w:hAnsi="Verdana"/>
          <w:sz w:val="20"/>
          <w:szCs w:val="20"/>
          <w:lang w:val="es-ES"/>
        </w:rPr>
        <w:t>En cuanto al alegato del agotamiento indebido de los recursos internos relacionados con el pase a retiro por renovación, la Comisión observó en su Informe de Admisibilidad que: “</w:t>
      </w:r>
      <w:r w:rsidRPr="00A659C5">
        <w:rPr>
          <w:rFonts w:ascii="Verdana" w:hAnsi="Verdana"/>
          <w:sz w:val="20"/>
          <w:szCs w:val="20"/>
        </w:rPr>
        <w:t xml:space="preserve">la presunta víctima impugnó tanto en la vía administrativa como en la vía judicial, la resolución de la PNP </w:t>
      </w:r>
      <w:r>
        <w:rPr>
          <w:rFonts w:ascii="Verdana" w:hAnsi="Verdana"/>
          <w:sz w:val="20"/>
          <w:szCs w:val="20"/>
        </w:rPr>
        <w:t>[Policía Nacional del Perú]</w:t>
      </w:r>
      <w:r w:rsidR="00BE5365">
        <w:rPr>
          <w:rFonts w:ascii="Verdana" w:hAnsi="Verdana"/>
          <w:sz w:val="20"/>
          <w:szCs w:val="20"/>
        </w:rPr>
        <w:t>,</w:t>
      </w:r>
      <w:r>
        <w:rPr>
          <w:rFonts w:ascii="Verdana" w:hAnsi="Verdana"/>
          <w:sz w:val="20"/>
          <w:szCs w:val="20"/>
        </w:rPr>
        <w:t xml:space="preserve"> </w:t>
      </w:r>
      <w:r w:rsidRPr="00A659C5">
        <w:rPr>
          <w:rFonts w:ascii="Verdana" w:hAnsi="Verdana"/>
          <w:sz w:val="20"/>
          <w:szCs w:val="20"/>
        </w:rPr>
        <w:t>mediante la cual se determinó su pase a retiro. Los anexos del expediente indica[ron] que ambos recursos fueron declarados improcedentes debido a la presentación extemporánea del recurso de reconsideración por parte del peticionario, lo que le impidió obtener una resolución sobre el fondo en la vía judicial de conformidad con la legislación aplicable. […] En tal sentido, la Comisión consider[ó] que con relación a este punto, el peticionario agotó indebidamente los recursos internos”</w:t>
      </w:r>
      <w:r w:rsidRPr="00E340B0">
        <w:rPr>
          <w:rStyle w:val="FootnoteReference"/>
          <w:szCs w:val="20"/>
        </w:rPr>
        <w:footnoteReference w:id="29"/>
      </w:r>
      <w:r w:rsidRPr="00A659C5">
        <w:rPr>
          <w:rFonts w:ascii="Verdana" w:hAnsi="Verdana"/>
          <w:sz w:val="20"/>
          <w:szCs w:val="20"/>
        </w:rPr>
        <w:t xml:space="preserve">. </w:t>
      </w:r>
    </w:p>
    <w:p w14:paraId="6D172BCB" w14:textId="77777777" w:rsidR="00FB723A" w:rsidRPr="00A659C5" w:rsidRDefault="00FB723A" w:rsidP="00651413">
      <w:pPr>
        <w:pStyle w:val="ListParagraph"/>
        <w:ind w:left="0"/>
        <w:jc w:val="both"/>
        <w:rPr>
          <w:rFonts w:ascii="Verdana" w:hAnsi="Verdana"/>
          <w:sz w:val="20"/>
          <w:szCs w:val="20"/>
        </w:rPr>
      </w:pPr>
    </w:p>
    <w:p w14:paraId="6D172BCC" w14:textId="77777777" w:rsidR="00FB723A" w:rsidRDefault="00FB723A" w:rsidP="00FB723A">
      <w:pPr>
        <w:pStyle w:val="ListParagraph"/>
        <w:numPr>
          <w:ilvl w:val="0"/>
          <w:numId w:val="2"/>
        </w:numPr>
        <w:ind w:left="0" w:firstLine="0"/>
        <w:jc w:val="both"/>
        <w:rPr>
          <w:rFonts w:ascii="Verdana" w:hAnsi="Verdana"/>
          <w:sz w:val="20"/>
          <w:szCs w:val="20"/>
        </w:rPr>
      </w:pPr>
      <w:r>
        <w:rPr>
          <w:rFonts w:ascii="Verdana" w:hAnsi="Verdana"/>
          <w:sz w:val="20"/>
          <w:szCs w:val="20"/>
        </w:rPr>
        <w:t>L</w:t>
      </w:r>
      <w:r w:rsidRPr="0049156B">
        <w:rPr>
          <w:rFonts w:ascii="Verdana" w:hAnsi="Verdana"/>
          <w:sz w:val="20"/>
          <w:szCs w:val="20"/>
        </w:rPr>
        <w:t xml:space="preserve">a Corte verificó que </w:t>
      </w:r>
      <w:r>
        <w:rPr>
          <w:rFonts w:ascii="Verdana" w:hAnsi="Verdana"/>
          <w:sz w:val="20"/>
          <w:szCs w:val="20"/>
        </w:rPr>
        <w:t>el alegado pase a retiro fue declarado</w:t>
      </w:r>
      <w:r w:rsidRPr="0049156B">
        <w:rPr>
          <w:rFonts w:ascii="Verdana" w:hAnsi="Verdana"/>
          <w:sz w:val="20"/>
          <w:szCs w:val="20"/>
        </w:rPr>
        <w:t xml:space="preserve"> inadmisible por la Comisión</w:t>
      </w:r>
      <w:r>
        <w:rPr>
          <w:rFonts w:ascii="Verdana" w:hAnsi="Verdana"/>
          <w:sz w:val="20"/>
          <w:szCs w:val="20"/>
        </w:rPr>
        <w:t xml:space="preserve">, al acoger una excepción preliminar interpuesta por el Estado </w:t>
      </w:r>
      <w:r w:rsidRPr="0049156B">
        <w:rPr>
          <w:rFonts w:ascii="Verdana" w:hAnsi="Verdana"/>
          <w:sz w:val="20"/>
          <w:szCs w:val="20"/>
        </w:rPr>
        <w:t xml:space="preserve">con fundamento en que </w:t>
      </w:r>
      <w:r>
        <w:rPr>
          <w:rFonts w:ascii="Verdana" w:hAnsi="Verdana"/>
          <w:sz w:val="20"/>
          <w:szCs w:val="20"/>
        </w:rPr>
        <w:t>no fueron agotados los recursos internos correspondientes en el momento procesal oportuno</w:t>
      </w:r>
      <w:r>
        <w:rPr>
          <w:rStyle w:val="FootnoteReference"/>
          <w:szCs w:val="20"/>
        </w:rPr>
        <w:footnoteReference w:id="30"/>
      </w:r>
      <w:r>
        <w:rPr>
          <w:rFonts w:ascii="Verdana" w:hAnsi="Verdana"/>
          <w:sz w:val="20"/>
          <w:szCs w:val="20"/>
        </w:rPr>
        <w:t xml:space="preserve"> (</w:t>
      </w:r>
      <w:r w:rsidRPr="0058104A">
        <w:rPr>
          <w:rFonts w:ascii="Verdana" w:hAnsi="Verdana"/>
          <w:i/>
          <w:sz w:val="20"/>
          <w:szCs w:val="20"/>
        </w:rPr>
        <w:t>supra</w:t>
      </w:r>
      <w:r>
        <w:rPr>
          <w:rFonts w:ascii="Verdana" w:hAnsi="Verdana"/>
          <w:sz w:val="20"/>
          <w:szCs w:val="20"/>
        </w:rPr>
        <w:t xml:space="preserve"> párr. </w:t>
      </w:r>
      <w:r w:rsidR="006B52CD">
        <w:rPr>
          <w:rFonts w:ascii="Verdana" w:hAnsi="Verdana"/>
          <w:sz w:val="20"/>
          <w:szCs w:val="20"/>
        </w:rPr>
        <w:t>49</w:t>
      </w:r>
      <w:r>
        <w:rPr>
          <w:rFonts w:ascii="Verdana" w:hAnsi="Verdana"/>
          <w:sz w:val="20"/>
          <w:szCs w:val="20"/>
        </w:rPr>
        <w:t>)</w:t>
      </w:r>
      <w:r w:rsidRPr="0049156B">
        <w:rPr>
          <w:rFonts w:ascii="Verdana" w:hAnsi="Verdana"/>
          <w:sz w:val="20"/>
          <w:szCs w:val="20"/>
        </w:rPr>
        <w:t xml:space="preserve">. </w:t>
      </w:r>
    </w:p>
    <w:p w14:paraId="6D172BCD" w14:textId="77777777" w:rsidR="00FB723A" w:rsidRPr="00D41B50" w:rsidRDefault="00FB723A" w:rsidP="00FB723A">
      <w:pPr>
        <w:pStyle w:val="ListParagraph"/>
        <w:rPr>
          <w:rFonts w:ascii="Verdana" w:hAnsi="Verdana"/>
          <w:sz w:val="20"/>
          <w:szCs w:val="20"/>
        </w:rPr>
      </w:pPr>
    </w:p>
    <w:p w14:paraId="6D172BCE" w14:textId="0AA25DE2" w:rsidR="00FB723A" w:rsidRDefault="00FB723A" w:rsidP="00FB723A">
      <w:pPr>
        <w:pStyle w:val="ListParagraph"/>
        <w:numPr>
          <w:ilvl w:val="0"/>
          <w:numId w:val="2"/>
        </w:numPr>
        <w:ind w:left="0" w:firstLine="0"/>
        <w:jc w:val="both"/>
        <w:rPr>
          <w:rFonts w:ascii="Verdana" w:hAnsi="Verdana"/>
          <w:sz w:val="20"/>
          <w:szCs w:val="20"/>
        </w:rPr>
      </w:pPr>
      <w:r>
        <w:rPr>
          <w:rFonts w:ascii="Verdana" w:hAnsi="Verdana"/>
          <w:sz w:val="20"/>
          <w:szCs w:val="20"/>
        </w:rPr>
        <w:t xml:space="preserve">Adicionalmente, la Corte constata que, contrario a lo verificado en el apartado anterior, </w:t>
      </w:r>
      <w:r w:rsidRPr="0049156B">
        <w:rPr>
          <w:rFonts w:ascii="Verdana" w:hAnsi="Verdana"/>
          <w:sz w:val="20"/>
          <w:szCs w:val="20"/>
        </w:rPr>
        <w:t xml:space="preserve">en el Informe de Fondo </w:t>
      </w:r>
      <w:r>
        <w:rPr>
          <w:rFonts w:ascii="Verdana" w:hAnsi="Verdana"/>
          <w:sz w:val="20"/>
          <w:szCs w:val="20"/>
        </w:rPr>
        <w:t xml:space="preserve">la Comisión </w:t>
      </w:r>
      <w:r w:rsidRPr="0049156B">
        <w:rPr>
          <w:rFonts w:ascii="Verdana" w:hAnsi="Verdana"/>
          <w:sz w:val="20"/>
          <w:szCs w:val="20"/>
        </w:rPr>
        <w:t>no</w:t>
      </w:r>
      <w:r>
        <w:rPr>
          <w:rFonts w:ascii="Verdana" w:hAnsi="Verdana"/>
          <w:sz w:val="20"/>
          <w:szCs w:val="20"/>
        </w:rPr>
        <w:t xml:space="preserve"> incluyó dichos hechos dentro del marco fáctico ni como una consideración de fondo</w:t>
      </w:r>
      <w:r w:rsidRPr="0049156B">
        <w:rPr>
          <w:rFonts w:ascii="Verdana" w:hAnsi="Verdana"/>
          <w:sz w:val="20"/>
          <w:szCs w:val="20"/>
        </w:rPr>
        <w:t xml:space="preserve">. </w:t>
      </w:r>
      <w:r>
        <w:rPr>
          <w:rFonts w:ascii="Verdana" w:hAnsi="Verdana"/>
          <w:sz w:val="20"/>
          <w:szCs w:val="20"/>
        </w:rPr>
        <w:t>Asimismo, en las o</w:t>
      </w:r>
      <w:r w:rsidRPr="0049156B">
        <w:rPr>
          <w:rFonts w:ascii="Verdana" w:hAnsi="Verdana"/>
          <w:sz w:val="20"/>
          <w:szCs w:val="20"/>
        </w:rPr>
        <w:t xml:space="preserve">bservaciones a las excepciones preliminares la Comisión reiteró esta postura, en virtud de lo cual </w:t>
      </w:r>
      <w:r>
        <w:rPr>
          <w:rFonts w:ascii="Verdana" w:hAnsi="Verdana"/>
          <w:sz w:val="20"/>
          <w:szCs w:val="20"/>
        </w:rPr>
        <w:t>no sería objeto del caso el alegado pase a retiro ni sus consecuencias</w:t>
      </w:r>
      <w:r w:rsidRPr="0049156B">
        <w:rPr>
          <w:rFonts w:ascii="Verdana" w:hAnsi="Verdana"/>
          <w:sz w:val="20"/>
          <w:szCs w:val="20"/>
        </w:rPr>
        <w:t xml:space="preserve">. </w:t>
      </w:r>
      <w:r>
        <w:rPr>
          <w:rFonts w:ascii="Verdana" w:hAnsi="Verdana"/>
          <w:sz w:val="20"/>
          <w:szCs w:val="20"/>
        </w:rPr>
        <w:t>Además,</w:t>
      </w:r>
      <w:r w:rsidRPr="0049156B">
        <w:rPr>
          <w:rFonts w:ascii="Verdana" w:hAnsi="Verdana"/>
          <w:sz w:val="20"/>
          <w:szCs w:val="20"/>
        </w:rPr>
        <w:t xml:space="preserve"> la Corte resalta que </w:t>
      </w:r>
      <w:r>
        <w:rPr>
          <w:rFonts w:ascii="Verdana" w:hAnsi="Verdana"/>
          <w:sz w:val="20"/>
          <w:szCs w:val="20"/>
        </w:rPr>
        <w:t xml:space="preserve">la Comisión tampoco se refirió a la presunta exclusión del cuadro de méritos del señor Zegarra Marín en los hechos probados ni en ninguno de los escritos sometidos a la jurisdicción de la Corte. </w:t>
      </w:r>
    </w:p>
    <w:p w14:paraId="6D172BCF" w14:textId="77777777" w:rsidR="00FB723A" w:rsidRPr="0049156B" w:rsidRDefault="00FB723A" w:rsidP="00FB723A">
      <w:pPr>
        <w:pStyle w:val="ListParagraph"/>
        <w:jc w:val="both"/>
        <w:rPr>
          <w:rFonts w:ascii="Verdana" w:hAnsi="Verdana"/>
          <w:sz w:val="20"/>
          <w:szCs w:val="20"/>
        </w:rPr>
      </w:pPr>
    </w:p>
    <w:p w14:paraId="6D172BD0" w14:textId="77777777" w:rsidR="00FB723A" w:rsidRPr="00013E42" w:rsidRDefault="00FB723A" w:rsidP="00FB723A">
      <w:pPr>
        <w:pStyle w:val="ListParagraph"/>
        <w:numPr>
          <w:ilvl w:val="0"/>
          <w:numId w:val="2"/>
        </w:numPr>
        <w:ind w:left="0" w:firstLine="0"/>
        <w:jc w:val="both"/>
        <w:rPr>
          <w:rFonts w:ascii="Verdana" w:hAnsi="Verdana"/>
          <w:sz w:val="20"/>
          <w:szCs w:val="20"/>
        </w:rPr>
      </w:pPr>
      <w:r>
        <w:rPr>
          <w:rFonts w:ascii="Verdana" w:hAnsi="Verdana"/>
          <w:sz w:val="20"/>
          <w:szCs w:val="20"/>
          <w:lang w:val="es-ES"/>
        </w:rPr>
        <w:t>Así</w:t>
      </w:r>
      <w:r w:rsidRPr="001A095C">
        <w:rPr>
          <w:rFonts w:ascii="Verdana" w:hAnsi="Verdana"/>
          <w:sz w:val="20"/>
          <w:szCs w:val="20"/>
          <w:lang w:val="es-ES"/>
        </w:rPr>
        <w:t xml:space="preserve">, la Corte </w:t>
      </w:r>
      <w:r>
        <w:rPr>
          <w:rFonts w:ascii="Verdana" w:hAnsi="Verdana"/>
          <w:sz w:val="20"/>
          <w:szCs w:val="20"/>
          <w:lang w:val="es-ES"/>
        </w:rPr>
        <w:t>concluye</w:t>
      </w:r>
      <w:r w:rsidRPr="001A095C">
        <w:rPr>
          <w:rFonts w:ascii="Verdana" w:hAnsi="Verdana"/>
          <w:sz w:val="20"/>
          <w:szCs w:val="20"/>
          <w:lang w:val="es-ES"/>
        </w:rPr>
        <w:t xml:space="preserve"> que </w:t>
      </w:r>
      <w:r>
        <w:rPr>
          <w:rFonts w:ascii="Verdana" w:hAnsi="Verdana"/>
          <w:sz w:val="20"/>
          <w:szCs w:val="20"/>
          <w:lang w:val="es-ES"/>
        </w:rPr>
        <w:t xml:space="preserve">los alegados hechos relacionados con </w:t>
      </w:r>
      <w:r w:rsidRPr="001A095C">
        <w:rPr>
          <w:rFonts w:ascii="Verdana" w:hAnsi="Verdana"/>
          <w:sz w:val="20"/>
          <w:szCs w:val="20"/>
          <w:lang w:val="es-ES"/>
        </w:rPr>
        <w:t xml:space="preserve">el pase a retiro </w:t>
      </w:r>
      <w:r>
        <w:rPr>
          <w:rFonts w:ascii="Verdana" w:hAnsi="Verdana"/>
          <w:sz w:val="20"/>
          <w:szCs w:val="20"/>
          <w:lang w:val="es-ES"/>
        </w:rPr>
        <w:t>y</w:t>
      </w:r>
      <w:r w:rsidRPr="001A095C">
        <w:rPr>
          <w:rFonts w:ascii="Verdana" w:hAnsi="Verdana"/>
          <w:sz w:val="20"/>
          <w:szCs w:val="20"/>
          <w:lang w:val="es-ES"/>
        </w:rPr>
        <w:t xml:space="preserve"> la exclusión del cuadro de méritos </w:t>
      </w:r>
      <w:r>
        <w:rPr>
          <w:rFonts w:ascii="Verdana" w:hAnsi="Verdana"/>
          <w:sz w:val="20"/>
          <w:szCs w:val="20"/>
          <w:lang w:val="es-ES"/>
        </w:rPr>
        <w:t xml:space="preserve">del señor Zegarra Marín no fueron sometidos a la jurisdicción de la Corte </w:t>
      </w:r>
      <w:r w:rsidRPr="001A095C">
        <w:rPr>
          <w:rFonts w:ascii="Verdana" w:hAnsi="Verdana"/>
          <w:sz w:val="20"/>
          <w:szCs w:val="20"/>
          <w:lang w:val="es-ES"/>
        </w:rPr>
        <w:t>por parte</w:t>
      </w:r>
      <w:r>
        <w:rPr>
          <w:rFonts w:ascii="Verdana" w:hAnsi="Verdana"/>
          <w:sz w:val="20"/>
          <w:szCs w:val="20"/>
          <w:lang w:val="es-ES"/>
        </w:rPr>
        <w:t xml:space="preserve"> de la Comisión. </w:t>
      </w:r>
      <w:r>
        <w:rPr>
          <w:rFonts w:ascii="Verdana" w:hAnsi="Verdana"/>
          <w:sz w:val="20"/>
          <w:szCs w:val="20"/>
        </w:rPr>
        <w:t xml:space="preserve">Por lo tanto, la Corte acepta el planteamiento del Estado. </w:t>
      </w:r>
      <w:r w:rsidRPr="00013E42">
        <w:rPr>
          <w:rFonts w:ascii="Verdana" w:hAnsi="Verdana"/>
          <w:sz w:val="20"/>
          <w:szCs w:val="20"/>
          <w:lang w:val="es-ES"/>
        </w:rPr>
        <w:t xml:space="preserve"> </w:t>
      </w:r>
    </w:p>
    <w:p w14:paraId="6D172BD1" w14:textId="77777777" w:rsidR="00FB723A" w:rsidRPr="0049156B" w:rsidRDefault="00FB723A" w:rsidP="00FB723A">
      <w:pPr>
        <w:pStyle w:val="ListParagraph"/>
        <w:tabs>
          <w:tab w:val="left" w:pos="851"/>
        </w:tabs>
        <w:ind w:left="0"/>
        <w:jc w:val="both"/>
        <w:rPr>
          <w:rFonts w:ascii="Verdana" w:hAnsi="Verdana"/>
          <w:sz w:val="20"/>
          <w:szCs w:val="20"/>
        </w:rPr>
      </w:pPr>
    </w:p>
    <w:p w14:paraId="6D172BD2" w14:textId="77777777" w:rsidR="00FB723A" w:rsidRPr="0049156B" w:rsidRDefault="00FB723A" w:rsidP="00FB723A">
      <w:pPr>
        <w:pStyle w:val="Heading1"/>
        <w:tabs>
          <w:tab w:val="left" w:pos="851"/>
        </w:tabs>
        <w:spacing w:before="0"/>
        <w:jc w:val="center"/>
        <w:rPr>
          <w:rFonts w:ascii="Verdana" w:hAnsi="Verdana" w:cs="Verdana"/>
          <w:caps/>
          <w:snapToGrid w:val="0"/>
          <w:color w:val="auto"/>
          <w:sz w:val="20"/>
          <w:szCs w:val="20"/>
        </w:rPr>
      </w:pPr>
      <w:bookmarkStart w:id="23" w:name="_Toc482093032"/>
      <w:r w:rsidRPr="0049156B">
        <w:rPr>
          <w:rFonts w:ascii="Verdana" w:hAnsi="Verdana" w:cs="Verdana"/>
          <w:caps/>
          <w:snapToGrid w:val="0"/>
          <w:color w:val="auto"/>
          <w:sz w:val="20"/>
          <w:szCs w:val="20"/>
        </w:rPr>
        <w:t>V</w:t>
      </w:r>
      <w:r>
        <w:rPr>
          <w:rFonts w:ascii="Verdana" w:hAnsi="Verdana" w:cs="Verdana"/>
          <w:caps/>
          <w:snapToGrid w:val="0"/>
          <w:color w:val="auto"/>
          <w:sz w:val="20"/>
          <w:szCs w:val="20"/>
        </w:rPr>
        <w:t>I</w:t>
      </w:r>
      <w:r w:rsidRPr="0049156B">
        <w:rPr>
          <w:rFonts w:ascii="Verdana" w:hAnsi="Verdana" w:cs="Verdana"/>
          <w:caps/>
          <w:snapToGrid w:val="0"/>
          <w:color w:val="auto"/>
          <w:sz w:val="20"/>
          <w:szCs w:val="20"/>
        </w:rPr>
        <w:br/>
        <w:t>PRUEBA</w:t>
      </w:r>
      <w:bookmarkEnd w:id="23"/>
    </w:p>
    <w:p w14:paraId="6D172BD3" w14:textId="77777777" w:rsidR="00FB723A" w:rsidRPr="00CD6059" w:rsidRDefault="00FB723A" w:rsidP="00FB723A">
      <w:pPr>
        <w:jc w:val="both"/>
        <w:rPr>
          <w:rFonts w:ascii="Verdana" w:hAnsi="Verdana"/>
          <w:sz w:val="20"/>
          <w:szCs w:val="20"/>
        </w:rPr>
      </w:pPr>
    </w:p>
    <w:p w14:paraId="6D172BD4" w14:textId="77777777" w:rsidR="00FB723A" w:rsidRPr="00CD6059" w:rsidRDefault="00FB723A" w:rsidP="00FB723A">
      <w:pPr>
        <w:pStyle w:val="Heading2"/>
        <w:numPr>
          <w:ilvl w:val="0"/>
          <w:numId w:val="6"/>
        </w:numPr>
        <w:spacing w:before="0"/>
        <w:rPr>
          <w:rFonts w:ascii="Verdana" w:hAnsi="Verdana"/>
          <w:i/>
          <w:sz w:val="20"/>
          <w:szCs w:val="20"/>
        </w:rPr>
      </w:pPr>
      <w:bookmarkStart w:id="24" w:name="_Toc482093033"/>
      <w:r w:rsidRPr="00CD6059">
        <w:rPr>
          <w:rFonts w:ascii="Verdana" w:hAnsi="Verdana"/>
          <w:i/>
          <w:color w:val="auto"/>
          <w:sz w:val="20"/>
          <w:szCs w:val="20"/>
        </w:rPr>
        <w:t>Prueba documental</w:t>
      </w:r>
      <w:r w:rsidR="006B52CD">
        <w:rPr>
          <w:rFonts w:ascii="Verdana" w:hAnsi="Verdana"/>
          <w:i/>
          <w:color w:val="auto"/>
          <w:sz w:val="20"/>
          <w:szCs w:val="20"/>
        </w:rPr>
        <w:t>, videográfica</w:t>
      </w:r>
      <w:r w:rsidRPr="00CD6059">
        <w:rPr>
          <w:rFonts w:ascii="Verdana" w:hAnsi="Verdana"/>
          <w:i/>
          <w:color w:val="auto"/>
          <w:sz w:val="20"/>
          <w:szCs w:val="20"/>
        </w:rPr>
        <w:t>, testimonial y pericial</w:t>
      </w:r>
      <w:bookmarkEnd w:id="24"/>
    </w:p>
    <w:p w14:paraId="6D172BD5" w14:textId="77777777" w:rsidR="00FB723A" w:rsidRPr="00CD6059" w:rsidRDefault="00FB723A" w:rsidP="00FB723A">
      <w:pPr>
        <w:pStyle w:val="ListParagraph"/>
        <w:ind w:left="0"/>
        <w:jc w:val="both"/>
        <w:rPr>
          <w:rFonts w:ascii="Verdana" w:hAnsi="Verdana"/>
          <w:sz w:val="20"/>
          <w:szCs w:val="20"/>
        </w:rPr>
      </w:pPr>
    </w:p>
    <w:p w14:paraId="6D172BD6" w14:textId="527C5135" w:rsidR="00FB723A" w:rsidRPr="00D91934" w:rsidRDefault="00FB723A" w:rsidP="00FB723A">
      <w:pPr>
        <w:pStyle w:val="ListParagraph"/>
        <w:numPr>
          <w:ilvl w:val="0"/>
          <w:numId w:val="2"/>
        </w:numPr>
        <w:ind w:left="0" w:firstLine="0"/>
        <w:jc w:val="both"/>
        <w:rPr>
          <w:rFonts w:ascii="Verdana" w:hAnsi="Verdana"/>
          <w:sz w:val="20"/>
          <w:szCs w:val="20"/>
        </w:rPr>
      </w:pPr>
      <w:r w:rsidRPr="00D91934">
        <w:rPr>
          <w:rFonts w:ascii="Verdana" w:hAnsi="Verdana"/>
          <w:sz w:val="20"/>
          <w:szCs w:val="20"/>
        </w:rPr>
        <w:t>La Corte recibió diversos documentos presentados como prueba por la Comisión, los representantes y el Estado, adjuntos a sus escritos principales (</w:t>
      </w:r>
      <w:r w:rsidRPr="0058104A">
        <w:rPr>
          <w:rFonts w:ascii="Verdana" w:hAnsi="Verdana"/>
          <w:i/>
          <w:sz w:val="20"/>
          <w:szCs w:val="20"/>
        </w:rPr>
        <w:t>supra</w:t>
      </w:r>
      <w:r w:rsidRPr="00D91934">
        <w:rPr>
          <w:rFonts w:ascii="Verdana" w:hAnsi="Verdana"/>
          <w:sz w:val="20"/>
          <w:szCs w:val="20"/>
        </w:rPr>
        <w:t xml:space="preserve"> párrs</w:t>
      </w:r>
      <w:r w:rsidRPr="00102FE4">
        <w:rPr>
          <w:rFonts w:ascii="Verdana" w:hAnsi="Verdana"/>
          <w:sz w:val="20"/>
          <w:szCs w:val="20"/>
        </w:rPr>
        <w:t>.</w:t>
      </w:r>
      <w:r w:rsidR="00102FE4" w:rsidRPr="000A0953">
        <w:rPr>
          <w:rFonts w:ascii="Verdana" w:hAnsi="Verdana"/>
          <w:sz w:val="20"/>
          <w:szCs w:val="20"/>
        </w:rPr>
        <w:t xml:space="preserve"> 1,</w:t>
      </w:r>
      <w:r w:rsidR="00BE5365">
        <w:rPr>
          <w:rFonts w:ascii="Verdana" w:hAnsi="Verdana"/>
          <w:sz w:val="20"/>
          <w:szCs w:val="20"/>
        </w:rPr>
        <w:t xml:space="preserve"> </w:t>
      </w:r>
      <w:r w:rsidR="00102FE4" w:rsidRPr="000A0953">
        <w:rPr>
          <w:rFonts w:ascii="Verdana" w:hAnsi="Verdana"/>
          <w:sz w:val="20"/>
          <w:szCs w:val="20"/>
        </w:rPr>
        <w:t>6, 7</w:t>
      </w:r>
      <w:r w:rsidRPr="00102FE4">
        <w:rPr>
          <w:rFonts w:ascii="Verdana" w:hAnsi="Verdana"/>
          <w:sz w:val="20"/>
          <w:szCs w:val="20"/>
        </w:rPr>
        <w:t>).</w:t>
      </w:r>
      <w:r w:rsidRPr="00D91934">
        <w:rPr>
          <w:rFonts w:ascii="Verdana" w:hAnsi="Verdana"/>
          <w:sz w:val="20"/>
          <w:szCs w:val="20"/>
        </w:rPr>
        <w:t xml:space="preserve"> Además, la Corte recibió las declaraciones rendidas ante fedatario público </w:t>
      </w:r>
      <w:r>
        <w:rPr>
          <w:rFonts w:ascii="Verdana" w:hAnsi="Verdana"/>
          <w:sz w:val="20"/>
          <w:szCs w:val="20"/>
        </w:rPr>
        <w:t>por</w:t>
      </w:r>
      <w:r w:rsidRPr="00D91934">
        <w:rPr>
          <w:rFonts w:ascii="Verdana" w:hAnsi="Verdana"/>
          <w:sz w:val="20"/>
          <w:szCs w:val="20"/>
        </w:rPr>
        <w:t>: Nelly Raquel Zegarra</w:t>
      </w:r>
      <w:r w:rsidR="006B52CD">
        <w:rPr>
          <w:rFonts w:ascii="Verdana" w:hAnsi="Verdana"/>
          <w:sz w:val="20"/>
          <w:szCs w:val="20"/>
        </w:rPr>
        <w:t xml:space="preserve"> Villar</w:t>
      </w:r>
      <w:r w:rsidR="006B52CD" w:rsidRPr="006B52CD">
        <w:rPr>
          <w:rFonts w:ascii="Verdana" w:hAnsi="Verdana"/>
          <w:sz w:val="20"/>
          <w:szCs w:val="20"/>
        </w:rPr>
        <w:t>;</w:t>
      </w:r>
      <w:r w:rsidRPr="00D91934">
        <w:rPr>
          <w:rFonts w:ascii="Verdana" w:hAnsi="Verdana"/>
          <w:sz w:val="20"/>
          <w:szCs w:val="20"/>
        </w:rPr>
        <w:t xml:space="preserve"> Carmen del Socorro Villar Guerra de Zegarra</w:t>
      </w:r>
      <w:r>
        <w:rPr>
          <w:rFonts w:ascii="Verdana" w:hAnsi="Verdana"/>
          <w:sz w:val="20"/>
          <w:szCs w:val="20"/>
        </w:rPr>
        <w:t>;</w:t>
      </w:r>
      <w:r w:rsidRPr="00D91934">
        <w:rPr>
          <w:rFonts w:ascii="Verdana" w:hAnsi="Verdana"/>
          <w:sz w:val="20"/>
          <w:szCs w:val="20"/>
        </w:rPr>
        <w:t xml:space="preserve"> Tony Washington García Cano y Óscar Julián Guerrero Peralta. En cuanto a la prueba rendida en audiencia pública, la Corte escuchó las declaraciones de la presunta víctima</w:t>
      </w:r>
      <w:r w:rsidR="00BE5365">
        <w:rPr>
          <w:rFonts w:ascii="Verdana" w:hAnsi="Verdana"/>
          <w:sz w:val="20"/>
          <w:szCs w:val="20"/>
        </w:rPr>
        <w:t>,</w:t>
      </w:r>
      <w:r w:rsidRPr="00D91934">
        <w:rPr>
          <w:rFonts w:ascii="Verdana" w:hAnsi="Verdana"/>
          <w:sz w:val="20"/>
          <w:szCs w:val="20"/>
        </w:rPr>
        <w:t xml:space="preserve"> </w:t>
      </w:r>
      <w:r w:rsidRPr="0007798A">
        <w:rPr>
          <w:rFonts w:ascii="Verdana" w:hAnsi="Verdana"/>
          <w:sz w:val="20"/>
          <w:szCs w:val="20"/>
          <w:lang w:val="es-ES"/>
        </w:rPr>
        <w:t>el señor Zegarra Marín</w:t>
      </w:r>
      <w:r w:rsidRPr="00D91934">
        <w:rPr>
          <w:rFonts w:ascii="Verdana" w:hAnsi="Verdana"/>
          <w:sz w:val="20"/>
          <w:szCs w:val="20"/>
        </w:rPr>
        <w:t xml:space="preserve"> y del perito </w:t>
      </w:r>
      <w:r w:rsidR="006B52CD" w:rsidRPr="00D91934">
        <w:rPr>
          <w:rFonts w:ascii="Verdana" w:hAnsi="Verdana"/>
          <w:sz w:val="20"/>
          <w:szCs w:val="20"/>
        </w:rPr>
        <w:t>Hernán Víctor</w:t>
      </w:r>
      <w:r w:rsidRPr="00D91934">
        <w:rPr>
          <w:rFonts w:ascii="Verdana" w:hAnsi="Verdana"/>
          <w:sz w:val="20"/>
          <w:szCs w:val="20"/>
        </w:rPr>
        <w:t xml:space="preserve"> Gullco, propuestos por los representantes</w:t>
      </w:r>
      <w:r w:rsidR="00BE5365">
        <w:rPr>
          <w:rFonts w:ascii="Verdana" w:hAnsi="Verdana"/>
          <w:sz w:val="20"/>
          <w:szCs w:val="20"/>
        </w:rPr>
        <w:t>,</w:t>
      </w:r>
      <w:r w:rsidRPr="00D91934">
        <w:rPr>
          <w:rFonts w:ascii="Verdana" w:hAnsi="Verdana"/>
          <w:sz w:val="20"/>
          <w:szCs w:val="20"/>
        </w:rPr>
        <w:t xml:space="preserve"> así como el peritaje </w:t>
      </w:r>
      <w:r>
        <w:rPr>
          <w:rFonts w:ascii="Verdana" w:hAnsi="Verdana"/>
          <w:sz w:val="20"/>
          <w:szCs w:val="20"/>
        </w:rPr>
        <w:t xml:space="preserve">de </w:t>
      </w:r>
      <w:r w:rsidRPr="00D91934">
        <w:rPr>
          <w:rFonts w:ascii="Verdana" w:hAnsi="Verdana"/>
          <w:sz w:val="20"/>
          <w:szCs w:val="20"/>
        </w:rPr>
        <w:t>Javier Alberto Aguirre Chumbimuni, propuesto por el Estado</w:t>
      </w:r>
      <w:r>
        <w:rPr>
          <w:rStyle w:val="FootnoteReference"/>
          <w:szCs w:val="20"/>
        </w:rPr>
        <w:footnoteReference w:id="31"/>
      </w:r>
      <w:r w:rsidRPr="00D91934">
        <w:rPr>
          <w:rFonts w:ascii="Verdana" w:hAnsi="Verdana"/>
          <w:sz w:val="20"/>
          <w:szCs w:val="20"/>
        </w:rPr>
        <w:t>.</w:t>
      </w:r>
    </w:p>
    <w:p w14:paraId="6D172BD7" w14:textId="77777777" w:rsidR="00FB723A" w:rsidRPr="00CD6059" w:rsidRDefault="00FB723A" w:rsidP="00FB723A">
      <w:pPr>
        <w:jc w:val="both"/>
        <w:rPr>
          <w:rFonts w:ascii="Verdana" w:hAnsi="Verdana"/>
          <w:sz w:val="20"/>
          <w:szCs w:val="20"/>
        </w:rPr>
      </w:pPr>
    </w:p>
    <w:p w14:paraId="6D172BD8" w14:textId="77777777" w:rsidR="00FB723A" w:rsidRPr="00CD6059" w:rsidRDefault="00FB723A" w:rsidP="00FB723A">
      <w:pPr>
        <w:pStyle w:val="Heading2"/>
        <w:numPr>
          <w:ilvl w:val="0"/>
          <w:numId w:val="6"/>
        </w:numPr>
        <w:spacing w:before="0"/>
        <w:rPr>
          <w:rFonts w:ascii="Verdana" w:hAnsi="Verdana"/>
          <w:i/>
          <w:color w:val="auto"/>
          <w:sz w:val="20"/>
          <w:szCs w:val="20"/>
        </w:rPr>
      </w:pPr>
      <w:bookmarkStart w:id="25" w:name="_Toc357162194"/>
      <w:bookmarkStart w:id="26" w:name="_Toc364433342"/>
      <w:bookmarkStart w:id="27" w:name="_Toc366593548"/>
      <w:bookmarkStart w:id="28" w:name="_Toc482093034"/>
      <w:r w:rsidRPr="00CD6059">
        <w:rPr>
          <w:rFonts w:ascii="Verdana" w:hAnsi="Verdana"/>
          <w:i/>
          <w:color w:val="auto"/>
          <w:sz w:val="20"/>
          <w:szCs w:val="20"/>
        </w:rPr>
        <w:t>Admisión de la prueba</w:t>
      </w:r>
      <w:bookmarkEnd w:id="25"/>
      <w:bookmarkEnd w:id="26"/>
      <w:bookmarkEnd w:id="27"/>
      <w:bookmarkEnd w:id="28"/>
    </w:p>
    <w:p w14:paraId="6D172BD9" w14:textId="77777777" w:rsidR="00FB723A" w:rsidRPr="00CD6059" w:rsidRDefault="00FB723A" w:rsidP="00FB723A">
      <w:pPr>
        <w:pStyle w:val="ListParagraph"/>
        <w:ind w:left="0"/>
        <w:jc w:val="both"/>
        <w:rPr>
          <w:rFonts w:ascii="Verdana" w:hAnsi="Verdana"/>
          <w:sz w:val="20"/>
          <w:szCs w:val="20"/>
        </w:rPr>
      </w:pPr>
    </w:p>
    <w:p w14:paraId="6D172BDA" w14:textId="6B8AF4C8" w:rsidR="00FB723A" w:rsidRPr="009C7422" w:rsidRDefault="00FB723A" w:rsidP="00FB723A">
      <w:pPr>
        <w:pStyle w:val="Heading3"/>
        <w:spacing w:before="0"/>
        <w:ind w:firstLine="360"/>
        <w:jc w:val="both"/>
        <w:rPr>
          <w:rFonts w:ascii="Verdana" w:hAnsi="Verdana"/>
          <w:i/>
          <w:strike/>
          <w:color w:val="auto"/>
          <w:sz w:val="20"/>
          <w:szCs w:val="20"/>
        </w:rPr>
      </w:pPr>
      <w:bookmarkStart w:id="29" w:name="_Toc482093035"/>
      <w:r w:rsidRPr="00CD6059">
        <w:rPr>
          <w:rFonts w:ascii="Verdana" w:hAnsi="Verdana"/>
          <w:i/>
          <w:color w:val="auto"/>
          <w:sz w:val="20"/>
          <w:szCs w:val="20"/>
        </w:rPr>
        <w:t>1</w:t>
      </w:r>
      <w:r w:rsidR="00761CF6">
        <w:rPr>
          <w:rFonts w:ascii="Verdana" w:hAnsi="Verdana"/>
          <w:i/>
          <w:color w:val="auto"/>
          <w:sz w:val="20"/>
          <w:szCs w:val="20"/>
        </w:rPr>
        <w:t>.</w:t>
      </w:r>
      <w:r w:rsidRPr="00CD6059">
        <w:rPr>
          <w:rFonts w:ascii="Verdana" w:hAnsi="Verdana"/>
          <w:i/>
          <w:color w:val="auto"/>
          <w:sz w:val="20"/>
          <w:szCs w:val="20"/>
        </w:rPr>
        <w:t xml:space="preserve"> </w:t>
      </w:r>
      <w:r w:rsidR="00483225">
        <w:rPr>
          <w:rFonts w:ascii="Verdana" w:hAnsi="Verdana"/>
          <w:i/>
          <w:color w:val="auto"/>
          <w:sz w:val="20"/>
          <w:szCs w:val="20"/>
        </w:rPr>
        <w:tab/>
      </w:r>
      <w:r w:rsidRPr="00CD6059">
        <w:rPr>
          <w:rFonts w:ascii="Verdana" w:hAnsi="Verdana"/>
          <w:i/>
          <w:color w:val="auto"/>
          <w:sz w:val="20"/>
          <w:szCs w:val="20"/>
        </w:rPr>
        <w:t>Admisión de la prueba documental</w:t>
      </w:r>
      <w:bookmarkEnd w:id="29"/>
    </w:p>
    <w:p w14:paraId="6D172BDB" w14:textId="77777777" w:rsidR="00FB723A" w:rsidRPr="00CD6059" w:rsidRDefault="00FB723A" w:rsidP="00FB723A">
      <w:pPr>
        <w:pStyle w:val="ListParagraph"/>
        <w:ind w:left="0"/>
        <w:jc w:val="both"/>
        <w:rPr>
          <w:rFonts w:ascii="Verdana" w:hAnsi="Verdana"/>
          <w:sz w:val="20"/>
          <w:szCs w:val="20"/>
        </w:rPr>
      </w:pPr>
    </w:p>
    <w:p w14:paraId="6D172BDC" w14:textId="1A38B862" w:rsidR="00FB723A" w:rsidRDefault="00FB723A" w:rsidP="00FB723A">
      <w:pPr>
        <w:pStyle w:val="ListParagraph"/>
        <w:numPr>
          <w:ilvl w:val="0"/>
          <w:numId w:val="2"/>
        </w:numPr>
        <w:ind w:left="0" w:firstLine="0"/>
        <w:jc w:val="both"/>
        <w:rPr>
          <w:rFonts w:ascii="Verdana" w:hAnsi="Verdana"/>
          <w:sz w:val="20"/>
          <w:szCs w:val="20"/>
        </w:rPr>
      </w:pPr>
      <w:r w:rsidRPr="00D91934">
        <w:rPr>
          <w:rFonts w:ascii="Verdana" w:hAnsi="Verdana"/>
          <w:sz w:val="20"/>
          <w:szCs w:val="20"/>
        </w:rPr>
        <w:t>En el presente caso, como en otros, la Corte admite aquellos documentos presentados por las partes y la Comisión en la debida oportunidad procesal o solicitados como prueba para mejor resolver, que no fueron controvertidos ni objetados</w:t>
      </w:r>
      <w:r w:rsidRPr="00A659C5">
        <w:rPr>
          <w:rStyle w:val="FootnoteReference"/>
          <w:szCs w:val="20"/>
        </w:rPr>
        <w:footnoteReference w:id="32"/>
      </w:r>
      <w:r w:rsidRPr="00853762">
        <w:rPr>
          <w:rFonts w:ascii="Verdana" w:hAnsi="Verdana"/>
          <w:sz w:val="20"/>
          <w:szCs w:val="20"/>
        </w:rPr>
        <w:t>,</w:t>
      </w:r>
      <w:r w:rsidRPr="00D91934">
        <w:rPr>
          <w:rFonts w:ascii="Verdana" w:hAnsi="Verdana"/>
          <w:sz w:val="20"/>
          <w:szCs w:val="20"/>
        </w:rPr>
        <w:t xml:space="preserve"> ni cuya </w:t>
      </w:r>
      <w:r w:rsidRPr="00D91934">
        <w:rPr>
          <w:rFonts w:ascii="Verdana" w:hAnsi="Verdana"/>
          <w:sz w:val="20"/>
          <w:szCs w:val="20"/>
        </w:rPr>
        <w:lastRenderedPageBreak/>
        <w:t>autenticidad fue puesta en duda</w:t>
      </w:r>
      <w:r w:rsidRPr="00CD6059">
        <w:rPr>
          <w:rFonts w:ascii="Verdana" w:hAnsi="Verdana"/>
          <w:sz w:val="20"/>
          <w:szCs w:val="20"/>
          <w:vertAlign w:val="superscript"/>
        </w:rPr>
        <w:footnoteReference w:id="33"/>
      </w:r>
      <w:r w:rsidRPr="00D91934">
        <w:rPr>
          <w:rFonts w:ascii="Verdana" w:hAnsi="Verdana"/>
          <w:sz w:val="20"/>
          <w:szCs w:val="20"/>
        </w:rPr>
        <w:t xml:space="preserve">. </w:t>
      </w:r>
      <w:r w:rsidRPr="00A659C5">
        <w:rPr>
          <w:rFonts w:ascii="Verdana" w:hAnsi="Verdana"/>
          <w:sz w:val="20"/>
          <w:szCs w:val="20"/>
        </w:rPr>
        <w:t>Los documentos exclusivamente solicitados por la Corte, que fueron aportados por las partes con posterioridad a la audiencia pública</w:t>
      </w:r>
      <w:r w:rsidRPr="001F53B3">
        <w:rPr>
          <w:rFonts w:ascii="Verdana" w:hAnsi="Verdana"/>
          <w:sz w:val="20"/>
          <w:szCs w:val="20"/>
        </w:rPr>
        <w:t>,</w:t>
      </w:r>
      <w:r w:rsidRPr="00D91934">
        <w:rPr>
          <w:rFonts w:ascii="Verdana" w:hAnsi="Verdana"/>
          <w:sz w:val="20"/>
          <w:szCs w:val="20"/>
        </w:rPr>
        <w:t xml:space="preserve"> son incorporados al acervo probatorio en aplicación del artículo 58 del Reglamento (</w:t>
      </w:r>
      <w:r w:rsidRPr="0058104A">
        <w:rPr>
          <w:rFonts w:ascii="Verdana" w:hAnsi="Verdana"/>
          <w:i/>
          <w:sz w:val="20"/>
          <w:szCs w:val="20"/>
        </w:rPr>
        <w:t>supra</w:t>
      </w:r>
      <w:r w:rsidRPr="00D91934">
        <w:rPr>
          <w:rFonts w:ascii="Verdana" w:hAnsi="Verdana"/>
          <w:sz w:val="20"/>
          <w:szCs w:val="20"/>
        </w:rPr>
        <w:t xml:space="preserve"> párr. </w:t>
      </w:r>
      <w:r w:rsidR="00A831AE">
        <w:rPr>
          <w:rFonts w:ascii="Verdana" w:hAnsi="Verdana"/>
          <w:sz w:val="20"/>
          <w:szCs w:val="20"/>
        </w:rPr>
        <w:t>10</w:t>
      </w:r>
      <w:r w:rsidRPr="00D91934">
        <w:rPr>
          <w:rFonts w:ascii="Verdana" w:hAnsi="Verdana"/>
          <w:sz w:val="20"/>
          <w:szCs w:val="20"/>
        </w:rPr>
        <w:t>).</w:t>
      </w:r>
      <w:r>
        <w:rPr>
          <w:rFonts w:ascii="Verdana" w:hAnsi="Verdana"/>
          <w:sz w:val="20"/>
          <w:szCs w:val="20"/>
        </w:rPr>
        <w:t xml:space="preserve"> </w:t>
      </w:r>
    </w:p>
    <w:p w14:paraId="6D172BDD" w14:textId="77777777" w:rsidR="00FB723A" w:rsidRDefault="00FB723A" w:rsidP="00FB723A">
      <w:pPr>
        <w:pStyle w:val="ListParagraph"/>
        <w:ind w:left="0"/>
        <w:jc w:val="both"/>
        <w:rPr>
          <w:rFonts w:ascii="Verdana" w:hAnsi="Verdana"/>
          <w:sz w:val="20"/>
          <w:szCs w:val="20"/>
        </w:rPr>
      </w:pPr>
    </w:p>
    <w:p w14:paraId="6D172BDE" w14:textId="0D064C77" w:rsidR="00FB723A" w:rsidRDefault="00FB723A" w:rsidP="00FB723A">
      <w:pPr>
        <w:pStyle w:val="ListParagraph"/>
        <w:numPr>
          <w:ilvl w:val="0"/>
          <w:numId w:val="2"/>
        </w:numPr>
        <w:ind w:left="0" w:firstLine="0"/>
        <w:jc w:val="both"/>
        <w:rPr>
          <w:rFonts w:ascii="Verdana" w:hAnsi="Verdana"/>
          <w:sz w:val="20"/>
          <w:szCs w:val="20"/>
        </w:rPr>
      </w:pPr>
      <w:r w:rsidRPr="00607D1F">
        <w:rPr>
          <w:rFonts w:ascii="Verdana" w:hAnsi="Verdana"/>
          <w:sz w:val="20"/>
          <w:szCs w:val="20"/>
        </w:rPr>
        <w:t xml:space="preserve">En cuanto a las notas de prensa, la Corte ha considerado que podrán ser apreciadas </w:t>
      </w:r>
      <w:r w:rsidR="00A831AE">
        <w:rPr>
          <w:rFonts w:ascii="Verdana" w:hAnsi="Verdana"/>
          <w:sz w:val="20"/>
          <w:szCs w:val="20"/>
        </w:rPr>
        <w:t>en cuanto</w:t>
      </w:r>
      <w:r w:rsidRPr="00607D1F">
        <w:rPr>
          <w:rFonts w:ascii="Verdana" w:hAnsi="Verdana"/>
          <w:sz w:val="20"/>
          <w:szCs w:val="20"/>
        </w:rPr>
        <w:t xml:space="preserve"> recojan hechos públicos y notorios o declaraciones de funcionarios del Estado, o cuando corroboren aspectos relacionados con el caso. En consecuencia, la Corte decide admitir los documentos que se encuentren completos o que, por lo menos, permitan constatar su fuente y fecha de publicación</w:t>
      </w:r>
      <w:r>
        <w:rPr>
          <w:rFonts w:ascii="Verdana" w:hAnsi="Verdana"/>
          <w:sz w:val="20"/>
          <w:szCs w:val="20"/>
          <w:vertAlign w:val="superscript"/>
        </w:rPr>
        <w:footnoteReference w:id="34"/>
      </w:r>
      <w:r w:rsidRPr="00607D1F">
        <w:rPr>
          <w:rFonts w:ascii="Verdana" w:hAnsi="Verdana"/>
          <w:sz w:val="20"/>
          <w:szCs w:val="20"/>
        </w:rPr>
        <w:t xml:space="preserve">. </w:t>
      </w:r>
    </w:p>
    <w:p w14:paraId="6D172BDF" w14:textId="77777777" w:rsidR="00FB723A" w:rsidRDefault="00FB723A" w:rsidP="00FB723A">
      <w:pPr>
        <w:pStyle w:val="ListParagraph"/>
        <w:ind w:left="0"/>
        <w:jc w:val="both"/>
        <w:rPr>
          <w:rFonts w:ascii="Verdana" w:hAnsi="Verdana"/>
          <w:sz w:val="20"/>
          <w:szCs w:val="20"/>
        </w:rPr>
      </w:pPr>
    </w:p>
    <w:p w14:paraId="6D172BE0" w14:textId="3366EF32" w:rsidR="00FB723A" w:rsidRPr="003B1861" w:rsidRDefault="00260B4F" w:rsidP="00FB723A">
      <w:pPr>
        <w:pStyle w:val="ListParagraph"/>
        <w:numPr>
          <w:ilvl w:val="0"/>
          <w:numId w:val="2"/>
        </w:numPr>
        <w:ind w:left="0" w:firstLine="0"/>
        <w:jc w:val="both"/>
        <w:rPr>
          <w:rFonts w:ascii="Verdana" w:hAnsi="Verdana"/>
          <w:sz w:val="20"/>
          <w:szCs w:val="20"/>
        </w:rPr>
      </w:pPr>
      <w:r>
        <w:rPr>
          <w:rFonts w:ascii="Verdana" w:hAnsi="Verdana"/>
          <w:sz w:val="20"/>
          <w:szCs w:val="20"/>
        </w:rPr>
        <w:t xml:space="preserve">El </w:t>
      </w:r>
      <w:r w:rsidR="00FB723A" w:rsidRPr="00594501">
        <w:rPr>
          <w:rFonts w:ascii="Verdana" w:hAnsi="Verdana"/>
          <w:sz w:val="20"/>
          <w:szCs w:val="20"/>
        </w:rPr>
        <w:t>video presentado por el Estado</w:t>
      </w:r>
      <w:r w:rsidR="00FB723A" w:rsidRPr="00594501">
        <w:rPr>
          <w:rStyle w:val="FootnoteReference"/>
          <w:szCs w:val="20"/>
        </w:rPr>
        <w:footnoteReference w:id="35"/>
      </w:r>
      <w:r w:rsidR="00FB723A" w:rsidRPr="00594501">
        <w:rPr>
          <w:rFonts w:ascii="Verdana" w:hAnsi="Verdana"/>
          <w:sz w:val="20"/>
          <w:szCs w:val="20"/>
        </w:rPr>
        <w:t xml:space="preserve">, </w:t>
      </w:r>
      <w:r w:rsidR="00FB723A" w:rsidRPr="0058798C">
        <w:rPr>
          <w:rFonts w:ascii="Verdana" w:hAnsi="Verdana"/>
          <w:sz w:val="20"/>
          <w:szCs w:val="20"/>
        </w:rPr>
        <w:t xml:space="preserve">en tanto </w:t>
      </w:r>
      <w:r w:rsidR="00FB723A" w:rsidRPr="003B1861">
        <w:rPr>
          <w:rFonts w:ascii="Verdana" w:hAnsi="Verdana"/>
          <w:sz w:val="20"/>
          <w:szCs w:val="20"/>
        </w:rPr>
        <w:t xml:space="preserve">se pudo acceder al contenido y </w:t>
      </w:r>
      <w:r w:rsidR="00FB723A" w:rsidRPr="0001732C">
        <w:rPr>
          <w:rFonts w:ascii="Verdana" w:hAnsi="Verdana"/>
          <w:sz w:val="20"/>
          <w:szCs w:val="20"/>
        </w:rPr>
        <w:t xml:space="preserve">al </w:t>
      </w:r>
      <w:r w:rsidR="00FB723A" w:rsidRPr="00F715F0">
        <w:rPr>
          <w:rFonts w:ascii="Verdana" w:hAnsi="Verdana"/>
          <w:sz w:val="20"/>
          <w:szCs w:val="20"/>
        </w:rPr>
        <w:t>no ser</w:t>
      </w:r>
      <w:r w:rsidR="00FB723A" w:rsidRPr="000071A4">
        <w:rPr>
          <w:rFonts w:ascii="Verdana" w:hAnsi="Verdana"/>
          <w:sz w:val="20"/>
          <w:szCs w:val="20"/>
        </w:rPr>
        <w:t xml:space="preserve"> impugnado </w:t>
      </w:r>
      <w:r w:rsidR="00FB723A" w:rsidRPr="00594501">
        <w:rPr>
          <w:rFonts w:ascii="Verdana" w:hAnsi="Verdana"/>
          <w:sz w:val="20"/>
          <w:szCs w:val="20"/>
        </w:rPr>
        <w:t xml:space="preserve">o cuestionado, </w:t>
      </w:r>
      <w:r w:rsidR="002A71B4" w:rsidRPr="000A0953">
        <w:rPr>
          <w:rFonts w:ascii="Verdana" w:hAnsi="Verdana"/>
          <w:sz w:val="20"/>
          <w:szCs w:val="20"/>
        </w:rPr>
        <w:t>será admitido y</w:t>
      </w:r>
      <w:r w:rsidR="002A71B4" w:rsidRPr="006231F4">
        <w:rPr>
          <w:rFonts w:ascii="Verdana" w:hAnsi="Verdana"/>
          <w:b/>
          <w:sz w:val="20"/>
          <w:szCs w:val="20"/>
        </w:rPr>
        <w:t xml:space="preserve"> </w:t>
      </w:r>
      <w:r w:rsidR="00FB723A" w:rsidRPr="00594501">
        <w:rPr>
          <w:rFonts w:ascii="Verdana" w:hAnsi="Verdana"/>
          <w:sz w:val="20"/>
          <w:szCs w:val="20"/>
        </w:rPr>
        <w:t>la Corte apreciará su contenido dentro del contexto del acervo probatorio</w:t>
      </w:r>
      <w:r w:rsidR="00FB723A" w:rsidRPr="00F715F0">
        <w:rPr>
          <w:rStyle w:val="FootnoteReference"/>
          <w:szCs w:val="20"/>
        </w:rPr>
        <w:footnoteReference w:id="36"/>
      </w:r>
      <w:r w:rsidR="00FB723A" w:rsidRPr="00F715F0">
        <w:rPr>
          <w:rFonts w:ascii="Verdana" w:hAnsi="Verdana"/>
          <w:sz w:val="20"/>
          <w:szCs w:val="20"/>
        </w:rPr>
        <w:t xml:space="preserve">. </w:t>
      </w:r>
    </w:p>
    <w:p w14:paraId="6D172BE1" w14:textId="77777777" w:rsidR="00FB723A" w:rsidRPr="00CD6059" w:rsidRDefault="00FB723A" w:rsidP="00FB723A">
      <w:pPr>
        <w:jc w:val="both"/>
        <w:rPr>
          <w:rFonts w:ascii="Verdana" w:hAnsi="Verdana"/>
          <w:sz w:val="20"/>
          <w:szCs w:val="20"/>
          <w:u w:val="single"/>
        </w:rPr>
      </w:pPr>
    </w:p>
    <w:p w14:paraId="6D172BE2" w14:textId="4CDD8BC6" w:rsidR="00FB723A" w:rsidRPr="00CD6059" w:rsidRDefault="00FB723A" w:rsidP="00FB723A">
      <w:pPr>
        <w:pStyle w:val="Heading3"/>
        <w:spacing w:before="0"/>
        <w:ind w:firstLine="360"/>
        <w:jc w:val="both"/>
        <w:rPr>
          <w:rFonts w:ascii="Verdana" w:hAnsi="Verdana"/>
          <w:i/>
          <w:color w:val="auto"/>
          <w:sz w:val="20"/>
          <w:szCs w:val="20"/>
        </w:rPr>
      </w:pPr>
      <w:bookmarkStart w:id="30" w:name="_Toc482093036"/>
      <w:r w:rsidRPr="00CD6059">
        <w:rPr>
          <w:rFonts w:ascii="Verdana" w:hAnsi="Verdana"/>
          <w:i/>
          <w:color w:val="auto"/>
          <w:sz w:val="20"/>
          <w:szCs w:val="20"/>
        </w:rPr>
        <w:t>2</w:t>
      </w:r>
      <w:r w:rsidR="00761CF6">
        <w:rPr>
          <w:rFonts w:ascii="Verdana" w:hAnsi="Verdana"/>
          <w:i/>
          <w:color w:val="auto"/>
          <w:sz w:val="20"/>
          <w:szCs w:val="20"/>
        </w:rPr>
        <w:t>.</w:t>
      </w:r>
      <w:r w:rsidRPr="00CD6059">
        <w:rPr>
          <w:rFonts w:ascii="Verdana" w:hAnsi="Verdana"/>
          <w:i/>
          <w:color w:val="auto"/>
          <w:sz w:val="20"/>
          <w:szCs w:val="20"/>
        </w:rPr>
        <w:t xml:space="preserve"> </w:t>
      </w:r>
      <w:r w:rsidR="00483225">
        <w:rPr>
          <w:rFonts w:ascii="Verdana" w:hAnsi="Verdana"/>
          <w:i/>
          <w:color w:val="auto"/>
          <w:sz w:val="20"/>
          <w:szCs w:val="20"/>
        </w:rPr>
        <w:tab/>
      </w:r>
      <w:r w:rsidRPr="00CD6059">
        <w:rPr>
          <w:rFonts w:ascii="Verdana" w:hAnsi="Verdana"/>
          <w:i/>
          <w:color w:val="auto"/>
          <w:sz w:val="20"/>
          <w:szCs w:val="20"/>
        </w:rPr>
        <w:t>Admisión de la prueba testimonial y pericial</w:t>
      </w:r>
      <w:bookmarkEnd w:id="30"/>
    </w:p>
    <w:p w14:paraId="6D172BE3" w14:textId="77777777" w:rsidR="00FB723A" w:rsidRPr="00CD6059" w:rsidRDefault="00FB723A" w:rsidP="00FB723A">
      <w:pPr>
        <w:jc w:val="both"/>
        <w:rPr>
          <w:rFonts w:ascii="Verdana" w:hAnsi="Verdana"/>
          <w:sz w:val="20"/>
          <w:szCs w:val="20"/>
        </w:rPr>
      </w:pPr>
    </w:p>
    <w:p w14:paraId="6D172BE4" w14:textId="45B021EF" w:rsidR="00FB723A" w:rsidRPr="00D91934" w:rsidRDefault="00FB723A" w:rsidP="00FB723A">
      <w:pPr>
        <w:pStyle w:val="ListParagraph"/>
        <w:numPr>
          <w:ilvl w:val="0"/>
          <w:numId w:val="2"/>
        </w:numPr>
        <w:ind w:left="0" w:firstLine="0"/>
        <w:jc w:val="both"/>
        <w:rPr>
          <w:rFonts w:ascii="Verdana" w:hAnsi="Verdana"/>
          <w:sz w:val="20"/>
          <w:szCs w:val="20"/>
        </w:rPr>
      </w:pPr>
      <w:r w:rsidRPr="00D91934">
        <w:rPr>
          <w:rFonts w:ascii="Verdana" w:eastAsia="Times New Roman" w:hAnsi="Verdana"/>
          <w:sz w:val="20"/>
          <w:szCs w:val="20"/>
        </w:rPr>
        <w:t xml:space="preserve">La Corte estima pertinente admitir </w:t>
      </w:r>
      <w:r w:rsidRPr="00D91934">
        <w:rPr>
          <w:rFonts w:ascii="Verdana" w:hAnsi="Verdana"/>
          <w:sz w:val="20"/>
          <w:szCs w:val="20"/>
        </w:rPr>
        <w:t xml:space="preserve">las declaraciones rendidas durante la audiencia pública y ante fedatario público, </w:t>
      </w:r>
      <w:r w:rsidRPr="00D91934">
        <w:rPr>
          <w:rFonts w:ascii="Verdana" w:eastAsia="Times New Roman" w:hAnsi="Verdana"/>
          <w:sz w:val="20"/>
          <w:szCs w:val="20"/>
        </w:rPr>
        <w:t xml:space="preserve">en cuanto se ajusten al objeto definido por el Presidente en la Resolución que ordenó </w:t>
      </w:r>
      <w:r w:rsidR="00410BF4" w:rsidRPr="00D91934">
        <w:rPr>
          <w:rFonts w:ascii="Verdana" w:eastAsia="Times New Roman" w:hAnsi="Verdana"/>
          <w:sz w:val="20"/>
          <w:szCs w:val="20"/>
        </w:rPr>
        <w:t>recibirl</w:t>
      </w:r>
      <w:r w:rsidR="00410BF4">
        <w:rPr>
          <w:rFonts w:ascii="Verdana" w:eastAsia="Times New Roman" w:hAnsi="Verdana"/>
          <w:sz w:val="20"/>
          <w:szCs w:val="20"/>
        </w:rPr>
        <w:t>a</w:t>
      </w:r>
      <w:r w:rsidR="00410BF4" w:rsidRPr="00D91934">
        <w:rPr>
          <w:rFonts w:ascii="Verdana" w:eastAsia="Times New Roman" w:hAnsi="Verdana"/>
          <w:sz w:val="20"/>
          <w:szCs w:val="20"/>
        </w:rPr>
        <w:t xml:space="preserve">s </w:t>
      </w:r>
      <w:r w:rsidRPr="00D91934">
        <w:rPr>
          <w:rFonts w:ascii="Verdana" w:eastAsia="Times New Roman" w:hAnsi="Verdana"/>
          <w:sz w:val="20"/>
          <w:szCs w:val="20"/>
        </w:rPr>
        <w:t>y al objeto del presente caso (</w:t>
      </w:r>
      <w:r w:rsidRPr="0058104A">
        <w:rPr>
          <w:rFonts w:ascii="Verdana" w:eastAsia="Times New Roman" w:hAnsi="Verdana"/>
          <w:i/>
          <w:sz w:val="20"/>
          <w:szCs w:val="20"/>
        </w:rPr>
        <w:t>supra</w:t>
      </w:r>
      <w:r w:rsidRPr="00D91934">
        <w:rPr>
          <w:rFonts w:ascii="Verdana" w:eastAsia="Times New Roman" w:hAnsi="Verdana"/>
          <w:sz w:val="20"/>
          <w:szCs w:val="20"/>
        </w:rPr>
        <w:t xml:space="preserve"> párr. </w:t>
      </w:r>
      <w:r w:rsidR="004554E2">
        <w:rPr>
          <w:rFonts w:ascii="Verdana" w:eastAsia="Times New Roman" w:hAnsi="Verdana"/>
          <w:sz w:val="20"/>
          <w:szCs w:val="20"/>
        </w:rPr>
        <w:t>9</w:t>
      </w:r>
      <w:r w:rsidRPr="00D91934">
        <w:rPr>
          <w:rFonts w:ascii="Verdana" w:eastAsia="Times New Roman" w:hAnsi="Verdana"/>
          <w:sz w:val="20"/>
          <w:szCs w:val="20"/>
        </w:rPr>
        <w:t>).</w:t>
      </w:r>
    </w:p>
    <w:p w14:paraId="6D172BE5" w14:textId="77777777" w:rsidR="00FB723A" w:rsidRPr="00CD6059" w:rsidRDefault="00FB723A" w:rsidP="00FB723A">
      <w:pPr>
        <w:jc w:val="both"/>
        <w:rPr>
          <w:rFonts w:ascii="Verdana" w:hAnsi="Verdana"/>
          <w:sz w:val="20"/>
          <w:szCs w:val="20"/>
        </w:rPr>
      </w:pPr>
    </w:p>
    <w:p w14:paraId="6D172BE6" w14:textId="77777777" w:rsidR="00FB723A" w:rsidRPr="00CD6059" w:rsidRDefault="00FB723A" w:rsidP="00FB723A">
      <w:pPr>
        <w:pStyle w:val="Heading2"/>
        <w:numPr>
          <w:ilvl w:val="0"/>
          <w:numId w:val="6"/>
        </w:numPr>
        <w:spacing w:before="0"/>
        <w:rPr>
          <w:rFonts w:ascii="Verdana" w:hAnsi="Verdana"/>
          <w:i/>
          <w:color w:val="auto"/>
          <w:sz w:val="20"/>
          <w:szCs w:val="20"/>
        </w:rPr>
      </w:pPr>
      <w:bookmarkStart w:id="31" w:name="_Toc482093037"/>
      <w:r w:rsidRPr="00CD6059">
        <w:rPr>
          <w:rFonts w:ascii="Verdana" w:hAnsi="Verdana"/>
          <w:i/>
          <w:color w:val="auto"/>
          <w:sz w:val="20"/>
          <w:szCs w:val="20"/>
        </w:rPr>
        <w:t>Valoración de la prueba</w:t>
      </w:r>
      <w:bookmarkEnd w:id="31"/>
    </w:p>
    <w:p w14:paraId="6D172BE7" w14:textId="77777777" w:rsidR="00FB723A" w:rsidRPr="00CD6059" w:rsidRDefault="00FB723A" w:rsidP="00FB723A">
      <w:pPr>
        <w:pStyle w:val="ListParagraph"/>
        <w:rPr>
          <w:rFonts w:ascii="Verdana" w:hAnsi="Verdana"/>
          <w:sz w:val="20"/>
          <w:szCs w:val="20"/>
        </w:rPr>
      </w:pPr>
    </w:p>
    <w:p w14:paraId="6D172BE8" w14:textId="77777777" w:rsidR="00FB723A" w:rsidRDefault="00FB723A" w:rsidP="00FB723A">
      <w:pPr>
        <w:pStyle w:val="ListParagraph"/>
        <w:numPr>
          <w:ilvl w:val="0"/>
          <w:numId w:val="2"/>
        </w:numPr>
        <w:ind w:left="0" w:firstLine="0"/>
        <w:jc w:val="both"/>
        <w:rPr>
          <w:rFonts w:ascii="Verdana" w:eastAsia="Times New Roman" w:hAnsi="Verdana"/>
          <w:sz w:val="20"/>
          <w:szCs w:val="20"/>
        </w:rPr>
      </w:pPr>
      <w:r w:rsidRPr="00D91934">
        <w:rPr>
          <w:rFonts w:ascii="Verdana" w:eastAsia="Times New Roman" w:hAnsi="Verdana"/>
          <w:sz w:val="20"/>
          <w:szCs w:val="20"/>
        </w:rPr>
        <w:t>Con base en su jurisprudencia constante respecto de la prueba y su apreciación, la Corte examinará y valorará los elementos probatorios documentales</w:t>
      </w:r>
      <w:r w:rsidR="007D5610">
        <w:rPr>
          <w:rFonts w:ascii="Verdana" w:eastAsia="Times New Roman" w:hAnsi="Verdana"/>
          <w:sz w:val="20"/>
          <w:szCs w:val="20"/>
        </w:rPr>
        <w:t xml:space="preserve"> y video gráficos</w:t>
      </w:r>
      <w:r w:rsidRPr="00D91934">
        <w:rPr>
          <w:rFonts w:ascii="Verdana" w:eastAsia="Times New Roman" w:hAnsi="Verdana"/>
          <w:sz w:val="20"/>
          <w:szCs w:val="20"/>
        </w:rPr>
        <w:t xml:space="preserve"> remitidos por las partes y la Comisión, las declaraciones, testimonios y dictámenes periciales, así como la prueba para mejor resolver solicitada e incorporada por este Tribunal, al establecer los hechos del caso y pronunciarse sobre el fondo. Para ello se sujeta a los principios de la sana crítica, dentro del marco normativo correspondiente, teniendo en cuenta el conjunto del acervo probatorio y lo alegado en la causa</w:t>
      </w:r>
      <w:r w:rsidRPr="00CD6059">
        <w:rPr>
          <w:rFonts w:ascii="Verdana" w:eastAsia="Times New Roman" w:hAnsi="Verdana"/>
          <w:sz w:val="20"/>
          <w:szCs w:val="20"/>
          <w:vertAlign w:val="superscript"/>
        </w:rPr>
        <w:footnoteReference w:id="37"/>
      </w:r>
      <w:r w:rsidRPr="00D91934">
        <w:rPr>
          <w:rFonts w:ascii="Verdana" w:eastAsia="Times New Roman" w:hAnsi="Verdana"/>
          <w:sz w:val="20"/>
          <w:szCs w:val="20"/>
        </w:rPr>
        <w:t>.</w:t>
      </w:r>
      <w:bookmarkStart w:id="32" w:name="_Ref402038884"/>
    </w:p>
    <w:p w14:paraId="6D172BE9" w14:textId="77777777" w:rsidR="00FB723A" w:rsidRDefault="00FB723A" w:rsidP="00FB723A">
      <w:pPr>
        <w:pStyle w:val="ListParagraph"/>
        <w:ind w:left="0"/>
        <w:jc w:val="both"/>
        <w:rPr>
          <w:rFonts w:ascii="Verdana" w:eastAsia="Times New Roman" w:hAnsi="Verdana"/>
          <w:sz w:val="20"/>
          <w:szCs w:val="20"/>
        </w:rPr>
      </w:pPr>
    </w:p>
    <w:p w14:paraId="6D172BEA" w14:textId="77777777" w:rsidR="00FB723A" w:rsidRDefault="00FB723A" w:rsidP="00FB723A">
      <w:pPr>
        <w:pStyle w:val="ListParagraph"/>
        <w:numPr>
          <w:ilvl w:val="0"/>
          <w:numId w:val="2"/>
        </w:numPr>
        <w:ind w:left="0" w:firstLine="0"/>
        <w:jc w:val="both"/>
        <w:rPr>
          <w:rFonts w:ascii="Verdana" w:eastAsia="Times New Roman" w:hAnsi="Verdana"/>
          <w:sz w:val="20"/>
          <w:szCs w:val="20"/>
        </w:rPr>
      </w:pPr>
      <w:r w:rsidRPr="00D91934">
        <w:rPr>
          <w:rFonts w:ascii="Verdana" w:eastAsia="Times New Roman" w:hAnsi="Verdana"/>
          <w:sz w:val="20"/>
          <w:szCs w:val="20"/>
        </w:rPr>
        <w:lastRenderedPageBreak/>
        <w:t xml:space="preserve">Asimismo, conforme a la jurisprudencia de este Tribunal, la </w:t>
      </w:r>
      <w:r w:rsidR="006B52CD" w:rsidRPr="00D91934">
        <w:rPr>
          <w:rFonts w:ascii="Verdana" w:eastAsia="Times New Roman" w:hAnsi="Verdana"/>
          <w:sz w:val="20"/>
          <w:szCs w:val="20"/>
        </w:rPr>
        <w:t>declaraci</w:t>
      </w:r>
      <w:r w:rsidR="006B52CD">
        <w:rPr>
          <w:rFonts w:ascii="Verdana" w:eastAsia="Times New Roman" w:hAnsi="Verdana"/>
          <w:sz w:val="20"/>
          <w:szCs w:val="20"/>
        </w:rPr>
        <w:t>ón</w:t>
      </w:r>
      <w:r w:rsidR="006B52CD" w:rsidRPr="00D91934">
        <w:rPr>
          <w:rFonts w:ascii="Verdana" w:eastAsia="Times New Roman" w:hAnsi="Verdana"/>
          <w:sz w:val="20"/>
          <w:szCs w:val="20"/>
        </w:rPr>
        <w:t xml:space="preserve"> </w:t>
      </w:r>
      <w:r w:rsidRPr="00D91934">
        <w:rPr>
          <w:rFonts w:ascii="Verdana" w:eastAsia="Times New Roman" w:hAnsi="Verdana"/>
          <w:sz w:val="20"/>
          <w:szCs w:val="20"/>
        </w:rPr>
        <w:t>rendida por la presunta víctima no puede ser valorada aisladamente sino dentro del conjunto de las pruebas del proceso, en la medida en que puede proporcionar mayor información sobre las presuntas violaciones y sus consecuencias</w:t>
      </w:r>
      <w:r w:rsidRPr="00CD6059">
        <w:rPr>
          <w:rFonts w:ascii="Verdana" w:eastAsia="Times New Roman" w:hAnsi="Verdana"/>
          <w:sz w:val="20"/>
          <w:szCs w:val="20"/>
          <w:vertAlign w:val="superscript"/>
        </w:rPr>
        <w:footnoteReference w:id="38"/>
      </w:r>
      <w:r w:rsidRPr="00D91934">
        <w:rPr>
          <w:rFonts w:ascii="Verdana" w:eastAsia="Times New Roman" w:hAnsi="Verdana"/>
          <w:sz w:val="20"/>
          <w:szCs w:val="20"/>
        </w:rPr>
        <w:t>.</w:t>
      </w:r>
      <w:bookmarkEnd w:id="32"/>
    </w:p>
    <w:p w14:paraId="6D172BEB" w14:textId="77777777" w:rsidR="00FB723A" w:rsidRDefault="00FB723A" w:rsidP="00FB723A">
      <w:pPr>
        <w:rPr>
          <w:rFonts w:ascii="Verdana" w:eastAsia="Times New Roman" w:hAnsi="Verdana"/>
          <w:sz w:val="20"/>
          <w:szCs w:val="20"/>
        </w:rPr>
      </w:pPr>
    </w:p>
    <w:p w14:paraId="6D172BEC" w14:textId="77777777" w:rsidR="00FB723A" w:rsidRPr="00E15CA9" w:rsidRDefault="00FB723A" w:rsidP="00FB723A">
      <w:pPr>
        <w:pStyle w:val="Heading1"/>
        <w:tabs>
          <w:tab w:val="left" w:pos="851"/>
        </w:tabs>
        <w:spacing w:before="0"/>
        <w:jc w:val="center"/>
        <w:rPr>
          <w:rFonts w:ascii="Verdana" w:hAnsi="Verdana" w:cs="Verdana"/>
          <w:caps/>
          <w:snapToGrid w:val="0"/>
          <w:color w:val="auto"/>
          <w:sz w:val="20"/>
          <w:szCs w:val="20"/>
        </w:rPr>
      </w:pPr>
      <w:bookmarkStart w:id="33" w:name="_Toc482093038"/>
      <w:r w:rsidRPr="00CD6059">
        <w:rPr>
          <w:rFonts w:ascii="Verdana" w:hAnsi="Verdana" w:cs="Verdana"/>
          <w:caps/>
          <w:snapToGrid w:val="0"/>
          <w:color w:val="auto"/>
          <w:sz w:val="20"/>
          <w:szCs w:val="20"/>
        </w:rPr>
        <w:t>V</w:t>
      </w:r>
      <w:r>
        <w:rPr>
          <w:rFonts w:ascii="Verdana" w:hAnsi="Verdana" w:cs="Verdana"/>
          <w:caps/>
          <w:snapToGrid w:val="0"/>
          <w:color w:val="auto"/>
          <w:sz w:val="20"/>
          <w:szCs w:val="20"/>
        </w:rPr>
        <w:t>i</w:t>
      </w:r>
      <w:r w:rsidR="006274F9">
        <w:rPr>
          <w:rFonts w:ascii="Verdana" w:hAnsi="Verdana" w:cs="Verdana"/>
          <w:caps/>
          <w:snapToGrid w:val="0"/>
          <w:color w:val="auto"/>
          <w:sz w:val="20"/>
          <w:szCs w:val="20"/>
        </w:rPr>
        <w:t>I</w:t>
      </w:r>
      <w:r w:rsidRPr="00CD6059">
        <w:rPr>
          <w:rFonts w:ascii="Verdana" w:hAnsi="Verdana" w:cs="Verdana"/>
          <w:caps/>
          <w:snapToGrid w:val="0"/>
          <w:color w:val="auto"/>
          <w:sz w:val="20"/>
          <w:szCs w:val="20"/>
        </w:rPr>
        <w:br/>
      </w:r>
      <w:r w:rsidRPr="00853762">
        <w:rPr>
          <w:rFonts w:ascii="Verdana" w:hAnsi="Verdana" w:cs="Verdana"/>
          <w:caps/>
          <w:snapToGrid w:val="0"/>
          <w:color w:val="auto"/>
          <w:sz w:val="20"/>
          <w:szCs w:val="20"/>
        </w:rPr>
        <w:t>hechos</w:t>
      </w:r>
      <w:bookmarkEnd w:id="33"/>
    </w:p>
    <w:p w14:paraId="6D172BED" w14:textId="77777777" w:rsidR="00FB723A" w:rsidRPr="003F1BE4" w:rsidRDefault="00FB723A" w:rsidP="00FB723A">
      <w:pPr>
        <w:jc w:val="both"/>
        <w:rPr>
          <w:rFonts w:ascii="Verdana" w:hAnsi="Verdana"/>
          <w:spacing w:val="-2"/>
          <w:sz w:val="20"/>
          <w:szCs w:val="20"/>
        </w:rPr>
      </w:pPr>
    </w:p>
    <w:p w14:paraId="6D172BEE" w14:textId="0EF32E87" w:rsidR="00FB723A" w:rsidRPr="00A659C5" w:rsidRDefault="00FB723A" w:rsidP="00FB723A">
      <w:pPr>
        <w:pStyle w:val="ListParagraph"/>
        <w:numPr>
          <w:ilvl w:val="0"/>
          <w:numId w:val="2"/>
        </w:numPr>
        <w:ind w:left="0" w:hanging="11"/>
        <w:jc w:val="both"/>
        <w:rPr>
          <w:rFonts w:ascii="Verdana" w:hAnsi="Verdana"/>
          <w:b/>
          <w:spacing w:val="-2"/>
          <w:sz w:val="20"/>
          <w:szCs w:val="20"/>
          <w:lang w:val="es-CR"/>
        </w:rPr>
      </w:pPr>
      <w:r w:rsidRPr="002765D2">
        <w:rPr>
          <w:rFonts w:ascii="Verdana" w:hAnsi="Verdana"/>
          <w:spacing w:val="-2"/>
          <w:sz w:val="20"/>
          <w:szCs w:val="20"/>
          <w:lang w:val="es-CR"/>
        </w:rPr>
        <w:t>En este capítulo se establecerán los hechos del presente caso, con base en el marco fáctico sometido a</w:t>
      </w:r>
      <w:r w:rsidRPr="00000743">
        <w:rPr>
          <w:rFonts w:ascii="Verdana" w:hAnsi="Verdana"/>
          <w:spacing w:val="-2"/>
          <w:sz w:val="20"/>
          <w:szCs w:val="20"/>
          <w:lang w:val="es-CR"/>
        </w:rPr>
        <w:t>l</w:t>
      </w:r>
      <w:r w:rsidRPr="00703F50">
        <w:rPr>
          <w:rFonts w:ascii="Verdana" w:hAnsi="Verdana"/>
          <w:spacing w:val="-2"/>
          <w:sz w:val="20"/>
          <w:szCs w:val="20"/>
          <w:lang w:val="es-CR"/>
        </w:rPr>
        <w:t xml:space="preserve"> conocimiento de la Corte por la Comisión, tomando en consideración el acervo probatorio del caso, así como lo alegado por los representantes y el Estado. De esta forma los mismos serán expuestos en los siguientes apartados: a) antecedentes, funciones y competencias </w:t>
      </w:r>
      <w:r w:rsidRPr="00A24DB0">
        <w:rPr>
          <w:rFonts w:ascii="Verdana" w:hAnsi="Verdana"/>
          <w:sz w:val="20"/>
          <w:szCs w:val="20"/>
          <w:lang w:val="es-ES"/>
        </w:rPr>
        <w:t>del señor Zegarra Marín</w:t>
      </w:r>
      <w:r>
        <w:rPr>
          <w:rFonts w:ascii="Verdana" w:hAnsi="Verdana"/>
          <w:sz w:val="20"/>
          <w:szCs w:val="20"/>
          <w:lang w:val="es-ES"/>
        </w:rPr>
        <w:t xml:space="preserve"> como Jefe de la Sub Dirección de Pasaportes</w:t>
      </w:r>
      <w:r w:rsidRPr="00C804E5">
        <w:rPr>
          <w:rFonts w:ascii="Verdana" w:hAnsi="Verdana"/>
          <w:spacing w:val="-2"/>
          <w:sz w:val="20"/>
          <w:szCs w:val="20"/>
          <w:lang w:val="es-CR"/>
        </w:rPr>
        <w:t>; b) investigación</w:t>
      </w:r>
      <w:r>
        <w:rPr>
          <w:rFonts w:ascii="Verdana" w:hAnsi="Verdana"/>
          <w:spacing w:val="-2"/>
          <w:sz w:val="20"/>
          <w:szCs w:val="20"/>
          <w:lang w:val="es-CR"/>
        </w:rPr>
        <w:t>, detención</w:t>
      </w:r>
      <w:r w:rsidRPr="00C804E5">
        <w:rPr>
          <w:rFonts w:ascii="Verdana" w:hAnsi="Verdana"/>
          <w:spacing w:val="-2"/>
          <w:sz w:val="20"/>
          <w:szCs w:val="20"/>
          <w:lang w:val="es-CR"/>
        </w:rPr>
        <w:t xml:space="preserve"> y proceso penal </w:t>
      </w:r>
      <w:r w:rsidRPr="00D253CC">
        <w:rPr>
          <w:rFonts w:ascii="Verdana" w:hAnsi="Verdana"/>
          <w:sz w:val="20"/>
          <w:szCs w:val="20"/>
          <w:lang w:val="es-ES"/>
        </w:rPr>
        <w:t>del señor Zegarra Marín</w:t>
      </w:r>
      <w:r w:rsidRPr="005673EE">
        <w:rPr>
          <w:rFonts w:ascii="Verdana" w:hAnsi="Verdana"/>
          <w:spacing w:val="-2"/>
          <w:sz w:val="20"/>
          <w:szCs w:val="20"/>
          <w:lang w:val="es-CR"/>
        </w:rPr>
        <w:t>; c) recurso de nulidad; d) recurso de revisión</w:t>
      </w:r>
      <w:r w:rsidRPr="007B49CB">
        <w:rPr>
          <w:rFonts w:ascii="Verdana" w:hAnsi="Verdana"/>
          <w:spacing w:val="-2"/>
          <w:sz w:val="20"/>
          <w:szCs w:val="20"/>
          <w:lang w:val="es-CR"/>
        </w:rPr>
        <w:t>,</w:t>
      </w:r>
      <w:r w:rsidRPr="00C16A82">
        <w:rPr>
          <w:rFonts w:ascii="Verdana" w:hAnsi="Verdana"/>
          <w:spacing w:val="-2"/>
          <w:sz w:val="20"/>
          <w:szCs w:val="20"/>
          <w:lang w:val="es-CR"/>
        </w:rPr>
        <w:t xml:space="preserve"> y </w:t>
      </w:r>
      <w:r w:rsidRPr="008760C3">
        <w:rPr>
          <w:rFonts w:ascii="Verdana" w:hAnsi="Verdana"/>
          <w:spacing w:val="-2"/>
          <w:sz w:val="20"/>
          <w:szCs w:val="20"/>
          <w:lang w:val="es-CR"/>
        </w:rPr>
        <w:t xml:space="preserve">e) denuncias presentadas contra </w:t>
      </w:r>
      <w:r>
        <w:rPr>
          <w:rFonts w:ascii="Verdana" w:hAnsi="Verdana"/>
          <w:spacing w:val="-2"/>
          <w:sz w:val="20"/>
          <w:szCs w:val="20"/>
          <w:lang w:val="es-CR"/>
        </w:rPr>
        <w:t xml:space="preserve">magistrados y </w:t>
      </w:r>
      <w:r w:rsidRPr="008760C3">
        <w:rPr>
          <w:rFonts w:ascii="Verdana" w:hAnsi="Verdana"/>
          <w:spacing w:val="-2"/>
          <w:sz w:val="20"/>
          <w:szCs w:val="20"/>
          <w:lang w:val="es-CR"/>
        </w:rPr>
        <w:t>funcionarios con posterioridad al recurso de revisión</w:t>
      </w:r>
      <w:r w:rsidRPr="00A659C5">
        <w:rPr>
          <w:rFonts w:ascii="Verdana" w:hAnsi="Verdana"/>
          <w:spacing w:val="-2"/>
          <w:sz w:val="20"/>
          <w:szCs w:val="20"/>
          <w:lang w:val="es-CR"/>
        </w:rPr>
        <w:t>.</w:t>
      </w:r>
    </w:p>
    <w:p w14:paraId="6D172BEF" w14:textId="77777777" w:rsidR="00FB723A" w:rsidRPr="00853762" w:rsidRDefault="00FB723A" w:rsidP="00FB723A">
      <w:pPr>
        <w:pStyle w:val="ListParagraph"/>
        <w:ind w:left="0"/>
        <w:jc w:val="both"/>
        <w:rPr>
          <w:rFonts w:ascii="Verdana" w:hAnsi="Verdana"/>
          <w:spacing w:val="-2"/>
          <w:sz w:val="20"/>
          <w:szCs w:val="20"/>
          <w:lang w:val="es-CR"/>
        </w:rPr>
      </w:pPr>
    </w:p>
    <w:p w14:paraId="6D172BF0" w14:textId="77777777" w:rsidR="00FB723A" w:rsidRPr="00F049CF" w:rsidRDefault="00FB723A" w:rsidP="00D83DC8">
      <w:pPr>
        <w:pStyle w:val="Heading2"/>
        <w:numPr>
          <w:ilvl w:val="0"/>
          <w:numId w:val="7"/>
        </w:numPr>
        <w:spacing w:before="0"/>
        <w:jc w:val="both"/>
        <w:rPr>
          <w:rFonts w:ascii="Verdana" w:hAnsi="Verdana"/>
          <w:i/>
          <w:color w:val="auto"/>
          <w:sz w:val="20"/>
          <w:szCs w:val="20"/>
        </w:rPr>
      </w:pPr>
      <w:bookmarkStart w:id="34" w:name="_Toc482093039"/>
      <w:r w:rsidRPr="003F1BE4">
        <w:rPr>
          <w:rFonts w:ascii="Verdana" w:hAnsi="Verdana"/>
          <w:i/>
          <w:color w:val="auto"/>
          <w:sz w:val="20"/>
          <w:szCs w:val="20"/>
        </w:rPr>
        <w:t>Antecedentes, funciones</w:t>
      </w:r>
      <w:r w:rsidRPr="00F049CF">
        <w:rPr>
          <w:rFonts w:ascii="Verdana" w:hAnsi="Verdana"/>
          <w:i/>
          <w:color w:val="auto"/>
          <w:sz w:val="20"/>
          <w:szCs w:val="20"/>
        </w:rPr>
        <w:t xml:space="preserve"> y competencias </w:t>
      </w:r>
      <w:r w:rsidR="007F3B10">
        <w:rPr>
          <w:rFonts w:ascii="Verdana" w:hAnsi="Verdana"/>
          <w:i/>
          <w:color w:val="auto"/>
          <w:sz w:val="20"/>
          <w:szCs w:val="20"/>
        </w:rPr>
        <w:t xml:space="preserve">del señor </w:t>
      </w:r>
      <w:r w:rsidRPr="00F049CF">
        <w:rPr>
          <w:rFonts w:ascii="Verdana" w:hAnsi="Verdana"/>
          <w:i/>
          <w:color w:val="auto"/>
          <w:sz w:val="20"/>
          <w:szCs w:val="20"/>
        </w:rPr>
        <w:t>Zegarra Marín como Jefe de la Sub Dirección de Pasaportes</w:t>
      </w:r>
      <w:bookmarkEnd w:id="34"/>
      <w:r w:rsidRPr="00F049CF">
        <w:rPr>
          <w:rFonts w:ascii="Verdana" w:hAnsi="Verdana"/>
          <w:i/>
          <w:color w:val="auto"/>
          <w:sz w:val="20"/>
          <w:szCs w:val="20"/>
        </w:rPr>
        <w:t xml:space="preserve"> </w:t>
      </w:r>
    </w:p>
    <w:p w14:paraId="6D172BF1" w14:textId="77777777" w:rsidR="00FB723A" w:rsidRPr="00F049CF" w:rsidRDefault="00FB723A" w:rsidP="00FB723A">
      <w:pPr>
        <w:pStyle w:val="ListParagraph"/>
        <w:ind w:left="0"/>
        <w:jc w:val="both"/>
        <w:rPr>
          <w:rFonts w:ascii="Verdana" w:hAnsi="Verdana"/>
          <w:b/>
          <w:spacing w:val="-2"/>
          <w:sz w:val="20"/>
          <w:szCs w:val="20"/>
          <w:lang w:val="es-CR"/>
        </w:rPr>
      </w:pPr>
    </w:p>
    <w:p w14:paraId="6D172BF2" w14:textId="28C64AD9" w:rsidR="00FB723A" w:rsidRPr="00F049CF" w:rsidRDefault="00FB723A" w:rsidP="00FB723A">
      <w:pPr>
        <w:pStyle w:val="ListParagraph"/>
        <w:numPr>
          <w:ilvl w:val="0"/>
          <w:numId w:val="2"/>
        </w:numPr>
        <w:ind w:left="0" w:hanging="11"/>
        <w:jc w:val="both"/>
        <w:rPr>
          <w:rFonts w:ascii="Verdana" w:hAnsi="Verdana"/>
          <w:spacing w:val="-2"/>
          <w:sz w:val="20"/>
          <w:szCs w:val="20"/>
          <w:lang w:val="es-CR"/>
        </w:rPr>
      </w:pPr>
      <w:r w:rsidRPr="00F049CF">
        <w:rPr>
          <w:rFonts w:ascii="Verdana" w:hAnsi="Verdana"/>
          <w:spacing w:val="-2"/>
          <w:sz w:val="20"/>
          <w:szCs w:val="20"/>
          <w:lang w:val="es-CR"/>
        </w:rPr>
        <w:t xml:space="preserve"> </w:t>
      </w:r>
      <w:r>
        <w:rPr>
          <w:rFonts w:ascii="Verdana" w:hAnsi="Verdana"/>
          <w:sz w:val="20"/>
          <w:szCs w:val="20"/>
          <w:lang w:val="es-ES"/>
        </w:rPr>
        <w:t>E</w:t>
      </w:r>
      <w:r w:rsidRPr="0007798A">
        <w:rPr>
          <w:rFonts w:ascii="Verdana" w:hAnsi="Verdana"/>
          <w:sz w:val="20"/>
          <w:szCs w:val="20"/>
          <w:lang w:val="es-ES"/>
        </w:rPr>
        <w:t>l señor Zegarra Marín</w:t>
      </w:r>
      <w:r w:rsidRPr="00F049CF" w:rsidDel="00186534">
        <w:rPr>
          <w:rFonts w:ascii="Verdana" w:hAnsi="Verdana"/>
          <w:spacing w:val="-2"/>
          <w:sz w:val="20"/>
          <w:szCs w:val="20"/>
          <w:lang w:val="es-CR"/>
        </w:rPr>
        <w:t xml:space="preserve"> </w:t>
      </w:r>
      <w:r>
        <w:rPr>
          <w:rFonts w:ascii="Verdana" w:hAnsi="Verdana"/>
          <w:spacing w:val="-2"/>
          <w:sz w:val="20"/>
          <w:szCs w:val="20"/>
          <w:lang w:val="es-CR"/>
        </w:rPr>
        <w:t xml:space="preserve">nació el </w:t>
      </w:r>
      <w:r w:rsidR="00B14E8E" w:rsidRPr="000A0953">
        <w:rPr>
          <w:rFonts w:ascii="Verdana" w:hAnsi="Verdana"/>
          <w:spacing w:val="-2"/>
          <w:sz w:val="20"/>
          <w:szCs w:val="20"/>
          <w:lang w:val="es-CR"/>
        </w:rPr>
        <w:t>8 de febrero de 1951</w:t>
      </w:r>
      <w:r w:rsidR="00DF6672" w:rsidRPr="00631B30">
        <w:rPr>
          <w:rFonts w:ascii="Verdana" w:hAnsi="Verdana"/>
          <w:spacing w:val="-2"/>
          <w:sz w:val="20"/>
          <w:szCs w:val="20"/>
          <w:lang w:val="es-CR"/>
        </w:rPr>
        <w:t>,</w:t>
      </w:r>
      <w:r w:rsidR="00631B30">
        <w:rPr>
          <w:rFonts w:ascii="Verdana" w:hAnsi="Verdana"/>
          <w:b/>
          <w:spacing w:val="-2"/>
          <w:sz w:val="20"/>
          <w:szCs w:val="20"/>
          <w:lang w:val="es-CR"/>
        </w:rPr>
        <w:t xml:space="preserve"> </w:t>
      </w:r>
      <w:r w:rsidRPr="00F049CF">
        <w:rPr>
          <w:rFonts w:ascii="Verdana" w:hAnsi="Verdana"/>
          <w:spacing w:val="-2"/>
          <w:sz w:val="20"/>
          <w:szCs w:val="20"/>
          <w:lang w:val="es-CR"/>
        </w:rPr>
        <w:t>fue Comandante de la Policía Nacional del Perú (en adelante “PNP”), también ejercía la profesión de abogado, y ostentó el cargo de Sub Director de Pasaportes de la Dirección de Migraciones y Naturalización del Perú (en adelante “DMNP”) del 10 de marzo</w:t>
      </w:r>
      <w:r w:rsidRPr="00F049CF">
        <w:rPr>
          <w:rStyle w:val="FootnoteReference"/>
          <w:spacing w:val="-2"/>
          <w:szCs w:val="20"/>
          <w:lang w:val="es-CR"/>
        </w:rPr>
        <w:footnoteReference w:id="39"/>
      </w:r>
      <w:r w:rsidRPr="00F049CF">
        <w:rPr>
          <w:rFonts w:ascii="Verdana" w:hAnsi="Verdana"/>
          <w:spacing w:val="-2"/>
          <w:sz w:val="20"/>
          <w:szCs w:val="20"/>
          <w:lang w:val="es-CR"/>
        </w:rPr>
        <w:t xml:space="preserve"> al 28 de septiembre de 1994</w:t>
      </w:r>
      <w:r w:rsidRPr="00F049CF">
        <w:rPr>
          <w:rStyle w:val="FootnoteReference"/>
          <w:spacing w:val="-2"/>
          <w:szCs w:val="20"/>
          <w:lang w:val="es-CR"/>
        </w:rPr>
        <w:footnoteReference w:id="40"/>
      </w:r>
      <w:r w:rsidR="00EF4382">
        <w:rPr>
          <w:rFonts w:ascii="Verdana" w:hAnsi="Verdana"/>
          <w:spacing w:val="-2"/>
          <w:sz w:val="20"/>
          <w:szCs w:val="20"/>
          <w:lang w:val="es-CR"/>
        </w:rPr>
        <w:t>.</w:t>
      </w:r>
      <w:r w:rsidRPr="00F049CF">
        <w:rPr>
          <w:rFonts w:ascii="Verdana" w:hAnsi="Verdana"/>
          <w:spacing w:val="-2"/>
          <w:sz w:val="20"/>
          <w:szCs w:val="20"/>
          <w:lang w:val="es-CR"/>
        </w:rPr>
        <w:t xml:space="preserve"> El señor Zegarra Marín </w:t>
      </w:r>
      <w:r w:rsidR="007245AD">
        <w:rPr>
          <w:rFonts w:ascii="Verdana" w:hAnsi="Verdana"/>
          <w:spacing w:val="-2"/>
          <w:sz w:val="20"/>
          <w:szCs w:val="20"/>
          <w:lang w:val="es-CR"/>
        </w:rPr>
        <w:t>se encontraba</w:t>
      </w:r>
      <w:r w:rsidRPr="00F049CF">
        <w:rPr>
          <w:rFonts w:ascii="Verdana" w:hAnsi="Verdana"/>
          <w:spacing w:val="-2"/>
          <w:sz w:val="20"/>
          <w:szCs w:val="20"/>
          <w:lang w:val="es-CR"/>
        </w:rPr>
        <w:t xml:space="preserve"> casado y t</w:t>
      </w:r>
      <w:r w:rsidR="007245AD">
        <w:rPr>
          <w:rFonts w:ascii="Verdana" w:hAnsi="Verdana"/>
          <w:spacing w:val="-2"/>
          <w:sz w:val="20"/>
          <w:szCs w:val="20"/>
          <w:lang w:val="es-CR"/>
        </w:rPr>
        <w:t>enía</w:t>
      </w:r>
      <w:r w:rsidRPr="00F049CF">
        <w:rPr>
          <w:rFonts w:ascii="Verdana" w:hAnsi="Verdana"/>
          <w:spacing w:val="-2"/>
          <w:sz w:val="20"/>
          <w:szCs w:val="20"/>
          <w:lang w:val="es-CR"/>
        </w:rPr>
        <w:t xml:space="preserve"> 5 </w:t>
      </w:r>
      <w:r w:rsidR="00667BD7" w:rsidRPr="00F049CF">
        <w:rPr>
          <w:rFonts w:ascii="Verdana" w:hAnsi="Verdana"/>
          <w:spacing w:val="-2"/>
          <w:sz w:val="20"/>
          <w:szCs w:val="20"/>
          <w:lang w:val="es-CR"/>
        </w:rPr>
        <w:t>hij</w:t>
      </w:r>
      <w:r w:rsidR="00667BD7">
        <w:rPr>
          <w:rFonts w:ascii="Verdana" w:hAnsi="Verdana"/>
          <w:spacing w:val="-2"/>
          <w:sz w:val="20"/>
          <w:szCs w:val="20"/>
          <w:lang w:val="es-CR"/>
        </w:rPr>
        <w:t>as</w:t>
      </w:r>
      <w:r w:rsidR="00EF4382">
        <w:rPr>
          <w:rFonts w:ascii="Verdana" w:hAnsi="Verdana"/>
          <w:spacing w:val="-2"/>
          <w:sz w:val="20"/>
          <w:szCs w:val="20"/>
          <w:lang w:val="es-CR"/>
        </w:rPr>
        <w:t>.</w:t>
      </w:r>
      <w:r w:rsidR="007D03EE">
        <w:rPr>
          <w:rFonts w:ascii="Verdana" w:hAnsi="Verdana"/>
          <w:b/>
          <w:spacing w:val="-2"/>
          <w:sz w:val="20"/>
          <w:szCs w:val="20"/>
          <w:lang w:val="es-CR"/>
        </w:rPr>
        <w:t xml:space="preserve"> </w:t>
      </w:r>
    </w:p>
    <w:p w14:paraId="6D172BF3" w14:textId="77777777" w:rsidR="00FB723A" w:rsidRPr="00F049CF" w:rsidRDefault="00FB723A" w:rsidP="00FB723A">
      <w:pPr>
        <w:pStyle w:val="ListParagraph"/>
        <w:ind w:left="0"/>
        <w:jc w:val="both"/>
        <w:rPr>
          <w:rFonts w:ascii="Verdana" w:hAnsi="Verdana"/>
          <w:spacing w:val="-2"/>
          <w:sz w:val="20"/>
          <w:szCs w:val="20"/>
          <w:lang w:val="es-CR"/>
        </w:rPr>
      </w:pPr>
    </w:p>
    <w:p w14:paraId="6D172BF4" w14:textId="017D015E" w:rsidR="00FB723A" w:rsidRPr="00F049CF" w:rsidRDefault="00FB723A" w:rsidP="00FB723A">
      <w:pPr>
        <w:pStyle w:val="ListParagraph"/>
        <w:numPr>
          <w:ilvl w:val="0"/>
          <w:numId w:val="2"/>
        </w:numPr>
        <w:ind w:left="0" w:hanging="11"/>
        <w:jc w:val="both"/>
        <w:rPr>
          <w:rFonts w:ascii="Verdana" w:hAnsi="Verdana"/>
          <w:spacing w:val="-2"/>
          <w:sz w:val="20"/>
          <w:szCs w:val="20"/>
          <w:lang w:val="es-CR"/>
        </w:rPr>
      </w:pPr>
      <w:r w:rsidRPr="00F049CF">
        <w:rPr>
          <w:rFonts w:ascii="Verdana" w:hAnsi="Verdana"/>
          <w:spacing w:val="-2"/>
          <w:sz w:val="20"/>
          <w:szCs w:val="20"/>
          <w:lang w:val="es-CR"/>
        </w:rPr>
        <w:t>Conforme al Manual de Organización y Funciones de la Dirección General de Gobierno Interior de julio de 1993</w:t>
      </w:r>
      <w:r w:rsidRPr="00F049CF">
        <w:rPr>
          <w:rStyle w:val="FootnoteReference"/>
          <w:spacing w:val="-2"/>
          <w:szCs w:val="20"/>
          <w:lang w:val="es-CR"/>
        </w:rPr>
        <w:footnoteReference w:id="41"/>
      </w:r>
      <w:r w:rsidRPr="00F049CF">
        <w:rPr>
          <w:rFonts w:ascii="Verdana" w:hAnsi="Verdana"/>
          <w:spacing w:val="-2"/>
          <w:sz w:val="20"/>
          <w:szCs w:val="20"/>
          <w:lang w:val="es-CR"/>
        </w:rPr>
        <w:t xml:space="preserve"> (en adelante “MOF”), </w:t>
      </w:r>
      <w:r w:rsidR="00FE2BAB">
        <w:rPr>
          <w:rFonts w:ascii="Verdana" w:hAnsi="Verdana"/>
          <w:spacing w:val="-2"/>
          <w:sz w:val="20"/>
          <w:szCs w:val="20"/>
          <w:lang w:val="es-CR"/>
        </w:rPr>
        <w:t xml:space="preserve">la </w:t>
      </w:r>
      <w:r w:rsidRPr="00F049CF">
        <w:rPr>
          <w:rFonts w:ascii="Verdana" w:hAnsi="Verdana"/>
          <w:spacing w:val="-2"/>
          <w:sz w:val="20"/>
          <w:szCs w:val="20"/>
          <w:lang w:val="es-CR"/>
        </w:rPr>
        <w:t>Sub Direc</w:t>
      </w:r>
      <w:r w:rsidR="00FE2BAB">
        <w:rPr>
          <w:rFonts w:ascii="Verdana" w:hAnsi="Verdana"/>
          <w:spacing w:val="-2"/>
          <w:sz w:val="20"/>
          <w:szCs w:val="20"/>
          <w:lang w:val="es-CR"/>
        </w:rPr>
        <w:t>ción</w:t>
      </w:r>
      <w:r w:rsidRPr="00F049CF">
        <w:rPr>
          <w:rFonts w:ascii="Verdana" w:hAnsi="Verdana"/>
          <w:spacing w:val="-2"/>
          <w:sz w:val="20"/>
          <w:szCs w:val="20"/>
          <w:lang w:val="es-CR"/>
        </w:rPr>
        <w:t xml:space="preserve"> de Pasaportes de la DMNP, </w:t>
      </w:r>
      <w:r w:rsidR="00FE2BAB">
        <w:rPr>
          <w:rFonts w:ascii="Verdana" w:hAnsi="Verdana"/>
          <w:spacing w:val="-2"/>
          <w:sz w:val="20"/>
          <w:szCs w:val="20"/>
          <w:lang w:val="es-CR"/>
        </w:rPr>
        <w:t>tenía</w:t>
      </w:r>
      <w:r w:rsidR="00FE2BAB" w:rsidRPr="00F049CF">
        <w:rPr>
          <w:rFonts w:ascii="Verdana" w:hAnsi="Verdana"/>
          <w:spacing w:val="-2"/>
          <w:sz w:val="20"/>
          <w:szCs w:val="20"/>
          <w:lang w:val="es-CR"/>
        </w:rPr>
        <w:t xml:space="preserve"> </w:t>
      </w:r>
      <w:r w:rsidRPr="00F049CF">
        <w:rPr>
          <w:rFonts w:ascii="Verdana" w:hAnsi="Verdana"/>
          <w:spacing w:val="-2"/>
          <w:sz w:val="20"/>
          <w:szCs w:val="20"/>
          <w:lang w:val="es-CR"/>
        </w:rPr>
        <w:t xml:space="preserve">diversas funciones entre las cuales destacan las siguientes: </w:t>
      </w:r>
      <w:r>
        <w:rPr>
          <w:rFonts w:ascii="Verdana" w:hAnsi="Verdana"/>
          <w:spacing w:val="-2"/>
          <w:sz w:val="20"/>
          <w:szCs w:val="20"/>
          <w:lang w:val="es-CR"/>
        </w:rPr>
        <w:t>i</w:t>
      </w:r>
      <w:r w:rsidRPr="00F049CF">
        <w:rPr>
          <w:rFonts w:ascii="Verdana" w:hAnsi="Verdana"/>
          <w:spacing w:val="-2"/>
          <w:sz w:val="20"/>
          <w:szCs w:val="20"/>
          <w:lang w:val="es-CR"/>
        </w:rPr>
        <w:t xml:space="preserve">) planear, organizar, dirigir y controlar las acciones sobre expedición y revalidación de pasaportes comunes peruanos; </w:t>
      </w:r>
      <w:r>
        <w:rPr>
          <w:rFonts w:ascii="Verdana" w:hAnsi="Verdana"/>
          <w:spacing w:val="-2"/>
          <w:sz w:val="20"/>
          <w:szCs w:val="20"/>
          <w:lang w:val="es-CR"/>
        </w:rPr>
        <w:t>ii</w:t>
      </w:r>
      <w:r w:rsidRPr="00F049CF">
        <w:rPr>
          <w:rFonts w:ascii="Verdana" w:hAnsi="Verdana"/>
          <w:spacing w:val="-2"/>
          <w:sz w:val="20"/>
          <w:szCs w:val="20"/>
          <w:lang w:val="es-CR"/>
        </w:rPr>
        <w:t>) supervisar y controlar el trámite en la expedición de pasaportes nuevos</w:t>
      </w:r>
      <w:r w:rsidR="00BD0D97">
        <w:rPr>
          <w:rFonts w:ascii="Verdana" w:hAnsi="Verdana"/>
          <w:spacing w:val="-2"/>
          <w:sz w:val="20"/>
          <w:szCs w:val="20"/>
          <w:lang w:val="es-CR"/>
        </w:rPr>
        <w:t>,</w:t>
      </w:r>
      <w:r w:rsidRPr="00F049CF">
        <w:rPr>
          <w:rFonts w:ascii="Verdana" w:hAnsi="Verdana"/>
          <w:spacing w:val="-2"/>
          <w:sz w:val="20"/>
          <w:szCs w:val="20"/>
          <w:lang w:val="es-CR"/>
        </w:rPr>
        <w:t xml:space="preserve"> así como de revalidación; </w:t>
      </w:r>
      <w:r>
        <w:rPr>
          <w:rFonts w:ascii="Verdana" w:hAnsi="Verdana"/>
          <w:spacing w:val="-2"/>
          <w:sz w:val="20"/>
          <w:szCs w:val="20"/>
          <w:lang w:val="es-CR"/>
        </w:rPr>
        <w:t>iii</w:t>
      </w:r>
      <w:r w:rsidRPr="00F049CF">
        <w:rPr>
          <w:rFonts w:ascii="Verdana" w:hAnsi="Verdana"/>
          <w:spacing w:val="-2"/>
          <w:sz w:val="20"/>
          <w:szCs w:val="20"/>
          <w:lang w:val="es-CR"/>
        </w:rPr>
        <w:t xml:space="preserve">) coordinar el normal y oportuno abastecimiento de pasaportes en blanco para </w:t>
      </w:r>
      <w:r w:rsidR="00D317C8">
        <w:rPr>
          <w:rFonts w:ascii="Verdana" w:hAnsi="Verdana"/>
          <w:spacing w:val="-2"/>
          <w:sz w:val="20"/>
          <w:szCs w:val="20"/>
          <w:lang w:val="es-CR"/>
        </w:rPr>
        <w:t>las</w:t>
      </w:r>
      <w:r w:rsidR="00D317C8" w:rsidRPr="00F049CF">
        <w:rPr>
          <w:rFonts w:ascii="Verdana" w:hAnsi="Verdana"/>
          <w:spacing w:val="-2"/>
          <w:sz w:val="20"/>
          <w:szCs w:val="20"/>
          <w:lang w:val="es-CR"/>
        </w:rPr>
        <w:t xml:space="preserve"> </w:t>
      </w:r>
      <w:r w:rsidRPr="00F049CF">
        <w:rPr>
          <w:rFonts w:ascii="Verdana" w:hAnsi="Verdana"/>
          <w:spacing w:val="-2"/>
          <w:sz w:val="20"/>
          <w:szCs w:val="20"/>
          <w:lang w:val="es-CR"/>
        </w:rPr>
        <w:t xml:space="preserve">sedes, entre ellas las divisiones de migraciones de provincias, y </w:t>
      </w:r>
      <w:r>
        <w:rPr>
          <w:rFonts w:ascii="Verdana" w:hAnsi="Verdana"/>
          <w:spacing w:val="-2"/>
          <w:sz w:val="20"/>
          <w:szCs w:val="20"/>
          <w:lang w:val="es-CR"/>
        </w:rPr>
        <w:t>iv</w:t>
      </w:r>
      <w:r w:rsidRPr="00F049CF">
        <w:rPr>
          <w:rFonts w:ascii="Verdana" w:hAnsi="Verdana"/>
          <w:spacing w:val="-2"/>
          <w:sz w:val="20"/>
          <w:szCs w:val="20"/>
          <w:lang w:val="es-CR"/>
        </w:rPr>
        <w:t>) evaluar permanentemente el comportamiento laboral del personal a su mando</w:t>
      </w:r>
      <w:r w:rsidRPr="00F049CF">
        <w:rPr>
          <w:rStyle w:val="FootnoteReference"/>
          <w:spacing w:val="-2"/>
          <w:szCs w:val="20"/>
          <w:lang w:val="es-CR"/>
        </w:rPr>
        <w:footnoteReference w:id="42"/>
      </w:r>
      <w:r w:rsidRPr="00F049CF">
        <w:rPr>
          <w:rFonts w:ascii="Verdana" w:hAnsi="Verdana"/>
          <w:spacing w:val="-2"/>
          <w:sz w:val="20"/>
          <w:szCs w:val="20"/>
          <w:lang w:val="es-CR"/>
        </w:rPr>
        <w:t>.</w:t>
      </w:r>
    </w:p>
    <w:p w14:paraId="6D172BF5" w14:textId="77777777" w:rsidR="00FB723A" w:rsidRPr="00F049CF" w:rsidRDefault="00FB723A" w:rsidP="00FB723A">
      <w:pPr>
        <w:pStyle w:val="ListParagraph"/>
        <w:jc w:val="both"/>
        <w:rPr>
          <w:rFonts w:ascii="Verdana" w:hAnsi="Verdana"/>
          <w:spacing w:val="-2"/>
          <w:sz w:val="20"/>
          <w:szCs w:val="20"/>
          <w:lang w:val="es-CR"/>
        </w:rPr>
      </w:pPr>
    </w:p>
    <w:p w14:paraId="6D172BF6" w14:textId="41DDCF63" w:rsidR="00FB723A" w:rsidRDefault="00FB723A" w:rsidP="00FB723A">
      <w:pPr>
        <w:pStyle w:val="ListParagraph"/>
        <w:numPr>
          <w:ilvl w:val="0"/>
          <w:numId w:val="2"/>
        </w:numPr>
        <w:ind w:left="0" w:hanging="11"/>
        <w:jc w:val="both"/>
        <w:rPr>
          <w:rFonts w:ascii="Verdana" w:hAnsi="Verdana"/>
          <w:spacing w:val="-2"/>
          <w:sz w:val="20"/>
          <w:szCs w:val="20"/>
          <w:lang w:val="es-CR"/>
        </w:rPr>
      </w:pPr>
      <w:r w:rsidRPr="00F049CF">
        <w:rPr>
          <w:rFonts w:ascii="Verdana" w:hAnsi="Verdana"/>
          <w:spacing w:val="-2"/>
          <w:sz w:val="20"/>
          <w:szCs w:val="20"/>
          <w:lang w:val="es-CR"/>
        </w:rPr>
        <w:t xml:space="preserve">Asimismo, conforme al Organigrama de la Dirección de Migraciones y Naturalización vigente durante el año 1994, existían distintas sub direcciones independientes, entre ellas la Sub Dirección de Pasaportes, a cargo del señor Zegarra Marín, y la Sub Dirección de Control Migratorio, a cargo del Comandante </w:t>
      </w:r>
      <w:r w:rsidR="00580926" w:rsidRPr="000A0953">
        <w:rPr>
          <w:rFonts w:ascii="Verdana" w:hAnsi="Verdana"/>
          <w:spacing w:val="-2"/>
          <w:sz w:val="20"/>
          <w:szCs w:val="20"/>
          <w:lang w:val="es-CR"/>
        </w:rPr>
        <w:t>LC</w:t>
      </w:r>
      <w:r w:rsidRPr="00D317C8">
        <w:rPr>
          <w:rFonts w:ascii="Verdana" w:hAnsi="Verdana"/>
          <w:spacing w:val="-2"/>
          <w:sz w:val="20"/>
          <w:szCs w:val="20"/>
          <w:lang w:val="es-CR"/>
        </w:rPr>
        <w:t>.</w:t>
      </w:r>
      <w:r w:rsidRPr="00F049CF">
        <w:rPr>
          <w:rFonts w:ascii="Verdana" w:hAnsi="Verdana"/>
          <w:spacing w:val="-2"/>
          <w:sz w:val="20"/>
          <w:szCs w:val="20"/>
          <w:lang w:val="es-CR"/>
        </w:rPr>
        <w:t xml:space="preserve"> A</w:t>
      </w:r>
      <w:r w:rsidR="00D317C8">
        <w:rPr>
          <w:rFonts w:ascii="Verdana" w:hAnsi="Verdana"/>
          <w:spacing w:val="-2"/>
          <w:sz w:val="20"/>
          <w:szCs w:val="20"/>
          <w:lang w:val="es-CR"/>
        </w:rPr>
        <w:t>demás</w:t>
      </w:r>
      <w:r w:rsidRPr="00F049CF">
        <w:rPr>
          <w:rFonts w:ascii="Verdana" w:hAnsi="Verdana"/>
          <w:spacing w:val="-2"/>
          <w:sz w:val="20"/>
          <w:szCs w:val="20"/>
          <w:lang w:val="es-CR"/>
        </w:rPr>
        <w:t>, las oficinas de migraciones de provincias, dependían directamente de esta última</w:t>
      </w:r>
      <w:r w:rsidRPr="00F049CF">
        <w:rPr>
          <w:rStyle w:val="FootnoteReference"/>
          <w:spacing w:val="-2"/>
          <w:szCs w:val="20"/>
          <w:lang w:val="es-CR"/>
        </w:rPr>
        <w:footnoteReference w:id="43"/>
      </w:r>
      <w:r w:rsidRPr="00F049CF">
        <w:rPr>
          <w:rFonts w:ascii="Verdana" w:hAnsi="Verdana"/>
          <w:spacing w:val="-2"/>
          <w:sz w:val="20"/>
          <w:szCs w:val="20"/>
          <w:lang w:val="es-CR"/>
        </w:rPr>
        <w:t xml:space="preserve">. </w:t>
      </w:r>
    </w:p>
    <w:p w14:paraId="6D172BF7" w14:textId="77777777" w:rsidR="00FB723A" w:rsidRPr="00F049CF" w:rsidRDefault="00FB723A" w:rsidP="00FB723A">
      <w:pPr>
        <w:pStyle w:val="ListParagraph"/>
        <w:ind w:left="0"/>
        <w:jc w:val="both"/>
        <w:rPr>
          <w:rFonts w:ascii="Verdana" w:hAnsi="Verdana"/>
          <w:spacing w:val="-2"/>
          <w:sz w:val="20"/>
          <w:szCs w:val="20"/>
          <w:lang w:val="es-CR"/>
        </w:rPr>
      </w:pPr>
    </w:p>
    <w:p w14:paraId="6D172BF8" w14:textId="0275569F" w:rsidR="00FB723A" w:rsidRPr="00F049CF" w:rsidRDefault="00FB723A" w:rsidP="00FB723A">
      <w:pPr>
        <w:pStyle w:val="ListParagraph"/>
        <w:numPr>
          <w:ilvl w:val="0"/>
          <w:numId w:val="2"/>
        </w:numPr>
        <w:ind w:left="0" w:hanging="11"/>
        <w:jc w:val="both"/>
        <w:rPr>
          <w:rFonts w:ascii="Verdana" w:hAnsi="Verdana"/>
          <w:spacing w:val="-2"/>
          <w:sz w:val="20"/>
          <w:szCs w:val="20"/>
          <w:lang w:val="es-CR"/>
        </w:rPr>
      </w:pPr>
      <w:r w:rsidRPr="00F049CF">
        <w:rPr>
          <w:rFonts w:ascii="Verdana" w:hAnsi="Verdana"/>
          <w:spacing w:val="-2"/>
          <w:sz w:val="20"/>
          <w:szCs w:val="20"/>
          <w:lang w:val="es-CR"/>
        </w:rPr>
        <w:t>Conforme a distintas declaraciones obrantes en el expediente, el proceso de abastecimiento de pasaportes en blanco desde la Sub Dirección de Pasaportes hacia las Oficinas de Migraciones en provincias implicaba lo siguiente</w:t>
      </w:r>
      <w:r w:rsidRPr="00F049CF">
        <w:rPr>
          <w:rStyle w:val="FootnoteReference"/>
          <w:spacing w:val="-2"/>
          <w:szCs w:val="20"/>
          <w:lang w:val="es-CR"/>
        </w:rPr>
        <w:footnoteReference w:id="44"/>
      </w:r>
      <w:r w:rsidRPr="00F049CF">
        <w:rPr>
          <w:rFonts w:ascii="Verdana" w:hAnsi="Verdana"/>
          <w:spacing w:val="-2"/>
          <w:sz w:val="20"/>
          <w:szCs w:val="20"/>
          <w:lang w:val="es-CR"/>
        </w:rPr>
        <w:t xml:space="preserve">: a) las oficinas de migraciones en </w:t>
      </w:r>
      <w:r w:rsidR="009531A8">
        <w:rPr>
          <w:rFonts w:ascii="Verdana" w:hAnsi="Verdana"/>
          <w:spacing w:val="-2"/>
          <w:sz w:val="20"/>
          <w:szCs w:val="20"/>
          <w:lang w:val="es-CR"/>
        </w:rPr>
        <w:t xml:space="preserve">las </w:t>
      </w:r>
      <w:r w:rsidRPr="00F049CF">
        <w:rPr>
          <w:rFonts w:ascii="Verdana" w:hAnsi="Verdana"/>
          <w:spacing w:val="-2"/>
          <w:sz w:val="20"/>
          <w:szCs w:val="20"/>
          <w:lang w:val="es-CR"/>
        </w:rPr>
        <w:t>provincias requerían los pasaportes en blanco vía oficio a la Sub Dirección de Control Migratorio, de quien dependían</w:t>
      </w:r>
      <w:r w:rsidRPr="00F049CF">
        <w:rPr>
          <w:rStyle w:val="FootnoteReference"/>
          <w:spacing w:val="-2"/>
          <w:szCs w:val="20"/>
          <w:lang w:val="es-CR"/>
        </w:rPr>
        <w:footnoteReference w:id="45"/>
      </w:r>
      <w:r w:rsidRPr="00F049CF">
        <w:rPr>
          <w:rFonts w:ascii="Verdana" w:hAnsi="Verdana"/>
          <w:spacing w:val="-2"/>
          <w:sz w:val="20"/>
          <w:szCs w:val="20"/>
          <w:lang w:val="es-CR"/>
        </w:rPr>
        <w:t xml:space="preserve">; b) esta solicitud era remitida a la Sub Dirección de Pasaportes, la cual reenviaba dicho pedido al Jefe de Bóveda, </w:t>
      </w:r>
      <w:r w:rsidR="00C57E6D">
        <w:rPr>
          <w:rFonts w:ascii="Verdana" w:hAnsi="Verdana"/>
          <w:spacing w:val="-2"/>
          <w:sz w:val="20"/>
          <w:szCs w:val="20"/>
          <w:lang w:val="es-CR"/>
        </w:rPr>
        <w:t xml:space="preserve">cuyos superiores jerárquicos </w:t>
      </w:r>
      <w:r w:rsidR="00667BD7">
        <w:rPr>
          <w:rFonts w:ascii="Verdana" w:hAnsi="Verdana"/>
          <w:spacing w:val="-2"/>
          <w:sz w:val="20"/>
          <w:szCs w:val="20"/>
          <w:lang w:val="es-CR"/>
        </w:rPr>
        <w:t xml:space="preserve">eran </w:t>
      </w:r>
      <w:r w:rsidR="00C57E6D">
        <w:rPr>
          <w:rFonts w:ascii="Verdana" w:hAnsi="Verdana"/>
          <w:spacing w:val="-2"/>
          <w:sz w:val="20"/>
          <w:szCs w:val="20"/>
          <w:lang w:val="es-CR"/>
        </w:rPr>
        <w:t>el señor Zegarra Marín y el inspector de Migraciones el señor León Revoredo</w:t>
      </w:r>
      <w:r w:rsidRPr="00F049CF">
        <w:rPr>
          <w:rStyle w:val="FootnoteReference"/>
          <w:spacing w:val="-2"/>
          <w:szCs w:val="20"/>
          <w:lang w:val="es-CR"/>
        </w:rPr>
        <w:footnoteReference w:id="46"/>
      </w:r>
      <w:r w:rsidRPr="00F049CF">
        <w:rPr>
          <w:rFonts w:ascii="Verdana" w:hAnsi="Verdana"/>
          <w:spacing w:val="-2"/>
          <w:sz w:val="20"/>
          <w:szCs w:val="20"/>
          <w:lang w:val="es-CR"/>
        </w:rPr>
        <w:t xml:space="preserve">, </w:t>
      </w:r>
      <w:r w:rsidR="00C57E6D">
        <w:rPr>
          <w:rFonts w:ascii="Verdana" w:hAnsi="Verdana"/>
          <w:spacing w:val="-2"/>
          <w:sz w:val="20"/>
          <w:szCs w:val="20"/>
          <w:lang w:val="es-CR"/>
        </w:rPr>
        <w:t>y el cual</w:t>
      </w:r>
      <w:r w:rsidRPr="00F049CF">
        <w:rPr>
          <w:rFonts w:ascii="Verdana" w:hAnsi="Verdana"/>
          <w:spacing w:val="-2"/>
          <w:sz w:val="20"/>
          <w:szCs w:val="20"/>
          <w:lang w:val="es-CR"/>
        </w:rPr>
        <w:t xml:space="preserve"> era el encargado de custodiar, mantener la provisión de los pasaportes y gestionar el stock de los mismos</w:t>
      </w:r>
      <w:r w:rsidRPr="00F049CF">
        <w:rPr>
          <w:rStyle w:val="FootnoteReference"/>
          <w:spacing w:val="-2"/>
          <w:szCs w:val="20"/>
          <w:lang w:val="es-CR"/>
        </w:rPr>
        <w:footnoteReference w:id="47"/>
      </w:r>
      <w:r w:rsidRPr="00F049CF">
        <w:rPr>
          <w:rFonts w:ascii="Verdana" w:hAnsi="Verdana"/>
          <w:spacing w:val="-2"/>
          <w:sz w:val="20"/>
          <w:szCs w:val="20"/>
          <w:lang w:val="es-CR"/>
        </w:rPr>
        <w:t xml:space="preserve">; c) el </w:t>
      </w:r>
      <w:r w:rsidR="00C57E6D">
        <w:rPr>
          <w:rFonts w:ascii="Verdana" w:hAnsi="Verdana"/>
          <w:spacing w:val="-2"/>
          <w:sz w:val="20"/>
          <w:szCs w:val="20"/>
          <w:lang w:val="es-CR"/>
        </w:rPr>
        <w:t xml:space="preserve">mismo </w:t>
      </w:r>
      <w:r w:rsidRPr="00F049CF">
        <w:rPr>
          <w:rFonts w:ascii="Verdana" w:hAnsi="Verdana"/>
          <w:spacing w:val="-2"/>
          <w:sz w:val="20"/>
          <w:szCs w:val="20"/>
          <w:lang w:val="es-CR"/>
        </w:rPr>
        <w:t>Jefe de Bóveda era el encargado de autorizar la cantidad de pasaportes a entregar, con base en la solicitud y en la disponibilidad</w:t>
      </w:r>
      <w:r w:rsidRPr="00F049CF">
        <w:rPr>
          <w:rStyle w:val="FootnoteReference"/>
          <w:spacing w:val="-2"/>
          <w:szCs w:val="20"/>
          <w:lang w:val="es-CR"/>
        </w:rPr>
        <w:footnoteReference w:id="48"/>
      </w:r>
      <w:r w:rsidRPr="00F049CF">
        <w:rPr>
          <w:rFonts w:ascii="Verdana" w:hAnsi="Verdana"/>
          <w:spacing w:val="-2"/>
          <w:sz w:val="20"/>
          <w:szCs w:val="20"/>
          <w:lang w:val="es-CR"/>
        </w:rPr>
        <w:t>; d) una vez tomada esta decisión, el Jefe de la Sub Dirección de Pasaportes (en este caso, el señor Zegarra Marín), autorizaba por oficio la remisión de los documentos a la Sub Dirección de Control Migratorio</w:t>
      </w:r>
      <w:r w:rsidRPr="00F049CF">
        <w:rPr>
          <w:rStyle w:val="FootnoteReference"/>
          <w:spacing w:val="-2"/>
          <w:szCs w:val="20"/>
          <w:lang w:val="es-CR"/>
        </w:rPr>
        <w:footnoteReference w:id="49"/>
      </w:r>
      <w:r w:rsidRPr="00F049CF">
        <w:rPr>
          <w:rFonts w:ascii="Verdana" w:hAnsi="Verdana"/>
          <w:spacing w:val="-2"/>
          <w:sz w:val="20"/>
          <w:szCs w:val="20"/>
          <w:lang w:val="es-CR"/>
        </w:rPr>
        <w:t xml:space="preserve"> (en este caso, </w:t>
      </w:r>
      <w:r>
        <w:rPr>
          <w:rFonts w:ascii="Verdana" w:hAnsi="Verdana"/>
          <w:spacing w:val="-2"/>
          <w:sz w:val="20"/>
          <w:szCs w:val="20"/>
          <w:lang w:val="es-CR"/>
        </w:rPr>
        <w:t xml:space="preserve">el señor </w:t>
      </w:r>
      <w:r w:rsidR="009531A8">
        <w:rPr>
          <w:rFonts w:ascii="Verdana" w:hAnsi="Verdana"/>
          <w:spacing w:val="-2"/>
          <w:sz w:val="20"/>
          <w:szCs w:val="20"/>
          <w:lang w:val="es-CR"/>
        </w:rPr>
        <w:t>LC</w:t>
      </w:r>
      <w:r w:rsidRPr="00F049CF">
        <w:rPr>
          <w:rFonts w:ascii="Verdana" w:hAnsi="Verdana"/>
          <w:spacing w:val="-2"/>
          <w:sz w:val="20"/>
          <w:szCs w:val="20"/>
          <w:lang w:val="es-CR"/>
        </w:rPr>
        <w:t>); e) la entrega de los pasaportes desde la Sub Dirección de Pasaportes hasta la Sub Dirección de Control Migratorio era realizada por el Jefe de Bóveda a un empleado civil o comisionado, dependiente de la misma</w:t>
      </w:r>
      <w:r w:rsidRPr="00F049CF">
        <w:rPr>
          <w:rStyle w:val="FootnoteReference"/>
          <w:spacing w:val="-2"/>
          <w:szCs w:val="20"/>
          <w:lang w:val="es-CR"/>
        </w:rPr>
        <w:footnoteReference w:id="50"/>
      </w:r>
      <w:r w:rsidRPr="00F049CF">
        <w:rPr>
          <w:rFonts w:ascii="Verdana" w:hAnsi="Verdana"/>
          <w:spacing w:val="-2"/>
          <w:sz w:val="20"/>
          <w:szCs w:val="20"/>
          <w:lang w:val="es-CR"/>
        </w:rPr>
        <w:t>; f) una vez recibidos los pasaportes solicitados, el comisionado firmaba el cargo de recepción y el oficio de remisión a la Sub Dirección de Control Migratorio, para luego llevarlos a la sede de esta última</w:t>
      </w:r>
      <w:r w:rsidRPr="00F049CF">
        <w:rPr>
          <w:rStyle w:val="FootnoteReference"/>
          <w:spacing w:val="-2"/>
          <w:szCs w:val="20"/>
          <w:lang w:val="es-CR"/>
        </w:rPr>
        <w:footnoteReference w:id="51"/>
      </w:r>
      <w:r w:rsidRPr="00F049CF">
        <w:rPr>
          <w:rFonts w:ascii="Verdana" w:hAnsi="Verdana"/>
          <w:spacing w:val="-2"/>
          <w:sz w:val="20"/>
          <w:szCs w:val="20"/>
          <w:lang w:val="es-CR"/>
        </w:rPr>
        <w:t xml:space="preserve">, y g) la Sub Dirección de Control Migratorio emitía además un oficio por medio del </w:t>
      </w:r>
      <w:r w:rsidRPr="00F049CF">
        <w:rPr>
          <w:rFonts w:ascii="Verdana" w:hAnsi="Verdana"/>
          <w:spacing w:val="-2"/>
          <w:sz w:val="20"/>
          <w:szCs w:val="20"/>
          <w:lang w:val="es-CR"/>
        </w:rPr>
        <w:lastRenderedPageBreak/>
        <w:t>cual se remitía el pedido de pasaportes a las oficinas de migraciones en provincias</w:t>
      </w:r>
      <w:r w:rsidRPr="00F049CF">
        <w:rPr>
          <w:rStyle w:val="FootnoteReference"/>
          <w:spacing w:val="-2"/>
          <w:szCs w:val="20"/>
          <w:lang w:val="es-CR"/>
        </w:rPr>
        <w:footnoteReference w:id="52"/>
      </w:r>
      <w:r w:rsidRPr="00F049CF">
        <w:rPr>
          <w:rFonts w:ascii="Verdana" w:hAnsi="Verdana"/>
          <w:spacing w:val="-2"/>
          <w:sz w:val="20"/>
          <w:szCs w:val="20"/>
          <w:lang w:val="es-CR"/>
        </w:rPr>
        <w:t>. Los pasaportes eran entregados por el comisionado al encargado de la Oficina de Migraciones en provincia, el cual firmaba de conformidad al momento de la recepción</w:t>
      </w:r>
      <w:r w:rsidRPr="00F049CF">
        <w:rPr>
          <w:rStyle w:val="FootnoteReference"/>
          <w:spacing w:val="-2"/>
          <w:szCs w:val="20"/>
          <w:lang w:val="es-CR"/>
        </w:rPr>
        <w:footnoteReference w:id="53"/>
      </w:r>
      <w:r w:rsidRPr="00F049CF">
        <w:rPr>
          <w:rFonts w:ascii="Verdana" w:hAnsi="Verdana"/>
          <w:spacing w:val="-2"/>
          <w:sz w:val="20"/>
          <w:szCs w:val="20"/>
          <w:lang w:val="es-CR"/>
        </w:rPr>
        <w:t xml:space="preserve"> (en este caso</w:t>
      </w:r>
      <w:r w:rsidR="000A7706">
        <w:rPr>
          <w:rFonts w:ascii="Verdana" w:hAnsi="Verdana"/>
          <w:spacing w:val="-2"/>
          <w:sz w:val="20"/>
          <w:szCs w:val="20"/>
          <w:lang w:val="es-CR"/>
        </w:rPr>
        <w:t xml:space="preserve"> </w:t>
      </w:r>
      <w:r>
        <w:rPr>
          <w:rFonts w:ascii="Verdana" w:hAnsi="Verdana"/>
          <w:spacing w:val="-2"/>
          <w:sz w:val="20"/>
          <w:szCs w:val="20"/>
          <w:lang w:val="es-CR"/>
        </w:rPr>
        <w:t>CH</w:t>
      </w:r>
      <w:r w:rsidRPr="00F049CF">
        <w:rPr>
          <w:rFonts w:ascii="Verdana" w:hAnsi="Verdana"/>
          <w:spacing w:val="-2"/>
          <w:sz w:val="20"/>
          <w:szCs w:val="20"/>
          <w:lang w:val="es-CR"/>
        </w:rPr>
        <w:t>).</w:t>
      </w:r>
    </w:p>
    <w:p w14:paraId="6D172BF9" w14:textId="77777777" w:rsidR="00FB723A" w:rsidRPr="00F049CF" w:rsidRDefault="00FB723A" w:rsidP="00FB723A">
      <w:pPr>
        <w:pStyle w:val="ListParagraph"/>
        <w:ind w:left="0"/>
        <w:jc w:val="both"/>
        <w:rPr>
          <w:rFonts w:ascii="Verdana" w:hAnsi="Verdana"/>
          <w:spacing w:val="-2"/>
          <w:sz w:val="20"/>
          <w:szCs w:val="20"/>
          <w:lang w:val="es-CR"/>
        </w:rPr>
      </w:pPr>
    </w:p>
    <w:p w14:paraId="6D172BFA" w14:textId="205076BF" w:rsidR="00FB723A" w:rsidRPr="00F049CF" w:rsidRDefault="00FB723A" w:rsidP="00FB723A">
      <w:pPr>
        <w:pStyle w:val="ListParagraph"/>
        <w:numPr>
          <w:ilvl w:val="0"/>
          <w:numId w:val="2"/>
        </w:numPr>
        <w:ind w:left="0" w:hanging="11"/>
        <w:jc w:val="both"/>
        <w:rPr>
          <w:rFonts w:ascii="Verdana" w:hAnsi="Verdana"/>
          <w:spacing w:val="-2"/>
          <w:sz w:val="20"/>
          <w:szCs w:val="20"/>
          <w:lang w:val="es-CR"/>
        </w:rPr>
      </w:pPr>
      <w:r w:rsidRPr="00F049CF">
        <w:rPr>
          <w:rFonts w:ascii="Verdana" w:hAnsi="Verdana"/>
          <w:spacing w:val="-2"/>
          <w:sz w:val="20"/>
          <w:szCs w:val="20"/>
          <w:lang w:val="es-CR"/>
        </w:rPr>
        <w:t>En este sentido, conforme a las funciones y competencias del señor Zegarra Marín (</w:t>
      </w:r>
      <w:r w:rsidRPr="0058104A">
        <w:rPr>
          <w:rFonts w:ascii="Verdana" w:hAnsi="Verdana"/>
          <w:i/>
          <w:spacing w:val="-2"/>
          <w:sz w:val="20"/>
          <w:szCs w:val="20"/>
          <w:lang w:val="es-CR"/>
        </w:rPr>
        <w:t>supra</w:t>
      </w:r>
      <w:r w:rsidRPr="00F049CF">
        <w:rPr>
          <w:rFonts w:ascii="Verdana" w:hAnsi="Verdana"/>
          <w:i/>
          <w:spacing w:val="-2"/>
          <w:sz w:val="20"/>
          <w:szCs w:val="20"/>
          <w:lang w:val="es-CR"/>
        </w:rPr>
        <w:t xml:space="preserve"> </w:t>
      </w:r>
      <w:r w:rsidRPr="00F049CF">
        <w:rPr>
          <w:rFonts w:ascii="Verdana" w:hAnsi="Verdana"/>
          <w:spacing w:val="-2"/>
          <w:sz w:val="20"/>
          <w:szCs w:val="20"/>
          <w:lang w:val="es-CR"/>
        </w:rPr>
        <w:t xml:space="preserve">párr. </w:t>
      </w:r>
      <w:r w:rsidR="00C57E6D">
        <w:rPr>
          <w:rFonts w:ascii="Verdana" w:hAnsi="Verdana"/>
          <w:spacing w:val="-2"/>
          <w:sz w:val="20"/>
          <w:szCs w:val="20"/>
          <w:lang w:val="es-CR"/>
        </w:rPr>
        <w:t>6</w:t>
      </w:r>
      <w:r w:rsidR="00031949">
        <w:rPr>
          <w:rFonts w:ascii="Verdana" w:hAnsi="Verdana"/>
          <w:spacing w:val="-2"/>
          <w:sz w:val="20"/>
          <w:szCs w:val="20"/>
          <w:lang w:val="es-CR"/>
        </w:rPr>
        <w:t>6</w:t>
      </w:r>
      <w:r w:rsidRPr="00F049CF">
        <w:rPr>
          <w:rFonts w:ascii="Verdana" w:hAnsi="Verdana"/>
          <w:spacing w:val="-2"/>
          <w:sz w:val="20"/>
          <w:szCs w:val="20"/>
          <w:lang w:val="es-CR"/>
        </w:rPr>
        <w:t>) y de acuerdo con declaraciones de distintas personas (</w:t>
      </w:r>
      <w:r w:rsidRPr="0058104A">
        <w:rPr>
          <w:rFonts w:ascii="Verdana" w:hAnsi="Verdana"/>
          <w:i/>
          <w:spacing w:val="-2"/>
          <w:sz w:val="20"/>
          <w:szCs w:val="20"/>
          <w:lang w:val="es-CR"/>
        </w:rPr>
        <w:t>supra</w:t>
      </w:r>
      <w:r w:rsidRPr="00F049CF">
        <w:rPr>
          <w:rFonts w:ascii="Verdana" w:hAnsi="Verdana"/>
          <w:spacing w:val="-2"/>
          <w:sz w:val="20"/>
          <w:szCs w:val="20"/>
          <w:lang w:val="es-CR"/>
        </w:rPr>
        <w:t xml:space="preserve"> párr. </w:t>
      </w:r>
      <w:r w:rsidR="00C57E6D">
        <w:rPr>
          <w:rFonts w:ascii="Verdana" w:hAnsi="Verdana"/>
          <w:spacing w:val="-2"/>
          <w:sz w:val="20"/>
          <w:szCs w:val="20"/>
          <w:lang w:val="es-CR"/>
        </w:rPr>
        <w:t>6</w:t>
      </w:r>
      <w:r w:rsidR="00031949">
        <w:rPr>
          <w:rFonts w:ascii="Verdana" w:hAnsi="Verdana"/>
          <w:spacing w:val="-2"/>
          <w:sz w:val="20"/>
          <w:szCs w:val="20"/>
          <w:lang w:val="es-CR"/>
        </w:rPr>
        <w:t>8</w:t>
      </w:r>
      <w:r w:rsidRPr="00F049CF">
        <w:rPr>
          <w:rFonts w:ascii="Verdana" w:hAnsi="Verdana"/>
          <w:spacing w:val="-2"/>
          <w:sz w:val="20"/>
          <w:szCs w:val="20"/>
          <w:lang w:val="es-CR"/>
        </w:rPr>
        <w:t xml:space="preserve">), ambas sub-direcciones interactuaban en el marco de la solicitud y entrega de pasaportes en blanco, debido a que el señor Zegarra Marín era el responsable del abastecimiento de pasaportes a las oficinas de provincias, el señor </w:t>
      </w:r>
      <w:r w:rsidR="00294F62">
        <w:rPr>
          <w:rFonts w:ascii="Verdana" w:hAnsi="Verdana"/>
          <w:spacing w:val="-2"/>
          <w:sz w:val="20"/>
          <w:szCs w:val="20"/>
          <w:lang w:val="es-CR"/>
        </w:rPr>
        <w:t>LC</w:t>
      </w:r>
      <w:r w:rsidRPr="00F049CF">
        <w:rPr>
          <w:rFonts w:ascii="Verdana" w:hAnsi="Verdana"/>
          <w:spacing w:val="-2"/>
          <w:sz w:val="20"/>
          <w:szCs w:val="20"/>
          <w:lang w:val="es-CR"/>
        </w:rPr>
        <w:t xml:space="preserve"> los remitía a las Oficinas de Migraciones de Provincias, y eran </w:t>
      </w:r>
      <w:r>
        <w:rPr>
          <w:rFonts w:ascii="Verdana" w:hAnsi="Verdana"/>
          <w:spacing w:val="-2"/>
          <w:sz w:val="20"/>
          <w:szCs w:val="20"/>
          <w:lang w:val="es-CR"/>
        </w:rPr>
        <w:t>é</w:t>
      </w:r>
      <w:r w:rsidRPr="00F049CF">
        <w:rPr>
          <w:rFonts w:ascii="Verdana" w:hAnsi="Verdana"/>
          <w:spacing w:val="-2"/>
          <w:sz w:val="20"/>
          <w:szCs w:val="20"/>
          <w:lang w:val="es-CR"/>
        </w:rPr>
        <w:t xml:space="preserve">stas las </w:t>
      </w:r>
      <w:r>
        <w:rPr>
          <w:rFonts w:ascii="Verdana" w:hAnsi="Verdana"/>
          <w:spacing w:val="-2"/>
          <w:sz w:val="20"/>
          <w:szCs w:val="20"/>
          <w:lang w:val="es-CR"/>
        </w:rPr>
        <w:t xml:space="preserve">que </w:t>
      </w:r>
      <w:r w:rsidRPr="00F049CF">
        <w:rPr>
          <w:rFonts w:ascii="Verdana" w:hAnsi="Verdana"/>
          <w:spacing w:val="-2"/>
          <w:sz w:val="20"/>
          <w:szCs w:val="20"/>
          <w:lang w:val="es-CR"/>
        </w:rPr>
        <w:t xml:space="preserve">se encargaban de solicitar al señor </w:t>
      </w:r>
      <w:r w:rsidR="00294F62">
        <w:rPr>
          <w:rFonts w:ascii="Verdana" w:hAnsi="Verdana"/>
          <w:spacing w:val="-2"/>
          <w:sz w:val="20"/>
          <w:szCs w:val="20"/>
          <w:lang w:val="es-CR"/>
        </w:rPr>
        <w:t>LC</w:t>
      </w:r>
      <w:r w:rsidRPr="00F049CF">
        <w:rPr>
          <w:rFonts w:ascii="Verdana" w:hAnsi="Verdana"/>
          <w:spacing w:val="-2"/>
          <w:sz w:val="20"/>
          <w:szCs w:val="20"/>
          <w:lang w:val="es-CR"/>
        </w:rPr>
        <w:t xml:space="preserve"> dichos documentos para</w:t>
      </w:r>
      <w:r>
        <w:rPr>
          <w:rFonts w:ascii="Verdana" w:hAnsi="Verdana"/>
          <w:spacing w:val="-2"/>
          <w:sz w:val="20"/>
          <w:szCs w:val="20"/>
          <w:lang w:val="es-CR"/>
        </w:rPr>
        <w:t>,</w:t>
      </w:r>
      <w:r w:rsidRPr="00F049CF">
        <w:rPr>
          <w:rFonts w:ascii="Verdana" w:hAnsi="Verdana"/>
          <w:spacing w:val="-2"/>
          <w:sz w:val="20"/>
          <w:szCs w:val="20"/>
          <w:lang w:val="es-CR"/>
        </w:rPr>
        <w:t xml:space="preserve"> luego de recibirlos, proceder con su expedición.</w:t>
      </w:r>
    </w:p>
    <w:p w14:paraId="6D172BFB" w14:textId="77777777" w:rsidR="00FB723A" w:rsidRPr="00F049CF" w:rsidRDefault="00FB723A" w:rsidP="00FB723A">
      <w:pPr>
        <w:pStyle w:val="ListParagraph"/>
        <w:ind w:left="0"/>
        <w:jc w:val="both"/>
        <w:rPr>
          <w:lang w:val="es-CR"/>
        </w:rPr>
      </w:pPr>
    </w:p>
    <w:p w14:paraId="6D172BFC" w14:textId="3D4B9171" w:rsidR="00FB723A" w:rsidRPr="00F049CF" w:rsidRDefault="00FB723A" w:rsidP="00FB723A">
      <w:pPr>
        <w:pStyle w:val="ListParagraph"/>
        <w:numPr>
          <w:ilvl w:val="0"/>
          <w:numId w:val="2"/>
        </w:numPr>
        <w:tabs>
          <w:tab w:val="left" w:pos="709"/>
        </w:tabs>
        <w:ind w:left="0" w:hanging="11"/>
        <w:jc w:val="both"/>
        <w:rPr>
          <w:rFonts w:ascii="Verdana" w:hAnsi="Verdana"/>
          <w:spacing w:val="-2"/>
          <w:sz w:val="20"/>
          <w:szCs w:val="20"/>
          <w:lang w:val="es-CR"/>
        </w:rPr>
      </w:pPr>
      <w:r w:rsidRPr="00F049CF">
        <w:rPr>
          <w:rFonts w:ascii="Verdana" w:hAnsi="Verdana"/>
          <w:spacing w:val="-2"/>
          <w:sz w:val="20"/>
          <w:szCs w:val="20"/>
          <w:lang w:val="es-CR"/>
        </w:rPr>
        <w:t>Con base en el procedimiento de solicitud de pasaportes en blanco por las provincias (</w:t>
      </w:r>
      <w:r w:rsidRPr="0058104A">
        <w:rPr>
          <w:rFonts w:ascii="Verdana" w:hAnsi="Verdana"/>
          <w:i/>
          <w:spacing w:val="-2"/>
          <w:sz w:val="20"/>
          <w:szCs w:val="20"/>
          <w:lang w:val="es-CR"/>
        </w:rPr>
        <w:t>supra</w:t>
      </w:r>
      <w:r w:rsidRPr="00F049CF">
        <w:rPr>
          <w:rFonts w:ascii="Verdana" w:hAnsi="Verdana"/>
          <w:spacing w:val="-2"/>
          <w:sz w:val="20"/>
          <w:szCs w:val="20"/>
          <w:lang w:val="es-CR"/>
        </w:rPr>
        <w:t xml:space="preserve"> párr. </w:t>
      </w:r>
      <w:r w:rsidR="00C57E6D">
        <w:rPr>
          <w:rFonts w:ascii="Verdana" w:hAnsi="Verdana"/>
          <w:spacing w:val="-2"/>
          <w:sz w:val="20"/>
          <w:szCs w:val="20"/>
          <w:lang w:val="es-CR"/>
        </w:rPr>
        <w:t>6</w:t>
      </w:r>
      <w:r w:rsidR="00366D78">
        <w:rPr>
          <w:rFonts w:ascii="Verdana" w:hAnsi="Verdana"/>
          <w:spacing w:val="-2"/>
          <w:sz w:val="20"/>
          <w:szCs w:val="20"/>
          <w:lang w:val="es-CR"/>
        </w:rPr>
        <w:t>8</w:t>
      </w:r>
      <w:r w:rsidRPr="00F049CF">
        <w:rPr>
          <w:rFonts w:ascii="Verdana" w:hAnsi="Verdana"/>
          <w:spacing w:val="-2"/>
          <w:sz w:val="20"/>
          <w:szCs w:val="20"/>
          <w:lang w:val="es-CR"/>
        </w:rPr>
        <w:t>)</w:t>
      </w:r>
      <w:r w:rsidR="000A7706">
        <w:rPr>
          <w:rFonts w:ascii="Verdana" w:hAnsi="Verdana"/>
          <w:spacing w:val="-2"/>
          <w:sz w:val="20"/>
          <w:szCs w:val="20"/>
          <w:lang w:val="es-CR"/>
        </w:rPr>
        <w:t>,</w:t>
      </w:r>
      <w:r w:rsidRPr="00F049CF">
        <w:rPr>
          <w:rFonts w:ascii="Verdana" w:hAnsi="Verdana"/>
          <w:spacing w:val="-2"/>
          <w:sz w:val="20"/>
          <w:szCs w:val="20"/>
          <w:lang w:val="es-CR"/>
        </w:rPr>
        <w:t xml:space="preserve"> el 31 de marzo de 1994</w:t>
      </w:r>
      <w:r>
        <w:rPr>
          <w:rFonts w:ascii="Verdana" w:hAnsi="Verdana"/>
          <w:spacing w:val="-2"/>
          <w:sz w:val="20"/>
          <w:szCs w:val="20"/>
          <w:lang w:val="es-CR"/>
        </w:rPr>
        <w:t>,</w:t>
      </w:r>
      <w:r w:rsidRPr="00F049CF">
        <w:rPr>
          <w:rFonts w:ascii="Verdana" w:hAnsi="Verdana"/>
          <w:spacing w:val="-2"/>
          <w:sz w:val="20"/>
          <w:szCs w:val="20"/>
          <w:lang w:val="es-CR"/>
        </w:rPr>
        <w:t xml:space="preserve"> el Jefe de Oficina de Migraciones de Tumbes, el señor </w:t>
      </w:r>
      <w:r w:rsidR="0014732F">
        <w:rPr>
          <w:rFonts w:ascii="Verdana" w:hAnsi="Verdana"/>
          <w:spacing w:val="-2"/>
          <w:sz w:val="20"/>
          <w:szCs w:val="20"/>
          <w:lang w:val="es-CR"/>
        </w:rPr>
        <w:t>CH</w:t>
      </w:r>
      <w:r w:rsidRPr="00F049CF">
        <w:rPr>
          <w:rFonts w:ascii="Verdana" w:hAnsi="Verdana"/>
          <w:spacing w:val="-2"/>
          <w:sz w:val="20"/>
          <w:szCs w:val="20"/>
          <w:lang w:val="es-CR"/>
        </w:rPr>
        <w:t>, solicitó al Sub Director de Control Migratorio, el señor</w:t>
      </w:r>
      <w:r>
        <w:rPr>
          <w:rFonts w:ascii="Verdana" w:hAnsi="Verdana"/>
          <w:spacing w:val="-2"/>
          <w:sz w:val="20"/>
          <w:szCs w:val="20"/>
          <w:lang w:val="es-CR"/>
        </w:rPr>
        <w:t xml:space="preserve"> </w:t>
      </w:r>
      <w:r w:rsidR="00294F62">
        <w:rPr>
          <w:rFonts w:ascii="Verdana" w:hAnsi="Verdana"/>
          <w:spacing w:val="-2"/>
          <w:sz w:val="20"/>
          <w:szCs w:val="20"/>
          <w:lang w:val="es-CR"/>
        </w:rPr>
        <w:t>LC</w:t>
      </w:r>
      <w:r w:rsidRPr="00F049CF">
        <w:rPr>
          <w:rFonts w:ascii="Verdana" w:hAnsi="Verdana"/>
          <w:spacing w:val="-2"/>
          <w:sz w:val="20"/>
          <w:szCs w:val="20"/>
          <w:lang w:val="es-CR"/>
        </w:rPr>
        <w:t>, la asignación de 500 pasaportes</w:t>
      </w:r>
      <w:r w:rsidRPr="00F049CF">
        <w:rPr>
          <w:rStyle w:val="FootnoteReference"/>
          <w:spacing w:val="-2"/>
          <w:szCs w:val="20"/>
          <w:lang w:val="es-CR"/>
        </w:rPr>
        <w:footnoteReference w:id="54"/>
      </w:r>
      <w:r w:rsidRPr="00F049CF">
        <w:rPr>
          <w:rFonts w:ascii="Verdana" w:hAnsi="Verdana"/>
          <w:spacing w:val="-2"/>
          <w:sz w:val="20"/>
          <w:szCs w:val="20"/>
          <w:lang w:val="es-CR"/>
        </w:rPr>
        <w:t>. El 5 de abril de 1994 el señor Zegarra Marín, en su calidad de Sub Director de Pasaportes</w:t>
      </w:r>
      <w:r>
        <w:rPr>
          <w:rFonts w:ascii="Verdana" w:hAnsi="Verdana"/>
          <w:spacing w:val="-2"/>
          <w:sz w:val="20"/>
          <w:szCs w:val="20"/>
          <w:lang w:val="es-CR"/>
        </w:rPr>
        <w:t>,</w:t>
      </w:r>
      <w:r w:rsidRPr="00F049CF">
        <w:rPr>
          <w:rFonts w:ascii="Verdana" w:hAnsi="Verdana"/>
          <w:spacing w:val="-2"/>
          <w:sz w:val="20"/>
          <w:szCs w:val="20"/>
          <w:lang w:val="es-CR"/>
        </w:rPr>
        <w:t xml:space="preserve"> remitió al señor </w:t>
      </w:r>
      <w:r w:rsidR="00294F62">
        <w:rPr>
          <w:rFonts w:ascii="Verdana" w:hAnsi="Verdana"/>
          <w:spacing w:val="-2"/>
          <w:sz w:val="20"/>
          <w:szCs w:val="20"/>
          <w:lang w:val="es-CR"/>
        </w:rPr>
        <w:t>LC</w:t>
      </w:r>
      <w:r w:rsidRPr="00F049CF">
        <w:rPr>
          <w:rFonts w:ascii="Verdana" w:hAnsi="Verdana"/>
          <w:spacing w:val="-2"/>
          <w:sz w:val="20"/>
          <w:szCs w:val="20"/>
          <w:lang w:val="es-CR"/>
        </w:rPr>
        <w:t xml:space="preserve"> 525 pasaportes, de la serie </w:t>
      </w:r>
      <w:r w:rsidRPr="00F049CF">
        <w:rPr>
          <w:rFonts w:ascii="Verdana" w:hAnsi="Verdana"/>
          <w:sz w:val="20"/>
          <w:szCs w:val="20"/>
        </w:rPr>
        <w:t xml:space="preserve">0415876 al 0416400, para que </w:t>
      </w:r>
      <w:r>
        <w:rPr>
          <w:rFonts w:ascii="Verdana" w:hAnsi="Verdana"/>
          <w:sz w:val="20"/>
          <w:szCs w:val="20"/>
        </w:rPr>
        <w:t>fueran</w:t>
      </w:r>
      <w:r w:rsidRPr="00F049CF">
        <w:rPr>
          <w:rFonts w:ascii="Verdana" w:hAnsi="Verdana"/>
          <w:sz w:val="20"/>
          <w:szCs w:val="20"/>
        </w:rPr>
        <w:t xml:space="preserve"> expedidos en la Oficina de Migraciones de Tumbes</w:t>
      </w:r>
      <w:r w:rsidRPr="00F049CF">
        <w:rPr>
          <w:rStyle w:val="FootnoteReference"/>
          <w:spacing w:val="-2"/>
          <w:szCs w:val="20"/>
          <w:lang w:val="es-CR"/>
        </w:rPr>
        <w:footnoteReference w:id="55"/>
      </w:r>
      <w:r w:rsidRPr="00F049CF">
        <w:rPr>
          <w:rFonts w:ascii="Verdana" w:hAnsi="Verdana"/>
          <w:sz w:val="20"/>
          <w:szCs w:val="20"/>
        </w:rPr>
        <w:t xml:space="preserve">. El 6 de abril de 1994 el señor </w:t>
      </w:r>
      <w:r w:rsidR="00294F62">
        <w:rPr>
          <w:rFonts w:ascii="Verdana" w:hAnsi="Verdana"/>
          <w:sz w:val="20"/>
          <w:szCs w:val="20"/>
        </w:rPr>
        <w:t>LC</w:t>
      </w:r>
      <w:r w:rsidRPr="00F049CF">
        <w:rPr>
          <w:rFonts w:ascii="Verdana" w:hAnsi="Verdana"/>
          <w:sz w:val="20"/>
          <w:szCs w:val="20"/>
        </w:rPr>
        <w:t xml:space="preserve"> remitió los 525 documentos a Tumbes</w:t>
      </w:r>
      <w:r w:rsidRPr="00F049CF">
        <w:rPr>
          <w:rStyle w:val="FootnoteReference"/>
          <w:szCs w:val="20"/>
        </w:rPr>
        <w:footnoteReference w:id="56"/>
      </w:r>
      <w:r w:rsidRPr="00F049CF">
        <w:rPr>
          <w:rFonts w:ascii="Verdana" w:hAnsi="Verdana"/>
          <w:sz w:val="20"/>
          <w:szCs w:val="20"/>
        </w:rPr>
        <w:t xml:space="preserve">, cuyo cargo de recepción fue firmado en conformidad por el encargado, el señor </w:t>
      </w:r>
      <w:r w:rsidR="0014732F">
        <w:rPr>
          <w:rFonts w:ascii="Verdana" w:hAnsi="Verdana"/>
          <w:sz w:val="20"/>
          <w:szCs w:val="20"/>
        </w:rPr>
        <w:t>CH</w:t>
      </w:r>
      <w:r w:rsidRPr="00F049CF">
        <w:rPr>
          <w:rStyle w:val="FootnoteReference"/>
          <w:szCs w:val="20"/>
        </w:rPr>
        <w:footnoteReference w:id="57"/>
      </w:r>
      <w:r w:rsidRPr="00F049CF">
        <w:rPr>
          <w:rFonts w:ascii="Verdana" w:hAnsi="Verdana"/>
          <w:sz w:val="20"/>
          <w:szCs w:val="20"/>
        </w:rPr>
        <w:t xml:space="preserve">. Conforme con ello, 25 pasaportes adicionales fueron enviados a Tumbes, lo cual fue reconocido por el señor </w:t>
      </w:r>
      <w:r w:rsidR="0014732F">
        <w:rPr>
          <w:rFonts w:ascii="Verdana" w:hAnsi="Verdana"/>
          <w:sz w:val="20"/>
          <w:szCs w:val="20"/>
        </w:rPr>
        <w:t>CH</w:t>
      </w:r>
      <w:r w:rsidRPr="00F049CF">
        <w:rPr>
          <w:rFonts w:ascii="Verdana" w:hAnsi="Verdana"/>
          <w:sz w:val="20"/>
          <w:szCs w:val="20"/>
        </w:rPr>
        <w:t xml:space="preserve"> al firmar el cargo de recepción; sin embargo</w:t>
      </w:r>
      <w:r>
        <w:rPr>
          <w:rFonts w:ascii="Verdana" w:hAnsi="Verdana"/>
          <w:sz w:val="20"/>
          <w:szCs w:val="20"/>
        </w:rPr>
        <w:t>,</w:t>
      </w:r>
      <w:r w:rsidRPr="00F049CF">
        <w:rPr>
          <w:rFonts w:ascii="Verdana" w:hAnsi="Verdana"/>
          <w:sz w:val="20"/>
          <w:szCs w:val="20"/>
        </w:rPr>
        <w:t xml:space="preserve"> con posterioridad </w:t>
      </w:r>
      <w:r>
        <w:rPr>
          <w:rFonts w:ascii="Verdana" w:hAnsi="Verdana"/>
          <w:sz w:val="20"/>
          <w:szCs w:val="20"/>
        </w:rPr>
        <w:t>é</w:t>
      </w:r>
      <w:r w:rsidRPr="00F049CF">
        <w:rPr>
          <w:rFonts w:ascii="Verdana" w:hAnsi="Verdana"/>
          <w:sz w:val="20"/>
          <w:szCs w:val="20"/>
        </w:rPr>
        <w:t xml:space="preserve">ste mismo declaró que sólo se remitieron 500 pasaportes, por lo que 25 se habrían extraviado y que </w:t>
      </w:r>
      <w:r>
        <w:rPr>
          <w:rFonts w:ascii="Verdana" w:hAnsi="Verdana"/>
          <w:sz w:val="20"/>
          <w:szCs w:val="20"/>
        </w:rPr>
        <w:t xml:space="preserve">se había dado </w:t>
      </w:r>
      <w:r w:rsidRPr="00F049CF">
        <w:rPr>
          <w:rFonts w:ascii="Verdana" w:hAnsi="Verdana"/>
          <w:sz w:val="20"/>
          <w:szCs w:val="20"/>
        </w:rPr>
        <w:t xml:space="preserve">cuenta de esta situación al llegar a Tumbes debido a que no </w:t>
      </w:r>
      <w:r>
        <w:rPr>
          <w:rFonts w:ascii="Verdana" w:hAnsi="Verdana"/>
          <w:sz w:val="20"/>
          <w:szCs w:val="20"/>
        </w:rPr>
        <w:t xml:space="preserve">los </w:t>
      </w:r>
      <w:r w:rsidR="00DB0D40">
        <w:rPr>
          <w:rFonts w:ascii="Verdana" w:hAnsi="Verdana"/>
          <w:sz w:val="20"/>
          <w:szCs w:val="20"/>
        </w:rPr>
        <w:t xml:space="preserve">había </w:t>
      </w:r>
      <w:r>
        <w:rPr>
          <w:rFonts w:ascii="Verdana" w:hAnsi="Verdana"/>
          <w:sz w:val="20"/>
          <w:szCs w:val="20"/>
        </w:rPr>
        <w:t>contado</w:t>
      </w:r>
      <w:r w:rsidRPr="00F049CF">
        <w:rPr>
          <w:rFonts w:ascii="Verdana" w:hAnsi="Verdana"/>
          <w:sz w:val="20"/>
          <w:szCs w:val="20"/>
        </w:rPr>
        <w:t xml:space="preserve"> en el momento del recojo y recepción de los mismos</w:t>
      </w:r>
      <w:r w:rsidRPr="00F049CF">
        <w:rPr>
          <w:rStyle w:val="FootnoteReference"/>
          <w:szCs w:val="20"/>
        </w:rPr>
        <w:footnoteReference w:id="58"/>
      </w:r>
      <w:r w:rsidRPr="00F049CF">
        <w:rPr>
          <w:rFonts w:ascii="Verdana" w:hAnsi="Verdana"/>
          <w:sz w:val="20"/>
          <w:szCs w:val="20"/>
        </w:rPr>
        <w:t xml:space="preserve">. </w:t>
      </w:r>
    </w:p>
    <w:p w14:paraId="6D172BFD" w14:textId="77777777" w:rsidR="00FB723A" w:rsidRPr="00F049CF" w:rsidRDefault="00FB723A" w:rsidP="00FB723A">
      <w:pPr>
        <w:pStyle w:val="ListParagraph"/>
        <w:tabs>
          <w:tab w:val="left" w:pos="709"/>
        </w:tabs>
        <w:ind w:left="0"/>
        <w:jc w:val="both"/>
        <w:rPr>
          <w:rFonts w:ascii="Verdana" w:hAnsi="Verdana"/>
          <w:spacing w:val="-2"/>
          <w:sz w:val="20"/>
          <w:szCs w:val="20"/>
          <w:lang w:val="es-CR"/>
        </w:rPr>
      </w:pPr>
    </w:p>
    <w:p w14:paraId="6D172BFE" w14:textId="77777777" w:rsidR="00FB723A" w:rsidRPr="00F049CF" w:rsidRDefault="00B050A2" w:rsidP="00D83DC8">
      <w:pPr>
        <w:pStyle w:val="Heading2"/>
        <w:numPr>
          <w:ilvl w:val="0"/>
          <w:numId w:val="7"/>
        </w:numPr>
        <w:spacing w:before="0"/>
        <w:jc w:val="both"/>
        <w:rPr>
          <w:rStyle w:val="Hyperlink"/>
          <w:rFonts w:ascii="Verdana" w:hAnsi="Verdana"/>
          <w:bCs w:val="0"/>
          <w:i/>
          <w:color w:val="auto"/>
          <w:spacing w:val="-2"/>
          <w:sz w:val="20"/>
          <w:szCs w:val="20"/>
          <w:u w:val="none"/>
          <w:lang w:val="es-CR"/>
        </w:rPr>
      </w:pPr>
      <w:hyperlink w:anchor="_Toc400620120" w:history="1">
        <w:bookmarkStart w:id="35" w:name="_Toc482093040"/>
        <w:r w:rsidR="00FB723A" w:rsidRPr="00F049CF">
          <w:rPr>
            <w:rFonts w:ascii="Verdana" w:hAnsi="Verdana"/>
            <w:i/>
            <w:color w:val="auto"/>
            <w:sz w:val="20"/>
            <w:szCs w:val="20"/>
          </w:rPr>
          <w:t>Investigación</w:t>
        </w:r>
        <w:r w:rsidR="00FB723A">
          <w:rPr>
            <w:rFonts w:ascii="Verdana" w:hAnsi="Verdana"/>
            <w:i/>
            <w:color w:val="auto"/>
            <w:sz w:val="20"/>
            <w:szCs w:val="20"/>
          </w:rPr>
          <w:t>, detención</w:t>
        </w:r>
        <w:r w:rsidR="00FB723A" w:rsidRPr="00F049CF">
          <w:rPr>
            <w:rFonts w:ascii="Verdana" w:hAnsi="Verdana"/>
            <w:i/>
            <w:color w:val="auto"/>
            <w:sz w:val="20"/>
            <w:szCs w:val="20"/>
          </w:rPr>
          <w:t xml:space="preserve"> y proceso penal </w:t>
        </w:r>
        <w:r w:rsidR="00FB723A">
          <w:rPr>
            <w:rFonts w:ascii="Verdana" w:hAnsi="Verdana"/>
            <w:i/>
            <w:color w:val="auto"/>
            <w:sz w:val="20"/>
            <w:szCs w:val="20"/>
          </w:rPr>
          <w:t>del señor</w:t>
        </w:r>
        <w:r w:rsidR="00FB723A" w:rsidRPr="00F049CF">
          <w:rPr>
            <w:rFonts w:ascii="Verdana" w:hAnsi="Verdana"/>
            <w:i/>
            <w:color w:val="auto"/>
            <w:sz w:val="20"/>
            <w:szCs w:val="20"/>
          </w:rPr>
          <w:t xml:space="preserve"> Zegarra Marín</w:t>
        </w:r>
        <w:bookmarkEnd w:id="35"/>
      </w:hyperlink>
    </w:p>
    <w:p w14:paraId="6D172BFF" w14:textId="77777777" w:rsidR="00FB723A" w:rsidRPr="00F049CF" w:rsidRDefault="00FB723A" w:rsidP="00FB723A">
      <w:pPr>
        <w:pStyle w:val="ListParagraph"/>
        <w:ind w:left="0"/>
        <w:jc w:val="both"/>
        <w:rPr>
          <w:rFonts w:ascii="Verdana" w:hAnsi="Verdana"/>
          <w:sz w:val="20"/>
          <w:szCs w:val="20"/>
          <w:lang w:val="es-ES"/>
        </w:rPr>
      </w:pPr>
    </w:p>
    <w:p w14:paraId="6D172C00" w14:textId="06AF6BFC" w:rsidR="00FB723A" w:rsidRPr="003F1BE4"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rPr>
        <w:lastRenderedPageBreak/>
        <w:t>En agosto, septiembre y octubre de 1994 se dio a conocer</w:t>
      </w:r>
      <w:r>
        <w:rPr>
          <w:rFonts w:ascii="Verdana" w:hAnsi="Verdana"/>
          <w:sz w:val="20"/>
          <w:szCs w:val="20"/>
        </w:rPr>
        <w:t>,</w:t>
      </w:r>
      <w:r w:rsidRPr="00F049CF">
        <w:rPr>
          <w:rFonts w:ascii="Verdana" w:hAnsi="Verdana"/>
          <w:sz w:val="20"/>
          <w:szCs w:val="20"/>
        </w:rPr>
        <w:t xml:space="preserve"> a través de diversos medios de prensa</w:t>
      </w:r>
      <w:r>
        <w:rPr>
          <w:rFonts w:ascii="Verdana" w:hAnsi="Verdana"/>
          <w:sz w:val="20"/>
          <w:szCs w:val="20"/>
        </w:rPr>
        <w:t xml:space="preserve"> </w:t>
      </w:r>
      <w:r w:rsidRPr="009C7422">
        <w:rPr>
          <w:rFonts w:ascii="Verdana" w:hAnsi="Verdana"/>
          <w:sz w:val="20"/>
          <w:szCs w:val="16"/>
          <w:lang w:val="es-CR"/>
        </w:rPr>
        <w:t>(</w:t>
      </w:r>
      <w:r w:rsidRPr="009C7422">
        <w:rPr>
          <w:rFonts w:ascii="Verdana" w:hAnsi="Verdana"/>
          <w:i/>
          <w:sz w:val="20"/>
          <w:szCs w:val="16"/>
          <w:lang w:val="es-CR"/>
        </w:rPr>
        <w:t>supra</w:t>
      </w:r>
      <w:r w:rsidRPr="009C7422">
        <w:rPr>
          <w:rFonts w:ascii="Verdana" w:hAnsi="Verdana"/>
          <w:sz w:val="20"/>
          <w:szCs w:val="16"/>
          <w:lang w:val="es-CR"/>
        </w:rPr>
        <w:t xml:space="preserve"> párr. 59)</w:t>
      </w:r>
      <w:r w:rsidRPr="00F049CF">
        <w:rPr>
          <w:rFonts w:ascii="Verdana" w:hAnsi="Verdana"/>
          <w:sz w:val="20"/>
          <w:szCs w:val="20"/>
        </w:rPr>
        <w:t>, entre ellos dos reportajes emitidos en el programa televisivo “La Revista Dominical” del canal 4 (21 de agosto y 11 de septiembre de 1994</w:t>
      </w:r>
      <w:r w:rsidRPr="00F049CF">
        <w:rPr>
          <w:rStyle w:val="FootnoteReference"/>
          <w:szCs w:val="20"/>
        </w:rPr>
        <w:footnoteReference w:id="59"/>
      </w:r>
      <w:r w:rsidRPr="00F049CF">
        <w:rPr>
          <w:rFonts w:ascii="Verdana" w:hAnsi="Verdana"/>
          <w:sz w:val="20"/>
          <w:szCs w:val="20"/>
        </w:rPr>
        <w:t>), la existencia de pasaportes presuntamente tramitados de manera irregular, entre ellos el del señor Lucio Enrique Tijero Guzmán</w:t>
      </w:r>
      <w:r>
        <w:rPr>
          <w:rFonts w:ascii="Verdana" w:hAnsi="Verdana"/>
          <w:sz w:val="20"/>
          <w:szCs w:val="20"/>
        </w:rPr>
        <w:t xml:space="preserve"> (</w:t>
      </w:r>
      <w:r w:rsidR="00A56CEA">
        <w:rPr>
          <w:rFonts w:ascii="Verdana" w:hAnsi="Verdana"/>
          <w:sz w:val="20"/>
          <w:szCs w:val="20"/>
        </w:rPr>
        <w:t>en adelante “</w:t>
      </w:r>
      <w:r>
        <w:rPr>
          <w:rFonts w:ascii="Verdana" w:hAnsi="Verdana"/>
          <w:sz w:val="20"/>
          <w:szCs w:val="20"/>
        </w:rPr>
        <w:t>LETG</w:t>
      </w:r>
      <w:r w:rsidR="00A56CEA">
        <w:rPr>
          <w:rFonts w:ascii="Verdana" w:hAnsi="Verdana"/>
          <w:sz w:val="20"/>
          <w:szCs w:val="20"/>
        </w:rPr>
        <w:t>”</w:t>
      </w:r>
      <w:r>
        <w:rPr>
          <w:rFonts w:ascii="Verdana" w:hAnsi="Verdana"/>
          <w:sz w:val="20"/>
          <w:szCs w:val="20"/>
        </w:rPr>
        <w:t>)</w:t>
      </w:r>
      <w:r w:rsidRPr="00F049CF">
        <w:rPr>
          <w:rFonts w:ascii="Verdana" w:hAnsi="Verdana"/>
          <w:sz w:val="20"/>
          <w:szCs w:val="20"/>
        </w:rPr>
        <w:t xml:space="preserve">, procesado por narcotráfico (pasaportes </w:t>
      </w:r>
      <w:r w:rsidRPr="00F049CF">
        <w:rPr>
          <w:rFonts w:ascii="Verdana" w:hAnsi="Verdana"/>
          <w:sz w:val="20"/>
          <w:szCs w:val="20"/>
          <w:lang w:val="es-ES"/>
        </w:rPr>
        <w:t>No</w:t>
      </w:r>
      <w:r w:rsidR="00DB0D40">
        <w:rPr>
          <w:rFonts w:ascii="Verdana" w:hAnsi="Verdana"/>
          <w:sz w:val="20"/>
          <w:szCs w:val="20"/>
          <w:lang w:val="es-ES"/>
        </w:rPr>
        <w:t>s</w:t>
      </w:r>
      <w:r w:rsidRPr="00F049CF">
        <w:rPr>
          <w:rFonts w:ascii="Verdana" w:hAnsi="Verdana"/>
          <w:sz w:val="20"/>
          <w:szCs w:val="20"/>
          <w:lang w:val="es-ES"/>
        </w:rPr>
        <w:t xml:space="preserve">. </w:t>
      </w:r>
      <w:r w:rsidRPr="00844D3C">
        <w:rPr>
          <w:rFonts w:ascii="Verdana" w:hAnsi="Verdana"/>
          <w:sz w:val="20"/>
          <w:szCs w:val="20"/>
          <w:lang w:val="es-ES"/>
        </w:rPr>
        <w:t>0192808</w:t>
      </w:r>
      <w:r w:rsidRPr="00F049CF">
        <w:rPr>
          <w:rFonts w:ascii="Verdana" w:hAnsi="Verdana"/>
          <w:sz w:val="20"/>
          <w:szCs w:val="20"/>
          <w:lang w:val="es-ES"/>
        </w:rPr>
        <w:t xml:space="preserve"> y 0415918) </w:t>
      </w:r>
      <w:r w:rsidRPr="00F049CF">
        <w:rPr>
          <w:rFonts w:ascii="Verdana" w:hAnsi="Verdana"/>
          <w:sz w:val="20"/>
          <w:szCs w:val="20"/>
        </w:rPr>
        <w:t xml:space="preserve">y el del señor Carlos </w:t>
      </w:r>
      <w:r w:rsidR="00DB0D40">
        <w:rPr>
          <w:rFonts w:ascii="Verdana" w:hAnsi="Verdana"/>
          <w:sz w:val="20"/>
          <w:szCs w:val="20"/>
        </w:rPr>
        <w:t xml:space="preserve">Remo </w:t>
      </w:r>
      <w:r w:rsidRPr="00F049CF">
        <w:rPr>
          <w:rFonts w:ascii="Verdana" w:hAnsi="Verdana"/>
          <w:sz w:val="20"/>
          <w:szCs w:val="20"/>
        </w:rPr>
        <w:t>Manrique Carreño</w:t>
      </w:r>
      <w:r>
        <w:rPr>
          <w:rFonts w:ascii="Verdana" w:hAnsi="Verdana"/>
          <w:sz w:val="20"/>
          <w:szCs w:val="20"/>
        </w:rPr>
        <w:t xml:space="preserve"> (</w:t>
      </w:r>
      <w:r w:rsidR="00A56CEA">
        <w:rPr>
          <w:rFonts w:ascii="Verdana" w:hAnsi="Verdana"/>
          <w:sz w:val="20"/>
          <w:szCs w:val="20"/>
        </w:rPr>
        <w:t>en adelante “</w:t>
      </w:r>
      <w:r>
        <w:rPr>
          <w:rFonts w:ascii="Verdana" w:hAnsi="Verdana"/>
          <w:sz w:val="20"/>
          <w:szCs w:val="20"/>
        </w:rPr>
        <w:t>C</w:t>
      </w:r>
      <w:r w:rsidR="00DB0D40">
        <w:rPr>
          <w:rFonts w:ascii="Verdana" w:hAnsi="Verdana"/>
          <w:sz w:val="20"/>
          <w:szCs w:val="20"/>
        </w:rPr>
        <w:t>R</w:t>
      </w:r>
      <w:r>
        <w:rPr>
          <w:rFonts w:ascii="Verdana" w:hAnsi="Verdana"/>
          <w:sz w:val="20"/>
          <w:szCs w:val="20"/>
        </w:rPr>
        <w:t>MC</w:t>
      </w:r>
      <w:r w:rsidR="00A56CEA">
        <w:rPr>
          <w:rFonts w:ascii="Verdana" w:hAnsi="Verdana"/>
          <w:sz w:val="20"/>
          <w:szCs w:val="20"/>
        </w:rPr>
        <w:t>”</w:t>
      </w:r>
      <w:r>
        <w:rPr>
          <w:rFonts w:ascii="Verdana" w:hAnsi="Verdana"/>
          <w:sz w:val="20"/>
          <w:szCs w:val="20"/>
        </w:rPr>
        <w:t>)</w:t>
      </w:r>
      <w:r w:rsidRPr="00F049CF">
        <w:rPr>
          <w:rFonts w:ascii="Verdana" w:hAnsi="Verdana"/>
          <w:sz w:val="20"/>
          <w:szCs w:val="20"/>
        </w:rPr>
        <w:t xml:space="preserve"> (pasaporte No. 0415913). Este último fue el ex-presidente del Centro Latinoamericano de Asesoramiento Empresarial (en adelante “CLAE”) y tenía una orden de captura internacional por haber cometido “la estafa económica más grande ocurrida en el Perú”</w:t>
      </w:r>
      <w:r w:rsidRPr="00F049CF">
        <w:rPr>
          <w:rStyle w:val="FootnoteReference"/>
          <w:szCs w:val="20"/>
        </w:rPr>
        <w:footnoteReference w:id="60"/>
      </w:r>
      <w:r w:rsidRPr="00F049CF">
        <w:rPr>
          <w:rFonts w:ascii="Verdana" w:hAnsi="Verdana"/>
          <w:sz w:val="20"/>
          <w:szCs w:val="20"/>
        </w:rPr>
        <w:t xml:space="preserve">. El señor </w:t>
      </w:r>
      <w:r w:rsidR="002A5B29">
        <w:rPr>
          <w:rFonts w:ascii="Verdana" w:hAnsi="Verdana"/>
          <w:sz w:val="20"/>
          <w:szCs w:val="20"/>
        </w:rPr>
        <w:t>CRMC</w:t>
      </w:r>
      <w:r w:rsidRPr="00F049CF">
        <w:rPr>
          <w:rFonts w:ascii="Verdana" w:hAnsi="Verdana"/>
          <w:sz w:val="20"/>
          <w:szCs w:val="20"/>
        </w:rPr>
        <w:t xml:space="preserve"> fue ubicado en Nueva York, en los Estados Unidos de América. Conforme a los medios de comunicación, tanto el pasaporte de </w:t>
      </w:r>
      <w:r w:rsidR="002A5B29">
        <w:rPr>
          <w:rFonts w:ascii="Verdana" w:hAnsi="Verdana"/>
          <w:sz w:val="20"/>
          <w:szCs w:val="20"/>
        </w:rPr>
        <w:t>LETG</w:t>
      </w:r>
      <w:r>
        <w:rPr>
          <w:rFonts w:ascii="Verdana" w:hAnsi="Verdana"/>
          <w:sz w:val="20"/>
          <w:szCs w:val="20"/>
        </w:rPr>
        <w:t xml:space="preserve"> </w:t>
      </w:r>
      <w:r w:rsidRPr="00F049CF">
        <w:rPr>
          <w:rFonts w:ascii="Verdana" w:hAnsi="Verdana"/>
          <w:sz w:val="20"/>
          <w:szCs w:val="20"/>
        </w:rPr>
        <w:t xml:space="preserve">como el de </w:t>
      </w:r>
      <w:r w:rsidR="002A5B29">
        <w:rPr>
          <w:rFonts w:ascii="Verdana" w:hAnsi="Verdana"/>
          <w:sz w:val="20"/>
          <w:szCs w:val="20"/>
        </w:rPr>
        <w:t>CRMC</w:t>
      </w:r>
      <w:r w:rsidRPr="00F049CF">
        <w:rPr>
          <w:rFonts w:ascii="Verdana" w:hAnsi="Verdana"/>
          <w:sz w:val="20"/>
          <w:szCs w:val="20"/>
        </w:rPr>
        <w:t xml:space="preserve"> habrían sido presuntamente expedidos en Lima con la firma del Comandante Zegarra Marín, Sub Director de Pasaportes</w:t>
      </w:r>
      <w:r w:rsidRPr="00F049CF">
        <w:rPr>
          <w:rFonts w:ascii="Verdana" w:hAnsi="Verdana"/>
          <w:sz w:val="20"/>
          <w:szCs w:val="20"/>
          <w:vertAlign w:val="superscript"/>
        </w:rPr>
        <w:footnoteReference w:id="61"/>
      </w:r>
      <w:r w:rsidRPr="00F049CF">
        <w:rPr>
          <w:rFonts w:ascii="Verdana" w:hAnsi="Verdana"/>
          <w:sz w:val="20"/>
          <w:szCs w:val="20"/>
        </w:rPr>
        <w:t xml:space="preserve">. Ambos </w:t>
      </w:r>
      <w:r w:rsidRPr="00E15CA9">
        <w:rPr>
          <w:rFonts w:ascii="Verdana" w:hAnsi="Verdana"/>
          <w:sz w:val="20"/>
          <w:szCs w:val="20"/>
        </w:rPr>
        <w:t>pasaportes correspondían a la serie de</w:t>
      </w:r>
      <w:r w:rsidR="00744208">
        <w:rPr>
          <w:rFonts w:ascii="Verdana" w:hAnsi="Verdana"/>
          <w:sz w:val="20"/>
          <w:szCs w:val="20"/>
        </w:rPr>
        <w:t>l</w:t>
      </w:r>
      <w:r w:rsidRPr="00E15CA9">
        <w:rPr>
          <w:rFonts w:ascii="Verdana" w:hAnsi="Verdana"/>
          <w:sz w:val="20"/>
          <w:szCs w:val="20"/>
        </w:rPr>
        <w:t xml:space="preserve"> 0415876 al 0416400 enviada el 6 de abril de 1994 a la Oficina de Migraciones de Tumbes por conducto de la Sub Dirección de Control Migratorio (</w:t>
      </w:r>
      <w:r w:rsidRPr="0058104A">
        <w:rPr>
          <w:rFonts w:ascii="Verdana" w:hAnsi="Verdana"/>
          <w:i/>
          <w:sz w:val="20"/>
          <w:szCs w:val="20"/>
        </w:rPr>
        <w:t>supra</w:t>
      </w:r>
      <w:r w:rsidRPr="003F1BE4">
        <w:rPr>
          <w:rFonts w:ascii="Verdana" w:hAnsi="Verdana"/>
          <w:sz w:val="20"/>
          <w:szCs w:val="20"/>
        </w:rPr>
        <w:t xml:space="preserve"> párr. </w:t>
      </w:r>
      <w:r w:rsidR="00744208">
        <w:rPr>
          <w:rFonts w:ascii="Verdana" w:hAnsi="Verdana"/>
          <w:sz w:val="20"/>
          <w:szCs w:val="20"/>
        </w:rPr>
        <w:t>70</w:t>
      </w:r>
      <w:r w:rsidRPr="003F1BE4">
        <w:rPr>
          <w:rFonts w:ascii="Verdana" w:hAnsi="Verdana"/>
          <w:sz w:val="20"/>
          <w:szCs w:val="20"/>
        </w:rPr>
        <w:t>).</w:t>
      </w:r>
    </w:p>
    <w:p w14:paraId="6D172C01" w14:textId="77777777" w:rsidR="00FB723A" w:rsidRPr="002765D2" w:rsidRDefault="00FB723A" w:rsidP="00FB723A">
      <w:pPr>
        <w:pStyle w:val="ListParagraph"/>
        <w:ind w:left="0"/>
        <w:jc w:val="both"/>
        <w:rPr>
          <w:rFonts w:ascii="Verdana" w:hAnsi="Verdana"/>
          <w:sz w:val="20"/>
          <w:szCs w:val="20"/>
          <w:lang w:val="es-ES"/>
        </w:rPr>
      </w:pPr>
    </w:p>
    <w:p w14:paraId="6D172C02" w14:textId="1C29C9BF" w:rsidR="00FB723A" w:rsidRPr="00A659C5" w:rsidRDefault="00FB723A" w:rsidP="00FB723A">
      <w:pPr>
        <w:pStyle w:val="ListParagraph"/>
        <w:numPr>
          <w:ilvl w:val="0"/>
          <w:numId w:val="2"/>
        </w:numPr>
        <w:ind w:left="0" w:hanging="11"/>
        <w:jc w:val="both"/>
        <w:rPr>
          <w:rFonts w:ascii="Verdana" w:hAnsi="Verdana"/>
          <w:sz w:val="20"/>
          <w:szCs w:val="20"/>
          <w:lang w:val="es-ES"/>
        </w:rPr>
      </w:pPr>
      <w:r w:rsidRPr="00000743">
        <w:rPr>
          <w:rFonts w:ascii="Verdana" w:hAnsi="Verdana"/>
          <w:sz w:val="20"/>
          <w:szCs w:val="20"/>
          <w:lang w:val="es-ES"/>
        </w:rPr>
        <w:t>Ante ello, el 24 de agosto de 1994 después d</w:t>
      </w:r>
      <w:r w:rsidRPr="00703F50">
        <w:rPr>
          <w:rFonts w:ascii="Verdana" w:hAnsi="Verdana"/>
          <w:sz w:val="20"/>
          <w:szCs w:val="20"/>
          <w:lang w:val="es-ES"/>
        </w:rPr>
        <w:t xml:space="preserve">e haber escuchado en la prensa que lo acusaban de haber emitido pasaportes falsos, en concreto </w:t>
      </w:r>
      <w:r w:rsidR="00744208">
        <w:rPr>
          <w:rFonts w:ascii="Verdana" w:hAnsi="Verdana"/>
          <w:sz w:val="20"/>
          <w:szCs w:val="20"/>
          <w:lang w:val="es-ES"/>
        </w:rPr>
        <w:t>de los</w:t>
      </w:r>
      <w:r w:rsidRPr="00703F50">
        <w:rPr>
          <w:rFonts w:ascii="Verdana" w:hAnsi="Verdana"/>
          <w:sz w:val="20"/>
          <w:szCs w:val="20"/>
          <w:lang w:val="es-ES"/>
        </w:rPr>
        <w:t xml:space="preserve"> pasaporte</w:t>
      </w:r>
      <w:r w:rsidR="00744208">
        <w:rPr>
          <w:rFonts w:ascii="Verdana" w:hAnsi="Verdana"/>
          <w:sz w:val="20"/>
          <w:szCs w:val="20"/>
          <w:lang w:val="es-ES"/>
        </w:rPr>
        <w:t>s</w:t>
      </w:r>
      <w:r w:rsidRPr="00703F50">
        <w:rPr>
          <w:rFonts w:ascii="Verdana" w:hAnsi="Verdana"/>
          <w:sz w:val="20"/>
          <w:szCs w:val="20"/>
          <w:lang w:val="es-ES"/>
        </w:rPr>
        <w:t xml:space="preserve"> No</w:t>
      </w:r>
      <w:r w:rsidR="00744208">
        <w:rPr>
          <w:rFonts w:ascii="Verdana" w:hAnsi="Verdana"/>
          <w:sz w:val="20"/>
          <w:szCs w:val="20"/>
          <w:lang w:val="es-ES"/>
        </w:rPr>
        <w:t>s</w:t>
      </w:r>
      <w:r w:rsidRPr="00703F50">
        <w:rPr>
          <w:rFonts w:ascii="Verdana" w:hAnsi="Verdana"/>
          <w:sz w:val="20"/>
          <w:szCs w:val="20"/>
          <w:lang w:val="es-ES"/>
        </w:rPr>
        <w:t xml:space="preserve">. 0192808 y  0415918, este último en manos del procesado por narcotráfico </w:t>
      </w:r>
      <w:r w:rsidR="002A5B29">
        <w:rPr>
          <w:rFonts w:ascii="Verdana" w:hAnsi="Verdana"/>
          <w:sz w:val="20"/>
          <w:szCs w:val="20"/>
        </w:rPr>
        <w:t>LETG</w:t>
      </w:r>
      <w:r w:rsidRPr="00703F50">
        <w:rPr>
          <w:rFonts w:ascii="Verdana" w:hAnsi="Verdana"/>
          <w:sz w:val="20"/>
          <w:szCs w:val="20"/>
          <w:lang w:val="es-ES"/>
        </w:rPr>
        <w:t xml:space="preserve"> (quien habría usado el nombre de </w:t>
      </w:r>
      <w:r w:rsidR="000A7706">
        <w:rPr>
          <w:rFonts w:ascii="Verdana" w:hAnsi="Verdana"/>
          <w:sz w:val="20"/>
          <w:szCs w:val="20"/>
          <w:lang w:val="es-ES"/>
        </w:rPr>
        <w:t>DEVA</w:t>
      </w:r>
      <w:r w:rsidRPr="00A24DB0">
        <w:rPr>
          <w:rFonts w:ascii="Verdana" w:hAnsi="Verdana"/>
          <w:sz w:val="20"/>
          <w:szCs w:val="20"/>
          <w:lang w:val="es-ES"/>
        </w:rPr>
        <w:t xml:space="preserve">), el señor Zegarra Marín presentó el </w:t>
      </w:r>
      <w:r w:rsidRPr="00C804E5">
        <w:rPr>
          <w:rFonts w:ascii="Verdana" w:hAnsi="Verdana"/>
          <w:sz w:val="20"/>
          <w:szCs w:val="20"/>
        </w:rPr>
        <w:t xml:space="preserve">Informe </w:t>
      </w:r>
      <w:r w:rsidRPr="000A7706">
        <w:rPr>
          <w:rFonts w:ascii="Verdana" w:hAnsi="Verdana"/>
          <w:sz w:val="20"/>
          <w:szCs w:val="20"/>
        </w:rPr>
        <w:t>No. 09-SDP-DIRMIN</w:t>
      </w:r>
      <w:r w:rsidRPr="00C804E5">
        <w:rPr>
          <w:rFonts w:ascii="Verdana" w:hAnsi="Verdana"/>
          <w:sz w:val="20"/>
          <w:szCs w:val="20"/>
        </w:rPr>
        <w:t xml:space="preserve"> a la Dirección de Migraciones y Naturalización</w:t>
      </w:r>
      <w:r w:rsidRPr="00D253CC">
        <w:rPr>
          <w:rFonts w:ascii="Verdana" w:hAnsi="Verdana"/>
          <w:sz w:val="20"/>
          <w:szCs w:val="20"/>
          <w:lang w:val="es-ES"/>
        </w:rPr>
        <w:t>. En este informe señaló que el pasaporte No. 0192808 fue expedido conforme a las formalidades y procedimientos correspondientes. Respecto del pasaporte No. 0415918 indicó que correspondía a la serie enviada a la Oficina de Migraciones de Tumbes y que ellos lo emitieron en abril de 1994 y no en noviembre de 1993, como erróneamente lo señalaba el report</w:t>
      </w:r>
      <w:r w:rsidRPr="007B49CB">
        <w:rPr>
          <w:rFonts w:ascii="Verdana" w:hAnsi="Verdana"/>
          <w:sz w:val="20"/>
          <w:szCs w:val="20"/>
          <w:lang w:val="es-ES"/>
        </w:rPr>
        <w:t xml:space="preserve">aje de “La Revista Dominical” de 21 de agosto de 1994. Por ello, respecto a este documento, el señor Zegarra Marín concluyó que su firma y post-firma habían sido falsificadas y que, en todo caso, si el pasaporte hubiera sido expedido en noviembre de 1993, </w:t>
      </w:r>
      <w:r w:rsidRPr="00C16A82">
        <w:rPr>
          <w:rFonts w:ascii="Verdana" w:hAnsi="Verdana"/>
          <w:sz w:val="20"/>
          <w:szCs w:val="20"/>
          <w:lang w:val="es-ES"/>
        </w:rPr>
        <w:t>él no tuvo responsabilidad alguna ya que aún no desempeñaba el cargo de Sub Director de Pasaportes</w:t>
      </w:r>
      <w:r w:rsidRPr="00C16A82">
        <w:rPr>
          <w:rStyle w:val="FootnoteReference"/>
          <w:szCs w:val="20"/>
          <w:lang w:val="es-ES"/>
        </w:rPr>
        <w:footnoteReference w:id="62"/>
      </w:r>
      <w:r w:rsidRPr="00C16A82">
        <w:rPr>
          <w:rFonts w:ascii="Verdana" w:hAnsi="Verdana"/>
          <w:sz w:val="20"/>
          <w:szCs w:val="20"/>
          <w:lang w:val="es-ES"/>
        </w:rPr>
        <w:t xml:space="preserve">. </w:t>
      </w:r>
    </w:p>
    <w:p w14:paraId="6D172C03" w14:textId="77777777" w:rsidR="00FB723A" w:rsidRPr="00E15CA9" w:rsidRDefault="00FB723A" w:rsidP="00FB723A">
      <w:pPr>
        <w:pStyle w:val="ListParagraph"/>
        <w:ind w:left="0"/>
        <w:jc w:val="both"/>
        <w:rPr>
          <w:rFonts w:ascii="Verdana" w:hAnsi="Verdana"/>
          <w:sz w:val="20"/>
          <w:szCs w:val="20"/>
          <w:lang w:val="es-ES"/>
        </w:rPr>
      </w:pPr>
    </w:p>
    <w:p w14:paraId="6D172C04" w14:textId="087E4BF7" w:rsidR="00FB723A" w:rsidRPr="008A301C" w:rsidRDefault="00FB723A" w:rsidP="00FB723A">
      <w:pPr>
        <w:pStyle w:val="ListParagraph"/>
        <w:numPr>
          <w:ilvl w:val="0"/>
          <w:numId w:val="2"/>
        </w:numPr>
        <w:ind w:left="0" w:hanging="11"/>
        <w:jc w:val="both"/>
        <w:rPr>
          <w:rFonts w:ascii="Verdana" w:hAnsi="Verdana"/>
          <w:sz w:val="20"/>
          <w:szCs w:val="20"/>
          <w:lang w:val="es-ES"/>
        </w:rPr>
      </w:pPr>
      <w:r w:rsidRPr="003F1BE4">
        <w:rPr>
          <w:rFonts w:ascii="Verdana" w:hAnsi="Verdana"/>
          <w:sz w:val="20"/>
          <w:szCs w:val="20"/>
          <w:lang w:val="es-ES"/>
        </w:rPr>
        <w:t>Con posterioridad, el señor Zegarra Marín</w:t>
      </w:r>
      <w:r w:rsidRPr="002765D2">
        <w:rPr>
          <w:rFonts w:ascii="Verdana" w:hAnsi="Verdana"/>
          <w:sz w:val="20"/>
          <w:szCs w:val="20"/>
          <w:lang w:val="es-ES"/>
        </w:rPr>
        <w:t xml:space="preserve"> </w:t>
      </w:r>
      <w:r w:rsidRPr="00000743">
        <w:rPr>
          <w:rFonts w:ascii="Verdana" w:hAnsi="Verdana"/>
          <w:sz w:val="20"/>
          <w:szCs w:val="20"/>
          <w:lang w:val="es-ES"/>
        </w:rPr>
        <w:t xml:space="preserve">precisó </w:t>
      </w:r>
      <w:r w:rsidRPr="00703F50">
        <w:rPr>
          <w:rFonts w:ascii="Verdana" w:hAnsi="Verdana"/>
          <w:sz w:val="20"/>
          <w:szCs w:val="20"/>
          <w:lang w:val="es-ES"/>
        </w:rPr>
        <w:t>a la Corte que durante el primer semestre de 1993 ejerció funciones en la División de Estafas de la Dirección de Investigación Criminal de la</w:t>
      </w:r>
      <w:r w:rsidRPr="00A24DB0">
        <w:rPr>
          <w:rFonts w:ascii="Verdana" w:hAnsi="Verdana"/>
          <w:sz w:val="20"/>
          <w:szCs w:val="20"/>
          <w:lang w:val="es-ES"/>
        </w:rPr>
        <w:t xml:space="preserve"> PNP y que durante el segundo semestre de 1993 trabajó en la Dirección de Migraciones</w:t>
      </w:r>
      <w:r w:rsidRPr="00C804E5">
        <w:rPr>
          <w:rStyle w:val="FootnoteReference"/>
          <w:szCs w:val="20"/>
          <w:lang w:val="es-ES"/>
        </w:rPr>
        <w:footnoteReference w:id="63"/>
      </w:r>
      <w:r w:rsidR="00884F80">
        <w:rPr>
          <w:rFonts w:ascii="Verdana" w:hAnsi="Verdana"/>
          <w:sz w:val="20"/>
          <w:szCs w:val="20"/>
          <w:lang w:val="es-ES"/>
        </w:rPr>
        <w:t>.</w:t>
      </w:r>
    </w:p>
    <w:p w14:paraId="6D172C05" w14:textId="77777777" w:rsidR="00FB723A" w:rsidRPr="00F049CF" w:rsidRDefault="00FB723A" w:rsidP="00FB723A">
      <w:pPr>
        <w:pStyle w:val="ListParagraph"/>
        <w:jc w:val="both"/>
        <w:rPr>
          <w:rFonts w:ascii="Verdana" w:hAnsi="Verdana"/>
          <w:sz w:val="20"/>
          <w:szCs w:val="20"/>
          <w:lang w:val="es-ES"/>
        </w:rPr>
      </w:pPr>
    </w:p>
    <w:p w14:paraId="6D172C06" w14:textId="77A2B9B5" w:rsidR="00FB723A" w:rsidRPr="00F049CF"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ES"/>
        </w:rPr>
        <w:t>El 12 de septiembre de 1994</w:t>
      </w:r>
      <w:r>
        <w:rPr>
          <w:rFonts w:ascii="Verdana" w:hAnsi="Verdana"/>
          <w:sz w:val="20"/>
          <w:szCs w:val="20"/>
          <w:lang w:val="es-ES"/>
        </w:rPr>
        <w:t>,</w:t>
      </w:r>
      <w:r w:rsidRPr="00F049CF">
        <w:rPr>
          <w:rFonts w:ascii="Verdana" w:hAnsi="Verdana"/>
          <w:sz w:val="20"/>
          <w:szCs w:val="20"/>
          <w:lang w:val="es-ES"/>
        </w:rPr>
        <w:t xml:space="preserve"> después de un segundo reportaje de “La Revista Dominical” emitido el </w:t>
      </w:r>
      <w:r w:rsidR="00884F80">
        <w:rPr>
          <w:rFonts w:ascii="Verdana" w:hAnsi="Verdana"/>
          <w:sz w:val="20"/>
          <w:szCs w:val="20"/>
          <w:lang w:val="es-ES"/>
        </w:rPr>
        <w:t>día anterior</w:t>
      </w:r>
      <w:r w:rsidRPr="00F049CF">
        <w:rPr>
          <w:rFonts w:ascii="Verdana" w:hAnsi="Verdana"/>
          <w:sz w:val="20"/>
          <w:szCs w:val="20"/>
          <w:lang w:val="es-ES"/>
        </w:rPr>
        <w:t xml:space="preserve">, en relación con la participación del señor Zegarra Marín en la emisión de pasaportes falsos, </w:t>
      </w:r>
      <w:r>
        <w:rPr>
          <w:rFonts w:ascii="Verdana" w:hAnsi="Verdana"/>
          <w:sz w:val="20"/>
          <w:szCs w:val="20"/>
          <w:lang w:val="es-ES"/>
        </w:rPr>
        <w:t>é</w:t>
      </w:r>
      <w:r w:rsidRPr="00F049CF">
        <w:rPr>
          <w:rFonts w:ascii="Verdana" w:hAnsi="Verdana"/>
          <w:sz w:val="20"/>
          <w:szCs w:val="20"/>
          <w:lang w:val="es-ES"/>
        </w:rPr>
        <w:t>ste presentó un segundo informe No. 036-SDP-DIRMIN</w:t>
      </w:r>
      <w:r w:rsidR="00204EF4">
        <w:rPr>
          <w:rFonts w:ascii="Verdana" w:hAnsi="Verdana"/>
          <w:sz w:val="20"/>
          <w:szCs w:val="20"/>
          <w:lang w:val="es-ES"/>
        </w:rPr>
        <w:t xml:space="preserve"> de 12 de septiembre de 1994</w:t>
      </w:r>
      <w:r w:rsidRPr="00F049CF">
        <w:rPr>
          <w:rFonts w:ascii="Verdana" w:hAnsi="Verdana"/>
          <w:sz w:val="20"/>
          <w:szCs w:val="20"/>
          <w:lang w:val="es-ES"/>
        </w:rPr>
        <w:t>, ante el Ministerio del Interior, por medio del cual señaló que él no tuvo en su poder los pasaportes encontrados</w:t>
      </w:r>
      <w:r w:rsidR="00884F80">
        <w:rPr>
          <w:rFonts w:ascii="Verdana" w:hAnsi="Verdana"/>
          <w:sz w:val="20"/>
          <w:szCs w:val="20"/>
          <w:lang w:val="es-ES"/>
        </w:rPr>
        <w:t xml:space="preserve"> respecto del señor</w:t>
      </w:r>
      <w:r w:rsidRPr="00F049CF">
        <w:rPr>
          <w:rFonts w:ascii="Verdana" w:hAnsi="Verdana"/>
          <w:sz w:val="20"/>
          <w:szCs w:val="20"/>
          <w:lang w:val="es-ES"/>
        </w:rPr>
        <w:t xml:space="preserve"> </w:t>
      </w:r>
      <w:r w:rsidR="002A5B29">
        <w:rPr>
          <w:rFonts w:ascii="Verdana" w:hAnsi="Verdana"/>
          <w:sz w:val="20"/>
          <w:szCs w:val="20"/>
        </w:rPr>
        <w:t>LETG</w:t>
      </w:r>
      <w:r w:rsidRPr="00F049CF">
        <w:rPr>
          <w:rFonts w:ascii="Verdana" w:hAnsi="Verdana"/>
          <w:sz w:val="20"/>
          <w:szCs w:val="20"/>
          <w:lang w:val="es-ES"/>
        </w:rPr>
        <w:t>. Asimismo, informó que no tuvo trato alguno con los portadores de los mismos ni con traficantes y solicitó a sus superiores una investigación exhaustiva a fin de identificar a los responsables</w:t>
      </w:r>
      <w:r w:rsidRPr="00F049CF">
        <w:rPr>
          <w:rStyle w:val="FootnoteReference"/>
          <w:szCs w:val="20"/>
          <w:lang w:val="es-ES"/>
        </w:rPr>
        <w:footnoteReference w:id="64"/>
      </w:r>
      <w:r w:rsidRPr="00F049CF">
        <w:rPr>
          <w:rFonts w:ascii="Verdana" w:hAnsi="Verdana"/>
          <w:sz w:val="20"/>
          <w:szCs w:val="20"/>
          <w:lang w:val="es-ES"/>
        </w:rPr>
        <w:t>.</w:t>
      </w:r>
    </w:p>
    <w:p w14:paraId="6D172C07" w14:textId="77777777" w:rsidR="00FB723A" w:rsidRPr="00F049CF" w:rsidRDefault="00FB723A" w:rsidP="00FB723A">
      <w:pPr>
        <w:pStyle w:val="ListParagraph"/>
        <w:jc w:val="both"/>
        <w:rPr>
          <w:rFonts w:ascii="Verdana" w:hAnsi="Verdana"/>
          <w:sz w:val="20"/>
          <w:szCs w:val="20"/>
          <w:lang w:val="es-ES"/>
        </w:rPr>
      </w:pPr>
    </w:p>
    <w:p w14:paraId="6D172C08" w14:textId="5AB61C74" w:rsidR="00FB723A" w:rsidRPr="00F049CF"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ES"/>
        </w:rPr>
        <w:t xml:space="preserve">El 6 de octubre de 1994 la Inspectoría General del Ministerio del Interior emitió el  Informe de Investigación No. </w:t>
      </w:r>
      <w:r w:rsidRPr="00F049CF">
        <w:rPr>
          <w:rFonts w:ascii="Verdana" w:hAnsi="Verdana"/>
          <w:sz w:val="20"/>
          <w:szCs w:val="20"/>
        </w:rPr>
        <w:t>023-94-IN/OCI.0.INV</w:t>
      </w:r>
      <w:r w:rsidR="00204EF4">
        <w:rPr>
          <w:rFonts w:ascii="Verdana" w:hAnsi="Verdana"/>
          <w:sz w:val="20"/>
          <w:szCs w:val="20"/>
        </w:rPr>
        <w:t xml:space="preserve">, cuyo asunto era la </w:t>
      </w:r>
      <w:r w:rsidR="00884F80">
        <w:rPr>
          <w:rFonts w:ascii="Verdana" w:hAnsi="Verdana"/>
          <w:sz w:val="20"/>
          <w:szCs w:val="20"/>
        </w:rPr>
        <w:t>“</w:t>
      </w:r>
      <w:r w:rsidR="00701054">
        <w:rPr>
          <w:rFonts w:ascii="Verdana" w:hAnsi="Verdana"/>
          <w:sz w:val="20"/>
          <w:szCs w:val="20"/>
        </w:rPr>
        <w:t>[</w:t>
      </w:r>
      <w:r w:rsidR="00204EF4">
        <w:rPr>
          <w:rFonts w:ascii="Verdana" w:hAnsi="Verdana"/>
          <w:sz w:val="20"/>
          <w:szCs w:val="20"/>
        </w:rPr>
        <w:t>i</w:t>
      </w:r>
      <w:r w:rsidR="00701054">
        <w:rPr>
          <w:rFonts w:ascii="Verdana" w:hAnsi="Verdana"/>
          <w:sz w:val="20"/>
          <w:szCs w:val="20"/>
        </w:rPr>
        <w:t>]</w:t>
      </w:r>
      <w:r w:rsidR="00204EF4">
        <w:rPr>
          <w:rFonts w:ascii="Verdana" w:hAnsi="Verdana"/>
          <w:sz w:val="20"/>
          <w:szCs w:val="20"/>
        </w:rPr>
        <w:t xml:space="preserve">nvestigación relacionada con la expedición dolosa y fraudulenta de </w:t>
      </w:r>
      <w:r w:rsidR="00884F80">
        <w:rPr>
          <w:rFonts w:ascii="Verdana" w:hAnsi="Verdana"/>
          <w:sz w:val="20"/>
          <w:szCs w:val="20"/>
        </w:rPr>
        <w:t>P</w:t>
      </w:r>
      <w:r w:rsidR="00204EF4">
        <w:rPr>
          <w:rFonts w:ascii="Verdana" w:hAnsi="Verdana"/>
          <w:sz w:val="20"/>
          <w:szCs w:val="20"/>
        </w:rPr>
        <w:t xml:space="preserve">asaportes al narcotraficante </w:t>
      </w:r>
      <w:r w:rsidR="00884F80">
        <w:rPr>
          <w:rFonts w:ascii="Verdana" w:hAnsi="Verdana"/>
          <w:sz w:val="20"/>
          <w:szCs w:val="20"/>
        </w:rPr>
        <w:t>[</w:t>
      </w:r>
      <w:r w:rsidR="00204EF4">
        <w:rPr>
          <w:rFonts w:ascii="Verdana" w:hAnsi="Verdana"/>
          <w:sz w:val="20"/>
          <w:szCs w:val="20"/>
        </w:rPr>
        <w:t>LETG</w:t>
      </w:r>
      <w:r w:rsidR="00884F80">
        <w:rPr>
          <w:rFonts w:ascii="Verdana" w:hAnsi="Verdana"/>
          <w:sz w:val="20"/>
          <w:szCs w:val="20"/>
        </w:rPr>
        <w:t>]</w:t>
      </w:r>
      <w:r w:rsidR="00204EF4">
        <w:rPr>
          <w:rFonts w:ascii="Verdana" w:hAnsi="Verdana"/>
          <w:sz w:val="20"/>
          <w:szCs w:val="20"/>
        </w:rPr>
        <w:t>”</w:t>
      </w:r>
      <w:r w:rsidRPr="00F049CF">
        <w:rPr>
          <w:rFonts w:ascii="Verdana" w:hAnsi="Verdana"/>
          <w:sz w:val="20"/>
          <w:szCs w:val="20"/>
          <w:lang w:val="es-ES"/>
        </w:rPr>
        <w:t xml:space="preserve">. Dicha Inspectoría concluyó, entre otras cosas, </w:t>
      </w:r>
      <w:r w:rsidR="00204EF4">
        <w:rPr>
          <w:rFonts w:ascii="Verdana" w:hAnsi="Verdana"/>
          <w:sz w:val="20"/>
          <w:szCs w:val="20"/>
          <w:lang w:val="es-ES"/>
        </w:rPr>
        <w:t xml:space="preserve">por un lado, </w:t>
      </w:r>
      <w:r w:rsidRPr="00F049CF">
        <w:rPr>
          <w:rFonts w:ascii="Verdana" w:hAnsi="Verdana"/>
          <w:sz w:val="20"/>
          <w:szCs w:val="20"/>
          <w:lang w:val="es-ES"/>
        </w:rPr>
        <w:t xml:space="preserve">que de la documentación confrontada, se apreció que el pasaporte No. 0415918, a nombre de </w:t>
      </w:r>
      <w:r w:rsidR="000A7706">
        <w:rPr>
          <w:rFonts w:ascii="Verdana" w:hAnsi="Verdana"/>
          <w:sz w:val="20"/>
          <w:szCs w:val="20"/>
          <w:lang w:val="es-ES"/>
        </w:rPr>
        <w:t>DEVA</w:t>
      </w:r>
      <w:r w:rsidRPr="00F049CF">
        <w:rPr>
          <w:rFonts w:ascii="Verdana" w:hAnsi="Verdana"/>
          <w:sz w:val="20"/>
          <w:szCs w:val="20"/>
          <w:lang w:val="es-ES"/>
        </w:rPr>
        <w:t xml:space="preserve">, pero incautado al procesado por narcotráfico </w:t>
      </w:r>
      <w:r w:rsidR="002A5B29">
        <w:rPr>
          <w:rFonts w:ascii="Verdana" w:hAnsi="Verdana"/>
          <w:sz w:val="20"/>
          <w:szCs w:val="20"/>
        </w:rPr>
        <w:t>LETG</w:t>
      </w:r>
      <w:r w:rsidRPr="00F049CF">
        <w:rPr>
          <w:rFonts w:ascii="Verdana" w:hAnsi="Verdana"/>
          <w:sz w:val="20"/>
          <w:szCs w:val="20"/>
        </w:rPr>
        <w:t xml:space="preserve"> y presuntamente expedido el 22 de noviembre de 1993 por el señor Zegarra Marín, </w:t>
      </w:r>
      <w:r w:rsidRPr="00F049CF">
        <w:rPr>
          <w:rFonts w:ascii="Verdana" w:hAnsi="Verdana"/>
          <w:sz w:val="20"/>
          <w:szCs w:val="20"/>
          <w:lang w:val="es-ES"/>
        </w:rPr>
        <w:t>sólo pudo haber sido expedido en blanco, para luego ser llenado con los datos que aparecían en el pasaporte mostrado en la prensa y</w:t>
      </w:r>
      <w:r w:rsidR="0098439B">
        <w:rPr>
          <w:rFonts w:ascii="Verdana" w:hAnsi="Verdana"/>
          <w:sz w:val="20"/>
          <w:szCs w:val="20"/>
          <w:lang w:val="es-ES"/>
        </w:rPr>
        <w:t>, por otro lado, que el sello que presentaba el pasaporte N</w:t>
      </w:r>
      <w:r w:rsidR="00701054">
        <w:rPr>
          <w:rFonts w:ascii="Verdana" w:hAnsi="Verdana"/>
          <w:sz w:val="20"/>
          <w:szCs w:val="20"/>
          <w:lang w:val="es-ES"/>
        </w:rPr>
        <w:t xml:space="preserve">o. </w:t>
      </w:r>
      <w:r w:rsidR="0098439B">
        <w:rPr>
          <w:rFonts w:ascii="Verdana" w:hAnsi="Verdana"/>
          <w:sz w:val="20"/>
          <w:szCs w:val="20"/>
          <w:lang w:val="es-ES"/>
        </w:rPr>
        <w:t xml:space="preserve">0415918 a nombre de </w:t>
      </w:r>
      <w:r w:rsidR="00701054">
        <w:rPr>
          <w:rFonts w:ascii="Verdana" w:hAnsi="Verdana"/>
          <w:sz w:val="20"/>
          <w:szCs w:val="20"/>
          <w:lang w:val="es-ES"/>
        </w:rPr>
        <w:t>DEVA</w:t>
      </w:r>
      <w:r w:rsidR="0098439B">
        <w:rPr>
          <w:rFonts w:ascii="Verdana" w:hAnsi="Verdana"/>
          <w:sz w:val="20"/>
          <w:szCs w:val="20"/>
          <w:lang w:val="es-ES"/>
        </w:rPr>
        <w:t xml:space="preserve"> presentaba diferencias significativas </w:t>
      </w:r>
      <w:r w:rsidR="000A7706">
        <w:rPr>
          <w:rFonts w:ascii="Verdana" w:hAnsi="Verdana"/>
          <w:sz w:val="20"/>
          <w:szCs w:val="20"/>
          <w:lang w:val="es-ES"/>
        </w:rPr>
        <w:t xml:space="preserve">con </w:t>
      </w:r>
      <w:r w:rsidR="00701054">
        <w:rPr>
          <w:rFonts w:ascii="Verdana" w:hAnsi="Verdana"/>
          <w:sz w:val="20"/>
          <w:szCs w:val="20"/>
          <w:lang w:val="es-ES"/>
        </w:rPr>
        <w:t>aquellos</w:t>
      </w:r>
      <w:r w:rsidR="0098439B">
        <w:rPr>
          <w:rFonts w:ascii="Verdana" w:hAnsi="Verdana"/>
          <w:sz w:val="20"/>
          <w:szCs w:val="20"/>
          <w:lang w:val="es-ES"/>
        </w:rPr>
        <w:t xml:space="preserve"> que el señor Zegarra Marín expedía en Lima</w:t>
      </w:r>
      <w:r w:rsidRPr="00F049CF">
        <w:rPr>
          <w:rFonts w:ascii="Verdana" w:hAnsi="Verdana"/>
          <w:sz w:val="20"/>
          <w:szCs w:val="20"/>
          <w:lang w:val="es-ES"/>
        </w:rPr>
        <w:t>. El informe concluyó además</w:t>
      </w:r>
      <w:r>
        <w:rPr>
          <w:rFonts w:ascii="Verdana" w:hAnsi="Verdana"/>
          <w:sz w:val="20"/>
          <w:szCs w:val="20"/>
          <w:lang w:val="es-ES"/>
        </w:rPr>
        <w:t>,</w:t>
      </w:r>
      <w:r w:rsidRPr="00F049CF">
        <w:rPr>
          <w:rFonts w:ascii="Verdana" w:hAnsi="Verdana"/>
          <w:sz w:val="20"/>
          <w:szCs w:val="20"/>
          <w:lang w:val="es-ES"/>
        </w:rPr>
        <w:t xml:space="preserve"> que otro pasaporte con la misma numeración fue expedido por el señor </w:t>
      </w:r>
      <w:r>
        <w:rPr>
          <w:rFonts w:ascii="Verdana" w:hAnsi="Verdana"/>
          <w:sz w:val="20"/>
          <w:szCs w:val="20"/>
          <w:lang w:val="es-ES"/>
        </w:rPr>
        <w:t xml:space="preserve">MP </w:t>
      </w:r>
      <w:r w:rsidRPr="00F049CF">
        <w:rPr>
          <w:rFonts w:ascii="Verdana" w:hAnsi="Verdana"/>
          <w:sz w:val="20"/>
          <w:szCs w:val="20"/>
          <w:lang w:val="es-ES"/>
        </w:rPr>
        <w:t xml:space="preserve">a nombre de César </w:t>
      </w:r>
      <w:r w:rsidR="001C4E0D">
        <w:rPr>
          <w:rFonts w:ascii="Verdana" w:hAnsi="Verdana"/>
          <w:sz w:val="20"/>
          <w:szCs w:val="20"/>
          <w:lang w:val="es-ES"/>
        </w:rPr>
        <w:t xml:space="preserve">Augusto </w:t>
      </w:r>
      <w:r w:rsidRPr="00F049CF">
        <w:rPr>
          <w:rFonts w:ascii="Verdana" w:hAnsi="Verdana"/>
          <w:sz w:val="20"/>
          <w:szCs w:val="20"/>
          <w:lang w:val="es-ES"/>
        </w:rPr>
        <w:t>Mendo Castillo el 22 de abril de 1994</w:t>
      </w:r>
      <w:r>
        <w:rPr>
          <w:rFonts w:ascii="Verdana" w:hAnsi="Verdana"/>
          <w:sz w:val="20"/>
          <w:szCs w:val="20"/>
          <w:lang w:val="es-ES"/>
        </w:rPr>
        <w:t>,</w:t>
      </w:r>
      <w:r w:rsidRPr="00F049CF">
        <w:rPr>
          <w:rFonts w:ascii="Verdana" w:hAnsi="Verdana"/>
          <w:sz w:val="20"/>
          <w:szCs w:val="20"/>
          <w:lang w:val="es-ES"/>
        </w:rPr>
        <w:t xml:space="preserve"> y que el pasaporte No. 0416395 a nombre de </w:t>
      </w:r>
      <w:r w:rsidR="00701054">
        <w:rPr>
          <w:rFonts w:ascii="Verdana" w:hAnsi="Verdana"/>
          <w:sz w:val="20"/>
          <w:szCs w:val="20"/>
          <w:lang w:val="es-ES"/>
        </w:rPr>
        <w:t>DEVA</w:t>
      </w:r>
      <w:r w:rsidRPr="00F049CF">
        <w:rPr>
          <w:rFonts w:ascii="Verdana" w:hAnsi="Verdana"/>
          <w:sz w:val="20"/>
          <w:szCs w:val="20"/>
          <w:lang w:val="es-ES"/>
        </w:rPr>
        <w:t xml:space="preserve"> fue expedido de manera irregular por el señor </w:t>
      </w:r>
      <w:r w:rsidR="0014732F">
        <w:rPr>
          <w:rFonts w:ascii="Verdana" w:hAnsi="Verdana"/>
          <w:sz w:val="20"/>
          <w:szCs w:val="20"/>
          <w:lang w:val="es-ES"/>
        </w:rPr>
        <w:t>CH</w:t>
      </w:r>
      <w:r w:rsidRPr="00F049CF">
        <w:rPr>
          <w:rFonts w:ascii="Verdana" w:hAnsi="Verdana"/>
          <w:sz w:val="20"/>
          <w:szCs w:val="20"/>
          <w:lang w:val="es-ES"/>
        </w:rPr>
        <w:t xml:space="preserve"> el 22 de julio de 1994. Ambos documentos tenían la fotografía del presunto narcotraficante</w:t>
      </w:r>
      <w:r w:rsidRPr="00F049CF">
        <w:rPr>
          <w:rFonts w:ascii="Verdana" w:hAnsi="Verdana"/>
          <w:sz w:val="20"/>
          <w:szCs w:val="20"/>
        </w:rPr>
        <w:t xml:space="preserve"> </w:t>
      </w:r>
      <w:r w:rsidR="002A5B29">
        <w:rPr>
          <w:rFonts w:ascii="Verdana" w:hAnsi="Verdana"/>
          <w:sz w:val="20"/>
          <w:szCs w:val="20"/>
        </w:rPr>
        <w:t>LETG</w:t>
      </w:r>
      <w:r w:rsidRPr="00F049CF">
        <w:rPr>
          <w:rFonts w:ascii="Verdana" w:hAnsi="Verdana"/>
          <w:sz w:val="20"/>
          <w:szCs w:val="20"/>
          <w:lang w:val="es-ES"/>
        </w:rPr>
        <w:t xml:space="preserve">. Por ello, dicho informe concluyó que los pasaportes habían sido expedidos por la Oficina de Migraciones de Tumbes de manera irregular y no por el señor Zegarra Marín, por lo que la Inspectoría solicitó pasar a la situación de retiro a los señores </w:t>
      </w:r>
      <w:r w:rsidR="003E3ED7">
        <w:rPr>
          <w:rFonts w:ascii="Verdana" w:hAnsi="Verdana"/>
          <w:sz w:val="20"/>
          <w:szCs w:val="20"/>
          <w:lang w:val="es-ES"/>
        </w:rPr>
        <w:t>MP</w:t>
      </w:r>
      <w:r w:rsidRPr="00F049CF">
        <w:rPr>
          <w:rFonts w:ascii="Verdana" w:hAnsi="Verdana"/>
          <w:sz w:val="20"/>
          <w:szCs w:val="20"/>
          <w:lang w:val="es-ES"/>
        </w:rPr>
        <w:t xml:space="preserve"> y </w:t>
      </w:r>
      <w:r w:rsidR="0014732F">
        <w:rPr>
          <w:rFonts w:ascii="Verdana" w:hAnsi="Verdana"/>
          <w:sz w:val="20"/>
          <w:szCs w:val="20"/>
          <w:lang w:val="es-ES"/>
        </w:rPr>
        <w:t>CH</w:t>
      </w:r>
      <w:r w:rsidRPr="00F049CF">
        <w:rPr>
          <w:rFonts w:ascii="Verdana" w:hAnsi="Verdana"/>
          <w:sz w:val="20"/>
          <w:szCs w:val="20"/>
          <w:lang w:val="es-ES"/>
        </w:rPr>
        <w:t xml:space="preserve"> por las graves faltas cometidas</w:t>
      </w:r>
      <w:r w:rsidRPr="00F049CF">
        <w:rPr>
          <w:rStyle w:val="FootnoteReference"/>
          <w:szCs w:val="20"/>
          <w:lang w:val="es-ES"/>
        </w:rPr>
        <w:footnoteReference w:id="65"/>
      </w:r>
      <w:r w:rsidRPr="00F049CF">
        <w:rPr>
          <w:rFonts w:ascii="Verdana" w:hAnsi="Verdana"/>
          <w:sz w:val="20"/>
          <w:szCs w:val="20"/>
          <w:lang w:val="es-ES"/>
        </w:rPr>
        <w:t>.</w:t>
      </w:r>
    </w:p>
    <w:p w14:paraId="6D172C09" w14:textId="77777777" w:rsidR="00FB723A" w:rsidRPr="00F049CF" w:rsidRDefault="00FB723A" w:rsidP="00FB723A">
      <w:pPr>
        <w:pStyle w:val="ListParagraph"/>
        <w:ind w:left="0"/>
        <w:jc w:val="both"/>
        <w:rPr>
          <w:rFonts w:ascii="Verdana" w:hAnsi="Verdana"/>
          <w:sz w:val="20"/>
          <w:szCs w:val="20"/>
          <w:lang w:val="es-ES"/>
        </w:rPr>
      </w:pPr>
    </w:p>
    <w:p w14:paraId="6D172C0A" w14:textId="7FCB3912" w:rsidR="00FB723A" w:rsidRPr="00F049CF"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ES"/>
        </w:rPr>
        <w:t>El 12 de septiembre de 1994</w:t>
      </w:r>
      <w:r>
        <w:rPr>
          <w:rFonts w:ascii="Verdana" w:hAnsi="Verdana"/>
          <w:sz w:val="20"/>
          <w:szCs w:val="20"/>
          <w:lang w:val="es-ES"/>
        </w:rPr>
        <w:t>,</w:t>
      </w:r>
      <w:r w:rsidRPr="00F049CF">
        <w:rPr>
          <w:rFonts w:ascii="Verdana" w:hAnsi="Verdana"/>
          <w:sz w:val="20"/>
          <w:szCs w:val="20"/>
          <w:lang w:val="es-ES"/>
        </w:rPr>
        <w:t xml:space="preserve"> mediante Resolución de la Fiscalía de la Nación se designó a Tony Washington García Cano, Fiscal Provincial Provisional de la Cuarta Fiscalía Provincial en lo Penal de Lima como Fiscal </w:t>
      </w:r>
      <w:r w:rsidRPr="00F049CF">
        <w:rPr>
          <w:rFonts w:ascii="Verdana" w:hAnsi="Verdana"/>
          <w:i/>
          <w:sz w:val="20"/>
          <w:szCs w:val="20"/>
          <w:lang w:val="es-ES"/>
        </w:rPr>
        <w:t>Ad Hoc</w:t>
      </w:r>
      <w:r>
        <w:rPr>
          <w:rFonts w:ascii="Verdana" w:hAnsi="Verdana"/>
          <w:i/>
          <w:sz w:val="20"/>
          <w:szCs w:val="20"/>
          <w:lang w:val="es-ES"/>
        </w:rPr>
        <w:t>,</w:t>
      </w:r>
      <w:r w:rsidRPr="00F049CF">
        <w:rPr>
          <w:rFonts w:ascii="Verdana" w:hAnsi="Verdana"/>
          <w:sz w:val="20"/>
          <w:szCs w:val="20"/>
          <w:lang w:val="es-ES"/>
        </w:rPr>
        <w:t xml:space="preserve"> con el fin de avocarse al conocimiento del caso del señor </w:t>
      </w:r>
      <w:r w:rsidR="00DB0D40">
        <w:rPr>
          <w:rFonts w:ascii="Verdana" w:hAnsi="Verdana"/>
          <w:sz w:val="20"/>
          <w:szCs w:val="20"/>
        </w:rPr>
        <w:t>CRMC</w:t>
      </w:r>
      <w:r w:rsidRPr="00F049CF">
        <w:rPr>
          <w:rFonts w:ascii="Verdana" w:hAnsi="Verdana"/>
          <w:sz w:val="20"/>
          <w:szCs w:val="20"/>
          <w:lang w:val="es-ES"/>
        </w:rPr>
        <w:t xml:space="preserve">, </w:t>
      </w:r>
      <w:r w:rsidR="0098439B">
        <w:rPr>
          <w:rFonts w:ascii="Verdana" w:hAnsi="Verdana"/>
          <w:sz w:val="20"/>
          <w:szCs w:val="20"/>
          <w:lang w:val="es-ES"/>
        </w:rPr>
        <w:t xml:space="preserve">el cual había sido </w:t>
      </w:r>
      <w:r w:rsidRPr="00F049CF">
        <w:rPr>
          <w:rFonts w:ascii="Verdana" w:hAnsi="Verdana"/>
          <w:sz w:val="20"/>
          <w:szCs w:val="20"/>
          <w:lang w:val="es-ES"/>
        </w:rPr>
        <w:t>puesto en conocimiento de la Fiscal de la Nación por los medios de prensa referidos (</w:t>
      </w:r>
      <w:r w:rsidRPr="0058104A">
        <w:rPr>
          <w:rFonts w:ascii="Verdana" w:hAnsi="Verdana"/>
          <w:i/>
          <w:sz w:val="20"/>
          <w:szCs w:val="20"/>
          <w:lang w:val="es-ES"/>
        </w:rPr>
        <w:t>supra</w:t>
      </w:r>
      <w:r w:rsidRPr="00F049CF">
        <w:rPr>
          <w:rFonts w:ascii="Verdana" w:hAnsi="Verdana"/>
          <w:sz w:val="20"/>
          <w:szCs w:val="20"/>
          <w:lang w:val="es-ES"/>
        </w:rPr>
        <w:t xml:space="preserve"> párr. </w:t>
      </w:r>
      <w:r w:rsidR="0098439B">
        <w:rPr>
          <w:rFonts w:ascii="Verdana" w:hAnsi="Verdana"/>
          <w:sz w:val="20"/>
          <w:szCs w:val="20"/>
          <w:lang w:val="es-ES"/>
        </w:rPr>
        <w:t>7</w:t>
      </w:r>
      <w:r w:rsidR="00073BF3">
        <w:rPr>
          <w:rFonts w:ascii="Verdana" w:hAnsi="Verdana"/>
          <w:sz w:val="20"/>
          <w:szCs w:val="20"/>
          <w:lang w:val="es-ES"/>
        </w:rPr>
        <w:t>1</w:t>
      </w:r>
      <w:r w:rsidRPr="00F049CF">
        <w:rPr>
          <w:rFonts w:ascii="Verdana" w:hAnsi="Verdana"/>
          <w:sz w:val="20"/>
          <w:szCs w:val="20"/>
          <w:lang w:val="es-ES"/>
        </w:rPr>
        <w:t>). Dicha investigación tenía como fin determinar</w:t>
      </w:r>
      <w:r>
        <w:rPr>
          <w:rFonts w:ascii="Verdana" w:hAnsi="Verdana"/>
          <w:sz w:val="20"/>
          <w:szCs w:val="20"/>
          <w:lang w:val="es-ES"/>
        </w:rPr>
        <w:t>,</w:t>
      </w:r>
      <w:r w:rsidRPr="00F049CF">
        <w:rPr>
          <w:rFonts w:ascii="Verdana" w:hAnsi="Verdana"/>
          <w:sz w:val="20"/>
          <w:szCs w:val="20"/>
          <w:lang w:val="es-ES"/>
        </w:rPr>
        <w:t xml:space="preserve"> entre otras cosas, en qué circunstancias el señor </w:t>
      </w:r>
      <w:r w:rsidR="00DB0D40">
        <w:rPr>
          <w:rFonts w:ascii="Verdana" w:hAnsi="Verdana"/>
          <w:sz w:val="20"/>
          <w:szCs w:val="20"/>
        </w:rPr>
        <w:t>CRMC</w:t>
      </w:r>
      <w:r w:rsidRPr="00F049CF">
        <w:rPr>
          <w:rFonts w:ascii="Verdana" w:hAnsi="Verdana"/>
          <w:sz w:val="20"/>
          <w:szCs w:val="20"/>
          <w:lang w:val="es-ES"/>
        </w:rPr>
        <w:t xml:space="preserve"> se había fugado del país sin ser detenido, quién le otorgó el nuevo pasaporte,</w:t>
      </w:r>
      <w:r>
        <w:rPr>
          <w:rFonts w:ascii="Verdana" w:hAnsi="Verdana"/>
          <w:sz w:val="20"/>
          <w:szCs w:val="20"/>
          <w:lang w:val="es-ES"/>
        </w:rPr>
        <w:t xml:space="preserve"> y</w:t>
      </w:r>
      <w:r w:rsidRPr="00F049CF">
        <w:rPr>
          <w:rFonts w:ascii="Verdana" w:hAnsi="Verdana"/>
          <w:sz w:val="20"/>
          <w:szCs w:val="20"/>
          <w:lang w:val="es-ES"/>
        </w:rPr>
        <w:t xml:space="preserve"> qué personas o autoridades facilitaron su fuga, para proceder con la denuncia penal correspondiente</w:t>
      </w:r>
      <w:r w:rsidRPr="00F049CF">
        <w:rPr>
          <w:rStyle w:val="FootnoteReference"/>
          <w:szCs w:val="20"/>
          <w:lang w:val="es-ES"/>
        </w:rPr>
        <w:footnoteReference w:id="66"/>
      </w:r>
      <w:r w:rsidRPr="00F049CF">
        <w:rPr>
          <w:rFonts w:ascii="Verdana" w:hAnsi="Verdana"/>
          <w:sz w:val="20"/>
          <w:szCs w:val="20"/>
          <w:lang w:val="es-ES"/>
        </w:rPr>
        <w:t xml:space="preserve">. </w:t>
      </w:r>
    </w:p>
    <w:p w14:paraId="6D172C0B" w14:textId="77777777" w:rsidR="00FB723A" w:rsidRPr="00F049CF" w:rsidRDefault="00FB723A" w:rsidP="00FB723A">
      <w:pPr>
        <w:pStyle w:val="ListParagraph"/>
        <w:jc w:val="both"/>
        <w:rPr>
          <w:rFonts w:ascii="Verdana" w:hAnsi="Verdana"/>
          <w:sz w:val="20"/>
          <w:szCs w:val="20"/>
          <w:lang w:val="es-ES"/>
        </w:rPr>
      </w:pPr>
    </w:p>
    <w:p w14:paraId="6D172C0C" w14:textId="2182F1D1" w:rsidR="00FE050C" w:rsidRPr="00786F4B" w:rsidRDefault="00FB723A" w:rsidP="00FE050C">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ES"/>
        </w:rPr>
        <w:lastRenderedPageBreak/>
        <w:t xml:space="preserve">Con motivo de la investigación iniciada a cargo del Fiscal </w:t>
      </w:r>
      <w:r w:rsidRPr="00F049CF">
        <w:rPr>
          <w:rFonts w:ascii="Verdana" w:hAnsi="Verdana"/>
          <w:i/>
          <w:sz w:val="20"/>
          <w:szCs w:val="20"/>
          <w:lang w:val="es-ES"/>
        </w:rPr>
        <w:t xml:space="preserve">Ad Hoc </w:t>
      </w:r>
      <w:r w:rsidRPr="00F049CF">
        <w:rPr>
          <w:rFonts w:ascii="Verdana" w:hAnsi="Verdana"/>
          <w:sz w:val="20"/>
          <w:szCs w:val="20"/>
          <w:lang w:val="es-ES"/>
        </w:rPr>
        <w:t>y del informe de la</w:t>
      </w:r>
      <w:r w:rsidRPr="00F049CF">
        <w:rPr>
          <w:rFonts w:ascii="Verdana" w:hAnsi="Verdana"/>
          <w:i/>
          <w:sz w:val="20"/>
          <w:szCs w:val="20"/>
          <w:lang w:val="es-ES"/>
        </w:rPr>
        <w:t xml:space="preserve"> </w:t>
      </w:r>
      <w:r w:rsidRPr="00F049CF">
        <w:rPr>
          <w:rFonts w:ascii="Verdana" w:hAnsi="Verdana"/>
          <w:sz w:val="20"/>
          <w:szCs w:val="20"/>
          <w:lang w:val="es-ES"/>
        </w:rPr>
        <w:t>Inspectoría General del Ministerio del Interior (</w:t>
      </w:r>
      <w:r w:rsidRPr="0058104A">
        <w:rPr>
          <w:rFonts w:ascii="Verdana" w:hAnsi="Verdana"/>
          <w:i/>
          <w:sz w:val="20"/>
          <w:szCs w:val="20"/>
          <w:lang w:val="es-ES"/>
        </w:rPr>
        <w:t>supra</w:t>
      </w:r>
      <w:r w:rsidRPr="00F049CF">
        <w:rPr>
          <w:rFonts w:ascii="Verdana" w:hAnsi="Verdana"/>
          <w:sz w:val="20"/>
          <w:szCs w:val="20"/>
          <w:lang w:val="es-ES"/>
        </w:rPr>
        <w:t xml:space="preserve"> pár. </w:t>
      </w:r>
      <w:r w:rsidR="00073BF3">
        <w:rPr>
          <w:rFonts w:ascii="Verdana" w:hAnsi="Verdana"/>
          <w:sz w:val="20"/>
          <w:szCs w:val="20"/>
          <w:lang w:val="es-ES"/>
        </w:rPr>
        <w:t>75</w:t>
      </w:r>
      <w:r w:rsidRPr="00F049CF">
        <w:rPr>
          <w:rFonts w:ascii="Verdana" w:hAnsi="Verdana"/>
          <w:sz w:val="20"/>
          <w:szCs w:val="20"/>
          <w:lang w:val="es-ES"/>
        </w:rPr>
        <w:t xml:space="preserve">), el </w:t>
      </w:r>
      <w:r w:rsidRPr="00F049CF">
        <w:rPr>
          <w:rFonts w:ascii="Verdana" w:hAnsi="Verdana"/>
          <w:sz w:val="20"/>
          <w:szCs w:val="20"/>
          <w:lang w:val="es-CR"/>
        </w:rPr>
        <w:t xml:space="preserve">21 de octubre de 1994 la PNP emitió el atestado número </w:t>
      </w:r>
      <w:r w:rsidRPr="00184FE8">
        <w:rPr>
          <w:rFonts w:ascii="Verdana" w:hAnsi="Verdana"/>
          <w:sz w:val="20"/>
          <w:szCs w:val="20"/>
          <w:lang w:val="es-CR"/>
        </w:rPr>
        <w:t>079-IC-DIVISE</w:t>
      </w:r>
      <w:r w:rsidRPr="00F049CF">
        <w:rPr>
          <w:rFonts w:ascii="Verdana" w:hAnsi="Verdana"/>
          <w:sz w:val="20"/>
          <w:szCs w:val="20"/>
          <w:vertAlign w:val="superscript"/>
          <w:lang w:val="es-CR"/>
        </w:rPr>
        <w:footnoteReference w:id="67"/>
      </w:r>
      <w:r w:rsidRPr="00F049CF">
        <w:rPr>
          <w:rFonts w:ascii="Verdana" w:hAnsi="Verdana"/>
          <w:sz w:val="20"/>
          <w:szCs w:val="20"/>
          <w:lang w:val="es-CR"/>
        </w:rPr>
        <w:t xml:space="preserve"> en donde concluyó que diversas autoridades de la Oficina de Migraciones de Tumbes y de Lima, entre ellos </w:t>
      </w:r>
      <w:r>
        <w:rPr>
          <w:rFonts w:ascii="Verdana" w:hAnsi="Verdana"/>
          <w:sz w:val="20"/>
          <w:szCs w:val="20"/>
          <w:lang w:val="es-CR"/>
        </w:rPr>
        <w:t>el señor</w:t>
      </w:r>
      <w:r w:rsidRPr="00F049CF">
        <w:rPr>
          <w:rFonts w:ascii="Verdana" w:hAnsi="Verdana"/>
          <w:sz w:val="20"/>
          <w:szCs w:val="20"/>
          <w:lang w:val="es-CR"/>
        </w:rPr>
        <w:t xml:space="preserve"> </w:t>
      </w:r>
      <w:r w:rsidR="0014732F">
        <w:rPr>
          <w:rFonts w:ascii="Verdana" w:hAnsi="Verdana"/>
          <w:sz w:val="20"/>
          <w:szCs w:val="20"/>
          <w:lang w:val="es-CR"/>
        </w:rPr>
        <w:t>CH</w:t>
      </w:r>
      <w:r w:rsidRPr="00F049CF">
        <w:rPr>
          <w:rFonts w:ascii="Verdana" w:hAnsi="Verdana"/>
          <w:sz w:val="20"/>
          <w:szCs w:val="20"/>
          <w:lang w:val="es-CR"/>
        </w:rPr>
        <w:t>,</w:t>
      </w:r>
      <w:r>
        <w:rPr>
          <w:rFonts w:ascii="Verdana" w:hAnsi="Verdana"/>
          <w:sz w:val="20"/>
          <w:szCs w:val="20"/>
          <w:lang w:val="es-CR"/>
        </w:rPr>
        <w:t xml:space="preserve"> el señor</w:t>
      </w:r>
      <w:r w:rsidRPr="00F049CF">
        <w:rPr>
          <w:rFonts w:ascii="Verdana" w:hAnsi="Verdana"/>
          <w:sz w:val="20"/>
          <w:szCs w:val="20"/>
          <w:lang w:val="es-CR"/>
        </w:rPr>
        <w:t xml:space="preserve"> </w:t>
      </w:r>
      <w:r w:rsidR="003E3ED7">
        <w:rPr>
          <w:rFonts w:ascii="Verdana" w:hAnsi="Verdana"/>
          <w:sz w:val="20"/>
          <w:szCs w:val="20"/>
          <w:lang w:val="es-CR"/>
        </w:rPr>
        <w:t>MP</w:t>
      </w:r>
      <w:r w:rsidRPr="00F049CF">
        <w:rPr>
          <w:rFonts w:ascii="Verdana" w:hAnsi="Verdana"/>
          <w:sz w:val="20"/>
          <w:szCs w:val="20"/>
          <w:lang w:val="es-CR"/>
        </w:rPr>
        <w:t xml:space="preserve">, y </w:t>
      </w:r>
      <w:r w:rsidR="00073BF3">
        <w:rPr>
          <w:rFonts w:ascii="Verdana" w:hAnsi="Verdana"/>
          <w:sz w:val="20"/>
          <w:szCs w:val="20"/>
          <w:lang w:val="es-CR"/>
        </w:rPr>
        <w:t xml:space="preserve">cinco </w:t>
      </w:r>
      <w:r w:rsidR="00FE050C">
        <w:rPr>
          <w:rFonts w:ascii="Verdana" w:hAnsi="Verdana"/>
          <w:sz w:val="20"/>
          <w:szCs w:val="20"/>
          <w:lang w:val="es-CR"/>
        </w:rPr>
        <w:t>personas</w:t>
      </w:r>
      <w:r w:rsidRPr="00F049CF">
        <w:rPr>
          <w:rFonts w:ascii="Verdana" w:hAnsi="Verdana"/>
          <w:sz w:val="20"/>
          <w:szCs w:val="20"/>
          <w:lang w:val="es-CR"/>
        </w:rPr>
        <w:t xml:space="preserve"> más, se encontraban en calidad de detenidos</w:t>
      </w:r>
      <w:r w:rsidR="00FE050C">
        <w:rPr>
          <w:rFonts w:ascii="Verdana" w:hAnsi="Verdana"/>
          <w:sz w:val="20"/>
          <w:szCs w:val="20"/>
          <w:lang w:val="es-CR"/>
        </w:rPr>
        <w:t xml:space="preserve"> por ser presuntos autores d</w:t>
      </w:r>
      <w:r w:rsidR="002F6BD3">
        <w:rPr>
          <w:rFonts w:ascii="Verdana" w:hAnsi="Verdana"/>
          <w:sz w:val="20"/>
          <w:szCs w:val="20"/>
          <w:lang w:val="es-CR"/>
        </w:rPr>
        <w:t>e los siguientes delitos:</w:t>
      </w:r>
      <w:r w:rsidR="00C937B2">
        <w:rPr>
          <w:rFonts w:ascii="Verdana" w:hAnsi="Verdana"/>
          <w:sz w:val="20"/>
          <w:szCs w:val="20"/>
          <w:lang w:val="es-CR"/>
        </w:rPr>
        <w:t xml:space="preserve"> delito</w:t>
      </w:r>
      <w:r w:rsidR="00FE050C" w:rsidRPr="00786F4B">
        <w:rPr>
          <w:rFonts w:ascii="Verdana" w:hAnsi="Verdana"/>
          <w:sz w:val="20"/>
          <w:szCs w:val="20"/>
          <w:lang w:val="es-CR"/>
        </w:rPr>
        <w:t xml:space="preserve"> contra la Administración Pública</w:t>
      </w:r>
      <w:r w:rsidR="002F6BD3">
        <w:rPr>
          <w:rFonts w:ascii="Verdana" w:hAnsi="Verdana"/>
          <w:sz w:val="20"/>
          <w:szCs w:val="20"/>
          <w:lang w:val="es-CR"/>
        </w:rPr>
        <w:t>, d</w:t>
      </w:r>
      <w:r w:rsidR="00FE050C" w:rsidRPr="00786F4B">
        <w:rPr>
          <w:rFonts w:ascii="Verdana" w:hAnsi="Verdana"/>
          <w:sz w:val="20"/>
          <w:szCs w:val="20"/>
          <w:lang w:val="es-CR"/>
        </w:rPr>
        <w:t>elito cometido por funcionarios públicos (incumplimiento de deberes y corrupción de funcionarios</w:t>
      </w:r>
      <w:r w:rsidR="00FE050C">
        <w:rPr>
          <w:rFonts w:ascii="Verdana" w:hAnsi="Verdana"/>
          <w:sz w:val="20"/>
          <w:szCs w:val="20"/>
          <w:lang w:val="es-CR"/>
        </w:rPr>
        <w:t>)</w:t>
      </w:r>
      <w:r w:rsidR="00FE050C" w:rsidRPr="00786F4B">
        <w:rPr>
          <w:rFonts w:ascii="Verdana" w:hAnsi="Verdana"/>
          <w:sz w:val="20"/>
          <w:szCs w:val="20"/>
          <w:lang w:val="es-CR"/>
        </w:rPr>
        <w:t>;</w:t>
      </w:r>
      <w:r w:rsidR="002F6BD3">
        <w:rPr>
          <w:rFonts w:ascii="Verdana" w:hAnsi="Verdana"/>
          <w:sz w:val="20"/>
          <w:szCs w:val="20"/>
          <w:lang w:val="es-CR"/>
        </w:rPr>
        <w:t xml:space="preserve"> </w:t>
      </w:r>
      <w:r w:rsidR="00C937B2">
        <w:rPr>
          <w:rFonts w:ascii="Verdana" w:hAnsi="Verdana"/>
          <w:sz w:val="20"/>
          <w:szCs w:val="20"/>
          <w:lang w:val="es-CR"/>
        </w:rPr>
        <w:t xml:space="preserve">delito </w:t>
      </w:r>
      <w:r w:rsidR="00FE050C" w:rsidRPr="00786F4B">
        <w:rPr>
          <w:rFonts w:ascii="Verdana" w:hAnsi="Verdana"/>
          <w:sz w:val="20"/>
          <w:szCs w:val="20"/>
          <w:lang w:val="es-CR"/>
        </w:rPr>
        <w:t>contra la Administración de Justicia</w:t>
      </w:r>
      <w:r w:rsidR="002F6BD3">
        <w:rPr>
          <w:rFonts w:ascii="Verdana" w:hAnsi="Verdana"/>
          <w:sz w:val="20"/>
          <w:szCs w:val="20"/>
          <w:lang w:val="es-CR"/>
        </w:rPr>
        <w:t>, d</w:t>
      </w:r>
      <w:r w:rsidR="00FE050C" w:rsidRPr="00786F4B">
        <w:rPr>
          <w:rFonts w:ascii="Verdana" w:hAnsi="Verdana"/>
          <w:sz w:val="20"/>
          <w:szCs w:val="20"/>
          <w:lang w:val="es-CR"/>
        </w:rPr>
        <w:t>elito contra la Función Jurisdiccional (encubrimiento personal)</w:t>
      </w:r>
      <w:r w:rsidR="00FE050C">
        <w:rPr>
          <w:rFonts w:ascii="Verdana" w:hAnsi="Verdana"/>
          <w:sz w:val="20"/>
          <w:szCs w:val="20"/>
          <w:lang w:val="es-CR"/>
        </w:rPr>
        <w:t xml:space="preserve">, </w:t>
      </w:r>
      <w:r w:rsidR="002F6BD3">
        <w:rPr>
          <w:rFonts w:ascii="Verdana" w:hAnsi="Verdana"/>
          <w:sz w:val="20"/>
          <w:szCs w:val="20"/>
          <w:lang w:val="es-CR"/>
        </w:rPr>
        <w:t xml:space="preserve">y </w:t>
      </w:r>
      <w:r w:rsidR="00C937B2">
        <w:rPr>
          <w:rFonts w:ascii="Verdana" w:hAnsi="Verdana"/>
          <w:sz w:val="20"/>
          <w:szCs w:val="20"/>
          <w:lang w:val="es-CR"/>
        </w:rPr>
        <w:t xml:space="preserve">delito </w:t>
      </w:r>
      <w:r w:rsidR="00C937B2" w:rsidRPr="00C937B2">
        <w:rPr>
          <w:rFonts w:ascii="Verdana" w:hAnsi="Verdana"/>
          <w:sz w:val="20"/>
          <w:szCs w:val="20"/>
          <w:lang w:val="es-CR"/>
        </w:rPr>
        <w:t xml:space="preserve">contra la </w:t>
      </w:r>
      <w:r w:rsidR="00C937B2">
        <w:rPr>
          <w:rFonts w:ascii="Verdana" w:hAnsi="Verdana"/>
          <w:sz w:val="20"/>
          <w:szCs w:val="20"/>
          <w:lang w:val="es-CR"/>
        </w:rPr>
        <w:t>F</w:t>
      </w:r>
      <w:r w:rsidR="00C937B2" w:rsidRPr="00C937B2">
        <w:rPr>
          <w:rFonts w:ascii="Verdana" w:hAnsi="Verdana"/>
          <w:sz w:val="20"/>
          <w:szCs w:val="20"/>
          <w:lang w:val="es-CR"/>
        </w:rPr>
        <w:t xml:space="preserve">e </w:t>
      </w:r>
      <w:r w:rsidR="00C937B2">
        <w:rPr>
          <w:rFonts w:ascii="Verdana" w:hAnsi="Verdana"/>
          <w:sz w:val="20"/>
          <w:szCs w:val="20"/>
          <w:lang w:val="es-CR"/>
        </w:rPr>
        <w:t>P</w:t>
      </w:r>
      <w:r w:rsidR="00FE050C" w:rsidRPr="00786F4B">
        <w:rPr>
          <w:rFonts w:ascii="Verdana" w:hAnsi="Verdana"/>
          <w:sz w:val="20"/>
          <w:szCs w:val="20"/>
          <w:lang w:val="es-CR"/>
        </w:rPr>
        <w:t>ública</w:t>
      </w:r>
      <w:r w:rsidR="002F6BD3">
        <w:rPr>
          <w:rFonts w:ascii="Verdana" w:hAnsi="Verdana"/>
          <w:sz w:val="20"/>
          <w:szCs w:val="20"/>
          <w:lang w:val="es-CR"/>
        </w:rPr>
        <w:t xml:space="preserve">, </w:t>
      </w:r>
      <w:r w:rsidR="00073BF3">
        <w:rPr>
          <w:rFonts w:ascii="Verdana" w:hAnsi="Verdana"/>
          <w:sz w:val="20"/>
          <w:szCs w:val="20"/>
          <w:lang w:val="es-CR"/>
        </w:rPr>
        <w:t>f</w:t>
      </w:r>
      <w:r w:rsidR="00FE050C" w:rsidRPr="00786F4B">
        <w:rPr>
          <w:rFonts w:ascii="Verdana" w:hAnsi="Verdana"/>
          <w:sz w:val="20"/>
          <w:szCs w:val="20"/>
          <w:lang w:val="es-CR"/>
        </w:rPr>
        <w:t xml:space="preserve">alsificación de documentos en </w:t>
      </w:r>
      <w:r w:rsidR="00073BF3">
        <w:rPr>
          <w:rFonts w:ascii="Verdana" w:hAnsi="Verdana"/>
          <w:sz w:val="20"/>
          <w:szCs w:val="20"/>
          <w:lang w:val="es-CR"/>
        </w:rPr>
        <w:t>g</w:t>
      </w:r>
      <w:r w:rsidR="00FE050C" w:rsidRPr="00786F4B">
        <w:rPr>
          <w:rFonts w:ascii="Verdana" w:hAnsi="Verdana"/>
          <w:sz w:val="20"/>
          <w:szCs w:val="20"/>
          <w:lang w:val="es-CR"/>
        </w:rPr>
        <w:t>eneral</w:t>
      </w:r>
      <w:r w:rsidR="00073BF3">
        <w:rPr>
          <w:rFonts w:ascii="Verdana" w:hAnsi="Verdana"/>
          <w:sz w:val="20"/>
          <w:szCs w:val="20"/>
          <w:lang w:val="es-CR"/>
        </w:rPr>
        <w:t>.</w:t>
      </w:r>
      <w:r w:rsidR="00FA42E2" w:rsidRPr="00FA42E2" w:rsidDel="00FA42E2">
        <w:rPr>
          <w:rFonts w:ascii="Verdana" w:hAnsi="Verdana"/>
          <w:sz w:val="20"/>
          <w:szCs w:val="20"/>
          <w:lang w:val="es-CR"/>
        </w:rPr>
        <w:t xml:space="preserve"> </w:t>
      </w:r>
    </w:p>
    <w:p w14:paraId="6D172C0D" w14:textId="77777777" w:rsidR="00FB723A" w:rsidRPr="00F049CF" w:rsidRDefault="00FB723A" w:rsidP="00FA42E2">
      <w:pPr>
        <w:pStyle w:val="ListParagraph"/>
        <w:ind w:left="0"/>
        <w:jc w:val="both"/>
        <w:rPr>
          <w:rFonts w:ascii="Verdana" w:hAnsi="Verdana"/>
          <w:sz w:val="20"/>
          <w:szCs w:val="20"/>
          <w:lang w:val="es-CR"/>
        </w:rPr>
      </w:pPr>
    </w:p>
    <w:p w14:paraId="6D172C0E" w14:textId="3783ADC0" w:rsidR="00FB723A" w:rsidRPr="002765D2"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CR"/>
        </w:rPr>
        <w:t>El atestado concluyó que la presunta responsabilidad se derivaba de la alegada tramitación ilegal de 81 pasaportes peruanos, entre abril y octubre de 1994 en las ciudades de Lima y Tumbes, entre los cuales se encontraba el pasaporte número “0415913” que fue utilizado por</w:t>
      </w:r>
      <w:r w:rsidR="00E443C1">
        <w:rPr>
          <w:rFonts w:ascii="Verdana" w:hAnsi="Verdana"/>
          <w:sz w:val="20"/>
          <w:szCs w:val="20"/>
          <w:lang w:val="es-CR"/>
        </w:rPr>
        <w:t xml:space="preserve"> el señor</w:t>
      </w:r>
      <w:r w:rsidRPr="00F049CF">
        <w:rPr>
          <w:rFonts w:ascii="Verdana" w:hAnsi="Verdana"/>
          <w:sz w:val="20"/>
          <w:szCs w:val="20"/>
          <w:lang w:val="es-CR"/>
        </w:rPr>
        <w:t xml:space="preserve"> </w:t>
      </w:r>
      <w:r w:rsidR="00DB0D40">
        <w:rPr>
          <w:rFonts w:ascii="Verdana" w:hAnsi="Verdana"/>
          <w:sz w:val="20"/>
          <w:szCs w:val="20"/>
        </w:rPr>
        <w:t>CRMC</w:t>
      </w:r>
      <w:r w:rsidRPr="00F049CF">
        <w:rPr>
          <w:rFonts w:ascii="Verdana" w:hAnsi="Verdana"/>
          <w:sz w:val="20"/>
          <w:szCs w:val="20"/>
          <w:lang w:val="es-CR"/>
        </w:rPr>
        <w:t xml:space="preserve">, así como de la tramitación ilegal de </w:t>
      </w:r>
      <w:r w:rsidRPr="00E15CA9">
        <w:rPr>
          <w:rFonts w:ascii="Verdana" w:hAnsi="Verdana"/>
          <w:sz w:val="20"/>
          <w:szCs w:val="20"/>
          <w:lang w:val="es-CR"/>
        </w:rPr>
        <w:t>pasaportes peruanos de tapa guinda que estarían siendo utilizados por distintos delincuentes para eludir la justicia penal</w:t>
      </w:r>
      <w:r w:rsidR="00184FE8" w:rsidRPr="00F049CF">
        <w:rPr>
          <w:rStyle w:val="FootnoteReference"/>
          <w:szCs w:val="20"/>
          <w:lang w:val="es-CR"/>
        </w:rPr>
        <w:footnoteReference w:id="68"/>
      </w:r>
      <w:r w:rsidRPr="002765D2">
        <w:rPr>
          <w:rFonts w:ascii="Verdana" w:hAnsi="Verdana"/>
          <w:sz w:val="20"/>
          <w:szCs w:val="20"/>
          <w:lang w:val="es-CR"/>
        </w:rPr>
        <w:t>.</w:t>
      </w:r>
    </w:p>
    <w:p w14:paraId="6D172C0F" w14:textId="77777777" w:rsidR="00FB723A" w:rsidRPr="00000743" w:rsidRDefault="00FB723A" w:rsidP="00FB723A">
      <w:pPr>
        <w:pStyle w:val="ListParagraph"/>
        <w:ind w:left="0"/>
        <w:jc w:val="both"/>
        <w:rPr>
          <w:rFonts w:ascii="Verdana" w:hAnsi="Verdana"/>
          <w:sz w:val="20"/>
          <w:szCs w:val="20"/>
          <w:lang w:val="es-CR"/>
        </w:rPr>
      </w:pPr>
    </w:p>
    <w:p w14:paraId="6D172C10" w14:textId="4A1EC04A" w:rsidR="00FB723A" w:rsidRPr="00A659C5" w:rsidRDefault="00FB723A" w:rsidP="00FB723A">
      <w:pPr>
        <w:pStyle w:val="ListParagraph"/>
        <w:numPr>
          <w:ilvl w:val="0"/>
          <w:numId w:val="2"/>
        </w:numPr>
        <w:ind w:left="0" w:hanging="11"/>
        <w:jc w:val="both"/>
        <w:rPr>
          <w:rFonts w:ascii="Verdana" w:hAnsi="Verdana"/>
          <w:sz w:val="20"/>
          <w:szCs w:val="20"/>
          <w:lang w:val="es-CR"/>
        </w:rPr>
      </w:pPr>
      <w:r w:rsidRPr="00703F50">
        <w:rPr>
          <w:rFonts w:ascii="Verdana" w:hAnsi="Verdana"/>
          <w:sz w:val="20"/>
          <w:szCs w:val="20"/>
          <w:lang w:val="es-CR"/>
        </w:rPr>
        <w:t>El señor Zegarr</w:t>
      </w:r>
      <w:r w:rsidRPr="00A24DB0">
        <w:rPr>
          <w:rFonts w:ascii="Verdana" w:hAnsi="Verdana"/>
          <w:sz w:val="20"/>
          <w:szCs w:val="20"/>
          <w:lang w:val="es-CR"/>
        </w:rPr>
        <w:t xml:space="preserve">a Marín no fue incluido en la investigación a nivel policial de la cual derivó el atestado en mención, </w:t>
      </w:r>
      <w:r w:rsidR="00184FE8">
        <w:rPr>
          <w:rFonts w:ascii="Verdana" w:hAnsi="Verdana"/>
          <w:sz w:val="20"/>
          <w:szCs w:val="20"/>
          <w:lang w:val="es-CR"/>
        </w:rPr>
        <w:t>tampoco</w:t>
      </w:r>
      <w:r w:rsidRPr="00A24DB0">
        <w:rPr>
          <w:rFonts w:ascii="Verdana" w:hAnsi="Verdana"/>
          <w:sz w:val="20"/>
          <w:szCs w:val="20"/>
          <w:lang w:val="es-CR"/>
        </w:rPr>
        <w:t xml:space="preserve"> fue mencionado en las declaraciones indagatorias del 14</w:t>
      </w:r>
      <w:r w:rsidR="00184FE8">
        <w:rPr>
          <w:rFonts w:ascii="Verdana" w:hAnsi="Verdana"/>
          <w:sz w:val="20"/>
          <w:szCs w:val="20"/>
          <w:lang w:val="es-CR"/>
        </w:rPr>
        <w:t>,</w:t>
      </w:r>
      <w:r w:rsidRPr="00A24DB0">
        <w:rPr>
          <w:rFonts w:ascii="Verdana" w:hAnsi="Verdana"/>
          <w:sz w:val="20"/>
          <w:szCs w:val="20"/>
          <w:lang w:val="es-CR"/>
        </w:rPr>
        <w:t xml:space="preserve"> 15</w:t>
      </w:r>
      <w:r w:rsidR="00184FE8">
        <w:rPr>
          <w:rFonts w:ascii="Verdana" w:hAnsi="Verdana"/>
          <w:sz w:val="20"/>
          <w:szCs w:val="20"/>
          <w:lang w:val="es-CR"/>
        </w:rPr>
        <w:t xml:space="preserve"> y 17</w:t>
      </w:r>
      <w:r w:rsidRPr="00A24DB0">
        <w:rPr>
          <w:rFonts w:ascii="Verdana" w:hAnsi="Verdana"/>
          <w:sz w:val="20"/>
          <w:szCs w:val="20"/>
          <w:lang w:val="es-CR"/>
        </w:rPr>
        <w:t xml:space="preserve"> de octubre de 1994 de los dos principales funcionarios que estaban siendo investigados a </w:t>
      </w:r>
      <w:r w:rsidRPr="00C804E5">
        <w:rPr>
          <w:rFonts w:ascii="Verdana" w:hAnsi="Verdana"/>
          <w:sz w:val="20"/>
          <w:szCs w:val="20"/>
          <w:lang w:val="es-CR"/>
        </w:rPr>
        <w:t>nivel policial</w:t>
      </w:r>
      <w:r w:rsidRPr="00D253CC">
        <w:rPr>
          <w:rStyle w:val="FootnoteReference"/>
          <w:szCs w:val="20"/>
          <w:lang w:val="es-CR"/>
        </w:rPr>
        <w:footnoteReference w:id="69"/>
      </w:r>
      <w:r w:rsidR="004D7C88">
        <w:rPr>
          <w:rFonts w:ascii="Verdana" w:hAnsi="Verdana"/>
          <w:sz w:val="20"/>
          <w:szCs w:val="20"/>
          <w:lang w:val="es-CR"/>
        </w:rPr>
        <w:t>,</w:t>
      </w:r>
      <w:r w:rsidRPr="00D253CC">
        <w:rPr>
          <w:rFonts w:ascii="Verdana" w:hAnsi="Verdana"/>
          <w:sz w:val="20"/>
          <w:szCs w:val="20"/>
          <w:lang w:val="es-CR"/>
        </w:rPr>
        <w:t xml:space="preserve"> ni tampoco f</w:t>
      </w:r>
      <w:r w:rsidR="004D7C88">
        <w:rPr>
          <w:rFonts w:ascii="Verdana" w:hAnsi="Verdana"/>
          <w:sz w:val="20"/>
          <w:szCs w:val="20"/>
          <w:lang w:val="es-CR"/>
        </w:rPr>
        <w:t>ue</w:t>
      </w:r>
      <w:r w:rsidRPr="00D253CC">
        <w:rPr>
          <w:rFonts w:ascii="Verdana" w:hAnsi="Verdana"/>
          <w:sz w:val="20"/>
          <w:szCs w:val="20"/>
          <w:lang w:val="es-CR"/>
        </w:rPr>
        <w:t xml:space="preserve"> </w:t>
      </w:r>
      <w:r w:rsidR="00FA42E2" w:rsidRPr="00D253CC">
        <w:rPr>
          <w:rFonts w:ascii="Verdana" w:hAnsi="Verdana"/>
          <w:sz w:val="20"/>
          <w:szCs w:val="20"/>
          <w:lang w:val="es-CR"/>
        </w:rPr>
        <w:t>de los detenidos</w:t>
      </w:r>
      <w:r w:rsidRPr="00D253CC">
        <w:rPr>
          <w:rFonts w:ascii="Verdana" w:hAnsi="Verdana"/>
          <w:sz w:val="20"/>
          <w:szCs w:val="20"/>
          <w:lang w:val="es-CR"/>
        </w:rPr>
        <w:t xml:space="preserve">. Sin embargo, el 20 de octubre de 1994, </w:t>
      </w:r>
      <w:r w:rsidRPr="00184FE8">
        <w:rPr>
          <w:rFonts w:ascii="Verdana" w:hAnsi="Verdana"/>
          <w:sz w:val="20"/>
          <w:szCs w:val="20"/>
          <w:lang w:val="es-CR"/>
        </w:rPr>
        <w:t>horas antes</w:t>
      </w:r>
      <w:r w:rsidRPr="00D253CC">
        <w:rPr>
          <w:rFonts w:ascii="Verdana" w:hAnsi="Verdana"/>
          <w:sz w:val="20"/>
          <w:szCs w:val="20"/>
          <w:lang w:val="es-CR"/>
        </w:rPr>
        <w:t xml:space="preserve"> de la emisión del </w:t>
      </w:r>
      <w:r w:rsidR="00E443C1">
        <w:rPr>
          <w:rFonts w:ascii="Verdana" w:hAnsi="Verdana"/>
          <w:sz w:val="20"/>
          <w:szCs w:val="20"/>
          <w:lang w:val="es-CR"/>
        </w:rPr>
        <w:t xml:space="preserve">referido </w:t>
      </w:r>
      <w:r w:rsidRPr="00D253CC">
        <w:rPr>
          <w:rFonts w:ascii="Verdana" w:hAnsi="Verdana"/>
          <w:sz w:val="20"/>
          <w:szCs w:val="20"/>
          <w:lang w:val="es-CR"/>
        </w:rPr>
        <w:t>atestado</w:t>
      </w:r>
      <w:r w:rsidR="004D7C88">
        <w:rPr>
          <w:rFonts w:ascii="Verdana" w:hAnsi="Verdana"/>
          <w:sz w:val="20"/>
          <w:szCs w:val="20"/>
          <w:lang w:val="es-CR"/>
        </w:rPr>
        <w:t xml:space="preserve"> </w:t>
      </w:r>
      <w:r w:rsidRPr="00D253CC">
        <w:rPr>
          <w:rFonts w:ascii="Verdana" w:hAnsi="Verdana"/>
          <w:sz w:val="20"/>
          <w:szCs w:val="20"/>
          <w:lang w:val="es-CR"/>
        </w:rPr>
        <w:t>y de la formalización de la denuncia penal (</w:t>
      </w:r>
      <w:r w:rsidRPr="0058104A">
        <w:rPr>
          <w:rFonts w:ascii="Verdana" w:hAnsi="Verdana"/>
          <w:i/>
          <w:sz w:val="20"/>
          <w:szCs w:val="20"/>
          <w:lang w:val="es-CR"/>
        </w:rPr>
        <w:t>infra</w:t>
      </w:r>
      <w:r w:rsidRPr="00C16A82">
        <w:rPr>
          <w:rFonts w:ascii="Verdana" w:hAnsi="Verdana"/>
          <w:sz w:val="20"/>
          <w:szCs w:val="20"/>
          <w:lang w:val="es-CR"/>
        </w:rPr>
        <w:t xml:space="preserve"> párr. </w:t>
      </w:r>
      <w:r w:rsidR="00184FE8">
        <w:rPr>
          <w:rFonts w:ascii="Verdana" w:hAnsi="Verdana"/>
          <w:sz w:val="20"/>
          <w:szCs w:val="20"/>
          <w:lang w:val="es-CR"/>
        </w:rPr>
        <w:t>82</w:t>
      </w:r>
      <w:r w:rsidRPr="00C16A82">
        <w:rPr>
          <w:rFonts w:ascii="Verdana" w:hAnsi="Verdana"/>
          <w:sz w:val="20"/>
          <w:szCs w:val="20"/>
          <w:lang w:val="es-CR"/>
        </w:rPr>
        <w:t xml:space="preserve">), los señores </w:t>
      </w:r>
      <w:r w:rsidR="0014732F">
        <w:rPr>
          <w:rFonts w:ascii="Verdana" w:hAnsi="Verdana"/>
          <w:sz w:val="20"/>
          <w:szCs w:val="20"/>
          <w:lang w:val="es-CR"/>
        </w:rPr>
        <w:t>CH</w:t>
      </w:r>
      <w:r w:rsidRPr="008760C3">
        <w:rPr>
          <w:rFonts w:ascii="Verdana" w:hAnsi="Verdana"/>
          <w:sz w:val="20"/>
          <w:szCs w:val="20"/>
          <w:lang w:val="es-CR"/>
        </w:rPr>
        <w:t xml:space="preserve"> y </w:t>
      </w:r>
      <w:r w:rsidR="003E3ED7">
        <w:rPr>
          <w:rFonts w:ascii="Verdana" w:hAnsi="Verdana"/>
          <w:sz w:val="20"/>
          <w:szCs w:val="20"/>
          <w:lang w:val="es-CR"/>
        </w:rPr>
        <w:t>MP</w:t>
      </w:r>
      <w:r w:rsidRPr="008760C3">
        <w:rPr>
          <w:rFonts w:ascii="Verdana" w:hAnsi="Verdana"/>
          <w:sz w:val="20"/>
          <w:szCs w:val="20"/>
          <w:lang w:val="es-CR"/>
        </w:rPr>
        <w:t xml:space="preserve"> declararon nuevamente ante el Fiscal </w:t>
      </w:r>
      <w:r w:rsidRPr="008760C3">
        <w:rPr>
          <w:rFonts w:ascii="Verdana" w:hAnsi="Verdana"/>
          <w:i/>
          <w:sz w:val="20"/>
          <w:szCs w:val="20"/>
          <w:lang w:val="es-CR"/>
        </w:rPr>
        <w:t>Ad-Hoc</w:t>
      </w:r>
      <w:r w:rsidRPr="008760C3">
        <w:rPr>
          <w:rFonts w:ascii="Verdana" w:hAnsi="Verdana"/>
          <w:sz w:val="20"/>
          <w:szCs w:val="20"/>
          <w:lang w:val="es-CR"/>
        </w:rPr>
        <w:t>, por solicitud propia</w:t>
      </w:r>
      <w:r w:rsidRPr="008760C3">
        <w:rPr>
          <w:rStyle w:val="FootnoteReference"/>
          <w:szCs w:val="20"/>
          <w:lang w:val="es-CR"/>
        </w:rPr>
        <w:footnoteReference w:id="70"/>
      </w:r>
      <w:r w:rsidRPr="008760C3">
        <w:rPr>
          <w:rFonts w:ascii="Verdana" w:hAnsi="Verdana"/>
          <w:sz w:val="20"/>
          <w:szCs w:val="20"/>
          <w:lang w:val="es-CR"/>
        </w:rPr>
        <w:t>,</w:t>
      </w:r>
      <w:r w:rsidR="004D7C88">
        <w:rPr>
          <w:rFonts w:ascii="Verdana" w:hAnsi="Verdana"/>
          <w:sz w:val="20"/>
          <w:szCs w:val="20"/>
          <w:lang w:val="es-CR"/>
        </w:rPr>
        <w:t xml:space="preserve"> sin intervención de la policía</w:t>
      </w:r>
      <w:r w:rsidRPr="008760C3">
        <w:rPr>
          <w:rFonts w:ascii="Verdana" w:hAnsi="Verdana"/>
          <w:sz w:val="20"/>
          <w:szCs w:val="20"/>
          <w:lang w:val="es-CR"/>
        </w:rPr>
        <w:t xml:space="preserve"> y señalaron que el señor Zegarra Marín, en su calidad de Sub Director de Pasaportes en Lima, conocía de las irregularidades en la emisión de los pasaportes</w:t>
      </w:r>
      <w:r w:rsidRPr="008760C3">
        <w:rPr>
          <w:rStyle w:val="FootnoteReference"/>
          <w:szCs w:val="20"/>
          <w:lang w:val="es-CR"/>
        </w:rPr>
        <w:footnoteReference w:id="71"/>
      </w:r>
      <w:r w:rsidRPr="008760C3">
        <w:rPr>
          <w:rFonts w:ascii="Verdana" w:hAnsi="Verdana"/>
          <w:sz w:val="20"/>
          <w:szCs w:val="20"/>
          <w:lang w:val="es-CR"/>
        </w:rPr>
        <w:t xml:space="preserve">. De la declaración </w:t>
      </w:r>
      <w:r w:rsidRPr="00D55082">
        <w:rPr>
          <w:rFonts w:ascii="Verdana" w:hAnsi="Verdana"/>
          <w:sz w:val="20"/>
          <w:szCs w:val="20"/>
          <w:lang w:val="es-CR"/>
        </w:rPr>
        <w:t xml:space="preserve">del señor </w:t>
      </w:r>
      <w:r w:rsidR="003E3ED7">
        <w:rPr>
          <w:rFonts w:ascii="Verdana" w:hAnsi="Verdana"/>
          <w:sz w:val="20"/>
          <w:szCs w:val="20"/>
          <w:lang w:val="es-CR"/>
        </w:rPr>
        <w:t>MP</w:t>
      </w:r>
      <w:r w:rsidRPr="00D55082">
        <w:rPr>
          <w:rFonts w:ascii="Verdana" w:hAnsi="Verdana"/>
          <w:sz w:val="20"/>
          <w:szCs w:val="20"/>
          <w:lang w:val="es-CR"/>
        </w:rPr>
        <w:t xml:space="preserve"> se desprende que las acusaciones realizadas a Zegarra Marín se basaron en hechos que le fueron referidos por </w:t>
      </w:r>
      <w:r w:rsidR="0014732F">
        <w:rPr>
          <w:rFonts w:ascii="Verdana" w:hAnsi="Verdana"/>
          <w:sz w:val="20"/>
          <w:szCs w:val="20"/>
          <w:lang w:val="es-CR"/>
        </w:rPr>
        <w:t>CH</w:t>
      </w:r>
      <w:r w:rsidRPr="00D55082">
        <w:rPr>
          <w:rFonts w:ascii="Verdana" w:hAnsi="Verdana"/>
          <w:sz w:val="20"/>
          <w:szCs w:val="20"/>
          <w:lang w:val="es-CR"/>
        </w:rPr>
        <w:t xml:space="preserve"> y que no le constaron </w:t>
      </w:r>
      <w:r w:rsidR="004D7C88">
        <w:rPr>
          <w:rFonts w:ascii="Verdana" w:hAnsi="Verdana"/>
          <w:sz w:val="20"/>
          <w:szCs w:val="20"/>
          <w:lang w:val="es-CR"/>
        </w:rPr>
        <w:t xml:space="preserve">a él </w:t>
      </w:r>
      <w:r w:rsidRPr="00D55082">
        <w:rPr>
          <w:rFonts w:ascii="Verdana" w:hAnsi="Verdana"/>
          <w:sz w:val="20"/>
          <w:szCs w:val="20"/>
          <w:lang w:val="es-CR"/>
        </w:rPr>
        <w:t>directamente</w:t>
      </w:r>
      <w:r w:rsidRPr="003F1BE4">
        <w:rPr>
          <w:rStyle w:val="FootnoteReference"/>
          <w:szCs w:val="20"/>
          <w:lang w:val="es-CR"/>
        </w:rPr>
        <w:footnoteReference w:id="72"/>
      </w:r>
      <w:r w:rsidRPr="003F1BE4">
        <w:rPr>
          <w:rFonts w:ascii="Verdana" w:hAnsi="Verdana"/>
          <w:sz w:val="20"/>
          <w:szCs w:val="20"/>
          <w:lang w:val="es-CR"/>
        </w:rPr>
        <w:t xml:space="preserve">. </w:t>
      </w:r>
    </w:p>
    <w:p w14:paraId="6D172C11" w14:textId="77777777" w:rsidR="00FB723A" w:rsidRPr="00E15CA9" w:rsidRDefault="00FB723A" w:rsidP="00FB723A">
      <w:pPr>
        <w:jc w:val="both"/>
        <w:rPr>
          <w:rFonts w:ascii="Verdana" w:hAnsi="Verdana"/>
          <w:sz w:val="20"/>
          <w:szCs w:val="20"/>
          <w:lang w:val="es-CR"/>
        </w:rPr>
      </w:pPr>
    </w:p>
    <w:p w14:paraId="6D172C12" w14:textId="3DE5F1E2" w:rsidR="00FB723A" w:rsidRPr="00D41B50" w:rsidRDefault="00FB723A" w:rsidP="00FB723A">
      <w:pPr>
        <w:pStyle w:val="ListParagraph"/>
        <w:numPr>
          <w:ilvl w:val="0"/>
          <w:numId w:val="2"/>
        </w:numPr>
        <w:ind w:left="0" w:hanging="11"/>
        <w:jc w:val="both"/>
        <w:rPr>
          <w:rFonts w:ascii="Verdana" w:hAnsi="Verdana"/>
          <w:sz w:val="18"/>
          <w:szCs w:val="18"/>
          <w:lang w:val="es-CR"/>
        </w:rPr>
      </w:pPr>
      <w:r w:rsidRPr="003F1BE4">
        <w:rPr>
          <w:rFonts w:ascii="Verdana" w:hAnsi="Verdana"/>
          <w:sz w:val="20"/>
          <w:szCs w:val="20"/>
          <w:lang w:val="es-CR"/>
        </w:rPr>
        <w:t>El Fiscal Ad-Hoc Tony Washington</w:t>
      </w:r>
      <w:r w:rsidRPr="000E2DF5">
        <w:rPr>
          <w:rFonts w:ascii="Verdana" w:hAnsi="Verdana"/>
          <w:sz w:val="20"/>
          <w:szCs w:val="20"/>
          <w:lang w:val="es-CR"/>
        </w:rPr>
        <w:t xml:space="preserve"> García Cano declaró en el </w:t>
      </w:r>
      <w:r w:rsidRPr="000A0953">
        <w:rPr>
          <w:rFonts w:ascii="Verdana" w:hAnsi="Verdana"/>
          <w:i/>
          <w:sz w:val="20"/>
          <w:szCs w:val="20"/>
          <w:lang w:val="es-CR"/>
        </w:rPr>
        <w:t>affidávit</w:t>
      </w:r>
      <w:r w:rsidRPr="000E2DF5">
        <w:rPr>
          <w:rFonts w:ascii="Verdana" w:hAnsi="Verdana"/>
          <w:sz w:val="20"/>
          <w:szCs w:val="20"/>
          <w:lang w:val="es-CR"/>
        </w:rPr>
        <w:t xml:space="preserve"> rendido ante esta Corte que el 20 de octubre de 1994 recibió nuevas declaraciones del</w:t>
      </w:r>
      <w:r w:rsidRPr="00D41B50">
        <w:rPr>
          <w:rFonts w:ascii="Verdana" w:hAnsi="Verdana"/>
          <w:sz w:val="20"/>
          <w:szCs w:val="20"/>
        </w:rPr>
        <w:t xml:space="preserve"> </w:t>
      </w:r>
      <w:r w:rsidRPr="00D66927">
        <w:rPr>
          <w:rFonts w:ascii="Verdana" w:hAnsi="Verdana"/>
          <w:sz w:val="20"/>
          <w:szCs w:val="20"/>
        </w:rPr>
        <w:t xml:space="preserve">Capitán </w:t>
      </w:r>
      <w:r w:rsidR="0014732F" w:rsidRPr="00D66927">
        <w:rPr>
          <w:rFonts w:ascii="Verdana" w:hAnsi="Verdana"/>
          <w:sz w:val="20"/>
          <w:szCs w:val="20"/>
        </w:rPr>
        <w:t>CH</w:t>
      </w:r>
      <w:r w:rsidRPr="00D41B50">
        <w:rPr>
          <w:rFonts w:ascii="Verdana" w:hAnsi="Verdana"/>
          <w:sz w:val="20"/>
          <w:szCs w:val="20"/>
        </w:rPr>
        <w:t xml:space="preserve"> y Sub Oficial</w:t>
      </w:r>
      <w:r>
        <w:rPr>
          <w:rFonts w:ascii="Verdana" w:hAnsi="Verdana"/>
          <w:sz w:val="20"/>
          <w:szCs w:val="20"/>
        </w:rPr>
        <w:t xml:space="preserve"> </w:t>
      </w:r>
      <w:r w:rsidR="003E3ED7">
        <w:rPr>
          <w:rFonts w:ascii="Verdana" w:hAnsi="Verdana"/>
          <w:sz w:val="20"/>
          <w:szCs w:val="20"/>
        </w:rPr>
        <w:t>MP</w:t>
      </w:r>
      <w:r w:rsidRPr="00D41B50">
        <w:rPr>
          <w:rFonts w:ascii="Verdana" w:hAnsi="Verdana"/>
          <w:sz w:val="20"/>
          <w:szCs w:val="20"/>
        </w:rPr>
        <w:t>, en la</w:t>
      </w:r>
      <w:r w:rsidR="00BA5606">
        <w:rPr>
          <w:rFonts w:ascii="Verdana" w:hAnsi="Verdana"/>
          <w:sz w:val="20"/>
          <w:szCs w:val="20"/>
        </w:rPr>
        <w:t>s</w:t>
      </w:r>
      <w:r w:rsidRPr="00D41B50">
        <w:rPr>
          <w:rFonts w:ascii="Verdana" w:hAnsi="Verdana"/>
          <w:sz w:val="20"/>
          <w:szCs w:val="20"/>
        </w:rPr>
        <w:t xml:space="preserve"> que efectuaron imputaciones concretas y contundentes contra el Comandante Zegarra Marín, narrando la forma y circunstancias de su participación en los hechos</w:t>
      </w:r>
      <w:r>
        <w:rPr>
          <w:rFonts w:ascii="Verdana" w:hAnsi="Verdana"/>
          <w:sz w:val="20"/>
          <w:szCs w:val="20"/>
        </w:rPr>
        <w:t>.</w:t>
      </w:r>
      <w:r w:rsidRPr="00D41B50">
        <w:rPr>
          <w:rFonts w:ascii="Verdana" w:hAnsi="Verdana"/>
          <w:sz w:val="20"/>
          <w:szCs w:val="20"/>
        </w:rPr>
        <w:t xml:space="preserve"> “[</w:t>
      </w:r>
      <w:r>
        <w:rPr>
          <w:rFonts w:ascii="Verdana" w:hAnsi="Verdana"/>
          <w:sz w:val="20"/>
          <w:szCs w:val="20"/>
        </w:rPr>
        <w:t>D</w:t>
      </w:r>
      <w:r w:rsidRPr="00D41B50">
        <w:rPr>
          <w:rFonts w:ascii="Verdana" w:hAnsi="Verdana"/>
          <w:sz w:val="20"/>
          <w:szCs w:val="20"/>
        </w:rPr>
        <w:t xml:space="preserve">ichas declaraciones] tenían suficiente entidad como para formalizar denuncia penal [contra el señor Zegarra Marín] y propiciar una mayor investigación a nivel judicial. Si </w:t>
      </w:r>
      <w:r w:rsidRPr="00D41B50">
        <w:rPr>
          <w:rFonts w:ascii="Verdana" w:hAnsi="Verdana"/>
          <w:sz w:val="20"/>
          <w:szCs w:val="20"/>
        </w:rPr>
        <w:lastRenderedPageBreak/>
        <w:t>el señor Zegarra Marín cometió o no tales hechos imputados, sería esclarecido en la investigación judicial denominada instrucción, con todas las garantías de ley”</w:t>
      </w:r>
      <w:r w:rsidRPr="00D41B50">
        <w:rPr>
          <w:rStyle w:val="FootnoteReference"/>
          <w:szCs w:val="20"/>
        </w:rPr>
        <w:t xml:space="preserve"> </w:t>
      </w:r>
      <w:r w:rsidRPr="00D41B50">
        <w:rPr>
          <w:rStyle w:val="FootnoteReference"/>
          <w:szCs w:val="20"/>
        </w:rPr>
        <w:footnoteReference w:id="73"/>
      </w:r>
      <w:r w:rsidRPr="00D41B50">
        <w:rPr>
          <w:rFonts w:ascii="Verdana" w:hAnsi="Verdana"/>
          <w:sz w:val="20"/>
          <w:szCs w:val="20"/>
        </w:rPr>
        <w:t>.</w:t>
      </w:r>
    </w:p>
    <w:p w14:paraId="6D172C13" w14:textId="77777777" w:rsidR="00FB723A" w:rsidRPr="00F049CF" w:rsidRDefault="00FB723A" w:rsidP="00FB723A">
      <w:pPr>
        <w:pStyle w:val="ListParagraph"/>
        <w:ind w:left="0"/>
        <w:jc w:val="both"/>
        <w:rPr>
          <w:rFonts w:ascii="Verdana" w:hAnsi="Verdana"/>
          <w:sz w:val="20"/>
          <w:szCs w:val="20"/>
          <w:lang w:val="es-CR"/>
        </w:rPr>
      </w:pPr>
    </w:p>
    <w:p w14:paraId="6D172C14" w14:textId="77777777" w:rsidR="000934D1" w:rsidRPr="008C64F3" w:rsidRDefault="00FB723A" w:rsidP="00FB723A">
      <w:pPr>
        <w:pStyle w:val="ListParagraph"/>
        <w:numPr>
          <w:ilvl w:val="0"/>
          <w:numId w:val="2"/>
        </w:numPr>
        <w:ind w:left="0" w:hanging="11"/>
        <w:jc w:val="both"/>
        <w:rPr>
          <w:rFonts w:ascii="Verdana" w:hAnsi="Verdana"/>
          <w:sz w:val="20"/>
          <w:szCs w:val="20"/>
          <w:lang w:val="es-MX"/>
        </w:rPr>
      </w:pPr>
      <w:r w:rsidRPr="00F049CF">
        <w:rPr>
          <w:rFonts w:ascii="Verdana" w:hAnsi="Verdana"/>
          <w:sz w:val="20"/>
          <w:szCs w:val="20"/>
        </w:rPr>
        <w:t>Conforme al Fiscal García Cano, el hecho de que el señor Zegarra Marín no h</w:t>
      </w:r>
      <w:r w:rsidR="004D7C88">
        <w:rPr>
          <w:rFonts w:ascii="Verdana" w:hAnsi="Verdana"/>
          <w:sz w:val="20"/>
          <w:szCs w:val="20"/>
        </w:rPr>
        <w:t>ubiera</w:t>
      </w:r>
      <w:r w:rsidRPr="00F049CF">
        <w:rPr>
          <w:rFonts w:ascii="Verdana" w:hAnsi="Verdana"/>
          <w:sz w:val="20"/>
          <w:szCs w:val="20"/>
        </w:rPr>
        <w:t xml:space="preserve"> sido llamado a declarar en la investigación preliminar, no impedía que contra él se formulase una denuncia penal y mandato de detención, porque existían suficientes elementos de convicción como para formular la denuncia contra su persona, ya que todos los derechos que le correspondían serían ejercitados plenamente en la investigación judicial. Asimismo, las manifestaciones indagatorias </w:t>
      </w:r>
      <w:r w:rsidR="004D7C88">
        <w:rPr>
          <w:rFonts w:ascii="Verdana" w:hAnsi="Verdana"/>
          <w:sz w:val="20"/>
          <w:szCs w:val="20"/>
        </w:rPr>
        <w:t xml:space="preserve">del </w:t>
      </w:r>
      <w:r w:rsidR="004D7C88" w:rsidRPr="00D66927">
        <w:rPr>
          <w:rFonts w:ascii="Verdana" w:hAnsi="Verdana"/>
          <w:sz w:val="20"/>
          <w:szCs w:val="20"/>
        </w:rPr>
        <w:t>Capitán C</w:t>
      </w:r>
      <w:r w:rsidR="00A6471C" w:rsidRPr="00D66927">
        <w:rPr>
          <w:rFonts w:ascii="Verdana" w:hAnsi="Verdana"/>
          <w:sz w:val="20"/>
          <w:szCs w:val="20"/>
        </w:rPr>
        <w:t>H</w:t>
      </w:r>
      <w:r w:rsidR="00A6471C">
        <w:rPr>
          <w:rFonts w:ascii="Verdana" w:hAnsi="Verdana"/>
          <w:sz w:val="20"/>
          <w:szCs w:val="20"/>
        </w:rPr>
        <w:t xml:space="preserve"> y el Sub Oficial MP </w:t>
      </w:r>
      <w:r w:rsidRPr="00F049CF">
        <w:rPr>
          <w:rFonts w:ascii="Verdana" w:hAnsi="Verdana"/>
          <w:sz w:val="20"/>
          <w:szCs w:val="20"/>
        </w:rPr>
        <w:t>fueron enviadas al juez penal correspondiente</w:t>
      </w:r>
      <w:r w:rsidRPr="00F049CF">
        <w:rPr>
          <w:rStyle w:val="FootnoteReference"/>
          <w:szCs w:val="20"/>
        </w:rPr>
        <w:footnoteReference w:id="74"/>
      </w:r>
      <w:r w:rsidRPr="00F049CF">
        <w:rPr>
          <w:rFonts w:ascii="Verdana" w:hAnsi="Verdana"/>
          <w:sz w:val="20"/>
          <w:szCs w:val="20"/>
        </w:rPr>
        <w:t>.</w:t>
      </w:r>
    </w:p>
    <w:p w14:paraId="6D172C15" w14:textId="77777777" w:rsidR="008C64F3" w:rsidRPr="00F049CF" w:rsidRDefault="008C64F3" w:rsidP="008C64F3">
      <w:pPr>
        <w:pStyle w:val="ListParagraph"/>
        <w:ind w:left="0"/>
        <w:jc w:val="both"/>
        <w:rPr>
          <w:rFonts w:ascii="Verdana" w:hAnsi="Verdana"/>
          <w:sz w:val="20"/>
          <w:szCs w:val="20"/>
          <w:lang w:val="es-MX"/>
        </w:rPr>
      </w:pPr>
    </w:p>
    <w:p w14:paraId="6D172C16" w14:textId="6EF27A6E" w:rsidR="00C937B2" w:rsidRPr="00786F4B" w:rsidRDefault="00FB723A" w:rsidP="00786F4B">
      <w:pPr>
        <w:pStyle w:val="ListParagraph"/>
        <w:numPr>
          <w:ilvl w:val="0"/>
          <w:numId w:val="2"/>
        </w:numPr>
        <w:ind w:left="0" w:hanging="11"/>
        <w:jc w:val="both"/>
        <w:rPr>
          <w:rFonts w:ascii="Verdana" w:hAnsi="Verdana"/>
          <w:sz w:val="20"/>
          <w:szCs w:val="20"/>
          <w:lang w:val="es-MX"/>
        </w:rPr>
      </w:pPr>
      <w:r w:rsidRPr="00F049CF">
        <w:rPr>
          <w:rFonts w:ascii="Verdana" w:hAnsi="Verdana"/>
          <w:sz w:val="20"/>
          <w:szCs w:val="20"/>
          <w:lang w:val="es-ES"/>
        </w:rPr>
        <w:t xml:space="preserve">El </w:t>
      </w:r>
      <w:r w:rsidRPr="00F049CF">
        <w:rPr>
          <w:rFonts w:ascii="Verdana" w:hAnsi="Verdana"/>
          <w:sz w:val="20"/>
          <w:szCs w:val="20"/>
          <w:lang w:val="es-CR"/>
        </w:rPr>
        <w:t>21 de octubre de 1994 el Fiscal Tony Washington García Cano formuló denuncia penal contra 11 personas, tres civiles</w:t>
      </w:r>
      <w:r w:rsidR="004F4222">
        <w:rPr>
          <w:rFonts w:ascii="Verdana" w:hAnsi="Verdana"/>
          <w:sz w:val="20"/>
          <w:szCs w:val="20"/>
          <w:lang w:val="es-CR"/>
        </w:rPr>
        <w:t xml:space="preserve"> </w:t>
      </w:r>
      <w:r w:rsidRPr="00F049CF">
        <w:rPr>
          <w:rFonts w:ascii="Verdana" w:hAnsi="Verdana"/>
          <w:sz w:val="20"/>
          <w:szCs w:val="20"/>
          <w:lang w:val="es-CR"/>
        </w:rPr>
        <w:t>y ocho miembros de la PNP</w:t>
      </w:r>
      <w:r w:rsidR="00184FE8">
        <w:rPr>
          <w:rFonts w:ascii="Verdana" w:hAnsi="Verdana"/>
          <w:sz w:val="20"/>
          <w:szCs w:val="20"/>
          <w:lang w:val="es-CR"/>
        </w:rPr>
        <w:t>,</w:t>
      </w:r>
      <w:r w:rsidRPr="00F049CF">
        <w:rPr>
          <w:rFonts w:ascii="Verdana" w:hAnsi="Verdana"/>
          <w:sz w:val="20"/>
          <w:szCs w:val="20"/>
          <w:lang w:val="es-CR"/>
        </w:rPr>
        <w:t xml:space="preserve"> entre los que se encontraba </w:t>
      </w:r>
      <w:r w:rsidRPr="0007798A">
        <w:rPr>
          <w:rFonts w:ascii="Verdana" w:hAnsi="Verdana"/>
          <w:sz w:val="20"/>
          <w:szCs w:val="20"/>
          <w:lang w:val="es-ES"/>
        </w:rPr>
        <w:t>el señor Zegarra Marín</w:t>
      </w:r>
      <w:r w:rsidRPr="00F049CF">
        <w:rPr>
          <w:rFonts w:ascii="Verdana" w:hAnsi="Verdana"/>
          <w:sz w:val="20"/>
          <w:szCs w:val="20"/>
          <w:lang w:val="es-CR"/>
        </w:rPr>
        <w:t xml:space="preserve">, como presuntos autores </w:t>
      </w:r>
      <w:r w:rsidRPr="00C937B2">
        <w:rPr>
          <w:rFonts w:ascii="Verdana" w:hAnsi="Verdana"/>
          <w:sz w:val="20"/>
          <w:szCs w:val="20"/>
          <w:lang w:val="es-CR"/>
        </w:rPr>
        <w:t xml:space="preserve">de </w:t>
      </w:r>
      <w:r w:rsidR="00FA42E2">
        <w:rPr>
          <w:rFonts w:ascii="Verdana" w:hAnsi="Verdana"/>
          <w:sz w:val="20"/>
          <w:szCs w:val="20"/>
          <w:lang w:val="es-CR"/>
        </w:rPr>
        <w:t xml:space="preserve">diversos delitos, </w:t>
      </w:r>
      <w:r w:rsidRPr="000934D1">
        <w:rPr>
          <w:rFonts w:ascii="Verdana" w:hAnsi="Verdana"/>
          <w:sz w:val="20"/>
          <w:szCs w:val="20"/>
          <w:lang w:val="es-CR"/>
        </w:rPr>
        <w:t>sin individualizar a los denunciados con base en los hechos que se les imputaban</w:t>
      </w:r>
      <w:r w:rsidRPr="00F049CF">
        <w:rPr>
          <w:rFonts w:ascii="Verdana" w:hAnsi="Verdana"/>
          <w:sz w:val="20"/>
          <w:szCs w:val="20"/>
          <w:vertAlign w:val="superscript"/>
          <w:lang w:val="es-CR"/>
        </w:rPr>
        <w:footnoteReference w:id="75"/>
      </w:r>
      <w:r w:rsidR="00E6022A">
        <w:rPr>
          <w:rFonts w:ascii="Verdana" w:hAnsi="Verdana"/>
          <w:sz w:val="20"/>
          <w:szCs w:val="20"/>
          <w:lang w:val="es-CR"/>
        </w:rPr>
        <w:t>.</w:t>
      </w:r>
    </w:p>
    <w:p w14:paraId="6D172C17" w14:textId="77777777" w:rsidR="00FB723A" w:rsidRPr="00F049CF" w:rsidRDefault="00FB723A" w:rsidP="00786F4B">
      <w:pPr>
        <w:rPr>
          <w:lang w:val="es-MX"/>
        </w:rPr>
      </w:pPr>
    </w:p>
    <w:p w14:paraId="6D172C18" w14:textId="3801A879" w:rsidR="00FB723A" w:rsidRPr="003F1BE4" w:rsidRDefault="00FB723A" w:rsidP="00FB723A">
      <w:pPr>
        <w:pStyle w:val="ListParagraph"/>
        <w:numPr>
          <w:ilvl w:val="0"/>
          <w:numId w:val="2"/>
        </w:numPr>
        <w:ind w:left="0" w:hanging="11"/>
        <w:jc w:val="both"/>
        <w:rPr>
          <w:rFonts w:ascii="Verdana" w:hAnsi="Verdana"/>
          <w:sz w:val="20"/>
          <w:szCs w:val="20"/>
        </w:rPr>
      </w:pPr>
      <w:r w:rsidRPr="00F049CF">
        <w:rPr>
          <w:rFonts w:ascii="Verdana" w:hAnsi="Verdana"/>
          <w:sz w:val="20"/>
          <w:szCs w:val="20"/>
          <w:lang w:val="es-MX"/>
        </w:rPr>
        <w:t>L</w:t>
      </w:r>
      <w:r w:rsidRPr="00F049CF">
        <w:rPr>
          <w:rFonts w:ascii="Verdana" w:hAnsi="Verdana"/>
          <w:sz w:val="20"/>
          <w:szCs w:val="20"/>
          <w:lang w:val="es-CR"/>
        </w:rPr>
        <w:t xml:space="preserve">a denuncia concluyó que </w:t>
      </w:r>
      <w:r w:rsidRPr="00F049CF">
        <w:rPr>
          <w:rFonts w:ascii="Verdana" w:hAnsi="Verdana"/>
          <w:sz w:val="20"/>
          <w:szCs w:val="20"/>
        </w:rPr>
        <w:t xml:space="preserve">el </w:t>
      </w:r>
      <w:r w:rsidRPr="00D66927">
        <w:rPr>
          <w:rFonts w:ascii="Verdana" w:hAnsi="Verdana"/>
          <w:sz w:val="20"/>
          <w:szCs w:val="20"/>
        </w:rPr>
        <w:t xml:space="preserve">Capitán </w:t>
      </w:r>
      <w:r w:rsidR="0014732F" w:rsidRPr="00D66927">
        <w:rPr>
          <w:rFonts w:ascii="Verdana" w:hAnsi="Verdana"/>
          <w:sz w:val="20"/>
          <w:szCs w:val="20"/>
        </w:rPr>
        <w:t>CH</w:t>
      </w:r>
      <w:r w:rsidRPr="00D66927">
        <w:rPr>
          <w:rFonts w:ascii="Verdana" w:hAnsi="Verdana"/>
          <w:sz w:val="20"/>
          <w:szCs w:val="20"/>
        </w:rPr>
        <w:t>,</w:t>
      </w:r>
      <w:r w:rsidRPr="00F049CF">
        <w:rPr>
          <w:rFonts w:ascii="Verdana" w:hAnsi="Verdana"/>
          <w:sz w:val="20"/>
          <w:szCs w:val="20"/>
        </w:rPr>
        <w:t xml:space="preserve"> y </w:t>
      </w:r>
      <w:r w:rsidR="002C77F2">
        <w:rPr>
          <w:rFonts w:ascii="Verdana" w:hAnsi="Verdana"/>
          <w:sz w:val="20"/>
          <w:szCs w:val="20"/>
        </w:rPr>
        <w:t>el</w:t>
      </w:r>
      <w:r w:rsidRPr="00F049CF">
        <w:rPr>
          <w:rFonts w:ascii="Verdana" w:hAnsi="Verdana"/>
          <w:sz w:val="20"/>
          <w:szCs w:val="20"/>
        </w:rPr>
        <w:t xml:space="preserve"> Sub Oficial de Primera PNP </w:t>
      </w:r>
      <w:r w:rsidR="003E3ED7">
        <w:rPr>
          <w:rFonts w:ascii="Verdana" w:hAnsi="Verdana"/>
          <w:sz w:val="20"/>
          <w:szCs w:val="20"/>
        </w:rPr>
        <w:t>MP</w:t>
      </w:r>
      <w:r w:rsidRPr="00F049CF">
        <w:rPr>
          <w:rFonts w:ascii="Verdana" w:hAnsi="Verdana"/>
          <w:sz w:val="20"/>
          <w:szCs w:val="20"/>
        </w:rPr>
        <w:t xml:space="preserve">, quienes trabajaban en la Oficina de Migraciones de la ciudad de Tumbes, expidieron en forma ilegal un </w:t>
      </w:r>
      <w:r w:rsidRPr="000E5422">
        <w:rPr>
          <w:rFonts w:ascii="Verdana" w:hAnsi="Verdana"/>
          <w:sz w:val="20"/>
          <w:szCs w:val="20"/>
        </w:rPr>
        <w:t>aproximado</w:t>
      </w:r>
      <w:r w:rsidRPr="00F049CF">
        <w:rPr>
          <w:rFonts w:ascii="Verdana" w:hAnsi="Verdana"/>
          <w:sz w:val="20"/>
          <w:szCs w:val="20"/>
        </w:rPr>
        <w:t xml:space="preserve"> de 81 pasaportes, muchos de los cuales fueron entregados a distintas personas, entre ellas a un elemento de la PNP, quien los entregó a otros co-inculpados. Respecto d</w:t>
      </w:r>
      <w:r w:rsidRPr="00F049CF">
        <w:rPr>
          <w:rFonts w:ascii="Verdana" w:hAnsi="Verdana"/>
          <w:sz w:val="20"/>
          <w:szCs w:val="20"/>
          <w:lang w:val="es-CR"/>
        </w:rPr>
        <w:t xml:space="preserve">el señor Zegarra Marín, el Fiscal concluyó: i) </w:t>
      </w:r>
      <w:r w:rsidR="000934D1">
        <w:rPr>
          <w:rFonts w:ascii="Verdana" w:hAnsi="Verdana"/>
          <w:sz w:val="20"/>
          <w:szCs w:val="20"/>
          <w:lang w:val="es-CR"/>
        </w:rPr>
        <w:t xml:space="preserve">que </w:t>
      </w:r>
      <w:r w:rsidRPr="00F049CF">
        <w:rPr>
          <w:rFonts w:ascii="Verdana" w:hAnsi="Verdana"/>
          <w:sz w:val="20"/>
          <w:szCs w:val="20"/>
          <w:lang w:val="es-CR"/>
        </w:rPr>
        <w:t xml:space="preserve">tenía conocimiento de las irregularidades que sucedían en la Oficina de Migraciones de Tumbes y habría “obligado o inducido” al </w:t>
      </w:r>
      <w:r w:rsidRPr="00D66927">
        <w:rPr>
          <w:rFonts w:ascii="Verdana" w:hAnsi="Verdana"/>
          <w:sz w:val="20"/>
          <w:szCs w:val="20"/>
          <w:lang w:val="es-CR"/>
        </w:rPr>
        <w:t xml:space="preserve">Capitán </w:t>
      </w:r>
      <w:r w:rsidR="0014732F" w:rsidRPr="00D66927">
        <w:rPr>
          <w:rFonts w:ascii="Verdana" w:hAnsi="Verdana"/>
          <w:sz w:val="20"/>
          <w:szCs w:val="20"/>
          <w:lang w:val="es-CR"/>
        </w:rPr>
        <w:t>CH</w:t>
      </w:r>
      <w:r w:rsidRPr="00F049CF">
        <w:rPr>
          <w:rFonts w:ascii="Verdana" w:hAnsi="Verdana"/>
          <w:sz w:val="20"/>
          <w:szCs w:val="20"/>
          <w:lang w:val="es-CR"/>
        </w:rPr>
        <w:t xml:space="preserve"> para que le abonara cinco dólares americanos por cada pasaporte que expedía, así como otros regalos; ii) </w:t>
      </w:r>
      <w:r w:rsidR="000934D1">
        <w:rPr>
          <w:rFonts w:ascii="Verdana" w:hAnsi="Verdana"/>
          <w:sz w:val="20"/>
          <w:szCs w:val="20"/>
          <w:lang w:val="es-CR"/>
        </w:rPr>
        <w:t xml:space="preserve">que </w:t>
      </w:r>
      <w:r w:rsidRPr="00F049CF">
        <w:rPr>
          <w:rFonts w:ascii="Verdana" w:hAnsi="Verdana"/>
          <w:sz w:val="20"/>
          <w:szCs w:val="20"/>
          <w:lang w:val="es-CR"/>
        </w:rPr>
        <w:t>el 6 de abril de 1994</w:t>
      </w:r>
      <w:r>
        <w:rPr>
          <w:rFonts w:ascii="Verdana" w:hAnsi="Verdana"/>
          <w:sz w:val="20"/>
          <w:szCs w:val="20"/>
          <w:lang w:val="es-CR"/>
        </w:rPr>
        <w:t>,</w:t>
      </w:r>
      <w:r w:rsidRPr="00F049CF">
        <w:rPr>
          <w:rFonts w:ascii="Verdana" w:hAnsi="Verdana"/>
          <w:sz w:val="20"/>
          <w:szCs w:val="20"/>
          <w:lang w:val="es-CR"/>
        </w:rPr>
        <w:t xml:space="preserve"> al enviar 525 pasaportes en blanco a la Oficina de Migraciones de Tumbes, realmente solo envió 500, y al reclamársele los faltantes, el señor Zegarra Marín expresó al </w:t>
      </w:r>
      <w:r w:rsidRPr="00D66927">
        <w:rPr>
          <w:rFonts w:ascii="Verdana" w:hAnsi="Verdana"/>
          <w:sz w:val="20"/>
          <w:szCs w:val="20"/>
          <w:lang w:val="es-CR"/>
        </w:rPr>
        <w:t xml:space="preserve">Capitán </w:t>
      </w:r>
      <w:r w:rsidR="003E3ED7" w:rsidRPr="00D66927">
        <w:rPr>
          <w:rFonts w:ascii="Verdana" w:hAnsi="Verdana"/>
          <w:sz w:val="20"/>
          <w:szCs w:val="20"/>
          <w:lang w:val="es-CR"/>
        </w:rPr>
        <w:t>CH</w:t>
      </w:r>
      <w:r w:rsidRPr="00F049CF">
        <w:rPr>
          <w:rFonts w:ascii="Verdana" w:hAnsi="Verdana"/>
          <w:sz w:val="20"/>
          <w:szCs w:val="20"/>
          <w:lang w:val="es-CR"/>
        </w:rPr>
        <w:t xml:space="preserve"> que no le pagara nada y que los justificara con pasaportes antiguos, y iii) </w:t>
      </w:r>
      <w:r w:rsidR="000934D1">
        <w:rPr>
          <w:rFonts w:ascii="Verdana" w:hAnsi="Verdana"/>
          <w:sz w:val="20"/>
          <w:szCs w:val="20"/>
          <w:lang w:val="es-CR"/>
        </w:rPr>
        <w:t xml:space="preserve">que </w:t>
      </w:r>
      <w:r w:rsidRPr="00F049CF">
        <w:rPr>
          <w:rFonts w:ascii="Verdana" w:hAnsi="Verdana"/>
          <w:sz w:val="20"/>
          <w:szCs w:val="20"/>
          <w:lang w:val="es-CR"/>
        </w:rPr>
        <w:t xml:space="preserve">uno de los pasaportes enviados a dicha oficina, concretamente el No. 0415913, era el que utilizó </w:t>
      </w:r>
      <w:r w:rsidR="00DB0D40">
        <w:rPr>
          <w:rFonts w:ascii="Verdana" w:hAnsi="Verdana"/>
          <w:sz w:val="20"/>
          <w:szCs w:val="20"/>
        </w:rPr>
        <w:t>CRMC</w:t>
      </w:r>
      <w:r w:rsidRPr="00F049CF">
        <w:rPr>
          <w:rFonts w:ascii="Verdana" w:hAnsi="Verdana"/>
          <w:sz w:val="20"/>
          <w:szCs w:val="20"/>
          <w:lang w:val="es-CR"/>
        </w:rPr>
        <w:t xml:space="preserve"> en la Ciudad de Nueva York, cuando se identificó ante la policía en esa ciudad el 7 </w:t>
      </w:r>
      <w:r w:rsidRPr="003F1BE4">
        <w:rPr>
          <w:rFonts w:ascii="Verdana" w:hAnsi="Verdana"/>
          <w:sz w:val="20"/>
          <w:szCs w:val="20"/>
          <w:lang w:val="es-CR"/>
        </w:rPr>
        <w:t>de octubre de 1994</w:t>
      </w:r>
      <w:r w:rsidRPr="003F1BE4">
        <w:rPr>
          <w:rFonts w:ascii="Verdana" w:hAnsi="Verdana"/>
          <w:sz w:val="20"/>
          <w:szCs w:val="20"/>
          <w:vertAlign w:val="superscript"/>
          <w:lang w:val="es-CR"/>
        </w:rPr>
        <w:footnoteReference w:id="76"/>
      </w:r>
      <w:r w:rsidRPr="003F1BE4">
        <w:rPr>
          <w:rFonts w:ascii="Verdana" w:hAnsi="Verdana"/>
          <w:sz w:val="20"/>
          <w:szCs w:val="20"/>
          <w:lang w:val="es-CR"/>
        </w:rPr>
        <w:t>.</w:t>
      </w:r>
    </w:p>
    <w:p w14:paraId="6D172C19" w14:textId="77777777" w:rsidR="00FB723A" w:rsidRPr="003F1BE4" w:rsidRDefault="00FB723A" w:rsidP="00FB723A">
      <w:pPr>
        <w:pStyle w:val="ListParagraph"/>
        <w:ind w:left="0"/>
        <w:jc w:val="both"/>
        <w:rPr>
          <w:rFonts w:ascii="Verdana" w:hAnsi="Verdana"/>
          <w:sz w:val="20"/>
          <w:szCs w:val="20"/>
        </w:rPr>
      </w:pPr>
    </w:p>
    <w:p w14:paraId="6D172C1A" w14:textId="7019E6CB" w:rsidR="00FB723A" w:rsidRPr="00A659C5" w:rsidRDefault="00FB723A" w:rsidP="00FB723A">
      <w:pPr>
        <w:pStyle w:val="ListParagraph"/>
        <w:numPr>
          <w:ilvl w:val="0"/>
          <w:numId w:val="2"/>
        </w:numPr>
        <w:ind w:left="0" w:hanging="11"/>
        <w:jc w:val="both"/>
        <w:rPr>
          <w:rFonts w:ascii="Verdana" w:hAnsi="Verdana"/>
          <w:sz w:val="20"/>
          <w:szCs w:val="20"/>
        </w:rPr>
      </w:pPr>
      <w:r w:rsidRPr="002765D2">
        <w:rPr>
          <w:rFonts w:ascii="Verdana" w:hAnsi="Verdana"/>
          <w:sz w:val="20"/>
          <w:szCs w:val="20"/>
          <w:lang w:val="es-MX"/>
        </w:rPr>
        <w:t>La denuncia penal concluyó que se encontraron indicios suficientes que permití</w:t>
      </w:r>
      <w:r w:rsidRPr="00000743">
        <w:rPr>
          <w:rFonts w:ascii="Verdana" w:hAnsi="Verdana"/>
          <w:sz w:val="20"/>
          <w:szCs w:val="20"/>
          <w:lang w:val="es-MX"/>
        </w:rPr>
        <w:t xml:space="preserve">an sostener que los denunciados participaron en los ilícitos penales investigados a cambio de ventajas económicas y en violación de sus obligaciones. En el caso de los civiles, proporcionaron ventajas económicas abonando sumas de dinero a los funcionarios </w:t>
      </w:r>
      <w:r w:rsidRPr="00703F50">
        <w:rPr>
          <w:rFonts w:ascii="Verdana" w:hAnsi="Verdana"/>
          <w:sz w:val="20"/>
          <w:szCs w:val="20"/>
          <w:lang w:val="es-MX"/>
        </w:rPr>
        <w:t>policiales para que entregaran pasaportes en blanco o llenados parcialmente</w:t>
      </w:r>
      <w:r w:rsidRPr="003F1BE4">
        <w:rPr>
          <w:rFonts w:ascii="Verdana" w:hAnsi="Verdana"/>
          <w:sz w:val="20"/>
          <w:szCs w:val="20"/>
          <w:lang w:val="es-MX"/>
        </w:rPr>
        <w:t xml:space="preserve">. En consecuencia, </w:t>
      </w:r>
      <w:r w:rsidRPr="00A659C5">
        <w:rPr>
          <w:rFonts w:ascii="Verdana" w:hAnsi="Verdana"/>
          <w:sz w:val="20"/>
          <w:szCs w:val="20"/>
          <w:lang w:val="es-CR"/>
        </w:rPr>
        <w:t xml:space="preserve">el 21 de octubre de 1994 </w:t>
      </w:r>
      <w:r w:rsidRPr="003F1BE4">
        <w:rPr>
          <w:rFonts w:ascii="Verdana" w:hAnsi="Verdana"/>
          <w:sz w:val="20"/>
          <w:szCs w:val="20"/>
          <w:lang w:val="es-MX"/>
        </w:rPr>
        <w:t xml:space="preserve">el Fiscal </w:t>
      </w:r>
      <w:r w:rsidRPr="00A659C5">
        <w:rPr>
          <w:rFonts w:ascii="Verdana" w:hAnsi="Verdana"/>
          <w:sz w:val="20"/>
          <w:szCs w:val="20"/>
          <w:lang w:val="es-CR"/>
        </w:rPr>
        <w:t>solicitó qu</w:t>
      </w:r>
      <w:r w:rsidRPr="003F1BE4">
        <w:rPr>
          <w:rFonts w:ascii="Verdana" w:hAnsi="Verdana"/>
          <w:sz w:val="20"/>
          <w:szCs w:val="20"/>
          <w:lang w:val="es-CR"/>
        </w:rPr>
        <w:t>e se expidiera mandato de detención</w:t>
      </w:r>
      <w:r w:rsidR="00E6022A">
        <w:rPr>
          <w:rFonts w:ascii="Verdana" w:hAnsi="Verdana"/>
          <w:sz w:val="20"/>
          <w:szCs w:val="20"/>
          <w:lang w:val="es-CR"/>
        </w:rPr>
        <w:t>,</w:t>
      </w:r>
      <w:r w:rsidRPr="003F1BE4">
        <w:rPr>
          <w:rFonts w:ascii="Verdana" w:hAnsi="Verdana"/>
          <w:sz w:val="20"/>
          <w:szCs w:val="20"/>
          <w:lang w:val="es-CR"/>
        </w:rPr>
        <w:t xml:space="preserve"> así como mandato de impedimento de salida del Perú del señor Zegarra Marín y otros de los </w:t>
      </w:r>
      <w:r w:rsidRPr="00A659C5">
        <w:rPr>
          <w:rFonts w:ascii="Verdana" w:hAnsi="Verdana"/>
          <w:sz w:val="20"/>
          <w:szCs w:val="20"/>
          <w:lang w:val="es-CR"/>
        </w:rPr>
        <w:lastRenderedPageBreak/>
        <w:t xml:space="preserve">denunciados, al considerar que </w:t>
      </w:r>
      <w:r w:rsidRPr="003F1BE4">
        <w:rPr>
          <w:rFonts w:ascii="Verdana" w:hAnsi="Verdana" w:cs="Arial"/>
          <w:sz w:val="20"/>
          <w:szCs w:val="20"/>
        </w:rPr>
        <w:t>“los imputados podrían tratar de eludir la acción de la justicia o perturbar la actividad probatoria en el curso de la necesaria investigación”</w:t>
      </w:r>
      <w:r w:rsidRPr="00A659C5">
        <w:rPr>
          <w:rFonts w:ascii="Verdana" w:hAnsi="Verdana"/>
          <w:sz w:val="20"/>
          <w:szCs w:val="20"/>
          <w:vertAlign w:val="superscript"/>
          <w:lang w:val="es-CR"/>
        </w:rPr>
        <w:footnoteReference w:id="77"/>
      </w:r>
      <w:r>
        <w:rPr>
          <w:rFonts w:ascii="Verdana" w:hAnsi="Verdana" w:cs="Arial"/>
          <w:sz w:val="20"/>
          <w:szCs w:val="20"/>
        </w:rPr>
        <w:t>, sin indicar mayores detalles</w:t>
      </w:r>
      <w:r w:rsidRPr="00A659C5">
        <w:rPr>
          <w:rFonts w:ascii="Verdana" w:hAnsi="Verdana"/>
          <w:sz w:val="20"/>
          <w:szCs w:val="20"/>
          <w:lang w:val="es-CR"/>
        </w:rPr>
        <w:t xml:space="preserve">. </w:t>
      </w:r>
    </w:p>
    <w:p w14:paraId="6D172C1B" w14:textId="77777777" w:rsidR="00FB723A" w:rsidRDefault="00FB723A" w:rsidP="00FB723A">
      <w:pPr>
        <w:pStyle w:val="ListParagraph"/>
        <w:ind w:left="0"/>
        <w:jc w:val="both"/>
        <w:rPr>
          <w:rFonts w:ascii="Verdana" w:hAnsi="Verdana"/>
          <w:sz w:val="20"/>
          <w:szCs w:val="20"/>
        </w:rPr>
      </w:pPr>
    </w:p>
    <w:p w14:paraId="6D172C1C" w14:textId="6993C3FC" w:rsidR="00FB723A" w:rsidRPr="00054386" w:rsidRDefault="00FB723A" w:rsidP="00054386">
      <w:pPr>
        <w:pStyle w:val="ListParagraph"/>
        <w:numPr>
          <w:ilvl w:val="0"/>
          <w:numId w:val="29"/>
        </w:numPr>
        <w:jc w:val="both"/>
        <w:rPr>
          <w:rStyle w:val="Heading3Char"/>
          <w:rFonts w:ascii="Verdana" w:hAnsi="Verdana"/>
          <w:i/>
          <w:color w:val="auto"/>
          <w:sz w:val="20"/>
          <w:szCs w:val="20"/>
        </w:rPr>
      </w:pPr>
      <w:bookmarkStart w:id="36" w:name="_Toc482093041"/>
      <w:r w:rsidRPr="00054386">
        <w:rPr>
          <w:rStyle w:val="Heading3Char"/>
          <w:rFonts w:ascii="Verdana" w:hAnsi="Verdana"/>
          <w:i/>
          <w:color w:val="auto"/>
          <w:sz w:val="20"/>
          <w:szCs w:val="20"/>
        </w:rPr>
        <w:t xml:space="preserve">Apertura de la </w:t>
      </w:r>
      <w:r w:rsidR="00E6022A" w:rsidRPr="00054386">
        <w:rPr>
          <w:rStyle w:val="Heading3Char"/>
          <w:rFonts w:ascii="Verdana" w:hAnsi="Verdana"/>
          <w:i/>
          <w:color w:val="auto"/>
          <w:sz w:val="20"/>
          <w:szCs w:val="20"/>
        </w:rPr>
        <w:t>i</w:t>
      </w:r>
      <w:r w:rsidRPr="00054386">
        <w:rPr>
          <w:rStyle w:val="Heading3Char"/>
          <w:rFonts w:ascii="Verdana" w:hAnsi="Verdana"/>
          <w:i/>
          <w:color w:val="auto"/>
          <w:sz w:val="20"/>
          <w:szCs w:val="20"/>
        </w:rPr>
        <w:t xml:space="preserve">nstrucción, detención preventiva y continuación del </w:t>
      </w:r>
      <w:r w:rsidR="002B7276" w:rsidRPr="00054386">
        <w:rPr>
          <w:rStyle w:val="Heading3Char"/>
          <w:rFonts w:ascii="Verdana" w:hAnsi="Verdana"/>
          <w:i/>
          <w:color w:val="auto"/>
          <w:sz w:val="20"/>
          <w:szCs w:val="20"/>
        </w:rPr>
        <w:t>proceso</w:t>
      </w:r>
      <w:r w:rsidRPr="00054386">
        <w:rPr>
          <w:rStyle w:val="Heading3Char"/>
          <w:rFonts w:ascii="Verdana" w:hAnsi="Verdana"/>
          <w:i/>
          <w:color w:val="auto"/>
          <w:sz w:val="20"/>
          <w:szCs w:val="20"/>
        </w:rPr>
        <w:t xml:space="preserve"> penal contra Zegarra Marín</w:t>
      </w:r>
      <w:bookmarkEnd w:id="36"/>
    </w:p>
    <w:p w14:paraId="6D172C1D" w14:textId="77777777" w:rsidR="00FB723A" w:rsidRPr="00F049CF" w:rsidRDefault="00FB723A" w:rsidP="00FB723A">
      <w:pPr>
        <w:pStyle w:val="ListParagraph"/>
        <w:ind w:left="708"/>
        <w:jc w:val="both"/>
        <w:rPr>
          <w:rFonts w:ascii="Verdana" w:hAnsi="Verdana"/>
          <w:sz w:val="20"/>
          <w:szCs w:val="20"/>
        </w:rPr>
      </w:pPr>
    </w:p>
    <w:p w14:paraId="6D172C1E" w14:textId="0B5D3680" w:rsidR="00FB723A" w:rsidRPr="00F049C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ES"/>
        </w:rPr>
        <w:t xml:space="preserve">El </w:t>
      </w:r>
      <w:r w:rsidRPr="00F049CF">
        <w:rPr>
          <w:rFonts w:ascii="Verdana" w:hAnsi="Verdana"/>
          <w:sz w:val="20"/>
          <w:szCs w:val="20"/>
          <w:lang w:val="es-CR"/>
        </w:rPr>
        <w:t xml:space="preserve">21 de octubre de 1994 el Juez </w:t>
      </w:r>
      <w:r w:rsidRPr="00F049CF">
        <w:rPr>
          <w:rFonts w:ascii="Verdana" w:hAnsi="Verdana"/>
          <w:sz w:val="20"/>
          <w:szCs w:val="20"/>
        </w:rPr>
        <w:t xml:space="preserve">del Trigésimo Séptimo Juzgado Penal de la Corte Superior de Justicia de Lima (en adelante “Trigésimo Séptimo Juzgado Penal”), </w:t>
      </w:r>
      <w:r w:rsidRPr="00F049CF">
        <w:rPr>
          <w:rFonts w:ascii="Verdana" w:hAnsi="Verdana"/>
          <w:sz w:val="20"/>
          <w:szCs w:val="20"/>
          <w:lang w:val="es-CR"/>
        </w:rPr>
        <w:t xml:space="preserve">dictó el auto de apertura de instrucción en la vía ordinaria en contra de distintas personas, entre las que se encontraba el señor Zegarra Marín, por la comisión de los </w:t>
      </w:r>
      <w:r w:rsidR="00C61269">
        <w:rPr>
          <w:rFonts w:ascii="Verdana" w:hAnsi="Verdana"/>
          <w:sz w:val="20"/>
          <w:szCs w:val="20"/>
          <w:lang w:val="es-CR"/>
        </w:rPr>
        <w:t xml:space="preserve">siguientes </w:t>
      </w:r>
      <w:r w:rsidRPr="00F049CF">
        <w:rPr>
          <w:rFonts w:ascii="Verdana" w:hAnsi="Verdana"/>
          <w:sz w:val="20"/>
          <w:szCs w:val="20"/>
          <w:lang w:val="es-CR"/>
        </w:rPr>
        <w:t>delitos</w:t>
      </w:r>
      <w:r w:rsidR="00C61269">
        <w:rPr>
          <w:rFonts w:ascii="Verdana" w:hAnsi="Verdana"/>
          <w:sz w:val="20"/>
          <w:szCs w:val="20"/>
          <w:lang w:val="es-CR"/>
        </w:rPr>
        <w:t xml:space="preserve">: </w:t>
      </w:r>
      <w:r w:rsidRPr="00F049CF">
        <w:rPr>
          <w:rFonts w:ascii="Verdana" w:hAnsi="Verdana"/>
          <w:sz w:val="20"/>
          <w:szCs w:val="20"/>
          <w:lang w:val="es-CR"/>
        </w:rPr>
        <w:t>contra la administración de justicia (encubrimiento personal)</w:t>
      </w:r>
      <w:r w:rsidR="00C61269">
        <w:rPr>
          <w:rFonts w:ascii="Verdana" w:hAnsi="Verdana"/>
          <w:sz w:val="20"/>
          <w:szCs w:val="20"/>
          <w:lang w:val="es-CR"/>
        </w:rPr>
        <w:t>;</w:t>
      </w:r>
      <w:r w:rsidRPr="00F049CF">
        <w:rPr>
          <w:rFonts w:ascii="Verdana" w:hAnsi="Verdana"/>
          <w:sz w:val="20"/>
          <w:szCs w:val="20"/>
          <w:lang w:val="es-CR"/>
        </w:rPr>
        <w:t xml:space="preserve"> contra la fe pública (falsificación de documentos</w:t>
      </w:r>
      <w:r w:rsidR="00E6022A">
        <w:rPr>
          <w:rFonts w:ascii="Verdana" w:hAnsi="Verdana"/>
          <w:sz w:val="20"/>
          <w:szCs w:val="20"/>
          <w:lang w:val="es-CR"/>
        </w:rPr>
        <w:t xml:space="preserve"> en general</w:t>
      </w:r>
      <w:r w:rsidRPr="00F049CF">
        <w:rPr>
          <w:rFonts w:ascii="Verdana" w:hAnsi="Verdana"/>
          <w:sz w:val="20"/>
          <w:szCs w:val="20"/>
          <w:lang w:val="es-CR"/>
        </w:rPr>
        <w:t>)</w:t>
      </w:r>
      <w:r w:rsidR="00C61269">
        <w:rPr>
          <w:rFonts w:ascii="Verdana" w:hAnsi="Verdana"/>
          <w:sz w:val="20"/>
          <w:szCs w:val="20"/>
          <w:lang w:val="es-CR"/>
        </w:rPr>
        <w:t>,</w:t>
      </w:r>
      <w:r w:rsidRPr="00F049CF">
        <w:rPr>
          <w:rFonts w:ascii="Verdana" w:hAnsi="Verdana"/>
          <w:sz w:val="20"/>
          <w:szCs w:val="20"/>
          <w:lang w:val="es-CR"/>
        </w:rPr>
        <w:t xml:space="preserve"> y corrupción de funcionarios (corrupción pasiva</w:t>
      </w:r>
      <w:r w:rsidR="00E6022A">
        <w:rPr>
          <w:rFonts w:ascii="Verdana" w:hAnsi="Verdana"/>
          <w:sz w:val="20"/>
          <w:szCs w:val="20"/>
          <w:lang w:val="es-CR"/>
        </w:rPr>
        <w:t xml:space="preserve"> en contra de los miembros de la policía y corrupción activa contra los civiles denunciados</w:t>
      </w:r>
      <w:r w:rsidRPr="00F049CF">
        <w:rPr>
          <w:rFonts w:ascii="Verdana" w:hAnsi="Verdana"/>
          <w:sz w:val="20"/>
          <w:szCs w:val="20"/>
          <w:lang w:val="es-CR"/>
        </w:rPr>
        <w:t>) en agravio del Estado, previstos en los artículos 404, 427 y 393 del Código Penal</w:t>
      </w:r>
      <w:r w:rsidRPr="00F049CF">
        <w:rPr>
          <w:rStyle w:val="FootnoteReference"/>
          <w:szCs w:val="20"/>
          <w:lang w:val="es-CR"/>
        </w:rPr>
        <w:footnoteReference w:id="78"/>
      </w:r>
      <w:r>
        <w:rPr>
          <w:rFonts w:ascii="Verdana" w:hAnsi="Verdana"/>
          <w:sz w:val="20"/>
          <w:szCs w:val="20"/>
          <w:lang w:val="es-CR"/>
        </w:rPr>
        <w:t>.</w:t>
      </w:r>
      <w:r w:rsidRPr="00F049CF">
        <w:rPr>
          <w:rFonts w:ascii="Verdana" w:hAnsi="Verdana"/>
          <w:sz w:val="20"/>
          <w:szCs w:val="20"/>
          <w:lang w:val="es-CR"/>
        </w:rPr>
        <w:t xml:space="preserve"> El Juez </w:t>
      </w:r>
      <w:r>
        <w:rPr>
          <w:rFonts w:ascii="Verdana" w:hAnsi="Verdana"/>
          <w:sz w:val="20"/>
          <w:szCs w:val="20"/>
          <w:lang w:val="es-CR"/>
        </w:rPr>
        <w:t>abrió</w:t>
      </w:r>
      <w:r w:rsidRPr="00F049CF">
        <w:rPr>
          <w:rFonts w:ascii="Verdana" w:hAnsi="Verdana"/>
          <w:sz w:val="20"/>
          <w:szCs w:val="20"/>
          <w:lang w:val="es-CR"/>
        </w:rPr>
        <w:t xml:space="preserve"> instrucción con base en los mismos elementos de análisis recogidos en la denuncia fiscal (</w:t>
      </w:r>
      <w:r w:rsidRPr="0058104A">
        <w:rPr>
          <w:rFonts w:ascii="Verdana" w:hAnsi="Verdana"/>
          <w:i/>
          <w:sz w:val="20"/>
          <w:szCs w:val="20"/>
          <w:lang w:val="es-CR"/>
        </w:rPr>
        <w:t>supra</w:t>
      </w:r>
      <w:r w:rsidRPr="00F049CF">
        <w:rPr>
          <w:rFonts w:ascii="Verdana" w:hAnsi="Verdana"/>
          <w:sz w:val="20"/>
          <w:szCs w:val="20"/>
          <w:lang w:val="es-CR"/>
        </w:rPr>
        <w:t xml:space="preserve"> párr. </w:t>
      </w:r>
      <w:r w:rsidR="00465568">
        <w:rPr>
          <w:rFonts w:ascii="Verdana" w:hAnsi="Verdana"/>
          <w:sz w:val="20"/>
          <w:szCs w:val="20"/>
          <w:lang w:val="es-CR"/>
        </w:rPr>
        <w:t>82</w:t>
      </w:r>
      <w:r w:rsidRPr="00F049CF">
        <w:rPr>
          <w:rFonts w:ascii="Verdana" w:hAnsi="Verdana"/>
          <w:sz w:val="20"/>
          <w:szCs w:val="20"/>
          <w:lang w:val="es-CR"/>
        </w:rPr>
        <w:t xml:space="preserve">), y procedió a individualizar a los denunciados con relación a los hechos que les imputaban, </w:t>
      </w:r>
      <w:r w:rsidR="00C61269">
        <w:rPr>
          <w:rFonts w:ascii="Verdana" w:hAnsi="Verdana"/>
          <w:sz w:val="20"/>
          <w:szCs w:val="20"/>
          <w:lang w:val="es-CR"/>
        </w:rPr>
        <w:t>ante</w:t>
      </w:r>
      <w:r w:rsidRPr="00F049CF">
        <w:rPr>
          <w:rFonts w:ascii="Verdana" w:hAnsi="Verdana"/>
          <w:sz w:val="20"/>
          <w:szCs w:val="20"/>
          <w:lang w:val="es-CR"/>
        </w:rPr>
        <w:t xml:space="preserve"> lo </w:t>
      </w:r>
      <w:r w:rsidR="00C61269">
        <w:rPr>
          <w:rFonts w:ascii="Verdana" w:hAnsi="Verdana"/>
          <w:sz w:val="20"/>
          <w:szCs w:val="20"/>
          <w:lang w:val="es-CR"/>
        </w:rPr>
        <w:t>cual</w:t>
      </w:r>
      <w:r w:rsidRPr="00F049CF">
        <w:rPr>
          <w:rFonts w:ascii="Verdana" w:hAnsi="Verdana"/>
          <w:sz w:val="20"/>
          <w:szCs w:val="20"/>
          <w:lang w:val="es-CR"/>
        </w:rPr>
        <w:t xml:space="preserve"> concluyó que “los hechos denunciados constitu[ían] delitos, que se ha[bía</w:t>
      </w:r>
      <w:r>
        <w:rPr>
          <w:rFonts w:ascii="Verdana" w:hAnsi="Verdana"/>
          <w:sz w:val="20"/>
          <w:szCs w:val="20"/>
          <w:lang w:val="es-CR"/>
        </w:rPr>
        <w:t>n</w:t>
      </w:r>
      <w:r w:rsidRPr="00F049CF">
        <w:rPr>
          <w:rFonts w:ascii="Verdana" w:hAnsi="Verdana"/>
          <w:sz w:val="20"/>
          <w:szCs w:val="20"/>
          <w:lang w:val="es-CR"/>
        </w:rPr>
        <w:t>] individualizado a los presuntos autores y</w:t>
      </w:r>
      <w:r w:rsidR="00465568">
        <w:rPr>
          <w:rFonts w:ascii="Verdana" w:hAnsi="Verdana"/>
          <w:sz w:val="20"/>
          <w:szCs w:val="20"/>
          <w:lang w:val="es-CR"/>
        </w:rPr>
        <w:t xml:space="preserve"> que</w:t>
      </w:r>
      <w:r w:rsidRPr="00F049CF">
        <w:rPr>
          <w:rFonts w:ascii="Verdana" w:hAnsi="Verdana"/>
          <w:sz w:val="20"/>
          <w:szCs w:val="20"/>
          <w:lang w:val="es-CR"/>
        </w:rPr>
        <w:t xml:space="preserve"> la acción penal no ha[bía] prescrito, conforme </w:t>
      </w:r>
      <w:r w:rsidR="00184FE8">
        <w:rPr>
          <w:rFonts w:ascii="Verdana" w:hAnsi="Verdana"/>
          <w:sz w:val="20"/>
          <w:szCs w:val="20"/>
          <w:lang w:val="es-CR"/>
        </w:rPr>
        <w:t>el</w:t>
      </w:r>
      <w:r w:rsidRPr="00F049CF">
        <w:rPr>
          <w:rFonts w:ascii="Verdana" w:hAnsi="Verdana"/>
          <w:sz w:val="20"/>
          <w:szCs w:val="20"/>
          <w:lang w:val="es-CR"/>
        </w:rPr>
        <w:t xml:space="preserve"> artículo </w:t>
      </w:r>
      <w:r w:rsidR="00E6022A">
        <w:rPr>
          <w:rFonts w:ascii="Verdana" w:hAnsi="Verdana"/>
          <w:sz w:val="20"/>
          <w:szCs w:val="20"/>
          <w:lang w:val="es-CR"/>
        </w:rPr>
        <w:t>[</w:t>
      </w:r>
      <w:r w:rsidRPr="00F049CF">
        <w:rPr>
          <w:rFonts w:ascii="Verdana" w:hAnsi="Verdana"/>
          <w:sz w:val="20"/>
          <w:szCs w:val="20"/>
          <w:lang w:val="es-CR"/>
        </w:rPr>
        <w:t>77</w:t>
      </w:r>
      <w:r w:rsidR="00E6022A">
        <w:rPr>
          <w:rFonts w:ascii="Verdana" w:hAnsi="Verdana"/>
          <w:sz w:val="20"/>
          <w:szCs w:val="20"/>
          <w:lang w:val="es-CR"/>
        </w:rPr>
        <w:t>]</w:t>
      </w:r>
      <w:r w:rsidRPr="00F049CF">
        <w:rPr>
          <w:rFonts w:ascii="Verdana" w:hAnsi="Verdana"/>
          <w:sz w:val="20"/>
          <w:szCs w:val="20"/>
          <w:lang w:val="es-CR"/>
        </w:rPr>
        <w:t xml:space="preserve"> del Código de Procedimientos Penales”</w:t>
      </w:r>
      <w:r w:rsidRPr="00F049CF">
        <w:rPr>
          <w:rStyle w:val="FootnoteReference"/>
          <w:szCs w:val="20"/>
          <w:lang w:val="es-CR"/>
        </w:rPr>
        <w:footnoteReference w:id="79"/>
      </w:r>
      <w:r w:rsidRPr="00F049CF">
        <w:rPr>
          <w:rFonts w:ascii="Verdana" w:hAnsi="Verdana"/>
          <w:sz w:val="20"/>
          <w:szCs w:val="20"/>
          <w:lang w:val="es-CR"/>
        </w:rPr>
        <w:t xml:space="preserve">. </w:t>
      </w:r>
    </w:p>
    <w:p w14:paraId="6D172C1F" w14:textId="77777777" w:rsidR="00FB723A" w:rsidRPr="00F049CF" w:rsidRDefault="00FB723A" w:rsidP="00FB723A">
      <w:pPr>
        <w:pStyle w:val="ListParagraph"/>
        <w:ind w:left="0"/>
        <w:jc w:val="both"/>
        <w:rPr>
          <w:rFonts w:ascii="Verdana" w:hAnsi="Verdana"/>
          <w:sz w:val="20"/>
          <w:szCs w:val="20"/>
          <w:lang w:val="es-CR"/>
        </w:rPr>
      </w:pPr>
    </w:p>
    <w:p w14:paraId="6D172C20" w14:textId="120094A9" w:rsidR="00FB723A" w:rsidRPr="009C7422"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CR"/>
        </w:rPr>
        <w:t xml:space="preserve">Además, el Juez </w:t>
      </w:r>
      <w:r w:rsidRPr="00F049CF">
        <w:rPr>
          <w:rFonts w:ascii="Verdana" w:hAnsi="Verdana"/>
          <w:sz w:val="20"/>
          <w:szCs w:val="20"/>
        </w:rPr>
        <w:t>del Trigésimo Séptimo Juzgado Penal</w:t>
      </w:r>
      <w:r w:rsidRPr="00F049CF">
        <w:rPr>
          <w:rFonts w:ascii="Verdana" w:hAnsi="Verdana"/>
          <w:sz w:val="20"/>
          <w:szCs w:val="20"/>
          <w:lang w:val="es-CR"/>
        </w:rPr>
        <w:t>, con base en el artículo 135</w:t>
      </w:r>
      <w:r w:rsidRPr="00F049CF">
        <w:rPr>
          <w:rStyle w:val="FootnoteReference"/>
          <w:szCs w:val="20"/>
          <w:lang w:val="es-CR"/>
        </w:rPr>
        <w:footnoteReference w:id="80"/>
      </w:r>
      <w:r>
        <w:rPr>
          <w:rFonts w:ascii="Verdana" w:hAnsi="Verdana"/>
          <w:sz w:val="20"/>
          <w:szCs w:val="20"/>
          <w:lang w:val="es-CR"/>
        </w:rPr>
        <w:t xml:space="preserve"> (</w:t>
      </w:r>
      <w:r w:rsidRPr="009C7422">
        <w:rPr>
          <w:rFonts w:ascii="Verdana" w:hAnsi="Verdana"/>
          <w:i/>
          <w:sz w:val="20"/>
          <w:szCs w:val="20"/>
          <w:lang w:val="es-CR"/>
        </w:rPr>
        <w:t>infra</w:t>
      </w:r>
      <w:r>
        <w:rPr>
          <w:rFonts w:ascii="Verdana" w:hAnsi="Verdana"/>
          <w:sz w:val="20"/>
          <w:szCs w:val="20"/>
          <w:lang w:val="es-CR"/>
        </w:rPr>
        <w:t>, párr. 210)</w:t>
      </w:r>
      <w:r w:rsidRPr="00F049CF">
        <w:rPr>
          <w:rFonts w:ascii="Verdana" w:hAnsi="Verdana"/>
          <w:sz w:val="20"/>
          <w:szCs w:val="20"/>
          <w:lang w:val="es-CR"/>
        </w:rPr>
        <w:t xml:space="preserve"> del Código Procesal Penal de 1991 (articulado vigente), dictó mandato de detención contra los denunciados, entre ellos el señor Zegarra Marín, por cuanto “exist</w:t>
      </w:r>
      <w:r w:rsidR="00416E4A">
        <w:rPr>
          <w:rFonts w:ascii="Verdana" w:hAnsi="Verdana"/>
          <w:sz w:val="20"/>
          <w:szCs w:val="20"/>
          <w:lang w:val="es-CR"/>
        </w:rPr>
        <w:t>[</w:t>
      </w:r>
      <w:r w:rsidRPr="00F049CF">
        <w:rPr>
          <w:rFonts w:ascii="Verdana" w:hAnsi="Verdana"/>
          <w:sz w:val="20"/>
          <w:szCs w:val="20"/>
          <w:lang w:val="es-CR"/>
        </w:rPr>
        <w:t>ían</w:t>
      </w:r>
      <w:r w:rsidR="00416E4A">
        <w:rPr>
          <w:rFonts w:ascii="Verdana" w:hAnsi="Verdana"/>
          <w:sz w:val="20"/>
          <w:szCs w:val="20"/>
          <w:lang w:val="es-CR"/>
        </w:rPr>
        <w:t>]</w:t>
      </w:r>
      <w:r w:rsidRPr="00F049CF">
        <w:rPr>
          <w:rFonts w:ascii="Verdana" w:hAnsi="Verdana"/>
          <w:sz w:val="20"/>
          <w:szCs w:val="20"/>
          <w:lang w:val="es-CR"/>
        </w:rPr>
        <w:t xml:space="preserve"> suficientes elementos probatorios de la comisión de los delitos </w:t>
      </w:r>
      <w:r w:rsidR="00416E4A">
        <w:rPr>
          <w:rFonts w:ascii="Verdana" w:hAnsi="Verdana"/>
          <w:sz w:val="20"/>
          <w:szCs w:val="20"/>
          <w:lang w:val="es-CR"/>
        </w:rPr>
        <w:t>[</w:t>
      </w:r>
      <w:r w:rsidRPr="00F049CF">
        <w:rPr>
          <w:rFonts w:ascii="Verdana" w:hAnsi="Verdana"/>
          <w:sz w:val="20"/>
          <w:szCs w:val="20"/>
          <w:lang w:val="es-CR"/>
        </w:rPr>
        <w:t>anteriormente</w:t>
      </w:r>
      <w:r w:rsidR="00416E4A">
        <w:rPr>
          <w:rFonts w:ascii="Verdana" w:hAnsi="Verdana"/>
          <w:sz w:val="20"/>
          <w:szCs w:val="20"/>
          <w:lang w:val="es-CR"/>
        </w:rPr>
        <w:t>]</w:t>
      </w:r>
      <w:r w:rsidRPr="00F049CF">
        <w:rPr>
          <w:rFonts w:ascii="Verdana" w:hAnsi="Verdana"/>
          <w:sz w:val="20"/>
          <w:szCs w:val="20"/>
          <w:lang w:val="es-CR"/>
        </w:rPr>
        <w:t xml:space="preserve"> descritos que vincula</w:t>
      </w:r>
      <w:r w:rsidR="00416E4A">
        <w:rPr>
          <w:rFonts w:ascii="Verdana" w:hAnsi="Verdana"/>
          <w:sz w:val="20"/>
          <w:szCs w:val="20"/>
          <w:lang w:val="es-CR"/>
        </w:rPr>
        <w:t>[</w:t>
      </w:r>
      <w:r w:rsidRPr="00F049CF">
        <w:rPr>
          <w:rFonts w:ascii="Verdana" w:hAnsi="Verdana"/>
          <w:sz w:val="20"/>
          <w:szCs w:val="20"/>
          <w:lang w:val="es-CR"/>
        </w:rPr>
        <w:t>ban</w:t>
      </w:r>
      <w:r w:rsidR="00416E4A">
        <w:rPr>
          <w:rFonts w:ascii="Verdana" w:hAnsi="Verdana"/>
          <w:sz w:val="20"/>
          <w:szCs w:val="20"/>
          <w:lang w:val="es-CR"/>
        </w:rPr>
        <w:t>]</w:t>
      </w:r>
      <w:r w:rsidRPr="00F049CF">
        <w:rPr>
          <w:rFonts w:ascii="Verdana" w:hAnsi="Verdana"/>
          <w:sz w:val="20"/>
          <w:szCs w:val="20"/>
          <w:lang w:val="es-CR"/>
        </w:rPr>
        <w:t xml:space="preserve"> a </w:t>
      </w:r>
      <w:r w:rsidR="00416E4A">
        <w:rPr>
          <w:rFonts w:ascii="Verdana" w:hAnsi="Verdana"/>
          <w:sz w:val="20"/>
          <w:szCs w:val="20"/>
          <w:lang w:val="es-CR"/>
        </w:rPr>
        <w:t>[</w:t>
      </w:r>
      <w:r w:rsidRPr="00F049CF">
        <w:rPr>
          <w:rFonts w:ascii="Verdana" w:hAnsi="Verdana"/>
          <w:sz w:val="20"/>
          <w:szCs w:val="20"/>
          <w:lang w:val="es-CR"/>
        </w:rPr>
        <w:t>todos</w:t>
      </w:r>
      <w:r w:rsidR="00416E4A">
        <w:rPr>
          <w:rFonts w:ascii="Verdana" w:hAnsi="Verdana"/>
          <w:sz w:val="20"/>
          <w:szCs w:val="20"/>
          <w:lang w:val="es-CR"/>
        </w:rPr>
        <w:t>]</w:t>
      </w:r>
      <w:r w:rsidRPr="00F049CF">
        <w:rPr>
          <w:rFonts w:ascii="Verdana" w:hAnsi="Verdana"/>
          <w:sz w:val="20"/>
          <w:szCs w:val="20"/>
          <w:lang w:val="es-CR"/>
        </w:rPr>
        <w:t xml:space="preserve"> los denunciados como autores o part</w:t>
      </w:r>
      <w:r w:rsidR="00416E4A">
        <w:rPr>
          <w:rFonts w:ascii="Verdana" w:hAnsi="Verdana"/>
          <w:sz w:val="20"/>
          <w:szCs w:val="20"/>
          <w:lang w:val="es-CR"/>
        </w:rPr>
        <w:t>[</w:t>
      </w:r>
      <w:r w:rsidRPr="00F049CF">
        <w:rPr>
          <w:rFonts w:ascii="Verdana" w:hAnsi="Verdana"/>
          <w:sz w:val="20"/>
          <w:szCs w:val="20"/>
          <w:lang w:val="es-CR"/>
        </w:rPr>
        <w:t>ícipes</w:t>
      </w:r>
      <w:r w:rsidR="00416E4A">
        <w:rPr>
          <w:rFonts w:ascii="Verdana" w:hAnsi="Verdana"/>
          <w:sz w:val="20"/>
          <w:szCs w:val="20"/>
          <w:lang w:val="es-CR"/>
        </w:rPr>
        <w:t>]</w:t>
      </w:r>
      <w:r w:rsidRPr="00F049CF">
        <w:rPr>
          <w:rFonts w:ascii="Verdana" w:hAnsi="Verdana"/>
          <w:sz w:val="20"/>
          <w:szCs w:val="20"/>
          <w:lang w:val="es-CR"/>
        </w:rPr>
        <w:t xml:space="preserve"> de aquellos</w:t>
      </w:r>
      <w:r w:rsidR="00416E4A">
        <w:rPr>
          <w:rFonts w:ascii="Verdana" w:hAnsi="Verdana"/>
          <w:sz w:val="20"/>
          <w:szCs w:val="20"/>
          <w:lang w:val="es-CR"/>
        </w:rPr>
        <w:t>;</w:t>
      </w:r>
      <w:r w:rsidRPr="00F049CF">
        <w:rPr>
          <w:rFonts w:ascii="Verdana" w:hAnsi="Verdana"/>
          <w:sz w:val="20"/>
          <w:szCs w:val="20"/>
          <w:lang w:val="es-CR"/>
        </w:rPr>
        <w:t xml:space="preserve"> </w:t>
      </w:r>
      <w:r w:rsidR="00416E4A">
        <w:rPr>
          <w:rFonts w:ascii="Verdana" w:hAnsi="Verdana"/>
          <w:sz w:val="20"/>
          <w:szCs w:val="20"/>
          <w:lang w:val="es-CR"/>
        </w:rPr>
        <w:t>[</w:t>
      </w:r>
      <w:r w:rsidRPr="00F049CF">
        <w:rPr>
          <w:rFonts w:ascii="Verdana" w:hAnsi="Verdana"/>
          <w:sz w:val="20"/>
          <w:szCs w:val="20"/>
          <w:lang w:val="es-CR"/>
        </w:rPr>
        <w:t>así como</w:t>
      </w:r>
      <w:r w:rsidR="00416E4A">
        <w:rPr>
          <w:rFonts w:ascii="Verdana" w:hAnsi="Verdana"/>
          <w:sz w:val="20"/>
          <w:szCs w:val="20"/>
          <w:lang w:val="es-CR"/>
        </w:rPr>
        <w:t>]</w:t>
      </w:r>
      <w:r w:rsidRPr="00F049CF">
        <w:rPr>
          <w:rFonts w:ascii="Verdana" w:hAnsi="Verdana"/>
          <w:sz w:val="20"/>
          <w:szCs w:val="20"/>
          <w:lang w:val="es-CR"/>
        </w:rPr>
        <w:t xml:space="preserve"> que la sanción a imponerse en caso de una probable condena sería superior a los </w:t>
      </w:r>
      <w:r w:rsidR="00416E4A">
        <w:rPr>
          <w:rFonts w:ascii="Verdana" w:hAnsi="Verdana"/>
          <w:sz w:val="20"/>
          <w:szCs w:val="20"/>
          <w:lang w:val="es-CR"/>
        </w:rPr>
        <w:t>[</w:t>
      </w:r>
      <w:r w:rsidRPr="00F049CF">
        <w:rPr>
          <w:rFonts w:ascii="Verdana" w:hAnsi="Verdana"/>
          <w:sz w:val="20"/>
          <w:szCs w:val="20"/>
          <w:lang w:val="es-CR"/>
        </w:rPr>
        <w:t>cuatro años</w:t>
      </w:r>
      <w:r w:rsidR="00416E4A">
        <w:rPr>
          <w:rFonts w:ascii="Verdana" w:hAnsi="Verdana"/>
          <w:sz w:val="20"/>
          <w:szCs w:val="20"/>
          <w:lang w:val="es-CR"/>
        </w:rPr>
        <w:t>]</w:t>
      </w:r>
      <w:r w:rsidRPr="00F049CF">
        <w:rPr>
          <w:rFonts w:ascii="Verdana" w:hAnsi="Verdana"/>
          <w:sz w:val="20"/>
          <w:szCs w:val="20"/>
          <w:lang w:val="es-CR"/>
        </w:rPr>
        <w:t xml:space="preserve"> de pena privativa de libertad y que </w:t>
      </w:r>
      <w:r w:rsidR="00416E4A">
        <w:rPr>
          <w:rFonts w:ascii="Verdana" w:hAnsi="Verdana"/>
          <w:sz w:val="20"/>
          <w:szCs w:val="20"/>
          <w:lang w:val="es-CR"/>
        </w:rPr>
        <w:t>[</w:t>
      </w:r>
      <w:r w:rsidRPr="00F049CF">
        <w:rPr>
          <w:rFonts w:ascii="Verdana" w:hAnsi="Verdana"/>
          <w:sz w:val="20"/>
          <w:szCs w:val="20"/>
          <w:lang w:val="es-CR"/>
        </w:rPr>
        <w:t>era</w:t>
      </w:r>
      <w:r w:rsidR="00416E4A">
        <w:rPr>
          <w:rFonts w:ascii="Verdana" w:hAnsi="Verdana"/>
          <w:sz w:val="20"/>
          <w:szCs w:val="20"/>
          <w:lang w:val="es-CR"/>
        </w:rPr>
        <w:t>]</w:t>
      </w:r>
      <w:r w:rsidRPr="00F049CF">
        <w:rPr>
          <w:rFonts w:ascii="Verdana" w:hAnsi="Verdana"/>
          <w:sz w:val="20"/>
          <w:szCs w:val="20"/>
          <w:lang w:val="es-CR"/>
        </w:rPr>
        <w:t xml:space="preserve"> menester considerar </w:t>
      </w:r>
      <w:r w:rsidR="00C61269">
        <w:rPr>
          <w:rFonts w:ascii="Verdana" w:hAnsi="Verdana"/>
          <w:sz w:val="20"/>
          <w:szCs w:val="20"/>
          <w:lang w:val="es-CR"/>
        </w:rPr>
        <w:t>l</w:t>
      </w:r>
      <w:r w:rsidRPr="00F049CF">
        <w:rPr>
          <w:rFonts w:ascii="Verdana" w:hAnsi="Verdana"/>
          <w:sz w:val="20"/>
          <w:szCs w:val="20"/>
          <w:lang w:val="es-CR"/>
        </w:rPr>
        <w:t xml:space="preserve">a manera de previsión que los imputados podrían tratar de eludir la acción de </w:t>
      </w:r>
      <w:r w:rsidR="00416E4A">
        <w:rPr>
          <w:rFonts w:ascii="Verdana" w:hAnsi="Verdana"/>
          <w:sz w:val="20"/>
          <w:szCs w:val="20"/>
          <w:lang w:val="es-CR"/>
        </w:rPr>
        <w:t>[</w:t>
      </w:r>
      <w:r w:rsidRPr="00F049CF">
        <w:rPr>
          <w:rFonts w:ascii="Verdana" w:hAnsi="Verdana"/>
          <w:sz w:val="20"/>
          <w:szCs w:val="20"/>
          <w:lang w:val="es-CR"/>
        </w:rPr>
        <w:t>la</w:t>
      </w:r>
      <w:r w:rsidR="00416E4A">
        <w:rPr>
          <w:rFonts w:ascii="Verdana" w:hAnsi="Verdana"/>
          <w:sz w:val="20"/>
          <w:szCs w:val="20"/>
          <w:lang w:val="es-CR"/>
        </w:rPr>
        <w:t>]</w:t>
      </w:r>
      <w:r w:rsidRPr="00F049CF">
        <w:rPr>
          <w:rFonts w:ascii="Verdana" w:hAnsi="Verdana"/>
          <w:sz w:val="20"/>
          <w:szCs w:val="20"/>
          <w:lang w:val="es-CR"/>
        </w:rPr>
        <w:t xml:space="preserve"> justicia o perturbar la actividad probatoria en el curso de la investigación orientada a esclarecer </w:t>
      </w:r>
      <w:r w:rsidR="00416E4A">
        <w:rPr>
          <w:rFonts w:ascii="Verdana" w:hAnsi="Verdana"/>
          <w:sz w:val="20"/>
          <w:szCs w:val="20"/>
          <w:lang w:val="es-CR"/>
        </w:rPr>
        <w:t>[</w:t>
      </w:r>
      <w:r w:rsidRPr="00F049CF">
        <w:rPr>
          <w:rFonts w:ascii="Verdana" w:hAnsi="Verdana"/>
          <w:sz w:val="20"/>
          <w:szCs w:val="20"/>
          <w:lang w:val="es-CR"/>
        </w:rPr>
        <w:t>los</w:t>
      </w:r>
      <w:r w:rsidR="00416E4A">
        <w:rPr>
          <w:rFonts w:ascii="Verdana" w:hAnsi="Verdana"/>
          <w:sz w:val="20"/>
          <w:szCs w:val="20"/>
          <w:lang w:val="es-CR"/>
        </w:rPr>
        <w:t>]</w:t>
      </w:r>
      <w:r w:rsidRPr="00F049CF">
        <w:rPr>
          <w:rFonts w:ascii="Verdana" w:hAnsi="Verdana"/>
          <w:sz w:val="20"/>
          <w:szCs w:val="20"/>
          <w:lang w:val="es-CR"/>
        </w:rPr>
        <w:t xml:space="preserve"> cargos formulados por el señor </w:t>
      </w:r>
      <w:r w:rsidR="00416E4A">
        <w:rPr>
          <w:rFonts w:ascii="Verdana" w:hAnsi="Verdana"/>
          <w:sz w:val="20"/>
          <w:szCs w:val="20"/>
          <w:lang w:val="es-CR"/>
        </w:rPr>
        <w:t>[</w:t>
      </w:r>
      <w:r w:rsidRPr="00F049CF">
        <w:rPr>
          <w:rFonts w:ascii="Verdana" w:hAnsi="Verdana"/>
          <w:sz w:val="20"/>
          <w:szCs w:val="20"/>
          <w:lang w:val="es-CR"/>
        </w:rPr>
        <w:t>R</w:t>
      </w:r>
      <w:r w:rsidR="00416E4A">
        <w:rPr>
          <w:rFonts w:ascii="Verdana" w:hAnsi="Verdana"/>
          <w:sz w:val="20"/>
          <w:szCs w:val="20"/>
          <w:lang w:val="es-CR"/>
        </w:rPr>
        <w:t>]</w:t>
      </w:r>
      <w:r w:rsidRPr="00F049CF">
        <w:rPr>
          <w:rFonts w:ascii="Verdana" w:hAnsi="Verdana"/>
          <w:sz w:val="20"/>
          <w:szCs w:val="20"/>
          <w:lang w:val="es-CR"/>
        </w:rPr>
        <w:t xml:space="preserve">epresentante del Ministerio Público”. </w:t>
      </w:r>
      <w:r w:rsidR="00C61269">
        <w:rPr>
          <w:rFonts w:ascii="Verdana" w:hAnsi="Verdana"/>
          <w:sz w:val="20"/>
          <w:szCs w:val="20"/>
          <w:lang w:val="es-CR"/>
        </w:rPr>
        <w:t>Por último</w:t>
      </w:r>
      <w:r w:rsidRPr="00F049CF">
        <w:rPr>
          <w:rFonts w:ascii="Verdana" w:hAnsi="Verdana"/>
          <w:sz w:val="20"/>
          <w:szCs w:val="20"/>
          <w:lang w:val="es-CR"/>
        </w:rPr>
        <w:t xml:space="preserve">, </w:t>
      </w:r>
      <w:r w:rsidRPr="00F049CF">
        <w:rPr>
          <w:rFonts w:ascii="Verdana" w:hAnsi="Verdana"/>
          <w:sz w:val="20"/>
          <w:szCs w:val="20"/>
          <w:lang w:val="es-ES"/>
        </w:rPr>
        <w:t xml:space="preserve">el Juez ordenó el embargo preventivo sobre los bienes de los procesados que fueran suficientes para cubrir la reparación civil </w:t>
      </w:r>
      <w:r w:rsidRPr="00F049CF">
        <w:rPr>
          <w:rFonts w:ascii="Verdana" w:hAnsi="Verdana"/>
          <w:sz w:val="20"/>
          <w:szCs w:val="20"/>
        </w:rPr>
        <w:t>y el impedimento de salida del país. Asimismo, solicitó diversas declaraciones instructivas, testimoniales y la recopilación de prueba diversa</w:t>
      </w:r>
      <w:r w:rsidRPr="00F049CF">
        <w:rPr>
          <w:rStyle w:val="FootnoteReference"/>
          <w:szCs w:val="20"/>
        </w:rPr>
        <w:footnoteReference w:id="81"/>
      </w:r>
      <w:r w:rsidRPr="00F049CF">
        <w:rPr>
          <w:rFonts w:ascii="Verdana" w:hAnsi="Verdana"/>
          <w:sz w:val="20"/>
          <w:szCs w:val="20"/>
        </w:rPr>
        <w:t>.</w:t>
      </w:r>
    </w:p>
    <w:p w14:paraId="6D172C21" w14:textId="77777777" w:rsidR="00FB723A" w:rsidRPr="00F049CF" w:rsidRDefault="00FB723A" w:rsidP="00FB723A">
      <w:pPr>
        <w:pStyle w:val="ListParagraph"/>
        <w:ind w:left="0"/>
        <w:jc w:val="both"/>
        <w:rPr>
          <w:rFonts w:ascii="Verdana" w:hAnsi="Verdana"/>
          <w:sz w:val="20"/>
          <w:szCs w:val="20"/>
          <w:lang w:val="es-CR"/>
        </w:rPr>
      </w:pPr>
    </w:p>
    <w:p w14:paraId="6D172C22" w14:textId="73567000" w:rsidR="00FB723A" w:rsidRPr="008A301C" w:rsidRDefault="00FB723A" w:rsidP="00FB723A">
      <w:pPr>
        <w:pStyle w:val="ListParagraph"/>
        <w:numPr>
          <w:ilvl w:val="0"/>
          <w:numId w:val="2"/>
        </w:numPr>
        <w:ind w:left="0" w:hanging="11"/>
        <w:jc w:val="both"/>
        <w:rPr>
          <w:rFonts w:ascii="Verdana" w:hAnsi="Verdana"/>
          <w:sz w:val="20"/>
          <w:szCs w:val="20"/>
        </w:rPr>
      </w:pPr>
      <w:r>
        <w:rPr>
          <w:rFonts w:ascii="Verdana" w:hAnsi="Verdana"/>
          <w:sz w:val="20"/>
          <w:szCs w:val="20"/>
          <w:lang w:val="es-CR"/>
        </w:rPr>
        <w:t>E</w:t>
      </w:r>
      <w:r w:rsidRPr="008A301C">
        <w:rPr>
          <w:rFonts w:ascii="Verdana" w:hAnsi="Verdana"/>
          <w:sz w:val="20"/>
          <w:szCs w:val="20"/>
          <w:lang w:val="es-CR"/>
        </w:rPr>
        <w:t>l 21 de octubre de 1994</w:t>
      </w:r>
      <w:r w:rsidRPr="008A301C">
        <w:rPr>
          <w:rFonts w:ascii="Verdana" w:hAnsi="Verdana"/>
          <w:b/>
          <w:sz w:val="20"/>
          <w:szCs w:val="20"/>
          <w:lang w:val="es-CR"/>
        </w:rPr>
        <w:t xml:space="preserve"> </w:t>
      </w:r>
      <w:r>
        <w:rPr>
          <w:rFonts w:ascii="Verdana" w:hAnsi="Verdana"/>
          <w:sz w:val="20"/>
          <w:szCs w:val="20"/>
          <w:lang w:val="es-ES"/>
        </w:rPr>
        <w:t>e</w:t>
      </w:r>
      <w:r w:rsidRPr="00F049CF">
        <w:rPr>
          <w:rFonts w:ascii="Verdana" w:hAnsi="Verdana"/>
          <w:sz w:val="20"/>
          <w:szCs w:val="20"/>
          <w:lang w:val="es-ES"/>
        </w:rPr>
        <w:t xml:space="preserve">l señor </w:t>
      </w:r>
      <w:r w:rsidRPr="00F049CF">
        <w:rPr>
          <w:rFonts w:ascii="Verdana" w:hAnsi="Verdana"/>
          <w:sz w:val="20"/>
          <w:szCs w:val="20"/>
          <w:lang w:val="es-CR"/>
        </w:rPr>
        <w:t xml:space="preserve">Zegarra Marín interpuso </w:t>
      </w:r>
      <w:r w:rsidRPr="008A301C">
        <w:rPr>
          <w:rFonts w:ascii="Verdana" w:hAnsi="Verdana"/>
          <w:sz w:val="20"/>
          <w:szCs w:val="20"/>
          <w:lang w:val="es-CR"/>
        </w:rPr>
        <w:t>un recurso de apelación en contra del mandato de detención,</w:t>
      </w:r>
      <w:r w:rsidRPr="00F049CF">
        <w:rPr>
          <w:rFonts w:ascii="Verdana" w:hAnsi="Verdana"/>
          <w:sz w:val="20"/>
          <w:szCs w:val="20"/>
          <w:lang w:val="es-CR"/>
        </w:rPr>
        <w:t xml:space="preserve"> el cual fue resuelto por la Quinta Sala Penal de la Corte Superior de Lima (en adelante “Quinta Sala Penal”) el 15 de diciembre de 1994 y notificado al señor Zegarra Marín el 5 de enero de 1995. La Quinta Sala Penal confirmó el auto apelado</w:t>
      </w:r>
      <w:r w:rsidRPr="0032625C">
        <w:rPr>
          <w:rStyle w:val="FootnoteReference"/>
          <w:sz w:val="18"/>
          <w:szCs w:val="18"/>
          <w:lang w:val="es-CR"/>
        </w:rPr>
        <w:footnoteReference w:id="82"/>
      </w:r>
      <w:r w:rsidRPr="008A301C">
        <w:rPr>
          <w:rFonts w:ascii="Verdana" w:hAnsi="Verdana"/>
          <w:sz w:val="20"/>
          <w:szCs w:val="20"/>
          <w:lang w:val="es-CR"/>
        </w:rPr>
        <w:t xml:space="preserve">, al considerar que: </w:t>
      </w:r>
    </w:p>
    <w:p w14:paraId="6D172C23" w14:textId="77777777" w:rsidR="00FB723A" w:rsidRPr="008A301C" w:rsidRDefault="00FB723A" w:rsidP="00FB723A">
      <w:pPr>
        <w:pStyle w:val="ListParagraph"/>
        <w:ind w:left="0"/>
        <w:jc w:val="both"/>
        <w:rPr>
          <w:rFonts w:ascii="Verdana" w:hAnsi="Verdana"/>
          <w:sz w:val="20"/>
          <w:szCs w:val="20"/>
        </w:rPr>
      </w:pPr>
    </w:p>
    <w:p w14:paraId="6D172C24" w14:textId="1824C3FD" w:rsidR="00FB723A" w:rsidRPr="0021468B" w:rsidRDefault="00FB723A" w:rsidP="00FB723A">
      <w:pPr>
        <w:pStyle w:val="ListParagraph"/>
        <w:ind w:left="709" w:right="701"/>
        <w:jc w:val="both"/>
        <w:rPr>
          <w:rFonts w:ascii="Verdana" w:hAnsi="Verdana"/>
          <w:sz w:val="18"/>
          <w:szCs w:val="18"/>
        </w:rPr>
      </w:pPr>
      <w:r w:rsidRPr="008A301C">
        <w:rPr>
          <w:rFonts w:ascii="Verdana" w:hAnsi="Verdana"/>
          <w:sz w:val="18"/>
          <w:szCs w:val="18"/>
        </w:rPr>
        <w:t xml:space="preserve">“al recurrente se le imputa la comisión de ilícitos que, además de haber dado origen a la lesión de varios bienes jurídicos tutelados por las correspondientes normas penales, revisten gravedad por tratarse de un funcionario público de alta graduación; que los cargos formulados en contra del apelante por sus ahora co-inculpados Capitán PNP </w:t>
      </w:r>
      <w:r w:rsidR="0014732F">
        <w:rPr>
          <w:rFonts w:ascii="Verdana" w:hAnsi="Verdana"/>
          <w:sz w:val="18"/>
          <w:szCs w:val="18"/>
        </w:rPr>
        <w:t>[CH]</w:t>
      </w:r>
      <w:r w:rsidRPr="008A301C">
        <w:rPr>
          <w:rFonts w:ascii="Verdana" w:hAnsi="Verdana"/>
          <w:sz w:val="18"/>
          <w:szCs w:val="18"/>
        </w:rPr>
        <w:t xml:space="preserve"> y Sub-oficial </w:t>
      </w:r>
      <w:r w:rsidR="0014732F">
        <w:rPr>
          <w:rFonts w:ascii="Verdana" w:hAnsi="Verdana"/>
          <w:sz w:val="18"/>
          <w:szCs w:val="18"/>
        </w:rPr>
        <w:t>[MP]</w:t>
      </w:r>
      <w:r w:rsidRPr="008A301C">
        <w:rPr>
          <w:rFonts w:ascii="Verdana" w:hAnsi="Verdana"/>
          <w:sz w:val="18"/>
          <w:szCs w:val="18"/>
        </w:rPr>
        <w:t xml:space="preserve">, mediante declaraciones indagatorias […], por haber sido hechas ante el Representante del Ministerio Público, tiene[n] fuerza probatoria; que por ello se puede deducir que existen elementos probatorios que lo vinculan como partícipe en la comisión dolosa de los delitos materia de la instrucción abierta; que, en ese sentido es posible determinar que la sanción a imponérsele sea superior a los cuatro años de privación de su libertad; en consecuencia, encontrándose el caso </w:t>
      </w:r>
      <w:r w:rsidRPr="008A301C">
        <w:rPr>
          <w:rFonts w:ascii="Verdana" w:hAnsi="Verdana"/>
          <w:sz w:val="18"/>
          <w:szCs w:val="18"/>
        </w:rPr>
        <w:lastRenderedPageBreak/>
        <w:t>materia del presente incidente dentro del alcance del artículo [135] del Código Procesal Penal: [c]onfirmaron el auto apelado […]”</w:t>
      </w:r>
      <w:r w:rsidRPr="0021468B">
        <w:rPr>
          <w:rFonts w:ascii="Verdana" w:hAnsi="Verdana"/>
          <w:sz w:val="18"/>
          <w:szCs w:val="18"/>
          <w:lang w:val="es-CR"/>
        </w:rPr>
        <w:t xml:space="preserve">. </w:t>
      </w:r>
    </w:p>
    <w:p w14:paraId="6D172C25" w14:textId="77777777" w:rsidR="00FB723A" w:rsidRPr="0021468B" w:rsidRDefault="00FB723A" w:rsidP="00FB723A">
      <w:pPr>
        <w:pStyle w:val="ListParagraph"/>
        <w:jc w:val="both"/>
        <w:rPr>
          <w:rFonts w:ascii="Verdana" w:hAnsi="Verdana"/>
          <w:sz w:val="20"/>
          <w:szCs w:val="20"/>
          <w:lang w:val="es-ES"/>
        </w:rPr>
      </w:pPr>
    </w:p>
    <w:p w14:paraId="6D172C26" w14:textId="4BD4B09E" w:rsidR="00FB723A" w:rsidRPr="006231F4" w:rsidRDefault="00FB723A" w:rsidP="00FB723A">
      <w:pPr>
        <w:pStyle w:val="ListParagraph"/>
        <w:numPr>
          <w:ilvl w:val="0"/>
          <w:numId w:val="2"/>
        </w:numPr>
        <w:ind w:left="0" w:hanging="11"/>
        <w:jc w:val="both"/>
        <w:rPr>
          <w:rFonts w:ascii="Verdana" w:hAnsi="Verdana"/>
          <w:strike/>
          <w:sz w:val="20"/>
          <w:szCs w:val="20"/>
          <w:lang w:val="es-ES"/>
        </w:rPr>
      </w:pPr>
      <w:r w:rsidRPr="00DF6672">
        <w:rPr>
          <w:rFonts w:ascii="Verdana" w:hAnsi="Verdana"/>
          <w:sz w:val="20"/>
          <w:szCs w:val="20"/>
          <w:lang w:val="es-ES"/>
        </w:rPr>
        <w:t>Con base en el artículo 182</w:t>
      </w:r>
      <w:r w:rsidRPr="00DF6672">
        <w:rPr>
          <w:rStyle w:val="FootnoteReference"/>
          <w:szCs w:val="20"/>
          <w:lang w:val="es-ES"/>
        </w:rPr>
        <w:footnoteReference w:id="83"/>
      </w:r>
      <w:r w:rsidRPr="00DF6672">
        <w:rPr>
          <w:rFonts w:ascii="Verdana" w:hAnsi="Verdana"/>
          <w:sz w:val="20"/>
          <w:szCs w:val="20"/>
          <w:lang w:val="es-ES"/>
        </w:rPr>
        <w:t xml:space="preserve"> del Código Procesal Penal de 1991 (articulado vigente), el señor Zegarra Marín interpuso una solicitud de libertad provisional</w:t>
      </w:r>
      <w:r w:rsidR="00DF6672">
        <w:rPr>
          <w:rFonts w:ascii="Verdana" w:hAnsi="Verdana"/>
          <w:sz w:val="20"/>
          <w:szCs w:val="20"/>
          <w:lang w:val="es-ES"/>
        </w:rPr>
        <w:t>.</w:t>
      </w:r>
    </w:p>
    <w:p w14:paraId="6D172C27" w14:textId="77777777" w:rsidR="00FB723A" w:rsidRPr="002B7276" w:rsidRDefault="00FB723A" w:rsidP="00FB723A">
      <w:pPr>
        <w:rPr>
          <w:lang w:val="es-ES"/>
        </w:rPr>
      </w:pPr>
    </w:p>
    <w:p w14:paraId="6D172C28" w14:textId="557F8372" w:rsidR="00FB723A" w:rsidRPr="00631B30" w:rsidRDefault="00C23A33" w:rsidP="00FB723A">
      <w:pPr>
        <w:pStyle w:val="ListParagraph"/>
        <w:numPr>
          <w:ilvl w:val="0"/>
          <w:numId w:val="2"/>
        </w:numPr>
        <w:ind w:left="0" w:hanging="11"/>
        <w:jc w:val="both"/>
        <w:rPr>
          <w:rFonts w:ascii="Verdana" w:hAnsi="Verdana"/>
          <w:sz w:val="20"/>
          <w:lang w:val="es-ES"/>
        </w:rPr>
      </w:pPr>
      <w:r w:rsidRPr="000A0953">
        <w:rPr>
          <w:rFonts w:ascii="Verdana" w:hAnsi="Verdana"/>
          <w:sz w:val="20"/>
          <w:lang w:val="es-ES"/>
        </w:rPr>
        <w:t>El 22 de junio de 1995,</w:t>
      </w:r>
      <w:r w:rsidRPr="00631B30">
        <w:rPr>
          <w:rFonts w:ascii="Verdana" w:hAnsi="Verdana"/>
          <w:sz w:val="20"/>
          <w:lang w:val="es-ES"/>
        </w:rPr>
        <w:t xml:space="preserve"> l</w:t>
      </w:r>
      <w:r w:rsidR="00FB723A" w:rsidRPr="00631B30">
        <w:rPr>
          <w:rFonts w:ascii="Verdana" w:hAnsi="Verdana"/>
          <w:sz w:val="20"/>
          <w:lang w:val="es-ES"/>
        </w:rPr>
        <w:t>a Quinta Sala Penal decidió revocar el auto apelado de 25 de abril de 1995 que declaró improcedente la</w:t>
      </w:r>
      <w:r w:rsidRPr="00631B30">
        <w:rPr>
          <w:rFonts w:ascii="Verdana" w:hAnsi="Verdana"/>
          <w:sz w:val="20"/>
          <w:lang w:val="es-ES"/>
        </w:rPr>
        <w:t xml:space="preserve"> </w:t>
      </w:r>
      <w:r w:rsidR="00FB723A" w:rsidRPr="00631B30">
        <w:rPr>
          <w:rFonts w:ascii="Verdana" w:hAnsi="Verdana"/>
          <w:sz w:val="20"/>
          <w:lang w:val="es-ES"/>
        </w:rPr>
        <w:t>libertad provisional</w:t>
      </w:r>
      <w:r w:rsidRPr="00631B30">
        <w:rPr>
          <w:rFonts w:ascii="Verdana" w:hAnsi="Verdana"/>
          <w:sz w:val="20"/>
          <w:lang w:val="es-ES"/>
        </w:rPr>
        <w:t xml:space="preserve"> </w:t>
      </w:r>
      <w:r w:rsidR="00CA4516" w:rsidRPr="00631B30">
        <w:rPr>
          <w:rFonts w:ascii="Verdana" w:hAnsi="Verdana"/>
          <w:sz w:val="20"/>
          <w:szCs w:val="20"/>
          <w:lang w:val="es-ES"/>
        </w:rPr>
        <w:t>d</w:t>
      </w:r>
      <w:r w:rsidRPr="00631B30">
        <w:rPr>
          <w:rFonts w:ascii="Verdana" w:hAnsi="Verdana"/>
          <w:sz w:val="20"/>
          <w:lang w:val="es-ES"/>
        </w:rPr>
        <w:t>el señor Zegarra Marín</w:t>
      </w:r>
      <w:r w:rsidR="00FB723A" w:rsidRPr="00631B30">
        <w:rPr>
          <w:rFonts w:ascii="Verdana" w:hAnsi="Verdana"/>
          <w:sz w:val="20"/>
          <w:lang w:val="es-ES"/>
        </w:rPr>
        <w:t>, reformándolo en el sentido de otorgar dicha libertad en favor del señor Zegarra Marín,</w:t>
      </w:r>
      <w:r w:rsidR="00FB723A" w:rsidRPr="00631B30">
        <w:rPr>
          <w:rFonts w:ascii="Verdana" w:hAnsi="Verdana"/>
          <w:sz w:val="20"/>
        </w:rPr>
        <w:t xml:space="preserve"> señalando lo siguiente</w:t>
      </w:r>
      <w:r w:rsidR="00FB723A" w:rsidRPr="00631B30">
        <w:rPr>
          <w:rStyle w:val="FootnoteReference"/>
        </w:rPr>
        <w:footnoteReference w:id="84"/>
      </w:r>
      <w:r w:rsidR="00FB723A" w:rsidRPr="00631B30">
        <w:rPr>
          <w:rFonts w:ascii="Verdana" w:hAnsi="Verdana"/>
          <w:sz w:val="20"/>
        </w:rPr>
        <w:t>:</w:t>
      </w:r>
    </w:p>
    <w:p w14:paraId="6D172C29" w14:textId="77777777" w:rsidR="00FB723A" w:rsidRPr="00F049CF" w:rsidRDefault="00FB723A" w:rsidP="00FB723A">
      <w:pPr>
        <w:pStyle w:val="ListParagraph"/>
        <w:ind w:left="0"/>
        <w:jc w:val="both"/>
        <w:rPr>
          <w:rFonts w:ascii="Verdana" w:hAnsi="Verdana"/>
          <w:sz w:val="20"/>
          <w:szCs w:val="20"/>
          <w:lang w:val="es-ES"/>
        </w:rPr>
      </w:pPr>
    </w:p>
    <w:p w14:paraId="6D172C2A" w14:textId="6A772A56" w:rsidR="00FB723A" w:rsidRPr="008A301C" w:rsidRDefault="00B03228" w:rsidP="00FB723A">
      <w:pPr>
        <w:ind w:left="709" w:right="701"/>
        <w:jc w:val="both"/>
        <w:rPr>
          <w:rFonts w:ascii="Verdana" w:hAnsi="Verdana"/>
          <w:sz w:val="18"/>
          <w:szCs w:val="18"/>
        </w:rPr>
      </w:pPr>
      <w:r>
        <w:rPr>
          <w:rFonts w:ascii="Verdana" w:hAnsi="Verdana"/>
          <w:sz w:val="18"/>
          <w:szCs w:val="18"/>
        </w:rPr>
        <w:t>[D]</w:t>
      </w:r>
      <w:r w:rsidR="00FB723A" w:rsidRPr="008A301C">
        <w:rPr>
          <w:rFonts w:ascii="Verdana" w:hAnsi="Verdana"/>
          <w:sz w:val="18"/>
          <w:szCs w:val="18"/>
        </w:rPr>
        <w:t xml:space="preserve">el análisis de las piezas que conforman la presente incidencia se concluye que la situación jurídica del encausado recurrente ha variado ostensiblemente por cuanto, de la diligencia de confrontación con su co-procesado </w:t>
      </w:r>
      <w:r w:rsidR="005E0AEB">
        <w:rPr>
          <w:rFonts w:ascii="Verdana" w:hAnsi="Verdana"/>
          <w:sz w:val="18"/>
          <w:szCs w:val="18"/>
        </w:rPr>
        <w:t>[</w:t>
      </w:r>
      <w:r w:rsidR="0014732F">
        <w:rPr>
          <w:rFonts w:ascii="Verdana" w:hAnsi="Verdana"/>
          <w:sz w:val="18"/>
          <w:szCs w:val="18"/>
        </w:rPr>
        <w:t>CH</w:t>
      </w:r>
      <w:r w:rsidR="005E0AEB">
        <w:rPr>
          <w:rFonts w:ascii="Verdana" w:hAnsi="Verdana"/>
          <w:sz w:val="18"/>
          <w:szCs w:val="18"/>
        </w:rPr>
        <w:t>]</w:t>
      </w:r>
      <w:r w:rsidR="00FB723A" w:rsidRPr="008A301C">
        <w:rPr>
          <w:rFonts w:ascii="Verdana" w:hAnsi="Verdana"/>
          <w:sz w:val="18"/>
          <w:szCs w:val="18"/>
        </w:rPr>
        <w:t xml:space="preserve">, así como de la instructiva de este último[,] se aprecia la existencia de contradicciones respecto a los cargos que formuló en contra del apelante en su declaración indagatoria; por otra parte el inculpado </w:t>
      </w:r>
      <w:r w:rsidR="005E0AEB">
        <w:rPr>
          <w:rFonts w:ascii="Verdana" w:hAnsi="Verdana"/>
          <w:sz w:val="18"/>
          <w:szCs w:val="18"/>
        </w:rPr>
        <w:t>[</w:t>
      </w:r>
      <w:r w:rsidR="0014732F">
        <w:rPr>
          <w:rFonts w:ascii="Verdana" w:hAnsi="Verdana"/>
          <w:sz w:val="18"/>
          <w:szCs w:val="18"/>
        </w:rPr>
        <w:t>CH</w:t>
      </w:r>
      <w:r w:rsidR="005E0AEB">
        <w:rPr>
          <w:rFonts w:ascii="Verdana" w:hAnsi="Verdana"/>
          <w:sz w:val="18"/>
          <w:szCs w:val="18"/>
        </w:rPr>
        <w:t>]</w:t>
      </w:r>
      <w:r w:rsidR="00FB723A" w:rsidRPr="008A301C">
        <w:rPr>
          <w:rFonts w:ascii="Verdana" w:hAnsi="Verdana"/>
          <w:sz w:val="18"/>
          <w:szCs w:val="18"/>
        </w:rPr>
        <w:t xml:space="preserve"> señala que fue el Comandante Zegarra Marín quien le entregó personalmente los 525 pasaportes, pero esta afirmación ha quedado desvirtuada al verificarse que dicho lote de pasaportes lo recepcionó de manos del empleado civil Víctor Salcedo Silva de la Sub-Dirección de Control Migratorio al mando del Comandante </w:t>
      </w:r>
      <w:r w:rsidR="005E0AEB">
        <w:rPr>
          <w:rFonts w:ascii="Verdana" w:hAnsi="Verdana"/>
          <w:sz w:val="18"/>
          <w:szCs w:val="18"/>
        </w:rPr>
        <w:t>[</w:t>
      </w:r>
      <w:r w:rsidR="00294F62">
        <w:rPr>
          <w:rFonts w:ascii="Verdana" w:hAnsi="Verdana"/>
          <w:sz w:val="18"/>
          <w:szCs w:val="18"/>
        </w:rPr>
        <w:t>LC</w:t>
      </w:r>
      <w:r w:rsidR="005E0AEB">
        <w:rPr>
          <w:rFonts w:ascii="Verdana" w:hAnsi="Verdana"/>
          <w:sz w:val="18"/>
          <w:szCs w:val="18"/>
        </w:rPr>
        <w:t>]</w:t>
      </w:r>
      <w:r w:rsidR="00FB723A" w:rsidRPr="008A301C">
        <w:rPr>
          <w:rFonts w:ascii="Verdana" w:hAnsi="Verdana"/>
          <w:sz w:val="18"/>
          <w:szCs w:val="18"/>
        </w:rPr>
        <w:t xml:space="preserve">; que el mismo procesado </w:t>
      </w:r>
      <w:r w:rsidR="005E0AEB">
        <w:rPr>
          <w:rFonts w:ascii="Verdana" w:hAnsi="Verdana"/>
          <w:sz w:val="18"/>
          <w:szCs w:val="18"/>
        </w:rPr>
        <w:t>[</w:t>
      </w:r>
      <w:r w:rsidR="0014732F">
        <w:rPr>
          <w:rFonts w:ascii="Verdana" w:hAnsi="Verdana"/>
          <w:sz w:val="18"/>
          <w:szCs w:val="18"/>
        </w:rPr>
        <w:t>CH</w:t>
      </w:r>
      <w:r w:rsidR="005E0AEB">
        <w:rPr>
          <w:rFonts w:ascii="Verdana" w:hAnsi="Verdana"/>
          <w:sz w:val="18"/>
          <w:szCs w:val="18"/>
        </w:rPr>
        <w:t>]</w:t>
      </w:r>
      <w:r w:rsidR="00FB723A" w:rsidRPr="008A301C">
        <w:rPr>
          <w:rFonts w:ascii="Verdana" w:hAnsi="Verdana"/>
          <w:sz w:val="18"/>
          <w:szCs w:val="18"/>
        </w:rPr>
        <w:t xml:space="preserve"> sostiene que fue él quien le dijo que justificara los pasaportes faltantes con expedientes antiguos, luego se desmiente en su instructiva afirmando que lo llamó desde las oficinas de ENTEL y que también lo hizo de la Sub-Dirección de Control Migratorio, pero que no llegó a comunicarse ni con Zegarra Marín ni con los funcionarios de control migratorios[.] […] [P]or otro lado, de los actuados se desprende que los inculpados </w:t>
      </w:r>
      <w:r w:rsidR="005E0AEB">
        <w:rPr>
          <w:rFonts w:ascii="Verdana" w:hAnsi="Verdana"/>
          <w:sz w:val="18"/>
          <w:szCs w:val="18"/>
        </w:rPr>
        <w:t>[</w:t>
      </w:r>
      <w:r w:rsidR="0014732F">
        <w:rPr>
          <w:rFonts w:ascii="Verdana" w:hAnsi="Verdana"/>
          <w:sz w:val="18"/>
          <w:szCs w:val="18"/>
        </w:rPr>
        <w:t>CH</w:t>
      </w:r>
      <w:r w:rsidR="005E0AEB">
        <w:rPr>
          <w:rFonts w:ascii="Verdana" w:hAnsi="Verdana"/>
          <w:sz w:val="18"/>
          <w:szCs w:val="18"/>
        </w:rPr>
        <w:t>]</w:t>
      </w:r>
      <w:r w:rsidR="00FB723A" w:rsidRPr="008A301C">
        <w:rPr>
          <w:rFonts w:ascii="Verdana" w:hAnsi="Verdana"/>
          <w:sz w:val="18"/>
          <w:szCs w:val="18"/>
        </w:rPr>
        <w:t xml:space="preserve"> y </w:t>
      </w:r>
      <w:r w:rsidR="005E0AEB">
        <w:rPr>
          <w:rFonts w:ascii="Verdana" w:hAnsi="Verdana"/>
          <w:sz w:val="18"/>
          <w:szCs w:val="18"/>
        </w:rPr>
        <w:t>[MP]</w:t>
      </w:r>
      <w:r w:rsidR="00FB723A" w:rsidRPr="008A301C">
        <w:rPr>
          <w:rFonts w:ascii="Verdana" w:hAnsi="Verdana"/>
          <w:sz w:val="18"/>
          <w:szCs w:val="18"/>
        </w:rPr>
        <w:t xml:space="preserve">, en sus condiciones de Jerarquía de la Oficina de Migraciones de Tumbes y Jefe de pasaportes de dicha oficina, respectivamente, no tenían por qué dirigirse a su co-procesado Zegarra Marín en el desempeño de sus funciones, toda vez que ambos funcionarios dependían administrativamente y funcionalmente de la Sub-Dirección de Control Migratorio a cargo del Comandante </w:t>
      </w:r>
      <w:r w:rsidR="005E0AEB">
        <w:rPr>
          <w:rFonts w:ascii="Verdana" w:hAnsi="Verdana"/>
          <w:sz w:val="18"/>
          <w:szCs w:val="18"/>
        </w:rPr>
        <w:t>[</w:t>
      </w:r>
      <w:r w:rsidR="00294F62">
        <w:rPr>
          <w:rFonts w:ascii="Verdana" w:hAnsi="Verdana"/>
          <w:sz w:val="18"/>
          <w:szCs w:val="18"/>
        </w:rPr>
        <w:t>LC</w:t>
      </w:r>
      <w:r w:rsidR="005E0AEB">
        <w:rPr>
          <w:rFonts w:ascii="Verdana" w:hAnsi="Verdana"/>
          <w:sz w:val="18"/>
          <w:szCs w:val="18"/>
        </w:rPr>
        <w:t>]</w:t>
      </w:r>
      <w:r w:rsidR="00FB723A" w:rsidRPr="008A301C">
        <w:rPr>
          <w:rFonts w:ascii="Verdana" w:hAnsi="Verdana"/>
          <w:sz w:val="18"/>
          <w:szCs w:val="18"/>
        </w:rPr>
        <w:t xml:space="preserve">; que además, del Dictamen Pericial de Grafotecnia[,] elaborado por el Laboratorio Criminalístico de la Policía Nacional del Perú, […] se desprende que, el pasaporte número 0415818 a nombre de </w:t>
      </w:r>
      <w:r w:rsidR="00701054" w:rsidRPr="00701054">
        <w:rPr>
          <w:rFonts w:ascii="Verdana" w:hAnsi="Verdana"/>
          <w:sz w:val="18"/>
          <w:szCs w:val="18"/>
        </w:rPr>
        <w:t>DEVA</w:t>
      </w:r>
      <w:r w:rsidR="00FB723A" w:rsidRPr="008A301C">
        <w:rPr>
          <w:rFonts w:ascii="Verdana" w:hAnsi="Verdana"/>
          <w:sz w:val="18"/>
          <w:szCs w:val="18"/>
        </w:rPr>
        <w:t xml:space="preserve"> tiene la firma falsificada del inculpado Zegarra Marín, que siendo así, se han desvanecido los cargos que dieron al mandato de detención dictado en contra el procesado recurrente, y por lo que se infiere que, en caso de ser hallado responsable en los hechos que se le instruye, la sanción a imponérsele no superará los cuatro años de privación de libertad; en consecuencia, habiéndose reunido los presupuestos [del] artículo 182 del Código procesal Penal: [re]vocaron el auto venido en grado de apelación […] [de] 25 de abril de 1995, que declara improcedente la libertad provisional solicitada por el procesado Agustín Bladimiro Zegarra Marín […] y [r]eformándolo[,] declararon [p]rocedente dicha libertad peticionada […].</w:t>
      </w:r>
    </w:p>
    <w:p w14:paraId="6D172C2B" w14:textId="77777777" w:rsidR="00FB723A" w:rsidRPr="00F049CF" w:rsidRDefault="00FB723A" w:rsidP="00FB723A">
      <w:pPr>
        <w:pStyle w:val="ListParagraph"/>
        <w:ind w:left="0"/>
        <w:jc w:val="both"/>
        <w:rPr>
          <w:rFonts w:ascii="Verdana" w:hAnsi="Verdana"/>
          <w:sz w:val="20"/>
          <w:szCs w:val="20"/>
          <w:lang w:val="es-ES"/>
        </w:rPr>
      </w:pPr>
    </w:p>
    <w:p w14:paraId="6D172C2C" w14:textId="77777777" w:rsidR="00FB723A" w:rsidRPr="008A301C" w:rsidRDefault="00FB723A" w:rsidP="00FB723A">
      <w:pPr>
        <w:pStyle w:val="ListParagraph"/>
        <w:numPr>
          <w:ilvl w:val="0"/>
          <w:numId w:val="2"/>
        </w:numPr>
        <w:ind w:left="0" w:hanging="11"/>
        <w:jc w:val="both"/>
        <w:rPr>
          <w:rFonts w:ascii="Verdana" w:hAnsi="Verdana"/>
          <w:sz w:val="20"/>
          <w:szCs w:val="20"/>
          <w:lang w:val="es-ES"/>
        </w:rPr>
      </w:pPr>
      <w:r w:rsidRPr="0032625C">
        <w:rPr>
          <w:rFonts w:ascii="Verdana" w:hAnsi="Verdana"/>
          <w:sz w:val="20"/>
          <w:szCs w:val="20"/>
          <w:lang w:val="es-ES"/>
        </w:rPr>
        <w:lastRenderedPageBreak/>
        <w:t>El señor Zegarra Marín estuvo en prisión preventiva durante más de ocho meses, desde el 21 de octubre de 1994</w:t>
      </w:r>
      <w:r w:rsidRPr="008A301C">
        <w:rPr>
          <w:rStyle w:val="FootnoteReference"/>
          <w:rFonts w:ascii="Arial" w:hAnsi="Arial" w:cs="Arial"/>
          <w:sz w:val="19"/>
          <w:szCs w:val="19"/>
          <w:lang w:val="es-CR"/>
        </w:rPr>
        <w:footnoteReference w:id="85"/>
      </w:r>
      <w:r w:rsidRPr="0032625C">
        <w:rPr>
          <w:rFonts w:ascii="Verdana" w:hAnsi="Verdana"/>
          <w:sz w:val="20"/>
          <w:szCs w:val="20"/>
          <w:lang w:val="es-ES"/>
        </w:rPr>
        <w:t xml:space="preserve"> hasta el 30 de junio de 1995</w:t>
      </w:r>
      <w:r w:rsidRPr="008A301C">
        <w:rPr>
          <w:rStyle w:val="FootnoteReference"/>
          <w:rFonts w:ascii="Arial" w:hAnsi="Arial" w:cs="Arial"/>
          <w:sz w:val="19"/>
          <w:szCs w:val="19"/>
          <w:lang w:val="es-CR"/>
        </w:rPr>
        <w:footnoteReference w:id="86"/>
      </w:r>
      <w:r w:rsidR="000E5422">
        <w:rPr>
          <w:rFonts w:ascii="Verdana" w:hAnsi="Verdana"/>
          <w:sz w:val="20"/>
          <w:szCs w:val="20"/>
          <w:lang w:val="es-ES"/>
        </w:rPr>
        <w:t>.</w:t>
      </w:r>
    </w:p>
    <w:p w14:paraId="6D172C2D" w14:textId="77777777" w:rsidR="00FB723A" w:rsidRPr="009C7422" w:rsidRDefault="00FB723A" w:rsidP="00FB723A">
      <w:pPr>
        <w:pStyle w:val="ListParagraph"/>
        <w:ind w:left="0"/>
        <w:jc w:val="both"/>
        <w:rPr>
          <w:rFonts w:ascii="Verdana" w:hAnsi="Verdana"/>
          <w:sz w:val="20"/>
          <w:szCs w:val="20"/>
        </w:rPr>
      </w:pPr>
    </w:p>
    <w:p w14:paraId="6D172C2E" w14:textId="20EA1213" w:rsidR="00FB723A" w:rsidRPr="00F049CF"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ES"/>
        </w:rPr>
        <w:t>El 1 de marzo de 1996 la División de Criminalística de la PNP emitió el Dictamen Pericial de Grafotecnia No. 709/96 en el marco de la etapa de instrucción del proceso penal, y concluyó que “</w:t>
      </w:r>
      <w:r w:rsidR="00B03228">
        <w:rPr>
          <w:rFonts w:ascii="Verdana" w:hAnsi="Verdana"/>
          <w:sz w:val="20"/>
          <w:szCs w:val="20"/>
          <w:lang w:val="es-ES"/>
        </w:rPr>
        <w:t>[</w:t>
      </w:r>
      <w:r w:rsidRPr="00F049CF">
        <w:rPr>
          <w:rFonts w:ascii="Verdana" w:hAnsi="Verdana"/>
          <w:sz w:val="20"/>
          <w:szCs w:val="20"/>
          <w:lang w:val="es-ES"/>
        </w:rPr>
        <w:t>el</w:t>
      </w:r>
      <w:r w:rsidR="00B03228">
        <w:rPr>
          <w:rFonts w:ascii="Verdana" w:hAnsi="Verdana"/>
          <w:sz w:val="20"/>
          <w:szCs w:val="20"/>
          <w:lang w:val="es-ES"/>
        </w:rPr>
        <w:t>]</w:t>
      </w:r>
      <w:r w:rsidRPr="00F049CF">
        <w:rPr>
          <w:rFonts w:ascii="Verdana" w:hAnsi="Verdana"/>
          <w:sz w:val="20"/>
          <w:szCs w:val="20"/>
          <w:lang w:val="es-ES"/>
        </w:rPr>
        <w:t xml:space="preserve"> pasaporte peruano color guinda No. 0415913, expedido en Lima el 29 de mayo de 1994 […] [que fue utilizado por </w:t>
      </w:r>
      <w:r w:rsidR="00DB0D40">
        <w:rPr>
          <w:rFonts w:ascii="Verdana" w:hAnsi="Verdana"/>
          <w:sz w:val="20"/>
          <w:szCs w:val="20"/>
        </w:rPr>
        <w:t>CRMC</w:t>
      </w:r>
      <w:r w:rsidRPr="00F049CF">
        <w:rPr>
          <w:rFonts w:ascii="Verdana" w:hAnsi="Verdana"/>
          <w:sz w:val="20"/>
          <w:szCs w:val="20"/>
          <w:lang w:val="es-ES"/>
        </w:rPr>
        <w:t>] ha</w:t>
      </w:r>
      <w:r w:rsidR="00C61269">
        <w:rPr>
          <w:rFonts w:ascii="Verdana" w:hAnsi="Verdana"/>
          <w:sz w:val="20"/>
          <w:szCs w:val="20"/>
          <w:lang w:val="es-ES"/>
        </w:rPr>
        <w:t>[bía]</w:t>
      </w:r>
      <w:r w:rsidRPr="00F049CF">
        <w:rPr>
          <w:rFonts w:ascii="Verdana" w:hAnsi="Verdana"/>
          <w:sz w:val="20"/>
          <w:szCs w:val="20"/>
          <w:lang w:val="es-ES"/>
        </w:rPr>
        <w:t xml:space="preserve"> sido habilitado fraudulentamente, en lo que se refiere a la firma y post-firma de la persona que lo autentica (Comandante PNP Agustín </w:t>
      </w:r>
      <w:r w:rsidR="00AB6B45">
        <w:rPr>
          <w:rFonts w:ascii="Verdana" w:hAnsi="Verdana"/>
          <w:sz w:val="20"/>
          <w:szCs w:val="20"/>
          <w:lang w:val="es-ES"/>
        </w:rPr>
        <w:t>B</w:t>
      </w:r>
      <w:r w:rsidRPr="00F049CF">
        <w:rPr>
          <w:rFonts w:ascii="Verdana" w:hAnsi="Verdana"/>
          <w:sz w:val="20"/>
          <w:szCs w:val="20"/>
          <w:lang w:val="es-ES"/>
        </w:rPr>
        <w:t>. Zegarra Marín</w:t>
      </w:r>
      <w:r>
        <w:rPr>
          <w:rFonts w:ascii="Verdana" w:hAnsi="Verdana"/>
          <w:sz w:val="20"/>
          <w:szCs w:val="20"/>
          <w:lang w:val="es-ES"/>
        </w:rPr>
        <w:t>)</w:t>
      </w:r>
      <w:r w:rsidRPr="00F049CF">
        <w:rPr>
          <w:rFonts w:ascii="Verdana" w:hAnsi="Verdana"/>
          <w:sz w:val="20"/>
          <w:szCs w:val="20"/>
          <w:lang w:val="es-ES"/>
        </w:rPr>
        <w:t>”</w:t>
      </w:r>
      <w:r w:rsidRPr="00F049CF">
        <w:rPr>
          <w:rStyle w:val="FootnoteReference"/>
          <w:szCs w:val="20"/>
          <w:lang w:val="es-ES"/>
        </w:rPr>
        <w:footnoteReference w:id="87"/>
      </w:r>
      <w:r w:rsidRPr="00F049CF">
        <w:rPr>
          <w:rFonts w:ascii="Verdana" w:hAnsi="Verdana"/>
          <w:sz w:val="20"/>
          <w:szCs w:val="20"/>
          <w:lang w:val="es-ES"/>
        </w:rPr>
        <w:t>.</w:t>
      </w:r>
    </w:p>
    <w:p w14:paraId="6D172C2F" w14:textId="77777777" w:rsidR="00FB723A" w:rsidRPr="00F049CF" w:rsidRDefault="00FB723A" w:rsidP="00FB723A">
      <w:pPr>
        <w:pStyle w:val="ListParagraph"/>
        <w:jc w:val="both"/>
        <w:rPr>
          <w:rFonts w:ascii="Verdana" w:hAnsi="Verdana" w:cs="Arial"/>
          <w:sz w:val="20"/>
          <w:szCs w:val="20"/>
        </w:rPr>
      </w:pPr>
    </w:p>
    <w:p w14:paraId="6D172C30" w14:textId="1D425502" w:rsidR="00FB723A" w:rsidRPr="00F049CF" w:rsidRDefault="00215887" w:rsidP="00FB723A">
      <w:pPr>
        <w:pStyle w:val="ListParagraph"/>
        <w:numPr>
          <w:ilvl w:val="0"/>
          <w:numId w:val="2"/>
        </w:numPr>
        <w:ind w:left="0" w:hanging="11"/>
        <w:jc w:val="both"/>
        <w:rPr>
          <w:rFonts w:ascii="Verdana" w:hAnsi="Verdana"/>
          <w:sz w:val="20"/>
          <w:szCs w:val="20"/>
          <w:lang w:val="es-ES"/>
        </w:rPr>
      </w:pPr>
      <w:r>
        <w:rPr>
          <w:rFonts w:ascii="Verdana" w:hAnsi="Verdana" w:cs="Arial"/>
          <w:sz w:val="20"/>
          <w:szCs w:val="20"/>
        </w:rPr>
        <w:t>No obstante, e</w:t>
      </w:r>
      <w:r w:rsidR="00FB723A" w:rsidRPr="00F049CF">
        <w:rPr>
          <w:rFonts w:ascii="Verdana" w:hAnsi="Verdana" w:cs="Arial"/>
          <w:sz w:val="20"/>
          <w:szCs w:val="20"/>
        </w:rPr>
        <w:t xml:space="preserve">l 2 de mayo de 1996 la Quinta Fiscalía Superior en lo Penal de Lima (en adelante “Quinta Fiscalía Superior”) dictaminó que había mérito para pasar a juicio oral </w:t>
      </w:r>
      <w:r w:rsidR="00FB723A" w:rsidRPr="00F049CF">
        <w:rPr>
          <w:rFonts w:ascii="Verdana" w:hAnsi="Verdana"/>
          <w:sz w:val="20"/>
          <w:szCs w:val="20"/>
        </w:rPr>
        <w:t xml:space="preserve">y </w:t>
      </w:r>
      <w:r w:rsidR="00FB723A" w:rsidRPr="00F049CF">
        <w:rPr>
          <w:rFonts w:ascii="Verdana" w:hAnsi="Verdana" w:cs="Arial"/>
          <w:sz w:val="20"/>
          <w:szCs w:val="20"/>
        </w:rPr>
        <w:t xml:space="preserve">presentó acusación en contra de aproximadamente 16 personas, entre las que se encontraba el señor Zegarra Marín. En relación con su responsabilidad penal, indicó que “de lo actuado se concluye que se encuentra acreditada la comisión de los delitos investigados mediante los cuales se facilitó a </w:t>
      </w:r>
      <w:r w:rsidR="00DB0D40">
        <w:rPr>
          <w:rFonts w:ascii="Verdana" w:hAnsi="Verdana"/>
          <w:sz w:val="20"/>
          <w:szCs w:val="20"/>
        </w:rPr>
        <w:t>CRMC</w:t>
      </w:r>
      <w:r w:rsidR="00FB723A" w:rsidRPr="00F049CF">
        <w:rPr>
          <w:rFonts w:ascii="Verdana" w:hAnsi="Verdana" w:cs="Arial"/>
          <w:sz w:val="20"/>
          <w:szCs w:val="20"/>
        </w:rPr>
        <w:t xml:space="preserve"> el pasaporte No. 0415913, nuevo de tapa guinda en vista que el anterior de tapa verde había caducado en cuanto a su uso y dado a lo imprescindible de obtener por parte de </w:t>
      </w:r>
      <w:r w:rsidR="00DB0D40">
        <w:rPr>
          <w:rFonts w:ascii="Verdana" w:hAnsi="Verdana"/>
          <w:sz w:val="20"/>
          <w:szCs w:val="20"/>
        </w:rPr>
        <w:t>CRMC</w:t>
      </w:r>
      <w:r w:rsidR="00FB723A" w:rsidRPr="00F049CF">
        <w:rPr>
          <w:rFonts w:ascii="Verdana" w:hAnsi="Verdana" w:cs="Arial"/>
          <w:sz w:val="20"/>
          <w:szCs w:val="20"/>
        </w:rPr>
        <w:t xml:space="preserve"> dicho pasaporte con el propósito de salir del Perú, y así evadir la acción de la Justicia, de igual manera se facilitó la entrega del pasaporte de color guinda a Violeta Mori Chávez, con los cuales han transitado y se han </w:t>
      </w:r>
      <w:r w:rsidR="00FB723A">
        <w:rPr>
          <w:rFonts w:ascii="Verdana" w:hAnsi="Verdana" w:cs="Arial"/>
          <w:sz w:val="20"/>
          <w:szCs w:val="20"/>
        </w:rPr>
        <w:t>i</w:t>
      </w:r>
      <w:r w:rsidR="00FB723A" w:rsidRPr="00F049CF">
        <w:rPr>
          <w:rFonts w:ascii="Verdana" w:hAnsi="Verdana" w:cs="Arial"/>
          <w:sz w:val="20"/>
          <w:szCs w:val="20"/>
        </w:rPr>
        <w:t>dentificado [...] con respecto a</w:t>
      </w:r>
      <w:r w:rsidR="00FB723A">
        <w:rPr>
          <w:rFonts w:ascii="Verdana" w:hAnsi="Verdana" w:cs="Arial"/>
          <w:sz w:val="20"/>
          <w:szCs w:val="20"/>
        </w:rPr>
        <w:t xml:space="preserve"> </w:t>
      </w:r>
      <w:r w:rsidR="00AB6B45">
        <w:rPr>
          <w:rFonts w:ascii="Verdana" w:hAnsi="Verdana" w:cs="Arial"/>
          <w:sz w:val="20"/>
          <w:szCs w:val="20"/>
        </w:rPr>
        <w:t>[</w:t>
      </w:r>
      <w:r w:rsidR="00FB723A">
        <w:rPr>
          <w:rFonts w:ascii="Verdana" w:hAnsi="Verdana" w:cs="Arial"/>
          <w:sz w:val="20"/>
          <w:szCs w:val="20"/>
        </w:rPr>
        <w:t>los señores:</w:t>
      </w:r>
      <w:r w:rsidR="00AB6B45">
        <w:rPr>
          <w:rFonts w:ascii="Verdana" w:hAnsi="Verdana" w:cs="Arial"/>
          <w:sz w:val="20"/>
          <w:szCs w:val="20"/>
        </w:rPr>
        <w:t>]</w:t>
      </w:r>
      <w:r w:rsidR="00FB723A" w:rsidRPr="00F049CF">
        <w:rPr>
          <w:rFonts w:ascii="Verdana" w:hAnsi="Verdana" w:cs="Arial"/>
          <w:sz w:val="20"/>
          <w:szCs w:val="20"/>
        </w:rPr>
        <w:t xml:space="preserve"> </w:t>
      </w:r>
      <w:r w:rsidR="0014732F">
        <w:rPr>
          <w:rFonts w:ascii="Verdana" w:hAnsi="Verdana" w:cs="Arial"/>
          <w:sz w:val="20"/>
          <w:szCs w:val="20"/>
        </w:rPr>
        <w:t>CH</w:t>
      </w:r>
      <w:r w:rsidR="00FB723A" w:rsidRPr="00F049CF">
        <w:rPr>
          <w:rFonts w:ascii="Verdana" w:hAnsi="Verdana" w:cs="Arial"/>
          <w:sz w:val="20"/>
          <w:szCs w:val="20"/>
        </w:rPr>
        <w:t xml:space="preserve">, </w:t>
      </w:r>
      <w:r w:rsidR="0014732F">
        <w:rPr>
          <w:rFonts w:ascii="Verdana" w:hAnsi="Verdana" w:cs="Arial"/>
          <w:sz w:val="20"/>
          <w:szCs w:val="20"/>
        </w:rPr>
        <w:t>MP</w:t>
      </w:r>
      <w:r w:rsidR="00FB723A" w:rsidRPr="00F049CF">
        <w:rPr>
          <w:rFonts w:ascii="Verdana" w:hAnsi="Verdana" w:cs="Arial"/>
          <w:sz w:val="20"/>
          <w:szCs w:val="20"/>
        </w:rPr>
        <w:t xml:space="preserve">, […] Zegarra Marín […] se ha acreditado que los mismos en condición de efectivos de las Fuerzas Policiales en contubernio con los civiles [...] han participado en la comisión de los hechos investigados, aprovechando de los cargos que han venido ocupando en lugares estratégicos facilitando la provisión del pasaporte No. 0415913, que </w:t>
      </w:r>
      <w:r w:rsidR="00DB0D40">
        <w:rPr>
          <w:rFonts w:ascii="Verdana" w:hAnsi="Verdana"/>
          <w:sz w:val="20"/>
          <w:szCs w:val="20"/>
        </w:rPr>
        <w:t>CRMC</w:t>
      </w:r>
      <w:r w:rsidR="00FB723A" w:rsidRPr="00F049CF">
        <w:rPr>
          <w:rFonts w:ascii="Verdana" w:hAnsi="Verdana" w:cs="Arial"/>
          <w:sz w:val="20"/>
          <w:szCs w:val="20"/>
        </w:rPr>
        <w:t xml:space="preserve"> uso para salir del país</w:t>
      </w:r>
      <w:r w:rsidR="00AB6B45">
        <w:rPr>
          <w:rFonts w:ascii="Verdana" w:hAnsi="Verdana" w:cs="Arial"/>
          <w:sz w:val="20"/>
          <w:szCs w:val="20"/>
        </w:rPr>
        <w:t>,</w:t>
      </w:r>
      <w:r w:rsidR="00FB723A" w:rsidRPr="00F049CF">
        <w:rPr>
          <w:rFonts w:ascii="Verdana" w:hAnsi="Verdana" w:cs="Arial"/>
          <w:sz w:val="20"/>
          <w:szCs w:val="20"/>
        </w:rPr>
        <w:t xml:space="preserve"> </w:t>
      </w:r>
      <w:r w:rsidR="00AB6B45">
        <w:rPr>
          <w:rFonts w:ascii="Verdana" w:hAnsi="Verdana" w:cs="Arial"/>
          <w:sz w:val="20"/>
          <w:szCs w:val="20"/>
        </w:rPr>
        <w:t>d</w:t>
      </w:r>
      <w:r w:rsidR="00FB723A" w:rsidRPr="00F049CF">
        <w:rPr>
          <w:rFonts w:ascii="Verdana" w:hAnsi="Verdana" w:cs="Arial"/>
          <w:sz w:val="20"/>
          <w:szCs w:val="20"/>
        </w:rPr>
        <w:t>ocumento obtenido a cambio de sumas de dinero que estos recibieron”. El Fiscal Superior solicitó a la Quinta Sala Penal 12 años de pena privativa de la libertad, 90 días multa y el pago de S/.3,000 nuevos soles por concepto de reparación civil en contra del señor Zegarra Marín y de otros procesados</w:t>
      </w:r>
      <w:r w:rsidRPr="00F049CF">
        <w:rPr>
          <w:rStyle w:val="FootnoteReference"/>
          <w:szCs w:val="20"/>
        </w:rPr>
        <w:footnoteReference w:id="88"/>
      </w:r>
      <w:r>
        <w:rPr>
          <w:rFonts w:ascii="Verdana" w:hAnsi="Verdana" w:cs="Arial"/>
          <w:sz w:val="20"/>
          <w:szCs w:val="20"/>
        </w:rPr>
        <w:t>.</w:t>
      </w:r>
    </w:p>
    <w:p w14:paraId="6D172C31" w14:textId="77777777" w:rsidR="00FB723A" w:rsidRDefault="00FB723A" w:rsidP="00FB723A">
      <w:pPr>
        <w:pStyle w:val="ListParagraph"/>
        <w:ind w:left="0"/>
        <w:jc w:val="both"/>
        <w:rPr>
          <w:rFonts w:ascii="Verdana" w:hAnsi="Verdana"/>
          <w:sz w:val="20"/>
          <w:szCs w:val="20"/>
          <w:lang w:val="es-ES"/>
        </w:rPr>
      </w:pPr>
    </w:p>
    <w:p w14:paraId="6D172C32" w14:textId="64A0561A" w:rsidR="00FB723A" w:rsidRPr="000A0953" w:rsidRDefault="00FB723A" w:rsidP="00054386">
      <w:pPr>
        <w:pStyle w:val="ListParagraph"/>
        <w:numPr>
          <w:ilvl w:val="0"/>
          <w:numId w:val="29"/>
        </w:numPr>
        <w:jc w:val="both"/>
        <w:rPr>
          <w:rStyle w:val="Heading3Char"/>
          <w:rFonts w:ascii="Verdana" w:hAnsi="Verdana"/>
          <w:color w:val="auto"/>
          <w:sz w:val="20"/>
          <w:szCs w:val="20"/>
        </w:rPr>
      </w:pPr>
      <w:bookmarkStart w:id="37" w:name="_Toc482093042"/>
      <w:r w:rsidRPr="000A0953">
        <w:rPr>
          <w:rStyle w:val="Heading3Char"/>
          <w:rFonts w:ascii="Verdana" w:hAnsi="Verdana"/>
          <w:color w:val="auto"/>
          <w:sz w:val="20"/>
          <w:szCs w:val="20"/>
        </w:rPr>
        <w:t>Condena Penal</w:t>
      </w:r>
      <w:bookmarkEnd w:id="37"/>
    </w:p>
    <w:p w14:paraId="6D172C33" w14:textId="77777777" w:rsidR="00FB723A" w:rsidRPr="008A301C" w:rsidRDefault="00FB723A" w:rsidP="00FB723A">
      <w:pPr>
        <w:pStyle w:val="ListParagraph"/>
        <w:ind w:left="0"/>
        <w:jc w:val="both"/>
        <w:rPr>
          <w:rFonts w:ascii="Verdana" w:hAnsi="Verdana"/>
          <w:b/>
          <w:i/>
          <w:sz w:val="20"/>
          <w:szCs w:val="20"/>
          <w:lang w:val="es-ES"/>
        </w:rPr>
      </w:pPr>
    </w:p>
    <w:p w14:paraId="6D172C34" w14:textId="507E0A55" w:rsidR="00FB723A" w:rsidRPr="00F049CF"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ES"/>
        </w:rPr>
        <w:t xml:space="preserve">El </w:t>
      </w:r>
      <w:r w:rsidRPr="00F049CF">
        <w:rPr>
          <w:rFonts w:ascii="Verdana" w:hAnsi="Verdana"/>
          <w:sz w:val="20"/>
          <w:szCs w:val="20"/>
          <w:lang w:val="es-CR"/>
        </w:rPr>
        <w:t>8 de noviembre de 1996 la Quinta Sala Penal</w:t>
      </w:r>
      <w:r w:rsidRPr="00F049CF">
        <w:rPr>
          <w:rStyle w:val="FootnoteReference"/>
          <w:szCs w:val="20"/>
          <w:lang w:val="es-CR"/>
        </w:rPr>
        <w:footnoteReference w:id="89"/>
      </w:r>
      <w:r w:rsidRPr="00F049CF">
        <w:rPr>
          <w:rFonts w:ascii="Verdana" w:hAnsi="Verdana"/>
          <w:sz w:val="20"/>
          <w:szCs w:val="20"/>
          <w:lang w:val="es-CR"/>
        </w:rPr>
        <w:t xml:space="preserve">, luego de la realización de una serie de audiencias orales, dictó sentencia condenatoria en contra del señor Zegarra Marín por los delitos investigados, por lo que se le impuso una </w:t>
      </w:r>
      <w:r w:rsidRPr="008A301C">
        <w:rPr>
          <w:rFonts w:ascii="Verdana" w:hAnsi="Verdana"/>
          <w:sz w:val="20"/>
          <w:szCs w:val="20"/>
          <w:lang w:val="es-CR"/>
        </w:rPr>
        <w:t>pena de</w:t>
      </w:r>
      <w:r w:rsidR="002D1865">
        <w:rPr>
          <w:rFonts w:ascii="Verdana" w:hAnsi="Verdana"/>
          <w:sz w:val="20"/>
          <w:szCs w:val="20"/>
          <w:lang w:val="es-CR"/>
        </w:rPr>
        <w:t xml:space="preserve"> cuatro años de pena privativa de la libertad</w:t>
      </w:r>
      <w:r w:rsidRPr="00F049CF">
        <w:rPr>
          <w:rFonts w:ascii="Verdana" w:hAnsi="Verdana"/>
          <w:sz w:val="20"/>
          <w:szCs w:val="20"/>
          <w:lang w:val="es-CR"/>
        </w:rPr>
        <w:t xml:space="preserve">, al considerar lo siguiente: </w:t>
      </w:r>
    </w:p>
    <w:p w14:paraId="6D172C35" w14:textId="77777777" w:rsidR="00FB723A" w:rsidRPr="00F049CF" w:rsidRDefault="00FB723A" w:rsidP="00FB723A">
      <w:pPr>
        <w:pStyle w:val="ListParagraph"/>
        <w:ind w:left="0"/>
        <w:jc w:val="both"/>
        <w:rPr>
          <w:rFonts w:ascii="Verdana" w:hAnsi="Verdana"/>
          <w:sz w:val="20"/>
          <w:szCs w:val="20"/>
          <w:lang w:val="es-ES"/>
        </w:rPr>
      </w:pPr>
    </w:p>
    <w:p w14:paraId="6D172C36" w14:textId="4E7488B9" w:rsidR="00FB723A" w:rsidRPr="00F049CF" w:rsidRDefault="00FB723A" w:rsidP="00FB723A">
      <w:pPr>
        <w:ind w:left="708" w:right="720"/>
        <w:jc w:val="both"/>
        <w:rPr>
          <w:rFonts w:ascii="Verdana" w:hAnsi="Verdana"/>
          <w:sz w:val="20"/>
          <w:szCs w:val="20"/>
          <w:lang w:val="es-CR"/>
        </w:rPr>
      </w:pPr>
      <w:r w:rsidRPr="00F049CF">
        <w:rPr>
          <w:rFonts w:ascii="Verdana" w:hAnsi="Verdana"/>
          <w:sz w:val="20"/>
          <w:szCs w:val="20"/>
          <w:lang w:val="es-CR"/>
        </w:rPr>
        <w:t>[…]</w:t>
      </w:r>
    </w:p>
    <w:p w14:paraId="6D172C37" w14:textId="71CDF938" w:rsidR="00FB723A" w:rsidRPr="000A0953" w:rsidRDefault="00FB723A" w:rsidP="00FB723A">
      <w:pPr>
        <w:ind w:left="708" w:right="720"/>
        <w:jc w:val="both"/>
        <w:rPr>
          <w:rFonts w:ascii="Verdana" w:hAnsi="Verdana"/>
          <w:sz w:val="18"/>
          <w:szCs w:val="18"/>
          <w:lang w:val="es-ES"/>
        </w:rPr>
      </w:pPr>
      <w:r w:rsidRPr="00F049CF">
        <w:rPr>
          <w:rFonts w:ascii="Verdana" w:hAnsi="Verdana"/>
          <w:sz w:val="18"/>
          <w:szCs w:val="18"/>
          <w:lang w:val="es-ES"/>
        </w:rPr>
        <w:t xml:space="preserve">DÉCIMO TERCERO.- Que al acusado Agustín Bladimiro Zegarra Marín, Comandante de la Policía Nacional del Perú, se le incrimina el haber tenido conocimiento de las </w:t>
      </w:r>
      <w:r w:rsidRPr="00F049CF">
        <w:rPr>
          <w:rFonts w:ascii="Verdana" w:hAnsi="Verdana"/>
          <w:sz w:val="18"/>
          <w:szCs w:val="18"/>
          <w:lang w:val="es-ES"/>
        </w:rPr>
        <w:lastRenderedPageBreak/>
        <w:t xml:space="preserve">irregularidades que sucedían en la Oficina de Migraciones de Tumbes, habiendo inducido al acusado </w:t>
      </w:r>
      <w:r w:rsidR="0014732F">
        <w:rPr>
          <w:rFonts w:ascii="Verdana" w:hAnsi="Verdana"/>
          <w:sz w:val="18"/>
          <w:szCs w:val="18"/>
          <w:lang w:val="es-ES"/>
        </w:rPr>
        <w:t>[CH]</w:t>
      </w:r>
      <w:r w:rsidRPr="00F049CF">
        <w:rPr>
          <w:rFonts w:ascii="Verdana" w:hAnsi="Verdana"/>
          <w:sz w:val="18"/>
          <w:szCs w:val="18"/>
          <w:lang w:val="es-ES"/>
        </w:rPr>
        <w:t xml:space="preserve"> a que le pague cinco dólares americanos por cada pasaporte expedido, así como también a la entrega de especies como regalo; que también se le imputa el haber enviado a </w:t>
      </w:r>
      <w:r w:rsidR="0014732F">
        <w:rPr>
          <w:rFonts w:ascii="Verdana" w:hAnsi="Verdana"/>
          <w:sz w:val="18"/>
          <w:szCs w:val="18"/>
          <w:lang w:val="es-ES"/>
        </w:rPr>
        <w:t>[CH]</w:t>
      </w:r>
      <w:r w:rsidRPr="00F049CF">
        <w:rPr>
          <w:rFonts w:ascii="Verdana" w:hAnsi="Verdana"/>
          <w:sz w:val="18"/>
          <w:szCs w:val="18"/>
          <w:lang w:val="es-ES"/>
        </w:rPr>
        <w:t xml:space="preserve"> quinientos veinticinco pasaportes de los que faltaron veinticinco, por lo que en connivencia con éste ocultaron el hecho, siendo que en ese grupo de pasaportes que van desde el número cero cuarentiuno cincuentiocho setentiseis al cero cuarentiuno sesenticuatro cero cero estaba el fraudulento pasaporte número cero cuarentiuno cincuentinueve trece que fue utilizado por el acusado </w:t>
      </w:r>
      <w:r w:rsidR="002A5B29">
        <w:rPr>
          <w:rFonts w:ascii="Verdana" w:hAnsi="Verdana"/>
          <w:sz w:val="18"/>
          <w:szCs w:val="18"/>
          <w:lang w:val="es-ES"/>
        </w:rPr>
        <w:t>[</w:t>
      </w:r>
      <w:r w:rsidR="002A5B29">
        <w:rPr>
          <w:rFonts w:ascii="Verdana" w:hAnsi="Verdana"/>
          <w:sz w:val="20"/>
          <w:szCs w:val="20"/>
        </w:rPr>
        <w:t>CRMC]</w:t>
      </w:r>
      <w:r w:rsidR="00215887">
        <w:rPr>
          <w:rFonts w:ascii="Verdana" w:hAnsi="Verdana"/>
          <w:sz w:val="20"/>
          <w:szCs w:val="20"/>
        </w:rPr>
        <w:t xml:space="preserve"> </w:t>
      </w:r>
      <w:r w:rsidRPr="00F049CF">
        <w:rPr>
          <w:rFonts w:ascii="Verdana" w:hAnsi="Verdana"/>
          <w:sz w:val="18"/>
          <w:szCs w:val="18"/>
          <w:lang w:val="es-ES"/>
        </w:rPr>
        <w:t xml:space="preserve">cuando lo intervino la policía de Nueva York de los Estados Unidos de Norteamérica; que el acusado </w:t>
      </w:r>
      <w:r w:rsidR="0014732F">
        <w:rPr>
          <w:rFonts w:ascii="Verdana" w:hAnsi="Verdana"/>
          <w:sz w:val="18"/>
          <w:szCs w:val="18"/>
          <w:lang w:val="es-ES"/>
        </w:rPr>
        <w:t>[CH]</w:t>
      </w:r>
      <w:r w:rsidRPr="00F049CF">
        <w:rPr>
          <w:rFonts w:ascii="Verdana" w:hAnsi="Verdana"/>
          <w:sz w:val="18"/>
          <w:szCs w:val="18"/>
          <w:lang w:val="es-ES"/>
        </w:rPr>
        <w:t xml:space="preserve"> durante el proceso ha manifestado que su co-acusado Agustín Bladimiro Zegarra Marín estaba enterado de los pasaportes robados que incluso cuando sucedió el caso de un pasaporte encontrado a un ciudadano chino, fue llamado por el Coronel José Matayoshi</w:t>
      </w:r>
      <w:r w:rsidR="007C7B03">
        <w:rPr>
          <w:rFonts w:ascii="Verdana" w:hAnsi="Verdana"/>
          <w:sz w:val="18"/>
          <w:szCs w:val="18"/>
          <w:lang w:val="es-ES"/>
        </w:rPr>
        <w:t xml:space="preserve"> Matayoshi</w:t>
      </w:r>
      <w:r w:rsidRPr="00F049CF">
        <w:rPr>
          <w:rFonts w:ascii="Verdana" w:hAnsi="Verdana"/>
          <w:sz w:val="18"/>
          <w:szCs w:val="18"/>
          <w:lang w:val="es-ES"/>
        </w:rPr>
        <w:t xml:space="preserve">, quien le ordenó que trajera la documentación respectiva, </w:t>
      </w:r>
      <w:r w:rsidR="004F4222" w:rsidRPr="00F049CF">
        <w:rPr>
          <w:rFonts w:ascii="Verdana" w:hAnsi="Verdana"/>
          <w:sz w:val="18"/>
          <w:szCs w:val="18"/>
          <w:lang w:val="es-ES"/>
        </w:rPr>
        <w:t>m</w:t>
      </w:r>
      <w:r w:rsidR="004F4222">
        <w:rPr>
          <w:rFonts w:ascii="Verdana" w:hAnsi="Verdana"/>
          <w:sz w:val="18"/>
          <w:szCs w:val="18"/>
          <w:lang w:val="es-ES"/>
        </w:rPr>
        <w:t>á</w:t>
      </w:r>
      <w:r w:rsidR="004F4222" w:rsidRPr="00F049CF">
        <w:rPr>
          <w:rFonts w:ascii="Verdana" w:hAnsi="Verdana"/>
          <w:sz w:val="18"/>
          <w:szCs w:val="18"/>
          <w:lang w:val="es-ES"/>
        </w:rPr>
        <w:t>s</w:t>
      </w:r>
      <w:r w:rsidRPr="00F049CF">
        <w:rPr>
          <w:rFonts w:ascii="Verdana" w:hAnsi="Verdana"/>
          <w:sz w:val="18"/>
          <w:szCs w:val="18"/>
          <w:lang w:val="es-ES"/>
        </w:rPr>
        <w:t xml:space="preserve"> una vez llegado a Lima sólo logró entrevistarse con el Comandante Zegarra Marín quien le dijo que era amigo del Coronel Matayoshi, y que le pidió cinco dólares por cada pasaporte que se expedía; por su parte, el Coronel de la Policía Nacional del Perú José Matayoshi Matayoshi, Director de Migraciones y Naturalización, en su testimonial de fojas ochocientos uno a ochocientos siete ha declarado que jamás formuló llamada telefónica alguna al procesado </w:t>
      </w:r>
      <w:r w:rsidR="0014732F">
        <w:rPr>
          <w:rFonts w:ascii="Verdana" w:hAnsi="Verdana"/>
          <w:sz w:val="18"/>
          <w:szCs w:val="18"/>
          <w:lang w:val="es-ES"/>
        </w:rPr>
        <w:t>[CH]</w:t>
      </w:r>
      <w:r w:rsidRPr="00F049CF">
        <w:rPr>
          <w:rFonts w:ascii="Verdana" w:hAnsi="Verdana"/>
          <w:sz w:val="18"/>
          <w:szCs w:val="18"/>
          <w:lang w:val="es-ES"/>
        </w:rPr>
        <w:t xml:space="preserve"> con ocasión del pasaporte que se incautara a un inmigrante chino en el Aeropuerto Jorge Chávez, siendo que más bien dispuso al Comandante </w:t>
      </w:r>
      <w:r w:rsidR="0014732F">
        <w:rPr>
          <w:rFonts w:ascii="Verdana" w:hAnsi="Verdana"/>
          <w:sz w:val="18"/>
          <w:szCs w:val="18"/>
          <w:lang w:val="es-ES"/>
        </w:rPr>
        <w:t>[</w:t>
      </w:r>
      <w:r w:rsidR="00294F62">
        <w:rPr>
          <w:rFonts w:ascii="Verdana" w:hAnsi="Verdana"/>
          <w:sz w:val="18"/>
          <w:szCs w:val="18"/>
          <w:lang w:val="es-ES"/>
        </w:rPr>
        <w:t>LC</w:t>
      </w:r>
      <w:r w:rsidR="0014732F">
        <w:rPr>
          <w:rFonts w:ascii="Verdana" w:hAnsi="Verdana"/>
          <w:sz w:val="18"/>
          <w:szCs w:val="18"/>
          <w:lang w:val="es-ES"/>
        </w:rPr>
        <w:t>]</w:t>
      </w:r>
      <w:r w:rsidRPr="00F049CF">
        <w:rPr>
          <w:rFonts w:ascii="Verdana" w:hAnsi="Verdana"/>
          <w:sz w:val="18"/>
          <w:szCs w:val="18"/>
          <w:lang w:val="es-ES"/>
        </w:rPr>
        <w:t xml:space="preserve">, efectuar una exhaustiva investigación al respecto; que por otro lado, el acusado </w:t>
      </w:r>
      <w:r w:rsidR="0014732F">
        <w:rPr>
          <w:rFonts w:ascii="Verdana" w:hAnsi="Verdana"/>
          <w:sz w:val="18"/>
          <w:szCs w:val="18"/>
          <w:lang w:val="es-ES"/>
        </w:rPr>
        <w:t>[CH]</w:t>
      </w:r>
      <w:r w:rsidRPr="00F049CF">
        <w:rPr>
          <w:rFonts w:ascii="Verdana" w:hAnsi="Verdana"/>
          <w:sz w:val="18"/>
          <w:szCs w:val="18"/>
          <w:lang w:val="es-ES"/>
        </w:rPr>
        <w:t xml:space="preserve"> también ha señalado que del lote de los quinientos veinticinco pasaportes que le enviaron el seis de </w:t>
      </w:r>
      <w:r w:rsidR="007C7B03">
        <w:rPr>
          <w:rFonts w:ascii="Verdana" w:hAnsi="Verdana"/>
          <w:sz w:val="18"/>
          <w:szCs w:val="18"/>
          <w:lang w:val="es-ES"/>
        </w:rPr>
        <w:t>A</w:t>
      </w:r>
      <w:r w:rsidRPr="00F049CF">
        <w:rPr>
          <w:rFonts w:ascii="Verdana" w:hAnsi="Verdana"/>
          <w:sz w:val="18"/>
          <w:szCs w:val="18"/>
          <w:lang w:val="es-ES"/>
        </w:rPr>
        <w:t xml:space="preserve">bril de mil novecientos noventicuatro sólo habían quinientos, habiendo dado conocimiento de este hecho, a través de una llamada telefónica, a su co-acusado Agustín Bladimiro Zegarra Marín, quien le respondió según informa, que procediera como en otras oportunidades, es decir, que justifique el faltante con documentación de solicitudes antiguas; que el acusado Zegarra Marín ha negado las imputaciones que le ha formulado su co-acusado </w:t>
      </w:r>
      <w:r w:rsidR="0014732F">
        <w:rPr>
          <w:rFonts w:ascii="Verdana" w:hAnsi="Verdana"/>
          <w:sz w:val="18"/>
          <w:szCs w:val="18"/>
          <w:lang w:val="es-ES"/>
        </w:rPr>
        <w:t>[CH]</w:t>
      </w:r>
      <w:r w:rsidRPr="00F049CF">
        <w:rPr>
          <w:rFonts w:ascii="Verdana" w:hAnsi="Verdana"/>
          <w:sz w:val="18"/>
          <w:szCs w:val="18"/>
          <w:lang w:val="es-ES"/>
        </w:rPr>
        <w:t xml:space="preserve"> sosteniendo que jamás ha tenido conocimiento de las acciones irregulares que sucedían en la Oficina de Migraciones de Tumbes, y que respecto del faltante de los veinticinco pasaportes deben expresar el Capitán de la Policía Nacional del Perú Ramiro Araujo Sánchez y el civil Víctor Salcedo Silva: que el civil Víctor Salcedo Silva en su testimonial de fojas mil cuatrocientos ochenticuatro a mil cuatrocientos ochentisiete ha declarado que él hizo entrega de los quinientos veinticinco pasaportes al procesado </w:t>
      </w:r>
      <w:r w:rsidR="0014732F">
        <w:rPr>
          <w:rFonts w:ascii="Verdana" w:hAnsi="Verdana"/>
          <w:sz w:val="18"/>
          <w:szCs w:val="18"/>
          <w:lang w:val="es-ES"/>
        </w:rPr>
        <w:t>[CH]</w:t>
      </w:r>
      <w:r w:rsidRPr="00F049CF">
        <w:rPr>
          <w:rFonts w:ascii="Verdana" w:hAnsi="Verdana"/>
          <w:sz w:val="18"/>
          <w:szCs w:val="18"/>
          <w:lang w:val="es-ES"/>
        </w:rPr>
        <w:t xml:space="preserve"> en forma directa, y que incluso él los contó y verificó, razón por la cual firmó el cargo de la conformidad; que a ello se agrega la testimonial del Comandante de la Policía Nacional del Perú </w:t>
      </w:r>
      <w:r w:rsidR="0014732F">
        <w:rPr>
          <w:rFonts w:ascii="Verdana" w:hAnsi="Verdana"/>
          <w:sz w:val="18"/>
          <w:szCs w:val="18"/>
          <w:lang w:val="es-ES"/>
        </w:rPr>
        <w:t>[</w:t>
      </w:r>
      <w:r w:rsidR="00294F62">
        <w:rPr>
          <w:rFonts w:ascii="Verdana" w:hAnsi="Verdana"/>
          <w:sz w:val="18"/>
          <w:szCs w:val="18"/>
          <w:lang w:val="es-ES"/>
        </w:rPr>
        <w:t>LC</w:t>
      </w:r>
      <w:r w:rsidR="0014732F">
        <w:rPr>
          <w:rFonts w:ascii="Verdana" w:hAnsi="Verdana"/>
          <w:sz w:val="18"/>
          <w:szCs w:val="18"/>
          <w:lang w:val="es-ES"/>
        </w:rPr>
        <w:t>]</w:t>
      </w:r>
      <w:r w:rsidRPr="00F049CF">
        <w:rPr>
          <w:rFonts w:ascii="Verdana" w:hAnsi="Verdana"/>
          <w:sz w:val="18"/>
          <w:szCs w:val="18"/>
          <w:lang w:val="es-ES"/>
        </w:rPr>
        <w:t xml:space="preserve"> Sub-Director de Control Migratorio quien en su declaración de fojas novecientos ochentiuno a novecientos ochenticinco ha señalado no explicarse lo sostenido por </w:t>
      </w:r>
      <w:r w:rsidR="0014732F">
        <w:rPr>
          <w:rFonts w:ascii="Verdana" w:hAnsi="Verdana"/>
          <w:sz w:val="18"/>
          <w:szCs w:val="18"/>
          <w:lang w:val="es-ES"/>
        </w:rPr>
        <w:t>[CH]</w:t>
      </w:r>
      <w:r w:rsidRPr="00F049CF">
        <w:rPr>
          <w:rFonts w:ascii="Verdana" w:hAnsi="Verdana"/>
          <w:sz w:val="18"/>
          <w:szCs w:val="18"/>
          <w:lang w:val="es-ES"/>
        </w:rPr>
        <w:t xml:space="preserve"> respecto a los quinientos veinticinco pasaportes destinados a Tumbes ya que éste de puño y letra firmó en señal de conformidad y que incluso han sido debidamente contados; que estas declaraciones se corroboran con las copias del oficio obrante a fojas mil dieciocho; del organigrama y el Manual de Organización y funciones de la Dirección de Migraciones y Naturalización corrientes a fojas ochocientos veintidós a novecientos cinco, en especial de los folios ochocientos veinticuatro y novecientos uno se desprende que las Jefaturas de Migraciones son órganos que dependen de la Sub-Dirección de Control Migratorio, por consiguiente el inmediato superior del acusado </w:t>
      </w:r>
      <w:r w:rsidR="0014732F">
        <w:rPr>
          <w:rFonts w:ascii="Verdana" w:hAnsi="Verdana"/>
          <w:sz w:val="18"/>
          <w:szCs w:val="18"/>
          <w:lang w:val="es-ES"/>
        </w:rPr>
        <w:t>[CH]</w:t>
      </w:r>
      <w:r w:rsidRPr="00F049CF">
        <w:rPr>
          <w:rFonts w:ascii="Verdana" w:hAnsi="Verdana"/>
          <w:sz w:val="18"/>
          <w:szCs w:val="18"/>
          <w:lang w:val="es-ES"/>
        </w:rPr>
        <w:t xml:space="preserve"> en su condición de Jefe de la Oficina de Migraciones de Tumbes era el Comandante </w:t>
      </w:r>
      <w:r w:rsidR="0014732F">
        <w:rPr>
          <w:rFonts w:ascii="Verdana" w:hAnsi="Verdana"/>
          <w:sz w:val="18"/>
          <w:szCs w:val="18"/>
          <w:lang w:val="es-ES"/>
        </w:rPr>
        <w:t>[</w:t>
      </w:r>
      <w:r w:rsidR="00294F62">
        <w:rPr>
          <w:rFonts w:ascii="Verdana" w:hAnsi="Verdana"/>
          <w:sz w:val="18"/>
          <w:szCs w:val="18"/>
          <w:lang w:val="es-ES"/>
        </w:rPr>
        <w:t>LC</w:t>
      </w:r>
      <w:r w:rsidR="0014732F">
        <w:rPr>
          <w:rFonts w:ascii="Verdana" w:hAnsi="Verdana"/>
          <w:sz w:val="18"/>
          <w:szCs w:val="18"/>
          <w:lang w:val="es-ES"/>
        </w:rPr>
        <w:t>]</w:t>
      </w:r>
      <w:r w:rsidRPr="00F049CF">
        <w:rPr>
          <w:rFonts w:ascii="Verdana" w:hAnsi="Verdana"/>
          <w:sz w:val="18"/>
          <w:szCs w:val="18"/>
          <w:lang w:val="es-ES"/>
        </w:rPr>
        <w:t xml:space="preserve">; que según el Dictamen Pericial de Grafotecnia número setecientos nueve/noventiseis expedido por la División de Criminalística de la Policía Nacional del Perú de fojas tres mil cuatrocientos setentinueve a tres mil cuatrocientos ochenticuatro, se concluye que el pasaporte peruano color guinda número cero cuarentíuno cincuentinueve trece que figura con el nombre de </w:t>
      </w:r>
      <w:r w:rsidR="002A5B29">
        <w:rPr>
          <w:rFonts w:ascii="Verdana" w:hAnsi="Verdana"/>
          <w:sz w:val="18"/>
          <w:szCs w:val="18"/>
          <w:lang w:val="es-ES"/>
        </w:rPr>
        <w:t>[</w:t>
      </w:r>
      <w:r w:rsidR="002A5B29">
        <w:rPr>
          <w:rFonts w:ascii="Verdana" w:hAnsi="Verdana"/>
          <w:sz w:val="20"/>
          <w:szCs w:val="20"/>
        </w:rPr>
        <w:t>CRMC]</w:t>
      </w:r>
      <w:r w:rsidR="00215887">
        <w:rPr>
          <w:rFonts w:ascii="Verdana" w:hAnsi="Verdana"/>
          <w:sz w:val="20"/>
          <w:szCs w:val="20"/>
        </w:rPr>
        <w:t xml:space="preserve"> </w:t>
      </w:r>
      <w:r w:rsidRPr="00F049CF">
        <w:rPr>
          <w:rFonts w:ascii="Verdana" w:hAnsi="Verdana"/>
          <w:sz w:val="18"/>
          <w:szCs w:val="18"/>
          <w:lang w:val="es-ES"/>
        </w:rPr>
        <w:t xml:space="preserve">ha sido habilitado fraudulentamente en lo que se refiere a la firma y post-firma de la persona que lo autentica, es decir, el Comandante Agustín Bladimiro Zegarra Marín; </w:t>
      </w:r>
      <w:r w:rsidRPr="000A0953">
        <w:rPr>
          <w:rFonts w:ascii="Verdana" w:hAnsi="Verdana"/>
          <w:sz w:val="18"/>
          <w:szCs w:val="18"/>
          <w:lang w:val="es-ES"/>
        </w:rPr>
        <w:t xml:space="preserve">empero, estas pruebas glosadas no llegan a desvirtuar en su totalidad las imputaciones que le han hecho sus co-acusados </w:t>
      </w:r>
      <w:r w:rsidR="0014732F" w:rsidRPr="000A0953">
        <w:rPr>
          <w:rFonts w:ascii="Verdana" w:hAnsi="Verdana"/>
          <w:sz w:val="18"/>
          <w:szCs w:val="18"/>
          <w:lang w:val="es-ES"/>
        </w:rPr>
        <w:t>[CH]</w:t>
      </w:r>
      <w:r w:rsidRPr="000A0953">
        <w:rPr>
          <w:rFonts w:ascii="Verdana" w:hAnsi="Verdana"/>
          <w:sz w:val="18"/>
          <w:szCs w:val="18"/>
          <w:lang w:val="es-ES"/>
        </w:rPr>
        <w:t xml:space="preserve"> y </w:t>
      </w:r>
      <w:r w:rsidR="0014732F" w:rsidRPr="000A0953">
        <w:rPr>
          <w:rFonts w:ascii="Verdana" w:hAnsi="Verdana"/>
          <w:sz w:val="18"/>
          <w:szCs w:val="18"/>
          <w:lang w:val="es-ES"/>
        </w:rPr>
        <w:t xml:space="preserve">[MP] </w:t>
      </w:r>
      <w:r w:rsidRPr="000A0953">
        <w:rPr>
          <w:rFonts w:ascii="Verdana" w:hAnsi="Verdana"/>
          <w:sz w:val="18"/>
          <w:szCs w:val="18"/>
          <w:lang w:val="es-ES"/>
        </w:rPr>
        <w:t xml:space="preserve">por cuanto el hecho de que éstos dos últimos procesados se hayan mantenido firmes en su sindicación hasta la confrontación realizada en el acto oral hace concluir a este Colegiado que, si bien es cierto que no existía un vínculo funcional o administrativo directo entre </w:t>
      </w:r>
      <w:r w:rsidR="0014732F" w:rsidRPr="000A0953">
        <w:rPr>
          <w:rFonts w:ascii="Verdana" w:hAnsi="Verdana"/>
          <w:sz w:val="18"/>
          <w:szCs w:val="18"/>
          <w:lang w:val="es-ES"/>
        </w:rPr>
        <w:t>[CH]</w:t>
      </w:r>
      <w:r w:rsidRPr="000A0953">
        <w:rPr>
          <w:rFonts w:ascii="Verdana" w:hAnsi="Verdana"/>
          <w:sz w:val="18"/>
          <w:szCs w:val="18"/>
          <w:lang w:val="es-ES"/>
        </w:rPr>
        <w:t xml:space="preserve"> y </w:t>
      </w:r>
      <w:r w:rsidRPr="000A0953">
        <w:rPr>
          <w:rFonts w:ascii="Verdana" w:hAnsi="Verdana"/>
          <w:sz w:val="18"/>
          <w:szCs w:val="18"/>
          <w:lang w:val="es-ES"/>
        </w:rPr>
        <w:lastRenderedPageBreak/>
        <w:t>Zegarra Marín también lo es que es perfectamente factible que estos acusados se hayan salido de tales parámetros para actuar en connivencia para la realización de los eventos delictuales como son la expedición irregular de los pasaportes para obtener ilícitos beneficios económicos, tanto más si no se ha acreditado plenamente que Zegarra Marín no haya tenido conocimiento de tales eventos por cuanto no ha surgido una prueba de descargo contundente que lo haga totalmente inocente de los ilícitos que se le imputan, habiendo servido solamente las pruebas periciales y organigrama funcional tan solo para el otorgamiento de su libertad provisional</w:t>
      </w:r>
      <w:r w:rsidRPr="000A0953">
        <w:rPr>
          <w:rStyle w:val="FootnoteReference"/>
          <w:sz w:val="18"/>
          <w:szCs w:val="18"/>
          <w:lang w:val="es-ES"/>
        </w:rPr>
        <w:footnoteReference w:id="90"/>
      </w:r>
      <w:r w:rsidRPr="000A0953">
        <w:rPr>
          <w:rFonts w:ascii="Verdana" w:hAnsi="Verdana"/>
          <w:sz w:val="18"/>
          <w:szCs w:val="18"/>
          <w:lang w:val="es-ES"/>
        </w:rPr>
        <w:t>.</w:t>
      </w:r>
    </w:p>
    <w:p w14:paraId="6D172C38" w14:textId="77777777" w:rsidR="00FB723A" w:rsidRPr="00FE2BAB" w:rsidRDefault="007F5665" w:rsidP="006231F4">
      <w:pPr>
        <w:ind w:right="720"/>
        <w:jc w:val="both"/>
        <w:rPr>
          <w:rFonts w:ascii="Verdana" w:hAnsi="Verdana"/>
          <w:sz w:val="20"/>
          <w:szCs w:val="20"/>
          <w:lang w:val="es-ES"/>
        </w:rPr>
      </w:pPr>
      <w:r w:rsidRPr="00FE2BAB">
        <w:rPr>
          <w:rFonts w:ascii="Verdana" w:hAnsi="Verdana"/>
          <w:sz w:val="20"/>
          <w:szCs w:val="20"/>
          <w:lang w:val="es-ES"/>
        </w:rPr>
        <w:t xml:space="preserve"> </w:t>
      </w:r>
    </w:p>
    <w:p w14:paraId="6D172C39" w14:textId="136F6672" w:rsidR="004B41E1" w:rsidRPr="000A0953" w:rsidRDefault="004B41E1" w:rsidP="004B41E1">
      <w:pPr>
        <w:ind w:left="708" w:right="720"/>
        <w:jc w:val="both"/>
        <w:rPr>
          <w:rFonts w:ascii="Verdana" w:hAnsi="Verdana"/>
          <w:sz w:val="18"/>
          <w:szCs w:val="18"/>
          <w:lang w:val="es-ES"/>
        </w:rPr>
      </w:pPr>
      <w:r w:rsidRPr="000A0953">
        <w:rPr>
          <w:rFonts w:ascii="Verdana" w:hAnsi="Verdana"/>
          <w:sz w:val="18"/>
          <w:szCs w:val="18"/>
          <w:lang w:val="es-ES"/>
        </w:rPr>
        <w:t>DÉCIMO SÉPTIMO</w:t>
      </w:r>
      <w:r w:rsidR="007C7B03" w:rsidRPr="000A0953">
        <w:rPr>
          <w:rFonts w:ascii="Verdana" w:hAnsi="Verdana"/>
          <w:sz w:val="18"/>
          <w:szCs w:val="18"/>
          <w:lang w:val="es-ES"/>
        </w:rPr>
        <w:t>.-</w:t>
      </w:r>
      <w:r w:rsidRPr="000A0953">
        <w:rPr>
          <w:rFonts w:ascii="Verdana" w:hAnsi="Verdana"/>
          <w:sz w:val="18"/>
          <w:szCs w:val="18"/>
          <w:lang w:val="es-ES"/>
        </w:rPr>
        <w:t xml:space="preserve"> […] e) En relación al procesado</w:t>
      </w:r>
      <w:r w:rsidR="007C7B03" w:rsidRPr="000A0953">
        <w:rPr>
          <w:rFonts w:ascii="Verdana" w:hAnsi="Verdana"/>
          <w:sz w:val="18"/>
          <w:szCs w:val="18"/>
          <w:lang w:val="es-ES"/>
        </w:rPr>
        <w:t>,</w:t>
      </w:r>
      <w:r w:rsidR="00B52E68" w:rsidRPr="000A0953">
        <w:rPr>
          <w:rFonts w:ascii="Verdana" w:hAnsi="Verdana"/>
          <w:sz w:val="18"/>
          <w:szCs w:val="18"/>
          <w:lang w:val="es-ES"/>
        </w:rPr>
        <w:t xml:space="preserve"> </w:t>
      </w:r>
      <w:r w:rsidRPr="000A0953">
        <w:rPr>
          <w:rFonts w:ascii="Verdana" w:hAnsi="Verdana"/>
          <w:sz w:val="18"/>
          <w:szCs w:val="18"/>
          <w:lang w:val="es-ES"/>
        </w:rPr>
        <w:t>Zegarra Marín se ha llegado a establecer que este tenía pleno conocimiento de las irregularidades</w:t>
      </w:r>
      <w:r w:rsidR="007F5665" w:rsidRPr="000A0953">
        <w:rPr>
          <w:rFonts w:ascii="Verdana" w:hAnsi="Verdana"/>
          <w:sz w:val="18"/>
          <w:szCs w:val="18"/>
          <w:lang w:val="es-ES"/>
        </w:rPr>
        <w:t xml:space="preserve"> que ocurrían en la Oficina de Migraciones de Tumbes, así lo confirma su co-acusado </w:t>
      </w:r>
      <w:r w:rsidR="0014732F" w:rsidRPr="000A0953">
        <w:rPr>
          <w:rFonts w:ascii="Verdana" w:hAnsi="Verdana"/>
          <w:sz w:val="18"/>
          <w:szCs w:val="18"/>
          <w:lang w:val="es-ES"/>
        </w:rPr>
        <w:t>[CH]</w:t>
      </w:r>
      <w:r w:rsidR="007F5665" w:rsidRPr="000A0953">
        <w:rPr>
          <w:rFonts w:ascii="Verdana" w:hAnsi="Verdana"/>
          <w:sz w:val="18"/>
          <w:szCs w:val="18"/>
          <w:lang w:val="es-ES"/>
        </w:rPr>
        <w:t xml:space="preserve"> quien lo ha sindicado directamente y afirma además que es responsable de los hechos, por lo tanto igual debe suceder con Zegarra Marín quien tuvo </w:t>
      </w:r>
      <w:r w:rsidR="00B52E68" w:rsidRPr="000A0953">
        <w:rPr>
          <w:rFonts w:ascii="Verdana" w:hAnsi="Verdana"/>
          <w:sz w:val="18"/>
          <w:szCs w:val="18"/>
          <w:lang w:val="es-ES"/>
        </w:rPr>
        <w:t>conocimiento</w:t>
      </w:r>
      <w:r w:rsidR="007F5665" w:rsidRPr="000A0953">
        <w:rPr>
          <w:rFonts w:ascii="Verdana" w:hAnsi="Verdana"/>
          <w:sz w:val="18"/>
          <w:szCs w:val="18"/>
          <w:lang w:val="es-ES"/>
        </w:rPr>
        <w:t xml:space="preserve"> pleno del tráfico de los pasaportes y que inclusive llegó a obtener utilidades, configurándose la complicidad de este agente en la materialización del injusto penal, corroborándose las incriminaciones con las aseveraciones de su co-procesado </w:t>
      </w:r>
      <w:r w:rsidR="005E0AEB" w:rsidRPr="000A0953">
        <w:rPr>
          <w:rFonts w:ascii="Verdana" w:hAnsi="Verdana"/>
          <w:sz w:val="18"/>
          <w:szCs w:val="18"/>
          <w:lang w:val="es-ES"/>
        </w:rPr>
        <w:t>[MP]</w:t>
      </w:r>
      <w:r w:rsidR="007F5665" w:rsidRPr="000A0953">
        <w:rPr>
          <w:rFonts w:ascii="Verdana" w:hAnsi="Verdana"/>
          <w:sz w:val="18"/>
          <w:szCs w:val="18"/>
          <w:lang w:val="es-ES"/>
        </w:rPr>
        <w:t>.</w:t>
      </w:r>
    </w:p>
    <w:p w14:paraId="6D172C3A" w14:textId="77777777" w:rsidR="007F5665" w:rsidRPr="006231F4" w:rsidRDefault="007F5665" w:rsidP="004B41E1">
      <w:pPr>
        <w:ind w:left="708" w:right="720"/>
        <w:jc w:val="both"/>
        <w:rPr>
          <w:rFonts w:ascii="Verdana" w:hAnsi="Verdana"/>
          <w:sz w:val="18"/>
          <w:szCs w:val="18"/>
          <w:u w:val="single"/>
          <w:lang w:val="es-ES"/>
        </w:rPr>
      </w:pPr>
    </w:p>
    <w:p w14:paraId="6D172C3B" w14:textId="405BE6C6" w:rsidR="00FB723A" w:rsidRPr="00F049CF"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ES"/>
        </w:rPr>
        <w:t xml:space="preserve">La Quinta Sala Penal determinó que </w:t>
      </w:r>
      <w:r w:rsidRPr="00F049CF">
        <w:rPr>
          <w:rFonts w:ascii="Verdana" w:hAnsi="Verdana"/>
          <w:sz w:val="20"/>
          <w:szCs w:val="20"/>
          <w:lang w:val="es-CR"/>
        </w:rPr>
        <w:t xml:space="preserve">los hechos descritos se encontraban previstos y sancionados por los artículos 393, 399, 404 y 427 del Código Penal vigente en la época, siendo también de aplicación los numerales 11, 12, 45, 46, 92 y 93 del acotado cuerpo legal en concordancia con los artículos 284 y 285 del Código de Procedimientos Penales. Asimismo concluyó que por los fundamentos expuestos, juzgando los hechos y las pruebas condenaba al señor Zegarra Marín como autor de los delitos contra la administración de Justicia (encubrimiento personal), contra la fe pública (falsificación de documentos en general) y corrupción de funcionarios, en agravio del Estado, </w:t>
      </w:r>
      <w:r w:rsidR="004F4222">
        <w:rPr>
          <w:rFonts w:ascii="Verdana" w:hAnsi="Verdana"/>
          <w:sz w:val="20"/>
          <w:szCs w:val="20"/>
          <w:lang w:val="es-CR"/>
        </w:rPr>
        <w:t xml:space="preserve">se le imponen </w:t>
      </w:r>
      <w:r w:rsidRPr="00F049CF">
        <w:rPr>
          <w:rFonts w:ascii="Verdana" w:hAnsi="Verdana"/>
          <w:sz w:val="20"/>
          <w:szCs w:val="20"/>
          <w:lang w:val="es-CR"/>
        </w:rPr>
        <w:t>cuatro años de pena privativa de libertad suspendida en forma condicional</w:t>
      </w:r>
      <w:r w:rsidRPr="00F049CF">
        <w:rPr>
          <w:rStyle w:val="FootnoteReference"/>
          <w:szCs w:val="20"/>
          <w:lang w:val="es-CR"/>
        </w:rPr>
        <w:footnoteReference w:id="91"/>
      </w:r>
      <w:r w:rsidRPr="00F049CF">
        <w:rPr>
          <w:rFonts w:ascii="Verdana" w:hAnsi="Verdana"/>
          <w:sz w:val="20"/>
          <w:szCs w:val="20"/>
          <w:lang w:val="es-CR"/>
        </w:rPr>
        <w:t xml:space="preserve"> y el pago de S/.3,000 nuevos soles por concepto de reparación civil</w:t>
      </w:r>
      <w:r w:rsidRPr="00F049CF">
        <w:rPr>
          <w:rStyle w:val="FootnoteReference"/>
          <w:szCs w:val="20"/>
          <w:lang w:val="es-CR"/>
        </w:rPr>
        <w:footnoteReference w:id="92"/>
      </w:r>
      <w:r w:rsidRPr="00F049CF">
        <w:rPr>
          <w:rFonts w:ascii="Verdana" w:hAnsi="Verdana"/>
          <w:sz w:val="20"/>
          <w:szCs w:val="20"/>
          <w:lang w:val="es-CR"/>
        </w:rPr>
        <w:t xml:space="preserve">. </w:t>
      </w:r>
      <w:r w:rsidR="00582969">
        <w:rPr>
          <w:rFonts w:ascii="Verdana" w:hAnsi="Verdana"/>
          <w:sz w:val="20"/>
          <w:szCs w:val="20"/>
          <w:lang w:val="es-CR"/>
        </w:rPr>
        <w:t>Asimismo, l</w:t>
      </w:r>
      <w:r w:rsidRPr="00F049CF">
        <w:rPr>
          <w:rFonts w:ascii="Verdana" w:hAnsi="Verdana"/>
          <w:sz w:val="20"/>
          <w:szCs w:val="20"/>
          <w:lang w:val="es-CR"/>
        </w:rPr>
        <w:t>a sentencia de la Quinta Sala condenó a 13 personas a penas privativas de la libertad, absolvió a dos y reservó el proceso contra uno, por encontrarse como no habido.</w:t>
      </w:r>
    </w:p>
    <w:p w14:paraId="6D172C3C" w14:textId="77777777" w:rsidR="00FB723A" w:rsidRPr="00F049CF" w:rsidRDefault="00FB723A" w:rsidP="00FB723A">
      <w:pPr>
        <w:pStyle w:val="ListParagraph"/>
        <w:ind w:left="0"/>
        <w:jc w:val="both"/>
        <w:rPr>
          <w:rFonts w:ascii="Verdana" w:hAnsi="Verdana"/>
          <w:sz w:val="20"/>
          <w:szCs w:val="20"/>
          <w:lang w:val="es-ES"/>
        </w:rPr>
      </w:pPr>
    </w:p>
    <w:p w14:paraId="6D172C3D" w14:textId="365A076E" w:rsidR="00FB723A" w:rsidRPr="00F049CF"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CR"/>
        </w:rPr>
        <w:t>La Quinta Sala Penal estableció reglas de conducta en relación con la pena de privación de la libertad suspendida</w:t>
      </w:r>
      <w:r w:rsidRPr="00F049CF">
        <w:rPr>
          <w:rStyle w:val="FootnoteReference"/>
          <w:szCs w:val="20"/>
          <w:lang w:val="es-CR"/>
        </w:rPr>
        <w:footnoteReference w:id="93"/>
      </w:r>
      <w:r w:rsidRPr="00F049CF">
        <w:rPr>
          <w:rFonts w:ascii="Verdana" w:hAnsi="Verdana"/>
          <w:sz w:val="20"/>
          <w:szCs w:val="20"/>
          <w:lang w:val="es-CR"/>
        </w:rPr>
        <w:t>, bajo el apercibimiento de revoc</w:t>
      </w:r>
      <w:r>
        <w:rPr>
          <w:rFonts w:ascii="Verdana" w:hAnsi="Verdana"/>
          <w:sz w:val="20"/>
          <w:szCs w:val="20"/>
          <w:lang w:val="es-CR"/>
        </w:rPr>
        <w:t>ar</w:t>
      </w:r>
      <w:r w:rsidRPr="00F049CF">
        <w:rPr>
          <w:rFonts w:ascii="Verdana" w:hAnsi="Verdana"/>
          <w:sz w:val="20"/>
          <w:szCs w:val="20"/>
          <w:lang w:val="es-CR"/>
        </w:rPr>
        <w:t xml:space="preserve"> </w:t>
      </w:r>
      <w:r>
        <w:rPr>
          <w:rFonts w:ascii="Verdana" w:hAnsi="Verdana"/>
          <w:sz w:val="20"/>
          <w:szCs w:val="20"/>
          <w:lang w:val="es-CR"/>
        </w:rPr>
        <w:t>la condicionalidad de la pena</w:t>
      </w:r>
      <w:r w:rsidRPr="00F049CF">
        <w:rPr>
          <w:rFonts w:ascii="Verdana" w:hAnsi="Verdana"/>
          <w:sz w:val="20"/>
          <w:szCs w:val="20"/>
          <w:lang w:val="es-CR"/>
        </w:rPr>
        <w:t xml:space="preserve">, entre ellos </w:t>
      </w:r>
      <w:r w:rsidR="007C7B03">
        <w:rPr>
          <w:rFonts w:ascii="Verdana" w:hAnsi="Verdana"/>
          <w:sz w:val="20"/>
          <w:szCs w:val="20"/>
          <w:lang w:val="es-CR"/>
        </w:rPr>
        <w:t>al</w:t>
      </w:r>
      <w:r w:rsidRPr="00F049CF">
        <w:rPr>
          <w:rFonts w:ascii="Verdana" w:hAnsi="Verdana"/>
          <w:sz w:val="20"/>
          <w:szCs w:val="20"/>
          <w:lang w:val="es-CR"/>
        </w:rPr>
        <w:t xml:space="preserve"> señor Zegarra Marín</w:t>
      </w:r>
      <w:r>
        <w:rPr>
          <w:rFonts w:ascii="Verdana" w:hAnsi="Verdana"/>
          <w:sz w:val="20"/>
          <w:szCs w:val="20"/>
          <w:lang w:val="es-CR"/>
        </w:rPr>
        <w:t>.</w:t>
      </w:r>
      <w:r w:rsidRPr="00F049CF">
        <w:rPr>
          <w:rFonts w:ascii="Verdana" w:hAnsi="Verdana"/>
          <w:sz w:val="20"/>
          <w:szCs w:val="20"/>
          <w:lang w:val="es-CR"/>
        </w:rPr>
        <w:t xml:space="preserve"> Las reglas de conducta fueron: i) no variar de domicilio sin previo aviso al Juzgado; ii) comparecer personal y obligatoriamente cada fin de mes al local del Juzgado para informar y justificar sus actividades, y iii) abstenerse de ingerir bebidas alcohólicas y de concurrir a lugares de dudosa reputación</w:t>
      </w:r>
      <w:r w:rsidRPr="00F049CF">
        <w:rPr>
          <w:rStyle w:val="FootnoteReference"/>
          <w:szCs w:val="20"/>
          <w:lang w:val="es-CR"/>
        </w:rPr>
        <w:footnoteReference w:id="94"/>
      </w:r>
      <w:r w:rsidRPr="00F049CF">
        <w:rPr>
          <w:rFonts w:ascii="Verdana" w:hAnsi="Verdana"/>
          <w:sz w:val="20"/>
          <w:szCs w:val="20"/>
          <w:lang w:val="es-CR"/>
        </w:rPr>
        <w:t>.</w:t>
      </w:r>
    </w:p>
    <w:p w14:paraId="6D172C3E" w14:textId="77777777" w:rsidR="00FB723A" w:rsidRPr="00F049CF" w:rsidRDefault="00FB723A" w:rsidP="00FB723A">
      <w:pPr>
        <w:pStyle w:val="ListParagraph"/>
        <w:ind w:left="0"/>
        <w:jc w:val="both"/>
        <w:rPr>
          <w:rFonts w:ascii="Verdana" w:hAnsi="Verdana"/>
          <w:sz w:val="20"/>
          <w:szCs w:val="20"/>
          <w:lang w:val="es-ES"/>
        </w:rPr>
      </w:pPr>
    </w:p>
    <w:p w14:paraId="6D172C3F" w14:textId="77777777" w:rsidR="00FB723A" w:rsidRPr="00F049CF" w:rsidRDefault="00B050A2" w:rsidP="00D83DC8">
      <w:pPr>
        <w:pStyle w:val="Heading2"/>
        <w:numPr>
          <w:ilvl w:val="0"/>
          <w:numId w:val="7"/>
        </w:numPr>
        <w:spacing w:before="0"/>
        <w:jc w:val="both"/>
        <w:rPr>
          <w:rFonts w:ascii="Verdana" w:hAnsi="Verdana"/>
          <w:i/>
          <w:color w:val="auto"/>
          <w:sz w:val="20"/>
          <w:szCs w:val="20"/>
        </w:rPr>
      </w:pPr>
      <w:hyperlink w:anchor="_Toc400620120" w:history="1">
        <w:bookmarkStart w:id="38" w:name="_Toc482093043"/>
        <w:r w:rsidR="00FB723A" w:rsidRPr="00F049CF">
          <w:rPr>
            <w:rFonts w:ascii="Verdana" w:hAnsi="Verdana"/>
            <w:i/>
            <w:color w:val="auto"/>
            <w:sz w:val="20"/>
            <w:szCs w:val="20"/>
          </w:rPr>
          <w:t>Recurso de nulidad</w:t>
        </w:r>
        <w:bookmarkEnd w:id="38"/>
        <w:r w:rsidR="00FB723A" w:rsidRPr="00F049CF">
          <w:rPr>
            <w:rFonts w:ascii="Verdana" w:hAnsi="Verdana"/>
            <w:i/>
            <w:color w:val="auto"/>
            <w:sz w:val="20"/>
            <w:szCs w:val="20"/>
          </w:rPr>
          <w:t xml:space="preserve"> </w:t>
        </w:r>
      </w:hyperlink>
    </w:p>
    <w:p w14:paraId="6D172C40" w14:textId="77777777" w:rsidR="00FB723A" w:rsidRPr="00F049CF" w:rsidRDefault="00FB723A" w:rsidP="00FB723A">
      <w:pPr>
        <w:pStyle w:val="ListParagraph"/>
        <w:jc w:val="both"/>
        <w:rPr>
          <w:rFonts w:ascii="Verdana" w:hAnsi="Verdana"/>
          <w:sz w:val="20"/>
          <w:szCs w:val="20"/>
          <w:lang w:val="es-CR"/>
        </w:rPr>
      </w:pPr>
    </w:p>
    <w:p w14:paraId="6D172C41" w14:textId="77777777" w:rsidR="00FB723A"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rPr>
        <w:lastRenderedPageBreak/>
        <w:t>El recurso de nulidad se enc</w:t>
      </w:r>
      <w:r>
        <w:rPr>
          <w:rFonts w:ascii="Verdana" w:hAnsi="Verdana"/>
          <w:sz w:val="20"/>
          <w:szCs w:val="20"/>
        </w:rPr>
        <w:t>o</w:t>
      </w:r>
      <w:r w:rsidRPr="00F049CF">
        <w:rPr>
          <w:rFonts w:ascii="Verdana" w:hAnsi="Verdana"/>
          <w:sz w:val="20"/>
          <w:szCs w:val="20"/>
        </w:rPr>
        <w:t>ntra</w:t>
      </w:r>
      <w:r>
        <w:rPr>
          <w:rFonts w:ascii="Verdana" w:hAnsi="Verdana"/>
          <w:sz w:val="20"/>
          <w:szCs w:val="20"/>
        </w:rPr>
        <w:t>ba</w:t>
      </w:r>
      <w:r w:rsidRPr="00F049CF">
        <w:rPr>
          <w:rFonts w:ascii="Verdana" w:hAnsi="Verdana"/>
          <w:sz w:val="20"/>
          <w:szCs w:val="20"/>
        </w:rPr>
        <w:t xml:space="preserve"> </w:t>
      </w:r>
      <w:r>
        <w:rPr>
          <w:rFonts w:ascii="Verdana" w:hAnsi="Verdana"/>
          <w:sz w:val="20"/>
          <w:szCs w:val="20"/>
        </w:rPr>
        <w:t>regulado</w:t>
      </w:r>
      <w:r w:rsidRPr="00F049CF">
        <w:rPr>
          <w:rFonts w:ascii="Verdana" w:hAnsi="Verdana"/>
          <w:sz w:val="20"/>
          <w:szCs w:val="20"/>
        </w:rPr>
        <w:t xml:space="preserve"> en </w:t>
      </w:r>
      <w:r>
        <w:rPr>
          <w:rFonts w:ascii="Verdana" w:hAnsi="Verdana"/>
          <w:sz w:val="20"/>
          <w:szCs w:val="20"/>
        </w:rPr>
        <w:t>los</w:t>
      </w:r>
      <w:r w:rsidRPr="00F049CF">
        <w:rPr>
          <w:rFonts w:ascii="Verdana" w:hAnsi="Verdana"/>
          <w:sz w:val="20"/>
          <w:szCs w:val="20"/>
        </w:rPr>
        <w:t xml:space="preserve"> artículo</w:t>
      </w:r>
      <w:r>
        <w:rPr>
          <w:rFonts w:ascii="Verdana" w:hAnsi="Verdana"/>
          <w:sz w:val="20"/>
          <w:szCs w:val="20"/>
        </w:rPr>
        <w:t>s 292 y</w:t>
      </w:r>
      <w:r w:rsidRPr="00F049CF">
        <w:rPr>
          <w:rFonts w:ascii="Verdana" w:hAnsi="Verdana"/>
          <w:sz w:val="20"/>
          <w:szCs w:val="20"/>
        </w:rPr>
        <w:t xml:space="preserve"> 298 del Código de Procedimientos Penales</w:t>
      </w:r>
      <w:r>
        <w:rPr>
          <w:rStyle w:val="FootnoteReference"/>
          <w:szCs w:val="20"/>
        </w:rPr>
        <w:footnoteReference w:id="95"/>
      </w:r>
      <w:r w:rsidRPr="00F049CF">
        <w:rPr>
          <w:rFonts w:ascii="Verdana" w:hAnsi="Verdana"/>
          <w:sz w:val="20"/>
          <w:szCs w:val="20"/>
        </w:rPr>
        <w:t xml:space="preserve">. </w:t>
      </w:r>
    </w:p>
    <w:p w14:paraId="6D172C42" w14:textId="77777777" w:rsidR="00FB723A" w:rsidRDefault="00FB723A" w:rsidP="00FB723A">
      <w:pPr>
        <w:jc w:val="both"/>
        <w:rPr>
          <w:rFonts w:ascii="Verdana" w:hAnsi="Verdana"/>
          <w:sz w:val="20"/>
          <w:szCs w:val="20"/>
          <w:lang w:val="es-CR"/>
        </w:rPr>
      </w:pPr>
    </w:p>
    <w:p w14:paraId="6D172C43" w14:textId="36DBEA18" w:rsidR="002D1865" w:rsidRDefault="00FB723A" w:rsidP="00FB723A">
      <w:pPr>
        <w:ind w:left="708" w:right="717"/>
        <w:jc w:val="both"/>
        <w:rPr>
          <w:rFonts w:ascii="Verdana" w:hAnsi="Verdana"/>
          <w:sz w:val="18"/>
          <w:szCs w:val="18"/>
        </w:rPr>
      </w:pPr>
      <w:r w:rsidRPr="009C7422">
        <w:rPr>
          <w:rFonts w:ascii="Verdana" w:hAnsi="Verdana"/>
          <w:i/>
          <w:sz w:val="18"/>
          <w:szCs w:val="18"/>
        </w:rPr>
        <w:t>Artículo 292.</w:t>
      </w:r>
      <w:r>
        <w:rPr>
          <w:rFonts w:ascii="Verdana" w:hAnsi="Verdana"/>
          <w:sz w:val="18"/>
          <w:szCs w:val="18"/>
        </w:rPr>
        <w:t xml:space="preserve"> </w:t>
      </w:r>
      <w:r w:rsidRPr="00031164">
        <w:rPr>
          <w:rFonts w:ascii="Verdana" w:hAnsi="Verdana"/>
          <w:sz w:val="18"/>
          <w:szCs w:val="18"/>
        </w:rPr>
        <w:t xml:space="preserve">Procede el Recurso de Nulidad: </w:t>
      </w:r>
    </w:p>
    <w:p w14:paraId="6D172C44" w14:textId="77777777" w:rsidR="00FB723A" w:rsidRDefault="00FB723A" w:rsidP="00FB723A">
      <w:pPr>
        <w:ind w:left="708" w:right="717"/>
        <w:jc w:val="both"/>
        <w:rPr>
          <w:rFonts w:ascii="Verdana" w:hAnsi="Verdana"/>
          <w:sz w:val="18"/>
          <w:szCs w:val="18"/>
        </w:rPr>
      </w:pPr>
      <w:r w:rsidRPr="00031164">
        <w:rPr>
          <w:rFonts w:ascii="Verdana" w:hAnsi="Verdana"/>
          <w:sz w:val="18"/>
          <w:szCs w:val="18"/>
        </w:rPr>
        <w:t>1.- Contra las sentencias en los procesos ordinarios; 2.- Contra la concesión o revocación de la condena condicional; 3.- Contra los autos que resuelven las excepciones y cuestiones previas o prejudiciales; 4.- Contra los autos o resoluciones definitivas que extingan la acción o pongan fin al procedimiento o la instancia; 5.- Contra las resoluciones finales en las acciones de “Hábeas Corpus”; 6.- En los casos en que la ley confiera expresamente dicho recurso.</w:t>
      </w:r>
    </w:p>
    <w:p w14:paraId="6D172C45" w14:textId="77777777" w:rsidR="00FB723A" w:rsidRPr="00031164" w:rsidRDefault="00FB723A" w:rsidP="00FB723A">
      <w:pPr>
        <w:ind w:left="708" w:right="717"/>
        <w:jc w:val="both"/>
        <w:rPr>
          <w:rFonts w:ascii="Verdana" w:hAnsi="Verdana"/>
          <w:sz w:val="18"/>
          <w:szCs w:val="18"/>
        </w:rPr>
      </w:pPr>
    </w:p>
    <w:p w14:paraId="6D172C46" w14:textId="77777777" w:rsidR="00FB723A" w:rsidRPr="00284B90" w:rsidRDefault="00FB723A" w:rsidP="00FB723A">
      <w:pPr>
        <w:ind w:left="708" w:right="717"/>
        <w:jc w:val="both"/>
        <w:rPr>
          <w:rFonts w:ascii="Verdana" w:hAnsi="Verdana"/>
          <w:sz w:val="18"/>
          <w:szCs w:val="18"/>
        </w:rPr>
      </w:pPr>
      <w:r w:rsidRPr="00031164">
        <w:rPr>
          <w:rFonts w:ascii="Verdana" w:hAnsi="Verdana"/>
          <w:sz w:val="18"/>
          <w:szCs w:val="18"/>
        </w:rPr>
        <w:t>En casos excepcionales, la Corte Suprema por vía de recurso de queja, podrá disponer que se conceda el recurso de nulidad cuando mediare o se tratare de una infracción de la Constitución o de grave violación de las normas sustantivas o procesales de la ley penal”.</w:t>
      </w:r>
    </w:p>
    <w:p w14:paraId="6D172C47" w14:textId="77777777" w:rsidR="00FB723A" w:rsidRDefault="00FB723A" w:rsidP="00FB723A">
      <w:pPr>
        <w:ind w:left="708" w:right="717"/>
        <w:jc w:val="both"/>
        <w:rPr>
          <w:rFonts w:ascii="Verdana" w:hAnsi="Verdana"/>
          <w:sz w:val="18"/>
          <w:szCs w:val="18"/>
          <w:lang w:val="es-ES"/>
        </w:rPr>
      </w:pPr>
    </w:p>
    <w:p w14:paraId="6D172C48" w14:textId="77777777" w:rsidR="00FB723A" w:rsidRPr="009C7422" w:rsidRDefault="00FB723A" w:rsidP="00FB723A">
      <w:pPr>
        <w:ind w:left="708" w:right="717"/>
        <w:jc w:val="both"/>
        <w:rPr>
          <w:rFonts w:ascii="Verdana" w:hAnsi="Verdana"/>
          <w:sz w:val="18"/>
          <w:szCs w:val="18"/>
          <w:lang w:val="es-ES"/>
        </w:rPr>
      </w:pPr>
      <w:r w:rsidRPr="009C7422">
        <w:rPr>
          <w:rFonts w:ascii="Verdana" w:hAnsi="Verdana"/>
          <w:i/>
          <w:sz w:val="18"/>
          <w:szCs w:val="18"/>
          <w:lang w:val="es-ES"/>
        </w:rPr>
        <w:t>"Artículo 298.-</w:t>
      </w:r>
      <w:r w:rsidRPr="009C7422">
        <w:rPr>
          <w:rFonts w:ascii="Verdana" w:hAnsi="Verdana"/>
          <w:sz w:val="18"/>
          <w:szCs w:val="18"/>
          <w:lang w:val="es-ES"/>
        </w:rPr>
        <w:t xml:space="preserve"> La Corte Suprema declarará la nulidad:</w:t>
      </w:r>
    </w:p>
    <w:p w14:paraId="6D172C49" w14:textId="77777777" w:rsidR="00FB723A" w:rsidRDefault="00FB723A" w:rsidP="00FB723A">
      <w:pPr>
        <w:ind w:left="708" w:right="717"/>
        <w:jc w:val="both"/>
        <w:rPr>
          <w:rFonts w:ascii="Verdana" w:hAnsi="Verdana"/>
          <w:sz w:val="18"/>
          <w:szCs w:val="18"/>
          <w:lang w:val="es-ES"/>
        </w:rPr>
      </w:pPr>
      <w:r w:rsidRPr="009C7422">
        <w:rPr>
          <w:rFonts w:ascii="Verdana" w:hAnsi="Verdana"/>
          <w:sz w:val="18"/>
          <w:szCs w:val="18"/>
          <w:lang w:val="es-ES"/>
        </w:rPr>
        <w:t>1.- Cuando en la sustanciación de la instrucción, o en la del proceso de juzgamiento, se hubiera incurrido en graves irregularidades u omisiones de trámites o garantías establecidas por la Ley Procesal Penal;</w:t>
      </w:r>
      <w:r>
        <w:rPr>
          <w:rFonts w:ascii="Verdana" w:hAnsi="Verdana"/>
          <w:sz w:val="18"/>
          <w:szCs w:val="18"/>
          <w:lang w:val="es-ES"/>
        </w:rPr>
        <w:t xml:space="preserve"> </w:t>
      </w:r>
      <w:r w:rsidRPr="009C7422">
        <w:rPr>
          <w:rFonts w:ascii="Verdana" w:hAnsi="Verdana"/>
          <w:sz w:val="18"/>
          <w:szCs w:val="18"/>
          <w:lang w:val="es-ES"/>
        </w:rPr>
        <w:t>2.- Si el Juez que instruyó o el Tribun</w:t>
      </w:r>
      <w:r w:rsidRPr="00031164">
        <w:rPr>
          <w:rFonts w:ascii="Verdana" w:hAnsi="Verdana"/>
          <w:sz w:val="18"/>
          <w:szCs w:val="18"/>
          <w:lang w:val="es-ES"/>
        </w:rPr>
        <w:t>al que juzgó no era competente;</w:t>
      </w:r>
      <w:r>
        <w:rPr>
          <w:rFonts w:ascii="Verdana" w:hAnsi="Verdana"/>
          <w:sz w:val="18"/>
          <w:szCs w:val="18"/>
          <w:lang w:val="es-ES"/>
        </w:rPr>
        <w:t xml:space="preserve"> </w:t>
      </w:r>
      <w:r w:rsidRPr="009C7422">
        <w:rPr>
          <w:rFonts w:ascii="Verdana" w:hAnsi="Verdana"/>
          <w:sz w:val="18"/>
          <w:szCs w:val="18"/>
          <w:lang w:val="es-ES"/>
        </w:rPr>
        <w:t>3.- Si se ha condenado por un delito que no fue materia de la Instrucción o del Juicio Oral, o que se haya omitido instruir o juzgar un delito que aparece de la denuncia, de la instrucción o de la acusación.</w:t>
      </w:r>
    </w:p>
    <w:p w14:paraId="6D172C4A" w14:textId="77777777" w:rsidR="00FB723A" w:rsidRPr="009C7422" w:rsidRDefault="00FB723A" w:rsidP="00FB723A">
      <w:pPr>
        <w:ind w:left="708" w:right="717"/>
        <w:jc w:val="both"/>
        <w:rPr>
          <w:rFonts w:ascii="Verdana" w:hAnsi="Verdana"/>
          <w:sz w:val="18"/>
          <w:szCs w:val="18"/>
          <w:lang w:val="es-ES"/>
        </w:rPr>
      </w:pPr>
    </w:p>
    <w:p w14:paraId="6D172C4B" w14:textId="2DB05A1C" w:rsidR="00FB723A" w:rsidRDefault="00FB723A" w:rsidP="00FB723A">
      <w:pPr>
        <w:ind w:left="708" w:right="717"/>
        <w:jc w:val="both"/>
        <w:rPr>
          <w:rFonts w:ascii="Verdana" w:hAnsi="Verdana"/>
          <w:sz w:val="18"/>
          <w:szCs w:val="18"/>
          <w:lang w:val="es-ES"/>
        </w:rPr>
      </w:pPr>
      <w:r w:rsidRPr="009C7422">
        <w:rPr>
          <w:rFonts w:ascii="Verdana" w:hAnsi="Verdana"/>
          <w:sz w:val="18"/>
          <w:szCs w:val="18"/>
          <w:lang w:val="es-ES"/>
        </w:rPr>
        <w:t>No procede declarar la nulidad tratándose de vicios procesales susceptibles de ser subsanados; o que no afecten el sentido de la resolución. Los Jueces y Tribunales están facultados para completar o integrar en lo accesorios, incidental o subsidiario, los fa</w:t>
      </w:r>
      <w:r w:rsidRPr="00031164">
        <w:rPr>
          <w:rFonts w:ascii="Verdana" w:hAnsi="Verdana"/>
          <w:sz w:val="18"/>
          <w:szCs w:val="18"/>
          <w:lang w:val="es-ES"/>
        </w:rPr>
        <w:t>llos o resoluciones judiciales.</w:t>
      </w:r>
      <w:r>
        <w:rPr>
          <w:rFonts w:ascii="Verdana" w:hAnsi="Verdana"/>
          <w:sz w:val="18"/>
          <w:szCs w:val="18"/>
          <w:lang w:val="es-ES"/>
        </w:rPr>
        <w:t xml:space="preserve"> </w:t>
      </w:r>
      <w:r w:rsidRPr="009C7422">
        <w:rPr>
          <w:rFonts w:ascii="Verdana" w:hAnsi="Verdana"/>
          <w:sz w:val="18"/>
          <w:szCs w:val="18"/>
          <w:lang w:val="es-ES"/>
        </w:rPr>
        <w:t>La nulidad del proceso no surtirá más efectos que el retrotraer el procedimiento a la estación procesal en que se cometió o produjo el vicio, subsistiendo los elementos probatorios que de modo específico no fueron afectados. Declarada la nulidad del Juicio Oral, la audiencia será reabierta, a fin de que en dicho acto se subsanen los vicios u omisiones que la motivaron, o que en su caso, se complementen o amplíen las pruebas y diligencias que correspondan.</w:t>
      </w:r>
    </w:p>
    <w:p w14:paraId="6D172C4C" w14:textId="77777777" w:rsidR="00FB723A" w:rsidRDefault="00FB723A" w:rsidP="00FB723A">
      <w:pPr>
        <w:ind w:left="708" w:right="717"/>
        <w:jc w:val="both"/>
        <w:rPr>
          <w:rFonts w:ascii="Verdana" w:hAnsi="Verdana"/>
          <w:sz w:val="18"/>
          <w:szCs w:val="18"/>
          <w:lang w:val="es-ES"/>
        </w:rPr>
      </w:pPr>
    </w:p>
    <w:p w14:paraId="6D172C4D" w14:textId="77777777" w:rsidR="00FB723A" w:rsidRPr="00F049C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ES"/>
        </w:rPr>
        <w:t xml:space="preserve">Durante la audiencia celebrada el </w:t>
      </w:r>
      <w:r w:rsidRPr="00F049CF">
        <w:rPr>
          <w:rFonts w:ascii="Verdana" w:hAnsi="Verdana"/>
          <w:sz w:val="20"/>
          <w:szCs w:val="20"/>
          <w:lang w:val="es-CR"/>
        </w:rPr>
        <w:t>8 de noviembre de 1996 ante la Quinta Sala Penal, el señor Zegarra Marín y dos personas más interpusieron recurso de nulidad de forma verbal, por encontrarse en disconformidad con la sentencia condenatoria</w:t>
      </w:r>
      <w:r w:rsidRPr="00F049CF">
        <w:rPr>
          <w:rStyle w:val="FootnoteReference"/>
          <w:szCs w:val="20"/>
          <w:lang w:val="es-CR"/>
        </w:rPr>
        <w:footnoteReference w:id="96"/>
      </w:r>
      <w:r w:rsidRPr="00F049CF">
        <w:rPr>
          <w:rFonts w:ascii="Verdana" w:hAnsi="Verdana"/>
          <w:sz w:val="20"/>
          <w:szCs w:val="20"/>
          <w:lang w:val="es-CR"/>
        </w:rPr>
        <w:t xml:space="preserve">. </w:t>
      </w:r>
    </w:p>
    <w:p w14:paraId="6D172C4E" w14:textId="77777777" w:rsidR="00FB723A" w:rsidRPr="00F049CF" w:rsidRDefault="00FB723A" w:rsidP="00FB723A">
      <w:pPr>
        <w:pStyle w:val="ListParagraph"/>
        <w:ind w:left="0"/>
        <w:jc w:val="both"/>
        <w:rPr>
          <w:rFonts w:ascii="Verdana" w:hAnsi="Verdana"/>
          <w:sz w:val="20"/>
          <w:szCs w:val="20"/>
          <w:lang w:val="es-CR"/>
        </w:rPr>
      </w:pPr>
    </w:p>
    <w:p w14:paraId="6D172C4F" w14:textId="78C11B51" w:rsidR="00FB723A" w:rsidRPr="00F049C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CR"/>
        </w:rPr>
        <w:t xml:space="preserve">El 10 de julio de 1997 el señor Zegarra Marín presentó por escrito dicho recurso, esgrimiendo que: i) las imputaciones en su contra eran falsas; ii) las declaraciones del procesado </w:t>
      </w:r>
      <w:r w:rsidR="0014732F">
        <w:rPr>
          <w:rFonts w:ascii="Verdana" w:hAnsi="Verdana"/>
          <w:sz w:val="20"/>
          <w:szCs w:val="20"/>
          <w:lang w:val="es-CR"/>
        </w:rPr>
        <w:t>CH</w:t>
      </w:r>
      <w:r w:rsidRPr="00F049CF">
        <w:rPr>
          <w:rFonts w:ascii="Verdana" w:hAnsi="Verdana"/>
          <w:sz w:val="20"/>
          <w:szCs w:val="20"/>
          <w:lang w:val="es-CR"/>
        </w:rPr>
        <w:t xml:space="preserve"> con toda precisión señalaban que el negocio de los pasaportes y los beneficios económicos del mismo fue una iniciativa de dicho procesado; iii) </w:t>
      </w:r>
      <w:r>
        <w:rPr>
          <w:rFonts w:ascii="Verdana" w:hAnsi="Verdana"/>
          <w:sz w:val="20"/>
          <w:szCs w:val="20"/>
          <w:lang w:val="es-CR"/>
        </w:rPr>
        <w:t xml:space="preserve">el señor </w:t>
      </w:r>
      <w:r w:rsidR="0014732F">
        <w:rPr>
          <w:rFonts w:ascii="Verdana" w:hAnsi="Verdana"/>
          <w:sz w:val="20"/>
          <w:szCs w:val="20"/>
          <w:lang w:val="es-CR"/>
        </w:rPr>
        <w:t>CH</w:t>
      </w:r>
      <w:r w:rsidRPr="00F049CF">
        <w:rPr>
          <w:rFonts w:ascii="Verdana" w:hAnsi="Verdana"/>
          <w:sz w:val="20"/>
          <w:szCs w:val="20"/>
          <w:lang w:val="es-CR"/>
        </w:rPr>
        <w:t xml:space="preserve"> en su condición de Jefe de la Oficina de Migraciones de Tumbes no tenía por qué dirigirse a él en el desempeño de sus funciones pues dependía administrativa y funcionalmente de la Sub Dirección de Control Migratorio a cargo del comandante</w:t>
      </w:r>
      <w:r>
        <w:rPr>
          <w:rFonts w:ascii="Verdana" w:hAnsi="Verdana"/>
          <w:sz w:val="20"/>
          <w:szCs w:val="20"/>
          <w:lang w:val="es-CR"/>
        </w:rPr>
        <w:t xml:space="preserve"> </w:t>
      </w:r>
      <w:r w:rsidR="00294F62">
        <w:rPr>
          <w:rFonts w:ascii="Verdana" w:hAnsi="Verdana"/>
          <w:sz w:val="20"/>
          <w:szCs w:val="20"/>
          <w:lang w:val="es-CR"/>
        </w:rPr>
        <w:t>LC</w:t>
      </w:r>
      <w:r w:rsidRPr="00F049CF">
        <w:rPr>
          <w:rFonts w:ascii="Verdana" w:hAnsi="Verdana"/>
          <w:sz w:val="20"/>
          <w:szCs w:val="20"/>
          <w:lang w:val="es-CR"/>
        </w:rPr>
        <w:t>; iv) no existía prueba de las supuestas llamadas telefónicas entre</w:t>
      </w:r>
      <w:r>
        <w:rPr>
          <w:rFonts w:ascii="Verdana" w:hAnsi="Verdana"/>
          <w:sz w:val="20"/>
          <w:szCs w:val="20"/>
          <w:lang w:val="es-CR"/>
        </w:rPr>
        <w:t xml:space="preserve"> el señor</w:t>
      </w:r>
      <w:r w:rsidRPr="00F049CF">
        <w:rPr>
          <w:rFonts w:ascii="Verdana" w:hAnsi="Verdana"/>
          <w:sz w:val="20"/>
          <w:szCs w:val="20"/>
          <w:lang w:val="es-CR"/>
        </w:rPr>
        <w:t xml:space="preserve"> </w:t>
      </w:r>
      <w:r w:rsidR="0014732F">
        <w:rPr>
          <w:rFonts w:ascii="Verdana" w:hAnsi="Verdana"/>
          <w:sz w:val="20"/>
          <w:szCs w:val="20"/>
          <w:lang w:val="es-CR"/>
        </w:rPr>
        <w:t>CH</w:t>
      </w:r>
      <w:r w:rsidRPr="00F049CF">
        <w:rPr>
          <w:rFonts w:ascii="Verdana" w:hAnsi="Verdana"/>
          <w:sz w:val="20"/>
          <w:szCs w:val="20"/>
          <w:lang w:val="es-CR"/>
        </w:rPr>
        <w:t xml:space="preserve"> y Zegarra Marín y solo existía el dicho del primero; v) no sostuvo comunicación alguna con </w:t>
      </w:r>
      <w:r>
        <w:rPr>
          <w:rFonts w:ascii="Verdana" w:hAnsi="Verdana"/>
          <w:sz w:val="20"/>
          <w:szCs w:val="20"/>
          <w:lang w:val="es-CR"/>
        </w:rPr>
        <w:t xml:space="preserve">el señor </w:t>
      </w:r>
      <w:r w:rsidR="0014732F">
        <w:rPr>
          <w:rFonts w:ascii="Verdana" w:hAnsi="Verdana"/>
          <w:sz w:val="20"/>
          <w:szCs w:val="20"/>
          <w:lang w:val="es-CR"/>
        </w:rPr>
        <w:t>CH</w:t>
      </w:r>
      <w:r w:rsidRPr="00F049CF">
        <w:rPr>
          <w:rFonts w:ascii="Verdana" w:hAnsi="Verdana"/>
          <w:sz w:val="20"/>
          <w:szCs w:val="20"/>
          <w:lang w:val="es-CR"/>
        </w:rPr>
        <w:t>; vi) la Quinta Sala Penal fue totalmente subjetiva en la sentencia condenatoria de</w:t>
      </w:r>
      <w:r w:rsidRPr="00F049CF">
        <w:rPr>
          <w:rFonts w:ascii="Verdana" w:hAnsi="Verdana"/>
          <w:sz w:val="20"/>
          <w:szCs w:val="20"/>
          <w:lang w:val="es-ES"/>
        </w:rPr>
        <w:t xml:space="preserve"> </w:t>
      </w:r>
      <w:r w:rsidRPr="00F049CF">
        <w:rPr>
          <w:rFonts w:ascii="Verdana" w:hAnsi="Verdana"/>
          <w:sz w:val="20"/>
          <w:szCs w:val="20"/>
          <w:lang w:val="es-CR"/>
        </w:rPr>
        <w:t>8 de noviembre de 1996 porque “supuso” o “sospechó” que fue factible</w:t>
      </w:r>
      <w:r w:rsidRPr="00F049CF">
        <w:rPr>
          <w:rFonts w:ascii="Verdana" w:hAnsi="Verdana"/>
          <w:sz w:val="20"/>
          <w:szCs w:val="20"/>
          <w:lang w:val="es-ES"/>
        </w:rPr>
        <w:t xml:space="preserve"> que hubiese actuado en connivencia para expedir </w:t>
      </w:r>
      <w:r w:rsidRPr="00F049CF">
        <w:rPr>
          <w:rFonts w:ascii="Verdana" w:hAnsi="Verdana"/>
          <w:sz w:val="20"/>
          <w:szCs w:val="20"/>
          <w:lang w:val="es-ES"/>
        </w:rPr>
        <w:lastRenderedPageBreak/>
        <w:t>pasaportes de manera irregular y obtener ilícitamente beneficios económicos, pero que de dichos beneficios no hay prueba alguna, solo el crédito al “dicho” de</w:t>
      </w:r>
      <w:r>
        <w:rPr>
          <w:rFonts w:ascii="Verdana" w:hAnsi="Verdana"/>
          <w:sz w:val="20"/>
          <w:szCs w:val="20"/>
          <w:lang w:val="es-ES"/>
        </w:rPr>
        <w:t xml:space="preserve">l señor </w:t>
      </w:r>
      <w:r w:rsidR="0014732F">
        <w:rPr>
          <w:rFonts w:ascii="Verdana" w:hAnsi="Verdana"/>
          <w:sz w:val="20"/>
          <w:szCs w:val="20"/>
          <w:lang w:val="es-ES"/>
        </w:rPr>
        <w:t>CH</w:t>
      </w:r>
      <w:r w:rsidRPr="00F049CF">
        <w:rPr>
          <w:rFonts w:ascii="Verdana" w:hAnsi="Verdana"/>
          <w:sz w:val="20"/>
          <w:szCs w:val="20"/>
          <w:lang w:val="es-ES"/>
        </w:rPr>
        <w:t>; vii) se le exigió que probara plenamente que no tuvo conocimiento de los hechos y que presentara pruebas de descargo contundentes, lo cual era contrario al principio de presunción de inocencia; viii) era el órgano judicial el que tendría que probar su culpabilidad con pruebas concretas y no con subjetividades</w:t>
      </w:r>
      <w:r w:rsidR="003E4B5C">
        <w:rPr>
          <w:rFonts w:ascii="Verdana" w:hAnsi="Verdana"/>
          <w:sz w:val="20"/>
          <w:szCs w:val="20"/>
          <w:lang w:val="es-ES"/>
        </w:rPr>
        <w:t>,</w:t>
      </w:r>
      <w:r w:rsidRPr="00F049CF">
        <w:rPr>
          <w:rFonts w:ascii="Verdana" w:hAnsi="Verdana"/>
          <w:sz w:val="20"/>
          <w:szCs w:val="20"/>
          <w:lang w:val="es-ES"/>
        </w:rPr>
        <w:t xml:space="preserve"> y ix) estaba plenamente acreditado en autos que él no expidió los pasaportes cuestionados</w:t>
      </w:r>
      <w:r w:rsidRPr="00F049CF">
        <w:rPr>
          <w:rStyle w:val="FootnoteReference"/>
          <w:szCs w:val="20"/>
          <w:lang w:val="es-CR"/>
        </w:rPr>
        <w:footnoteReference w:id="97"/>
      </w:r>
      <w:r w:rsidRPr="00F049CF">
        <w:rPr>
          <w:rFonts w:ascii="Verdana" w:hAnsi="Verdana"/>
          <w:sz w:val="20"/>
          <w:szCs w:val="20"/>
          <w:lang w:val="es-ES"/>
        </w:rPr>
        <w:t>.</w:t>
      </w:r>
    </w:p>
    <w:p w14:paraId="6D172C50" w14:textId="77777777" w:rsidR="00FB723A" w:rsidRPr="00F049CF" w:rsidRDefault="00FB723A" w:rsidP="00FB723A">
      <w:pPr>
        <w:pStyle w:val="ListParagraph"/>
        <w:ind w:left="0"/>
        <w:jc w:val="both"/>
        <w:rPr>
          <w:rFonts w:ascii="Verdana" w:hAnsi="Verdana"/>
          <w:sz w:val="20"/>
          <w:szCs w:val="20"/>
          <w:lang w:val="es-CR"/>
        </w:rPr>
      </w:pPr>
    </w:p>
    <w:p w14:paraId="6D172C51" w14:textId="2341F806" w:rsidR="00FB723A" w:rsidRPr="00F049CF" w:rsidRDefault="00FB723A" w:rsidP="00FB723A">
      <w:pPr>
        <w:pStyle w:val="ListParagraph"/>
        <w:numPr>
          <w:ilvl w:val="0"/>
          <w:numId w:val="2"/>
        </w:numPr>
        <w:ind w:left="0" w:hanging="11"/>
        <w:jc w:val="both"/>
        <w:rPr>
          <w:rFonts w:ascii="Verdana" w:hAnsi="Verdana" w:cs="Arial"/>
          <w:sz w:val="20"/>
          <w:szCs w:val="20"/>
        </w:rPr>
      </w:pPr>
      <w:r w:rsidRPr="00F049CF">
        <w:rPr>
          <w:rFonts w:ascii="Verdana" w:hAnsi="Verdana" w:cs="Arial"/>
          <w:sz w:val="20"/>
          <w:szCs w:val="20"/>
        </w:rPr>
        <w:t>El 20 de mayo de 1997 el Fiscal Supremo Provisional de la Segunda Fiscalía Suprema en lo Penal emitió dictamen en relación al recurso de nulidad planteado por el señor Zegarra Marín, proponiendo que se declare no haber nulidad en la sentencia recurrida, con base en los fundamentos planteados en la acusación presentada el 2 de mayo de 1996</w:t>
      </w:r>
      <w:r w:rsidRPr="00F049CF">
        <w:rPr>
          <w:rStyle w:val="FootnoteReference"/>
          <w:szCs w:val="20"/>
        </w:rPr>
        <w:footnoteReference w:id="98"/>
      </w:r>
      <w:r w:rsidRPr="00F049CF">
        <w:rPr>
          <w:rFonts w:ascii="Verdana" w:hAnsi="Verdana" w:cs="Arial"/>
          <w:sz w:val="20"/>
          <w:szCs w:val="20"/>
        </w:rPr>
        <w:t xml:space="preserve"> (</w:t>
      </w:r>
      <w:r w:rsidRPr="0058104A">
        <w:rPr>
          <w:rFonts w:ascii="Verdana" w:hAnsi="Verdana" w:cs="Arial"/>
          <w:i/>
          <w:sz w:val="20"/>
          <w:szCs w:val="20"/>
        </w:rPr>
        <w:t>supra</w:t>
      </w:r>
      <w:r w:rsidRPr="00F049CF">
        <w:rPr>
          <w:rFonts w:ascii="Verdana" w:hAnsi="Verdana" w:cs="Arial"/>
          <w:sz w:val="20"/>
          <w:szCs w:val="20"/>
        </w:rPr>
        <w:t xml:space="preserve"> párr. </w:t>
      </w:r>
      <w:r w:rsidR="003E4B5C">
        <w:rPr>
          <w:rFonts w:ascii="Verdana" w:hAnsi="Verdana" w:cs="Arial"/>
          <w:sz w:val="20"/>
          <w:szCs w:val="20"/>
        </w:rPr>
        <w:t>92</w:t>
      </w:r>
      <w:r w:rsidRPr="00F049CF">
        <w:rPr>
          <w:rFonts w:ascii="Verdana" w:hAnsi="Verdana" w:cs="Arial"/>
          <w:sz w:val="20"/>
          <w:szCs w:val="20"/>
        </w:rPr>
        <w:t>).</w:t>
      </w:r>
    </w:p>
    <w:p w14:paraId="6D172C52" w14:textId="77777777" w:rsidR="00FB723A" w:rsidRPr="00F049CF" w:rsidRDefault="00FB723A" w:rsidP="00FB723A">
      <w:pPr>
        <w:pStyle w:val="ListParagraph"/>
        <w:ind w:left="0"/>
        <w:jc w:val="both"/>
        <w:rPr>
          <w:rFonts w:ascii="Verdana" w:hAnsi="Verdana"/>
          <w:sz w:val="20"/>
          <w:szCs w:val="20"/>
        </w:rPr>
      </w:pPr>
    </w:p>
    <w:p w14:paraId="6D172C53" w14:textId="34D4D2ED" w:rsidR="00B52E68" w:rsidRPr="006231F4"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CR"/>
        </w:rPr>
        <w:t xml:space="preserve">El 17 de diciembre de 1997 la Primera Sala Penal Transitoria de la Corte Suprema de Justicia de la República (en adelante “Primera Sala Penal Transitoria”) dictó sentencia en la que resolvió dicho recurso, </w:t>
      </w:r>
      <w:r w:rsidR="003E4B5C">
        <w:rPr>
          <w:rFonts w:ascii="Verdana" w:hAnsi="Verdana"/>
          <w:sz w:val="20"/>
          <w:szCs w:val="20"/>
          <w:lang w:val="es-CR"/>
        </w:rPr>
        <w:t>declarando</w:t>
      </w:r>
      <w:r w:rsidRPr="00F049CF">
        <w:rPr>
          <w:rFonts w:ascii="Verdana" w:hAnsi="Verdana"/>
          <w:sz w:val="20"/>
          <w:szCs w:val="20"/>
          <w:lang w:val="es-CR"/>
        </w:rPr>
        <w:t xml:space="preserve"> no haber nulidad de la sentencia recurrida. La Primera Sala Penal Transitoria concluyó que</w:t>
      </w:r>
      <w:r w:rsidR="00582969" w:rsidRPr="00381488">
        <w:rPr>
          <w:rStyle w:val="FootnoteReference"/>
          <w:sz w:val="18"/>
          <w:szCs w:val="18"/>
          <w:lang w:val="es-CR"/>
        </w:rPr>
        <w:footnoteReference w:id="99"/>
      </w:r>
      <w:r w:rsidRPr="00F049CF">
        <w:rPr>
          <w:rFonts w:ascii="Verdana" w:hAnsi="Verdana"/>
          <w:sz w:val="20"/>
          <w:szCs w:val="20"/>
          <w:lang w:val="es-CR"/>
        </w:rPr>
        <w:t xml:space="preserve">: </w:t>
      </w:r>
    </w:p>
    <w:p w14:paraId="6D172C54" w14:textId="77777777" w:rsidR="00B52E68" w:rsidRPr="002B44CD" w:rsidRDefault="00B52E68" w:rsidP="006231F4">
      <w:pPr>
        <w:pStyle w:val="ListParagraph"/>
        <w:rPr>
          <w:rFonts w:ascii="Verdana" w:hAnsi="Verdana"/>
          <w:sz w:val="20"/>
          <w:szCs w:val="20"/>
          <w:lang w:val="es-CR"/>
        </w:rPr>
      </w:pPr>
    </w:p>
    <w:p w14:paraId="6D172C55" w14:textId="1D6978B1" w:rsidR="00B52E68" w:rsidRPr="000A0953" w:rsidRDefault="00514F56" w:rsidP="006231F4">
      <w:pPr>
        <w:pStyle w:val="ListParagraph"/>
        <w:jc w:val="both"/>
        <w:rPr>
          <w:rFonts w:ascii="Verdana" w:hAnsi="Verdana"/>
          <w:sz w:val="18"/>
          <w:szCs w:val="18"/>
          <w:lang w:val="es-CR"/>
        </w:rPr>
      </w:pPr>
      <w:r w:rsidRPr="000A0953">
        <w:rPr>
          <w:rFonts w:ascii="Verdana" w:hAnsi="Verdana"/>
          <w:sz w:val="18"/>
          <w:szCs w:val="18"/>
          <w:lang w:val="es-CR"/>
        </w:rPr>
        <w:t>VISTOS;</w:t>
      </w:r>
      <w:r w:rsidR="00FB723A" w:rsidRPr="000A0953">
        <w:rPr>
          <w:rFonts w:ascii="Verdana" w:hAnsi="Verdana"/>
          <w:sz w:val="18"/>
          <w:szCs w:val="18"/>
          <w:lang w:val="es-CR"/>
        </w:rPr>
        <w:t xml:space="preserve"> de conformidad en parte con lo dictaminado por el señor Fiscal; por los fundamentos de la sentencia materia de grado; y [c]onsiderando que habiéndose acreditado la responsabilidad penal de los encausados así como la comisión de delitos materia de la instrucción, la pena impuesta a estos se encuentra arreglada a la ley. </w:t>
      </w:r>
      <w:r w:rsidRPr="000A0953">
        <w:rPr>
          <w:rFonts w:ascii="Verdana" w:hAnsi="Verdana"/>
          <w:sz w:val="18"/>
          <w:szCs w:val="18"/>
          <w:lang w:val="es-CR"/>
        </w:rPr>
        <w:t xml:space="preserve">[Declarando </w:t>
      </w:r>
      <w:r w:rsidR="00582969" w:rsidRPr="00582969">
        <w:rPr>
          <w:rFonts w:ascii="Verdana" w:hAnsi="Verdana"/>
          <w:sz w:val="18"/>
          <w:szCs w:val="18"/>
          <w:lang w:val="es-CR"/>
        </w:rPr>
        <w:t>no haber nulidad</w:t>
      </w:r>
      <w:r w:rsidR="00582969">
        <w:rPr>
          <w:rFonts w:ascii="Verdana" w:hAnsi="Verdana"/>
          <w:sz w:val="18"/>
          <w:szCs w:val="18"/>
          <w:lang w:val="es-CR"/>
        </w:rPr>
        <w:t>]</w:t>
      </w:r>
      <w:r w:rsidRPr="000A0953">
        <w:rPr>
          <w:rFonts w:ascii="Verdana" w:hAnsi="Verdana"/>
          <w:sz w:val="18"/>
          <w:szCs w:val="18"/>
          <w:lang w:val="es-CR"/>
        </w:rPr>
        <w:t>.</w:t>
      </w:r>
    </w:p>
    <w:p w14:paraId="6D172C56" w14:textId="77777777" w:rsidR="00B52E68" w:rsidRDefault="00B52E68" w:rsidP="006231F4">
      <w:pPr>
        <w:pStyle w:val="ListParagraph"/>
        <w:ind w:left="0" w:firstLine="360"/>
        <w:jc w:val="both"/>
        <w:rPr>
          <w:rFonts w:ascii="Verdana" w:hAnsi="Verdana"/>
          <w:sz w:val="20"/>
          <w:szCs w:val="20"/>
          <w:lang w:val="es-CR"/>
        </w:rPr>
      </w:pPr>
    </w:p>
    <w:p w14:paraId="6D172C57" w14:textId="3D65821F" w:rsidR="00FB723A" w:rsidRPr="00F049CF" w:rsidRDefault="00FB723A" w:rsidP="000A0953">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CR"/>
        </w:rPr>
        <w:t>Dicha sentencia también impuso a los condenados 90 días multa como pena accesoria y fijó en tres años el plazo de prueba de la pena suspendida, al haber omitido la Quinta Sala Penal el establecimiento de ello</w:t>
      </w:r>
      <w:r w:rsidRPr="00F049CF">
        <w:rPr>
          <w:rStyle w:val="FootnoteReference"/>
          <w:szCs w:val="20"/>
          <w:lang w:val="es-CR"/>
        </w:rPr>
        <w:footnoteReference w:id="100"/>
      </w:r>
      <w:r w:rsidRPr="00F049CF">
        <w:rPr>
          <w:rFonts w:ascii="Verdana" w:hAnsi="Verdana"/>
          <w:sz w:val="20"/>
          <w:szCs w:val="20"/>
          <w:lang w:val="es-CR"/>
        </w:rPr>
        <w:t xml:space="preserve">.  </w:t>
      </w:r>
    </w:p>
    <w:p w14:paraId="6D172C58" w14:textId="77777777" w:rsidR="00FB723A" w:rsidRPr="00F049CF" w:rsidRDefault="00FB723A" w:rsidP="00FB723A">
      <w:pPr>
        <w:pStyle w:val="ListParagraph"/>
        <w:ind w:left="0"/>
        <w:jc w:val="both"/>
        <w:rPr>
          <w:rFonts w:ascii="Verdana" w:hAnsi="Verdana"/>
          <w:sz w:val="20"/>
          <w:szCs w:val="20"/>
          <w:lang w:val="es-ES"/>
        </w:rPr>
      </w:pPr>
    </w:p>
    <w:p w14:paraId="6D172C59" w14:textId="77777777" w:rsidR="00FB723A" w:rsidRPr="00F049CF" w:rsidRDefault="00B050A2" w:rsidP="00D83DC8">
      <w:pPr>
        <w:pStyle w:val="Heading2"/>
        <w:numPr>
          <w:ilvl w:val="0"/>
          <w:numId w:val="7"/>
        </w:numPr>
        <w:spacing w:before="0"/>
        <w:jc w:val="both"/>
        <w:rPr>
          <w:rFonts w:ascii="Verdana" w:hAnsi="Verdana"/>
          <w:i/>
          <w:color w:val="auto"/>
          <w:sz w:val="20"/>
          <w:szCs w:val="20"/>
        </w:rPr>
      </w:pPr>
      <w:hyperlink w:anchor="_Toc400620120" w:history="1">
        <w:bookmarkStart w:id="39" w:name="_Toc482093044"/>
        <w:r w:rsidR="00FB723A" w:rsidRPr="00F049CF">
          <w:rPr>
            <w:rFonts w:ascii="Verdana" w:hAnsi="Verdana"/>
            <w:i/>
            <w:color w:val="auto"/>
            <w:sz w:val="20"/>
            <w:szCs w:val="20"/>
          </w:rPr>
          <w:t>Recurso de revisión</w:t>
        </w:r>
        <w:bookmarkEnd w:id="39"/>
        <w:r w:rsidR="00FB723A" w:rsidRPr="00F049CF">
          <w:rPr>
            <w:rFonts w:ascii="Verdana" w:hAnsi="Verdana"/>
            <w:i/>
            <w:color w:val="auto"/>
            <w:sz w:val="20"/>
            <w:szCs w:val="20"/>
          </w:rPr>
          <w:t xml:space="preserve"> </w:t>
        </w:r>
      </w:hyperlink>
      <w:r w:rsidR="00FB723A" w:rsidRPr="00F049CF">
        <w:rPr>
          <w:rFonts w:ascii="Verdana" w:hAnsi="Verdana"/>
          <w:i/>
          <w:color w:val="auto"/>
          <w:sz w:val="20"/>
          <w:szCs w:val="20"/>
        </w:rPr>
        <w:t xml:space="preserve"> </w:t>
      </w:r>
    </w:p>
    <w:p w14:paraId="6D172C5A" w14:textId="77777777" w:rsidR="00FB723A" w:rsidRPr="00F049CF" w:rsidRDefault="00FB723A" w:rsidP="00FB723A">
      <w:pPr>
        <w:jc w:val="both"/>
        <w:rPr>
          <w:rFonts w:ascii="Verdana" w:hAnsi="Verdana"/>
          <w:sz w:val="20"/>
          <w:szCs w:val="20"/>
          <w:lang w:val="es-CR"/>
        </w:rPr>
      </w:pPr>
    </w:p>
    <w:p w14:paraId="6D172C5B" w14:textId="77777777" w:rsidR="00FB723A" w:rsidRDefault="00FB723A" w:rsidP="00FB723A">
      <w:pPr>
        <w:pStyle w:val="ListParagraph"/>
        <w:numPr>
          <w:ilvl w:val="0"/>
          <w:numId w:val="2"/>
        </w:numPr>
        <w:ind w:left="0" w:hanging="11"/>
        <w:jc w:val="both"/>
        <w:rPr>
          <w:rFonts w:ascii="Verdana" w:hAnsi="Verdana"/>
          <w:sz w:val="20"/>
          <w:szCs w:val="20"/>
        </w:rPr>
      </w:pPr>
      <w:r w:rsidRPr="00F049CF">
        <w:rPr>
          <w:rFonts w:ascii="Verdana" w:hAnsi="Verdana"/>
          <w:sz w:val="20"/>
          <w:szCs w:val="20"/>
        </w:rPr>
        <w:t>El recurso de revisión se enc</w:t>
      </w:r>
      <w:r>
        <w:rPr>
          <w:rFonts w:ascii="Verdana" w:hAnsi="Verdana"/>
          <w:sz w:val="20"/>
          <w:szCs w:val="20"/>
        </w:rPr>
        <w:t>ontraba</w:t>
      </w:r>
      <w:r w:rsidRPr="00F049CF">
        <w:rPr>
          <w:rFonts w:ascii="Verdana" w:hAnsi="Verdana"/>
          <w:sz w:val="20"/>
          <w:szCs w:val="20"/>
        </w:rPr>
        <w:t xml:space="preserve"> previsto en los artículos 361 y 362 del Código de Procedimientos Penales</w:t>
      </w:r>
      <w:r>
        <w:rPr>
          <w:rStyle w:val="FootnoteReference"/>
          <w:szCs w:val="20"/>
        </w:rPr>
        <w:footnoteReference w:id="101"/>
      </w:r>
      <w:r w:rsidRPr="00F049CF">
        <w:rPr>
          <w:rFonts w:ascii="Verdana" w:hAnsi="Verdana"/>
          <w:sz w:val="20"/>
          <w:szCs w:val="20"/>
        </w:rPr>
        <w:t xml:space="preserve">. </w:t>
      </w:r>
    </w:p>
    <w:p w14:paraId="6D172C5C" w14:textId="77777777" w:rsidR="00FB723A" w:rsidRPr="00F049CF" w:rsidRDefault="00FB723A" w:rsidP="00FB723A">
      <w:pPr>
        <w:pStyle w:val="ListParagraph"/>
        <w:ind w:left="0"/>
        <w:jc w:val="both"/>
        <w:rPr>
          <w:rFonts w:ascii="Verdana" w:hAnsi="Verdana"/>
          <w:sz w:val="20"/>
          <w:szCs w:val="20"/>
          <w:lang w:val="es-ES"/>
        </w:rPr>
      </w:pPr>
    </w:p>
    <w:p w14:paraId="6D172C5D" w14:textId="7A3DAD2F" w:rsidR="00FB723A" w:rsidRPr="00F049CF" w:rsidRDefault="00FB723A" w:rsidP="00FB723A">
      <w:pPr>
        <w:pStyle w:val="ListParagraph"/>
        <w:numPr>
          <w:ilvl w:val="0"/>
          <w:numId w:val="2"/>
        </w:numPr>
        <w:ind w:left="0" w:hanging="11"/>
        <w:jc w:val="both"/>
        <w:rPr>
          <w:rFonts w:ascii="Verdana" w:hAnsi="Verdana"/>
          <w:sz w:val="20"/>
          <w:szCs w:val="20"/>
          <w:lang w:val="es-ES"/>
        </w:rPr>
      </w:pPr>
      <w:r w:rsidRPr="00F049CF">
        <w:rPr>
          <w:rFonts w:ascii="Verdana" w:hAnsi="Verdana"/>
          <w:sz w:val="20"/>
          <w:szCs w:val="20"/>
          <w:lang w:val="es-CR"/>
        </w:rPr>
        <w:t>El 14 de septiembre de 1998 el señor Zegarra Marín interpuso recurso de revisión ante el Presidente de la Corte Suprema de Justicia de la República</w:t>
      </w:r>
      <w:r>
        <w:rPr>
          <w:rFonts w:ascii="Verdana" w:hAnsi="Verdana"/>
          <w:sz w:val="20"/>
          <w:szCs w:val="20"/>
          <w:lang w:val="es-CR"/>
        </w:rPr>
        <w:t xml:space="preserve"> </w:t>
      </w:r>
      <w:r w:rsidRPr="003E2B77">
        <w:rPr>
          <w:rFonts w:ascii="Verdana" w:hAnsi="Verdana"/>
          <w:sz w:val="20"/>
          <w:szCs w:val="20"/>
          <w:lang w:val="es-ES"/>
        </w:rPr>
        <w:t>(</w:t>
      </w:r>
      <w:r w:rsidRPr="0058104A">
        <w:rPr>
          <w:rFonts w:ascii="Verdana" w:hAnsi="Verdana"/>
          <w:i/>
          <w:sz w:val="20"/>
          <w:szCs w:val="20"/>
          <w:lang w:val="es-ES"/>
        </w:rPr>
        <w:t>infra</w:t>
      </w:r>
      <w:r w:rsidRPr="003E2B77">
        <w:rPr>
          <w:rFonts w:ascii="Verdana" w:hAnsi="Verdana"/>
          <w:sz w:val="20"/>
          <w:szCs w:val="20"/>
          <w:lang w:val="es-ES"/>
        </w:rPr>
        <w:t xml:space="preserve"> párr. </w:t>
      </w:r>
      <w:r w:rsidR="00582969">
        <w:rPr>
          <w:rFonts w:ascii="Verdana" w:hAnsi="Verdana"/>
          <w:sz w:val="20"/>
          <w:szCs w:val="20"/>
          <w:lang w:val="es-ES"/>
        </w:rPr>
        <w:t>184</w:t>
      </w:r>
      <w:r w:rsidRPr="003E2B77">
        <w:rPr>
          <w:rFonts w:ascii="Verdana" w:hAnsi="Verdana"/>
          <w:sz w:val="20"/>
          <w:szCs w:val="20"/>
          <w:lang w:val="es-ES"/>
        </w:rPr>
        <w:t>)</w:t>
      </w:r>
      <w:r w:rsidRPr="00F049CF">
        <w:rPr>
          <w:rStyle w:val="FootnoteReference"/>
          <w:szCs w:val="20"/>
          <w:lang w:val="es-CR"/>
        </w:rPr>
        <w:footnoteReference w:id="102"/>
      </w:r>
      <w:r w:rsidRPr="00F049CF">
        <w:rPr>
          <w:rFonts w:ascii="Verdana" w:hAnsi="Verdana"/>
          <w:sz w:val="20"/>
          <w:szCs w:val="20"/>
          <w:lang w:val="es-CR"/>
        </w:rPr>
        <w:t>.</w:t>
      </w:r>
    </w:p>
    <w:p w14:paraId="6D172C5E" w14:textId="77777777" w:rsidR="00FB723A" w:rsidRPr="00F049CF" w:rsidRDefault="00FB723A" w:rsidP="00FB723A">
      <w:pPr>
        <w:pStyle w:val="ListParagraph"/>
        <w:ind w:left="0"/>
        <w:jc w:val="both"/>
        <w:rPr>
          <w:rFonts w:ascii="Verdana" w:hAnsi="Verdana"/>
          <w:sz w:val="20"/>
          <w:szCs w:val="20"/>
          <w:lang w:val="es-ES"/>
        </w:rPr>
      </w:pPr>
    </w:p>
    <w:p w14:paraId="6D172C5F" w14:textId="77777777" w:rsidR="00FB723A" w:rsidRPr="00F049C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CR"/>
        </w:rPr>
        <w:t xml:space="preserve">Conforme a la normativa procesal penal vigente en la época de la interposición del recurso de revisión, </w:t>
      </w:r>
      <w:r>
        <w:rPr>
          <w:rFonts w:ascii="Verdana" w:hAnsi="Verdana"/>
          <w:sz w:val="20"/>
          <w:szCs w:val="20"/>
          <w:lang w:val="es-CR"/>
        </w:rPr>
        <w:t>é</w:t>
      </w:r>
      <w:r w:rsidRPr="00F049CF">
        <w:rPr>
          <w:rFonts w:ascii="Verdana" w:hAnsi="Verdana"/>
          <w:sz w:val="20"/>
          <w:szCs w:val="20"/>
          <w:lang w:val="es-CR"/>
        </w:rPr>
        <w:t xml:space="preserve">ste era resuelto </w:t>
      </w:r>
      <w:r>
        <w:rPr>
          <w:rFonts w:ascii="Verdana" w:hAnsi="Verdana"/>
          <w:sz w:val="20"/>
          <w:szCs w:val="20"/>
          <w:lang w:val="es-CR"/>
        </w:rPr>
        <w:t>conforme</w:t>
      </w:r>
      <w:r w:rsidRPr="00F049CF">
        <w:rPr>
          <w:rFonts w:ascii="Verdana" w:hAnsi="Verdana"/>
          <w:sz w:val="20"/>
          <w:szCs w:val="20"/>
          <w:lang w:val="es-CR"/>
        </w:rPr>
        <w:t xml:space="preserve"> al procedimiento establecido en el artículo 364 del Código de Procedimientos Penales, el cual establecía que “</w:t>
      </w:r>
      <w:r w:rsidRPr="00F049CF">
        <w:rPr>
          <w:rFonts w:ascii="Verdana" w:hAnsi="Verdana"/>
          <w:iCs/>
          <w:sz w:val="20"/>
          <w:szCs w:val="20"/>
          <w:lang w:val="es-CR"/>
        </w:rPr>
        <w:t>[e]l recurso de revisión se interpone ante la Corte Suprema, acompañando los documentos que acrediten el hecho en que se funda. La Corte Suprema encomendará a dos de sus Vocales que se informen de los hechos alegados y que dictaminen sobre la solicitud, y resolverá en Sala Plena si hay lugar a anular la sentencia y a que se renueve el proceso. En esta audiencia no votarán los Vocales informantes, pero concurrirán para dar las explicaciones necesarias; tampoco votará el Vocal que interpuso el recurso. El reo o defensor que éste nombre, debe ser oído si concurre”.</w:t>
      </w:r>
    </w:p>
    <w:p w14:paraId="6D172C60" w14:textId="77777777" w:rsidR="00FB723A" w:rsidRPr="00F049CF" w:rsidRDefault="00FB723A" w:rsidP="00FB723A">
      <w:pPr>
        <w:pStyle w:val="ListParagraph"/>
        <w:jc w:val="both"/>
        <w:rPr>
          <w:rFonts w:ascii="Verdana" w:hAnsi="Verdana"/>
          <w:sz w:val="20"/>
          <w:szCs w:val="20"/>
          <w:lang w:val="es-CR"/>
        </w:rPr>
      </w:pPr>
    </w:p>
    <w:p w14:paraId="6D172C61" w14:textId="77777777" w:rsidR="00FB723A" w:rsidRPr="00F049CF" w:rsidRDefault="002D1865" w:rsidP="00FB723A">
      <w:pPr>
        <w:pStyle w:val="ListParagraph"/>
        <w:numPr>
          <w:ilvl w:val="0"/>
          <w:numId w:val="2"/>
        </w:numPr>
        <w:ind w:left="0" w:hanging="11"/>
        <w:jc w:val="both"/>
        <w:rPr>
          <w:rFonts w:ascii="Verdana" w:hAnsi="Verdana"/>
          <w:sz w:val="20"/>
          <w:szCs w:val="20"/>
          <w:lang w:val="es-CR"/>
        </w:rPr>
      </w:pPr>
      <w:r>
        <w:rPr>
          <w:rFonts w:ascii="Verdana" w:hAnsi="Verdana"/>
          <w:sz w:val="20"/>
          <w:szCs w:val="20"/>
          <w:lang w:val="es-CR"/>
        </w:rPr>
        <w:t>En vista</w:t>
      </w:r>
      <w:r w:rsidR="00DF1458">
        <w:rPr>
          <w:rFonts w:ascii="Verdana" w:hAnsi="Verdana"/>
          <w:sz w:val="20"/>
          <w:szCs w:val="20"/>
          <w:lang w:val="es-CR"/>
        </w:rPr>
        <w:t xml:space="preserve"> </w:t>
      </w:r>
      <w:r w:rsidR="00FB723A" w:rsidRPr="00F049CF">
        <w:rPr>
          <w:rFonts w:ascii="Verdana" w:hAnsi="Verdana"/>
          <w:sz w:val="20"/>
          <w:szCs w:val="20"/>
          <w:lang w:val="es-CR"/>
        </w:rPr>
        <w:t xml:space="preserve">a ello, el 2 de noviembre de 1998 dos Vocales Supremos de la Corte Suprema de Justicia de la República presentaron un informe al pleno respecto de los hechos alegados y dictaminaron sobre la solicitud de revisión interpuesta. Dicho informe señaló que: i) a la fecha de la presentación del recurso de revisión seguía vigente el artículo 361 del Código de Procedimientos Penales que normaba el trámite del recurso y señalaba taxativamente los casos en que procedía. Sin embargo, la causal que invocó el reclamante no estaba prevista en tal dispositivo, por lo que resultaba improcedente; ii) examinando la sentencia condenatoria se advertía que efectivamente no se valoró toda la prueba actuada; iii) dicha sentencia se sustentaba fundamentalmente en la sindicación de los co-acusados, sin que existieran otras pruebas corroborantes sobre tal sindicación; iv) para concluir la responsabilidad del señor Zegarra Marín determinó que aquel no había aportado prueba de descargo para acreditar totalmente su inocencia, violándose de esa forma el debido proceso por falta de motivación suficiente de la referida resolución, motivación que implicaba el </w:t>
      </w:r>
      <w:r w:rsidR="00FB723A" w:rsidRPr="00F049CF">
        <w:rPr>
          <w:rFonts w:ascii="Verdana" w:hAnsi="Verdana"/>
          <w:sz w:val="20"/>
          <w:szCs w:val="20"/>
          <w:lang w:val="es-CR"/>
        </w:rPr>
        <w:lastRenderedPageBreak/>
        <w:t>análisis y la valoración de toda la prueba actuada, a pesar de que así lo disponía el artículo 139 inciso 5to. de la Constitución del Estado y el artículo 285 del Código de Procedimientos Penales; v) se invertía y violaba el principio de presunción de inocencia, como derecho fundamental de toda persona, contemplado en el artículo 2 inciso 24 parágrafo y de la Constitución del Estado, y vi) dicha situación generó la interposición del recurso de revisión por parte del señor Zegarra Marín</w:t>
      </w:r>
      <w:r w:rsidR="00FB723A" w:rsidRPr="00F049CF">
        <w:rPr>
          <w:rStyle w:val="FootnoteReference"/>
          <w:szCs w:val="20"/>
          <w:lang w:val="es-CR"/>
        </w:rPr>
        <w:footnoteReference w:id="103"/>
      </w:r>
      <w:r w:rsidR="00FB723A" w:rsidRPr="00F049CF">
        <w:rPr>
          <w:rFonts w:ascii="Verdana" w:hAnsi="Verdana"/>
          <w:sz w:val="20"/>
          <w:szCs w:val="20"/>
          <w:lang w:val="es-CR"/>
        </w:rPr>
        <w:t>.</w:t>
      </w:r>
    </w:p>
    <w:p w14:paraId="6D172C62" w14:textId="77777777" w:rsidR="00FB723A" w:rsidRPr="00F049CF" w:rsidRDefault="00FB723A" w:rsidP="00FB723A">
      <w:pPr>
        <w:pStyle w:val="ListParagraph"/>
        <w:ind w:left="0"/>
        <w:jc w:val="both"/>
        <w:rPr>
          <w:rFonts w:ascii="Verdana" w:hAnsi="Verdana"/>
          <w:sz w:val="20"/>
          <w:szCs w:val="20"/>
          <w:lang w:val="es-CR"/>
        </w:rPr>
      </w:pPr>
    </w:p>
    <w:p w14:paraId="6D172C63" w14:textId="2E0938BD" w:rsidR="00FB723A" w:rsidRPr="00F049C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CR"/>
        </w:rPr>
        <w:t>El informe concluyó que</w:t>
      </w:r>
      <w:r w:rsidR="00582969">
        <w:rPr>
          <w:rFonts w:ascii="Verdana" w:hAnsi="Verdana"/>
          <w:sz w:val="20"/>
          <w:szCs w:val="20"/>
          <w:lang w:val="es-CR"/>
        </w:rPr>
        <w:t>:</w:t>
      </w:r>
      <w:r w:rsidRPr="00F049CF">
        <w:rPr>
          <w:rFonts w:ascii="Verdana" w:hAnsi="Verdana"/>
          <w:sz w:val="20"/>
          <w:szCs w:val="20"/>
          <w:lang w:val="es-CR"/>
        </w:rPr>
        <w:t xml:space="preserve"> “1. El recurso de revisión […] formalmente y de acuerdo a lo previsto en el </w:t>
      </w:r>
      <w:r w:rsidR="00582969">
        <w:rPr>
          <w:rFonts w:ascii="Verdana" w:hAnsi="Verdana"/>
          <w:sz w:val="20"/>
          <w:szCs w:val="20"/>
          <w:lang w:val="es-CR"/>
        </w:rPr>
        <w:t>[</w:t>
      </w:r>
      <w:r w:rsidRPr="00F049CF">
        <w:rPr>
          <w:rFonts w:ascii="Verdana" w:hAnsi="Verdana"/>
          <w:sz w:val="20"/>
          <w:szCs w:val="20"/>
          <w:lang w:val="es-CR"/>
        </w:rPr>
        <w:t>art</w:t>
      </w:r>
      <w:r w:rsidR="00582969">
        <w:rPr>
          <w:rFonts w:ascii="Verdana" w:hAnsi="Verdana"/>
          <w:sz w:val="20"/>
          <w:szCs w:val="20"/>
          <w:lang w:val="es-CR"/>
        </w:rPr>
        <w:t>ículo]</w:t>
      </w:r>
      <w:r w:rsidRPr="00F049CF">
        <w:rPr>
          <w:rFonts w:ascii="Verdana" w:hAnsi="Verdana"/>
          <w:sz w:val="20"/>
          <w:szCs w:val="20"/>
          <w:lang w:val="es-CR"/>
        </w:rPr>
        <w:t xml:space="preserve"> 361 del Código de Procedimientos Penales, resulta[ba] improcedente</w:t>
      </w:r>
      <w:r w:rsidR="00582969">
        <w:rPr>
          <w:rFonts w:ascii="Verdana" w:hAnsi="Verdana"/>
          <w:sz w:val="20"/>
          <w:szCs w:val="20"/>
          <w:lang w:val="es-CR"/>
        </w:rPr>
        <w:t>[;]</w:t>
      </w:r>
      <w:r w:rsidRPr="00F049CF">
        <w:rPr>
          <w:rFonts w:ascii="Verdana" w:hAnsi="Verdana"/>
          <w:sz w:val="20"/>
          <w:szCs w:val="20"/>
          <w:lang w:val="es-CR"/>
        </w:rPr>
        <w:t xml:space="preserve"> 2. El referido recurso podría tener amparo en lo dispuesto en el artículo 363 inciso 2do del nuevo Código de Procedimientos Penales</w:t>
      </w:r>
      <w:r w:rsidRPr="00F049CF">
        <w:rPr>
          <w:rStyle w:val="FootnoteReference"/>
          <w:szCs w:val="20"/>
          <w:lang w:val="es-CR"/>
        </w:rPr>
        <w:footnoteReference w:id="104"/>
      </w:r>
      <w:r w:rsidRPr="00F049CF">
        <w:rPr>
          <w:rFonts w:ascii="Verdana" w:hAnsi="Verdana"/>
          <w:sz w:val="20"/>
          <w:szCs w:val="20"/>
          <w:lang w:val="es-CR"/>
        </w:rPr>
        <w:t>, pero este dispositivo no esta[ba] vigente y no [podía] aplicarse</w:t>
      </w:r>
      <w:r w:rsidR="00582969">
        <w:rPr>
          <w:rFonts w:ascii="Verdana" w:hAnsi="Verdana"/>
          <w:sz w:val="20"/>
          <w:szCs w:val="20"/>
          <w:lang w:val="es-CR"/>
        </w:rPr>
        <w:t>[,]</w:t>
      </w:r>
      <w:r w:rsidRPr="00F049CF">
        <w:rPr>
          <w:rFonts w:ascii="Verdana" w:hAnsi="Verdana"/>
          <w:sz w:val="20"/>
          <w:szCs w:val="20"/>
          <w:lang w:val="es-CR"/>
        </w:rPr>
        <w:t xml:space="preserve"> 3. La Sala Plena de la Corte Suprema de[bía] solicitar la pronta promulgación del [nuevo] Código de Procedimientos Penales, para dar solución a casos como [los que son] materia de este informe […]”</w:t>
      </w:r>
      <w:r w:rsidRPr="00F049CF">
        <w:rPr>
          <w:rFonts w:ascii="Verdana" w:hAnsi="Verdana"/>
          <w:sz w:val="20"/>
          <w:szCs w:val="20"/>
          <w:vertAlign w:val="superscript"/>
          <w:lang w:val="es-CR"/>
        </w:rPr>
        <w:footnoteReference w:id="105"/>
      </w:r>
      <w:r w:rsidRPr="00F049CF">
        <w:rPr>
          <w:rFonts w:ascii="Verdana" w:hAnsi="Verdana"/>
          <w:sz w:val="20"/>
          <w:szCs w:val="20"/>
          <w:lang w:val="es-CR"/>
        </w:rPr>
        <w:t>.</w:t>
      </w:r>
    </w:p>
    <w:p w14:paraId="6D172C64" w14:textId="77777777" w:rsidR="00FB723A" w:rsidRPr="00F049CF" w:rsidRDefault="00FB723A" w:rsidP="00FB723A">
      <w:pPr>
        <w:pStyle w:val="ListParagraph"/>
        <w:jc w:val="both"/>
        <w:rPr>
          <w:rFonts w:ascii="Verdana" w:hAnsi="Verdana"/>
          <w:sz w:val="20"/>
          <w:szCs w:val="20"/>
          <w:lang w:val="es-CR"/>
        </w:rPr>
      </w:pPr>
    </w:p>
    <w:p w14:paraId="6D172C65" w14:textId="77777777" w:rsidR="00FB723A" w:rsidRPr="00F049C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CR"/>
        </w:rPr>
        <w:t>Con base en este informe, el 24 de agosto de 1999 la Sala Plena de la Corte Suprema de Justicia decidió declarar improcedente el recurso de revisión interpuesto por el señor Zegarra Marín, de conformidad con lo opinado por los Vocales informantes, quienes no intervinieron en la votación por haber emitido pronunciamiento previo</w:t>
      </w:r>
      <w:r w:rsidRPr="00F049CF">
        <w:rPr>
          <w:rStyle w:val="FootnoteReference"/>
          <w:szCs w:val="20"/>
          <w:lang w:val="es-CR"/>
        </w:rPr>
        <w:footnoteReference w:id="106"/>
      </w:r>
      <w:r w:rsidRPr="00F049CF">
        <w:rPr>
          <w:rFonts w:ascii="Verdana" w:hAnsi="Verdana"/>
          <w:sz w:val="20"/>
          <w:szCs w:val="20"/>
          <w:lang w:val="es-CR"/>
        </w:rPr>
        <w:t>. La resolución de improcedencia fue notificada al señor Zegarra Marín el 5 de noviembre de 1999</w:t>
      </w:r>
      <w:r w:rsidRPr="00F049CF">
        <w:rPr>
          <w:rStyle w:val="FootnoteReference"/>
          <w:szCs w:val="20"/>
          <w:lang w:val="es-CR"/>
        </w:rPr>
        <w:footnoteReference w:id="107"/>
      </w:r>
      <w:r w:rsidRPr="00F049CF">
        <w:rPr>
          <w:rFonts w:ascii="Verdana" w:hAnsi="Verdana"/>
          <w:sz w:val="20"/>
          <w:szCs w:val="20"/>
          <w:lang w:val="es-CR"/>
        </w:rPr>
        <w:t xml:space="preserve">. </w:t>
      </w:r>
    </w:p>
    <w:p w14:paraId="6D172C66" w14:textId="77777777" w:rsidR="00FB723A" w:rsidRPr="00F049CF" w:rsidRDefault="00FB723A" w:rsidP="00FB723A">
      <w:pPr>
        <w:pStyle w:val="ListParagraph"/>
        <w:ind w:left="0"/>
        <w:jc w:val="both"/>
        <w:rPr>
          <w:rFonts w:ascii="Verdana" w:hAnsi="Verdana"/>
          <w:sz w:val="20"/>
          <w:szCs w:val="20"/>
          <w:lang w:val="es-CR"/>
        </w:rPr>
      </w:pPr>
    </w:p>
    <w:p w14:paraId="6D172C67" w14:textId="51E437A8" w:rsidR="00FB723A" w:rsidRPr="0017437D" w:rsidRDefault="00FB723A" w:rsidP="00D83DC8">
      <w:pPr>
        <w:pStyle w:val="Heading2"/>
        <w:numPr>
          <w:ilvl w:val="0"/>
          <w:numId w:val="7"/>
        </w:numPr>
        <w:spacing w:before="0"/>
        <w:jc w:val="both"/>
        <w:rPr>
          <w:rFonts w:ascii="Verdana" w:hAnsi="Verdana"/>
          <w:i/>
          <w:sz w:val="20"/>
          <w:szCs w:val="20"/>
        </w:rPr>
      </w:pPr>
      <w:bookmarkStart w:id="40" w:name="_Toc482093045"/>
      <w:r w:rsidRPr="00FF2C8F">
        <w:rPr>
          <w:rFonts w:ascii="Verdana" w:hAnsi="Verdana"/>
          <w:i/>
          <w:color w:val="auto"/>
          <w:sz w:val="20"/>
          <w:szCs w:val="20"/>
        </w:rPr>
        <w:t xml:space="preserve">Denuncias presentadas contra </w:t>
      </w:r>
      <w:r w:rsidR="00582969">
        <w:rPr>
          <w:rFonts w:ascii="Verdana" w:hAnsi="Verdana"/>
          <w:i/>
          <w:color w:val="auto"/>
          <w:sz w:val="20"/>
          <w:szCs w:val="20"/>
        </w:rPr>
        <w:t>m</w:t>
      </w:r>
      <w:r w:rsidRPr="00FF2C8F">
        <w:rPr>
          <w:rFonts w:ascii="Verdana" w:hAnsi="Verdana"/>
          <w:i/>
          <w:color w:val="auto"/>
          <w:sz w:val="20"/>
          <w:szCs w:val="20"/>
        </w:rPr>
        <w:t xml:space="preserve">agistrados y </w:t>
      </w:r>
      <w:r w:rsidR="00582969">
        <w:rPr>
          <w:rFonts w:ascii="Verdana" w:hAnsi="Verdana"/>
          <w:i/>
          <w:color w:val="auto"/>
          <w:sz w:val="20"/>
          <w:szCs w:val="20"/>
        </w:rPr>
        <w:t>f</w:t>
      </w:r>
      <w:r w:rsidRPr="00FF2C8F">
        <w:rPr>
          <w:rFonts w:ascii="Verdana" w:hAnsi="Verdana"/>
          <w:i/>
          <w:color w:val="auto"/>
          <w:sz w:val="20"/>
          <w:szCs w:val="20"/>
        </w:rPr>
        <w:t>uncionarios con posterioridad al recurso de revisión</w:t>
      </w:r>
      <w:bookmarkEnd w:id="40"/>
      <w:r w:rsidRPr="00FF2C8F">
        <w:rPr>
          <w:rFonts w:ascii="Verdana" w:hAnsi="Verdana"/>
          <w:i/>
          <w:color w:val="auto"/>
          <w:sz w:val="20"/>
          <w:szCs w:val="20"/>
        </w:rPr>
        <w:t xml:space="preserve"> </w:t>
      </w:r>
    </w:p>
    <w:p w14:paraId="6D172C68" w14:textId="77777777" w:rsidR="00FB723A" w:rsidRPr="0073571F" w:rsidRDefault="00FB723A" w:rsidP="00FB723A">
      <w:pPr>
        <w:jc w:val="both"/>
        <w:rPr>
          <w:rFonts w:ascii="Verdana" w:hAnsi="Verdana"/>
          <w:sz w:val="20"/>
          <w:szCs w:val="20"/>
          <w:lang w:val="es-CR"/>
        </w:rPr>
      </w:pPr>
    </w:p>
    <w:p w14:paraId="6D172C69" w14:textId="10BEAC29" w:rsidR="00FB723A" w:rsidRPr="00F049CF" w:rsidRDefault="00FB723A" w:rsidP="00054386">
      <w:pPr>
        <w:pStyle w:val="Heading3"/>
        <w:numPr>
          <w:ilvl w:val="0"/>
          <w:numId w:val="30"/>
        </w:numPr>
        <w:spacing w:before="0"/>
        <w:jc w:val="both"/>
        <w:rPr>
          <w:rFonts w:ascii="Verdana" w:hAnsi="Verdana"/>
          <w:i/>
          <w:color w:val="auto"/>
          <w:sz w:val="20"/>
          <w:szCs w:val="20"/>
        </w:rPr>
      </w:pPr>
      <w:bookmarkStart w:id="41" w:name="_Toc482093046"/>
      <w:r w:rsidRPr="0073571F">
        <w:rPr>
          <w:rFonts w:ascii="Verdana" w:hAnsi="Verdana"/>
          <w:i/>
          <w:color w:val="auto"/>
          <w:sz w:val="20"/>
          <w:szCs w:val="20"/>
        </w:rPr>
        <w:t>Denuncia por la presunta comisión del delito de prevaricato</w:t>
      </w:r>
      <w:bookmarkEnd w:id="41"/>
    </w:p>
    <w:p w14:paraId="6D172C6A" w14:textId="77777777" w:rsidR="00FB723A" w:rsidRPr="00F049CF" w:rsidRDefault="00FB723A" w:rsidP="00FB723A">
      <w:pPr>
        <w:jc w:val="both"/>
        <w:rPr>
          <w:rFonts w:ascii="Verdana" w:hAnsi="Verdana"/>
          <w:sz w:val="20"/>
          <w:szCs w:val="20"/>
          <w:lang w:val="es-CR"/>
        </w:rPr>
      </w:pPr>
    </w:p>
    <w:p w14:paraId="6D172C6D" w14:textId="6D01BCEC" w:rsidR="00FB723A" w:rsidRPr="00D41B50" w:rsidRDefault="00FB723A" w:rsidP="0015173A">
      <w:pPr>
        <w:pStyle w:val="ListParagraph"/>
        <w:numPr>
          <w:ilvl w:val="0"/>
          <w:numId w:val="2"/>
        </w:numPr>
        <w:ind w:left="0" w:hanging="11"/>
        <w:jc w:val="both"/>
        <w:rPr>
          <w:rFonts w:ascii="Verdana" w:hAnsi="Verdana"/>
          <w:sz w:val="20"/>
          <w:szCs w:val="20"/>
          <w:lang w:val="es-CR"/>
        </w:rPr>
      </w:pPr>
      <w:r>
        <w:rPr>
          <w:rFonts w:ascii="Verdana" w:hAnsi="Verdana"/>
          <w:sz w:val="20"/>
          <w:szCs w:val="20"/>
          <w:lang w:val="es-CR"/>
        </w:rPr>
        <w:t xml:space="preserve">El señor Zegarra Marín interpuso </w:t>
      </w:r>
      <w:r w:rsidRPr="00F049CF">
        <w:rPr>
          <w:rFonts w:ascii="Verdana" w:hAnsi="Verdana"/>
          <w:sz w:val="20"/>
          <w:szCs w:val="20"/>
          <w:lang w:val="es-CR"/>
        </w:rPr>
        <w:t xml:space="preserve">denuncia por los delitos de prevaricato, fraude procesal y falsedad genérica contra los tres </w:t>
      </w:r>
      <w:r>
        <w:rPr>
          <w:rFonts w:ascii="Verdana" w:hAnsi="Verdana"/>
          <w:sz w:val="20"/>
          <w:szCs w:val="20"/>
          <w:lang w:val="es-CR"/>
        </w:rPr>
        <w:t xml:space="preserve">Vocales de la Quinta Sala Penal. </w:t>
      </w:r>
      <w:r w:rsidRPr="00F049CF">
        <w:rPr>
          <w:rFonts w:ascii="Verdana" w:hAnsi="Verdana"/>
          <w:sz w:val="20"/>
          <w:szCs w:val="20"/>
          <w:lang w:val="es-CR"/>
        </w:rPr>
        <w:t>El 9 de junio de 2003 la Fiscalía Suprema de Control Interno</w:t>
      </w:r>
      <w:r w:rsidR="002D1865">
        <w:rPr>
          <w:rFonts w:ascii="Verdana" w:hAnsi="Verdana"/>
          <w:sz w:val="20"/>
          <w:szCs w:val="20"/>
          <w:lang w:val="es-CR"/>
        </w:rPr>
        <w:t xml:space="preserve"> del Ministerio Público</w:t>
      </w:r>
      <w:r>
        <w:rPr>
          <w:rFonts w:ascii="Verdana" w:hAnsi="Verdana"/>
          <w:sz w:val="20"/>
          <w:szCs w:val="20"/>
          <w:lang w:val="es-CR"/>
        </w:rPr>
        <w:t xml:space="preserve"> emitió un informe en el cual </w:t>
      </w:r>
      <w:r w:rsidRPr="00F049CF">
        <w:rPr>
          <w:rFonts w:ascii="Verdana" w:hAnsi="Verdana"/>
          <w:sz w:val="20"/>
          <w:szCs w:val="20"/>
        </w:rPr>
        <w:t>señaló que se encontraron indicios de la comisión del delito de prevaricato, regulado en el artículo 418 del Código Penal.</w:t>
      </w:r>
      <w:r>
        <w:rPr>
          <w:rFonts w:ascii="Verdana" w:hAnsi="Verdana"/>
          <w:sz w:val="20"/>
          <w:szCs w:val="20"/>
        </w:rPr>
        <w:t xml:space="preserve"> </w:t>
      </w:r>
      <w:r w:rsidRPr="00F049CF">
        <w:rPr>
          <w:rFonts w:ascii="Verdana" w:hAnsi="Verdana"/>
          <w:sz w:val="20"/>
          <w:szCs w:val="20"/>
        </w:rPr>
        <w:t>El informe concluyó que existían indicios de que la sentencia condenatoria de 8 de noviembre de 1996 se había sustentado en hechos falsos y pruebas inexistentes, y habría contravenido lo dispuesto por diversas normas legales, entre ellas los artículo 2 parágrafo e</w:t>
      </w:r>
      <w:r>
        <w:rPr>
          <w:rFonts w:ascii="Verdana" w:hAnsi="Verdana"/>
          <w:sz w:val="20"/>
          <w:szCs w:val="20"/>
        </w:rPr>
        <w:t>)</w:t>
      </w:r>
      <w:r w:rsidRPr="00F049CF">
        <w:rPr>
          <w:rFonts w:ascii="Verdana" w:hAnsi="Verdana"/>
          <w:sz w:val="20"/>
          <w:szCs w:val="20"/>
        </w:rPr>
        <w:t xml:space="preserve"> inciso 24 (principio de presunción de inocencia) y 139, inciso 5 (deber de motivación) de la Constitución</w:t>
      </w:r>
      <w:r w:rsidR="002D1865">
        <w:rPr>
          <w:rFonts w:ascii="Verdana" w:hAnsi="Verdana"/>
          <w:sz w:val="20"/>
          <w:szCs w:val="20"/>
        </w:rPr>
        <w:t xml:space="preserve"> Política</w:t>
      </w:r>
      <w:r w:rsidRPr="00F049CF">
        <w:rPr>
          <w:rFonts w:ascii="Verdana" w:hAnsi="Verdana"/>
          <w:sz w:val="20"/>
          <w:szCs w:val="20"/>
        </w:rPr>
        <w:t xml:space="preserve">; el artículo 8.2 de la Convención </w:t>
      </w:r>
      <w:r w:rsidRPr="00F049CF">
        <w:rPr>
          <w:rFonts w:ascii="Verdana" w:hAnsi="Verdana"/>
          <w:sz w:val="20"/>
          <w:szCs w:val="20"/>
        </w:rPr>
        <w:lastRenderedPageBreak/>
        <w:t>Americana, y el artículo 285 del Código de Procedimientos Penales (condenar con base en pruebas que acrediten la culpabilidad)</w:t>
      </w:r>
      <w:r w:rsidRPr="00F049CF">
        <w:rPr>
          <w:rStyle w:val="FootnoteReference"/>
          <w:szCs w:val="20"/>
        </w:rPr>
        <w:footnoteReference w:id="108"/>
      </w:r>
      <w:r w:rsidRPr="00F049CF">
        <w:rPr>
          <w:rFonts w:ascii="Verdana" w:hAnsi="Verdana"/>
          <w:sz w:val="20"/>
          <w:szCs w:val="20"/>
        </w:rPr>
        <w:t>.</w:t>
      </w:r>
      <w:r>
        <w:rPr>
          <w:rFonts w:ascii="Verdana" w:hAnsi="Verdana"/>
          <w:sz w:val="20"/>
          <w:szCs w:val="20"/>
        </w:rPr>
        <w:t xml:space="preserve"> </w:t>
      </w:r>
    </w:p>
    <w:p w14:paraId="6D172C6E" w14:textId="77777777" w:rsidR="00FB723A" w:rsidRPr="00D41B50" w:rsidRDefault="00FB723A" w:rsidP="00FB723A">
      <w:pPr>
        <w:pStyle w:val="ListParagraph"/>
        <w:rPr>
          <w:rFonts w:ascii="Verdana" w:hAnsi="Verdana"/>
          <w:sz w:val="20"/>
          <w:szCs w:val="20"/>
        </w:rPr>
      </w:pPr>
    </w:p>
    <w:p w14:paraId="6D172C6F" w14:textId="77777777" w:rsidR="00FB723A" w:rsidRPr="00D41B50"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rPr>
        <w:t>El 29 de octubre de 2003 la Fiscal de la Nación declaró infundada la denuncia por el delito de prevaricato interpuesta por el señor Zegarra Marín</w:t>
      </w:r>
      <w:r w:rsidRPr="00F049CF">
        <w:rPr>
          <w:rStyle w:val="FootnoteReference"/>
          <w:szCs w:val="20"/>
        </w:rPr>
        <w:footnoteReference w:id="109"/>
      </w:r>
      <w:r w:rsidRPr="00F049CF">
        <w:rPr>
          <w:rFonts w:ascii="Verdana" w:hAnsi="Verdana"/>
          <w:sz w:val="20"/>
          <w:szCs w:val="20"/>
        </w:rPr>
        <w:t>.</w:t>
      </w:r>
    </w:p>
    <w:p w14:paraId="6D172C70" w14:textId="77777777" w:rsidR="00FB723A" w:rsidRDefault="00FB723A" w:rsidP="00FB723A">
      <w:pPr>
        <w:pStyle w:val="ListParagraph"/>
        <w:ind w:left="0"/>
        <w:jc w:val="both"/>
        <w:rPr>
          <w:rFonts w:ascii="Verdana" w:hAnsi="Verdana"/>
          <w:sz w:val="20"/>
          <w:szCs w:val="20"/>
          <w:lang w:val="es-CR"/>
        </w:rPr>
      </w:pPr>
    </w:p>
    <w:p w14:paraId="6D172C71" w14:textId="33B5F096" w:rsidR="00FB723A" w:rsidRPr="00F049C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rPr>
        <w:t>El 9 de enero de 2004 el señor Zegarra Marín interpuso una demanda de amparo</w:t>
      </w:r>
      <w:r w:rsidRPr="00F049CF">
        <w:rPr>
          <w:rStyle w:val="FootnoteReference"/>
          <w:szCs w:val="20"/>
          <w:lang w:val="es-MX"/>
        </w:rPr>
        <w:footnoteReference w:id="110"/>
      </w:r>
      <w:r w:rsidRPr="00F049CF">
        <w:rPr>
          <w:rFonts w:ascii="Verdana" w:hAnsi="Verdana"/>
          <w:sz w:val="20"/>
          <w:szCs w:val="20"/>
        </w:rPr>
        <w:t xml:space="preserve"> contra la Fiscal de la Nación con el fin de que se declarara la nulidad de la Resolución dictada y se expidiera una nueva decisión, de conformidad con la opinión vertida en el informe de la Fiscalía Suprema.</w:t>
      </w:r>
      <w:r>
        <w:rPr>
          <w:rFonts w:ascii="Verdana" w:hAnsi="Verdana"/>
          <w:sz w:val="20"/>
          <w:szCs w:val="20"/>
        </w:rPr>
        <w:t xml:space="preserve"> Esta</w:t>
      </w:r>
      <w:r w:rsidRPr="00F049CF">
        <w:rPr>
          <w:rFonts w:ascii="Verdana" w:hAnsi="Verdana"/>
          <w:sz w:val="20"/>
          <w:szCs w:val="20"/>
        </w:rPr>
        <w:t xml:space="preserve"> Corte no cuenta con información respecto al trámite que se dio a esta demanda a nivel interno.</w:t>
      </w:r>
    </w:p>
    <w:p w14:paraId="6D172C72" w14:textId="77777777" w:rsidR="00FB723A" w:rsidRPr="00F049CF" w:rsidRDefault="00FB723A" w:rsidP="00FB723A">
      <w:pPr>
        <w:rPr>
          <w:lang w:val="es-CR"/>
        </w:rPr>
      </w:pPr>
    </w:p>
    <w:p w14:paraId="6D172C73" w14:textId="6DECDA9F" w:rsidR="00FB723A" w:rsidRPr="00F049CF" w:rsidRDefault="00FB723A" w:rsidP="00054386">
      <w:pPr>
        <w:pStyle w:val="Heading3"/>
        <w:numPr>
          <w:ilvl w:val="0"/>
          <w:numId w:val="30"/>
        </w:numPr>
        <w:spacing w:before="0"/>
        <w:jc w:val="both"/>
        <w:rPr>
          <w:rFonts w:ascii="Verdana" w:hAnsi="Verdana"/>
          <w:i/>
          <w:color w:val="auto"/>
          <w:sz w:val="20"/>
          <w:szCs w:val="20"/>
        </w:rPr>
      </w:pPr>
      <w:bookmarkStart w:id="42" w:name="_Toc482093047"/>
      <w:r w:rsidRPr="00FF2C8F">
        <w:rPr>
          <w:rFonts w:ascii="Verdana" w:hAnsi="Verdana"/>
          <w:i/>
          <w:color w:val="auto"/>
          <w:sz w:val="20"/>
          <w:szCs w:val="20"/>
        </w:rPr>
        <w:t>Denuncia contra el Fiscal Provincial Penal</w:t>
      </w:r>
      <w:bookmarkEnd w:id="42"/>
    </w:p>
    <w:p w14:paraId="6D172C74" w14:textId="77777777" w:rsidR="00FB723A" w:rsidRPr="00F049CF" w:rsidRDefault="00FB723A" w:rsidP="00FB723A">
      <w:pPr>
        <w:pStyle w:val="ListParagraph"/>
        <w:ind w:left="0" w:firstLine="720"/>
        <w:jc w:val="both"/>
        <w:rPr>
          <w:rFonts w:ascii="Verdana" w:hAnsi="Verdana"/>
          <w:sz w:val="20"/>
          <w:szCs w:val="20"/>
          <w:lang w:val="es-CR"/>
        </w:rPr>
      </w:pPr>
    </w:p>
    <w:p w14:paraId="6D172C75" w14:textId="47249D0C" w:rsidR="00FB723A" w:rsidRPr="00FF2C8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CR"/>
        </w:rPr>
        <w:t>El 2</w:t>
      </w:r>
      <w:r w:rsidR="00CF5FC3">
        <w:rPr>
          <w:rFonts w:ascii="Verdana" w:hAnsi="Verdana"/>
          <w:sz w:val="20"/>
          <w:szCs w:val="20"/>
          <w:lang w:val="es-CR"/>
        </w:rPr>
        <w:t>0</w:t>
      </w:r>
      <w:r w:rsidRPr="00F049CF">
        <w:rPr>
          <w:rFonts w:ascii="Verdana" w:hAnsi="Verdana"/>
          <w:sz w:val="20"/>
          <w:szCs w:val="20"/>
          <w:lang w:val="es-CR"/>
        </w:rPr>
        <w:t xml:space="preserve"> de abril de 2015 el señor Zegarra Marín interpuso una queja en contra del Fiscal</w:t>
      </w:r>
      <w:r w:rsidR="00CF5FC3">
        <w:rPr>
          <w:rFonts w:ascii="Verdana" w:hAnsi="Verdana"/>
          <w:sz w:val="20"/>
          <w:szCs w:val="20"/>
          <w:lang w:val="es-CR"/>
        </w:rPr>
        <w:t xml:space="preserve"> Provincial</w:t>
      </w:r>
      <w:r w:rsidRPr="00F049CF">
        <w:rPr>
          <w:rFonts w:ascii="Verdana" w:hAnsi="Verdana"/>
          <w:sz w:val="20"/>
          <w:szCs w:val="20"/>
          <w:lang w:val="es-CR"/>
        </w:rPr>
        <w:t xml:space="preserve"> </w:t>
      </w:r>
      <w:r w:rsidR="00D66927" w:rsidRPr="00D91934">
        <w:rPr>
          <w:rFonts w:ascii="Verdana" w:hAnsi="Verdana"/>
          <w:sz w:val="20"/>
          <w:szCs w:val="20"/>
        </w:rPr>
        <w:t>Tony Washington García Cano</w:t>
      </w:r>
      <w:r w:rsidRPr="00F049CF">
        <w:rPr>
          <w:rFonts w:ascii="Verdana" w:hAnsi="Verdana"/>
          <w:sz w:val="20"/>
          <w:szCs w:val="20"/>
          <w:lang w:val="es-CR"/>
        </w:rPr>
        <w:t xml:space="preserve"> ante la Oficina Desconcentrada de Control Interno de Lima del Ministerio Público</w:t>
      </w:r>
      <w:r>
        <w:rPr>
          <w:rFonts w:ascii="Verdana" w:hAnsi="Verdana"/>
          <w:sz w:val="20"/>
          <w:szCs w:val="20"/>
          <w:lang w:val="es-CR"/>
        </w:rPr>
        <w:t>,</w:t>
      </w:r>
      <w:r w:rsidRPr="00F049CF">
        <w:rPr>
          <w:rFonts w:ascii="Verdana" w:hAnsi="Verdana"/>
          <w:sz w:val="20"/>
          <w:szCs w:val="20"/>
          <w:lang w:val="es-CR"/>
        </w:rPr>
        <w:t xml:space="preserve"> debido a presuntas irregularidades en su actuación como Fiscal </w:t>
      </w:r>
      <w:r w:rsidRPr="00F049CF">
        <w:rPr>
          <w:rFonts w:ascii="Verdana" w:hAnsi="Verdana"/>
          <w:i/>
          <w:sz w:val="20"/>
          <w:szCs w:val="20"/>
          <w:lang w:val="es-CR"/>
        </w:rPr>
        <w:t>Ad-Hoc</w:t>
      </w:r>
      <w:r w:rsidRPr="00F049CF">
        <w:rPr>
          <w:rFonts w:ascii="Verdana" w:hAnsi="Verdana"/>
          <w:sz w:val="20"/>
          <w:szCs w:val="20"/>
          <w:lang w:val="es-CR"/>
        </w:rPr>
        <w:t xml:space="preserve"> en las investigaciones efectuadas desde el año 1994 en virtud de la emisión irregular de pasaportes</w:t>
      </w:r>
      <w:r w:rsidRPr="00FF2C8F">
        <w:rPr>
          <w:rStyle w:val="FootnoteReference"/>
          <w:szCs w:val="20"/>
          <w:lang w:val="es-CR"/>
        </w:rPr>
        <w:footnoteReference w:id="111"/>
      </w:r>
      <w:r w:rsidRPr="00FF2C8F">
        <w:rPr>
          <w:rFonts w:ascii="Verdana" w:hAnsi="Verdana"/>
          <w:sz w:val="20"/>
          <w:szCs w:val="20"/>
          <w:lang w:val="es-CR"/>
        </w:rPr>
        <w:t>.</w:t>
      </w:r>
    </w:p>
    <w:p w14:paraId="6D172C76" w14:textId="77777777" w:rsidR="00FB723A" w:rsidRPr="00F049CF" w:rsidRDefault="00FB723A" w:rsidP="00FB723A">
      <w:pPr>
        <w:pStyle w:val="ListParagraph"/>
        <w:ind w:left="0"/>
        <w:jc w:val="both"/>
        <w:rPr>
          <w:rFonts w:ascii="Verdana" w:hAnsi="Verdana"/>
          <w:sz w:val="20"/>
          <w:szCs w:val="20"/>
          <w:lang w:val="es-CR"/>
        </w:rPr>
      </w:pPr>
    </w:p>
    <w:p w14:paraId="6D172C77" w14:textId="77777777" w:rsidR="00FB723A" w:rsidRPr="00F049CF" w:rsidRDefault="00FB723A" w:rsidP="00FB723A">
      <w:pPr>
        <w:pStyle w:val="ListParagraph"/>
        <w:numPr>
          <w:ilvl w:val="0"/>
          <w:numId w:val="2"/>
        </w:numPr>
        <w:ind w:left="0" w:hanging="11"/>
        <w:jc w:val="both"/>
        <w:rPr>
          <w:rFonts w:ascii="Verdana" w:hAnsi="Verdana"/>
          <w:sz w:val="20"/>
          <w:szCs w:val="20"/>
          <w:lang w:val="es-CR"/>
        </w:rPr>
      </w:pPr>
      <w:r w:rsidRPr="00F049CF">
        <w:rPr>
          <w:rFonts w:ascii="Verdana" w:hAnsi="Verdana"/>
          <w:sz w:val="20"/>
          <w:szCs w:val="20"/>
          <w:lang w:val="es-CR"/>
        </w:rPr>
        <w:t>El 16 de diciembre de 2015 la Oficina Desconcentrada de Control Interno declaró improcedente por caducidad la queja interpuesta por el señor Zegarra Marín</w:t>
      </w:r>
      <w:r>
        <w:rPr>
          <w:rFonts w:ascii="Verdana" w:hAnsi="Verdana"/>
          <w:sz w:val="20"/>
          <w:szCs w:val="20"/>
          <w:lang w:val="es-CR"/>
        </w:rPr>
        <w:t>,</w:t>
      </w:r>
      <w:r w:rsidRPr="00F049CF">
        <w:rPr>
          <w:rFonts w:ascii="Verdana" w:hAnsi="Verdana"/>
          <w:sz w:val="20"/>
          <w:szCs w:val="20"/>
          <w:lang w:val="es-CR"/>
        </w:rPr>
        <w:t xml:space="preserve"> al haber transcurrido más de 30 días hábiles, plazo establecido conforme al Reglamento de Organización y Funciones de la Fiscalía Suprema de Control Interno. Asimismo, dicha entidad ordenó el archivo definitivo de la queja interpuesta</w:t>
      </w:r>
      <w:r w:rsidRPr="00F049CF">
        <w:rPr>
          <w:rStyle w:val="FootnoteReference"/>
          <w:szCs w:val="20"/>
          <w:lang w:val="es-CR"/>
        </w:rPr>
        <w:footnoteReference w:id="112"/>
      </w:r>
      <w:r w:rsidRPr="00F049CF">
        <w:rPr>
          <w:rFonts w:ascii="Verdana" w:hAnsi="Verdana"/>
          <w:sz w:val="20"/>
          <w:szCs w:val="20"/>
          <w:lang w:val="es-CR"/>
        </w:rPr>
        <w:t>.</w:t>
      </w:r>
    </w:p>
    <w:p w14:paraId="6D172C79" w14:textId="77777777" w:rsidR="00FB723A" w:rsidRDefault="00FB723A" w:rsidP="00FB723A">
      <w:pPr>
        <w:pStyle w:val="Heading1"/>
        <w:tabs>
          <w:tab w:val="left" w:pos="851"/>
        </w:tabs>
        <w:spacing w:before="0"/>
        <w:jc w:val="center"/>
        <w:rPr>
          <w:rFonts w:ascii="Verdana" w:hAnsi="Verdana" w:cs="Verdana"/>
          <w:caps/>
          <w:snapToGrid w:val="0"/>
          <w:color w:val="auto"/>
          <w:sz w:val="20"/>
          <w:szCs w:val="20"/>
        </w:rPr>
      </w:pPr>
      <w:bookmarkStart w:id="43" w:name="_Toc482093048"/>
      <w:r w:rsidRPr="00CD6059">
        <w:rPr>
          <w:rFonts w:ascii="Verdana" w:hAnsi="Verdana" w:cs="Verdana"/>
          <w:caps/>
          <w:snapToGrid w:val="0"/>
          <w:color w:val="auto"/>
          <w:sz w:val="20"/>
          <w:szCs w:val="20"/>
        </w:rPr>
        <w:lastRenderedPageBreak/>
        <w:t>V</w:t>
      </w:r>
      <w:r>
        <w:rPr>
          <w:rFonts w:ascii="Verdana" w:hAnsi="Verdana" w:cs="Verdana"/>
          <w:caps/>
          <w:snapToGrid w:val="0"/>
          <w:color w:val="auto"/>
          <w:sz w:val="20"/>
          <w:szCs w:val="20"/>
        </w:rPr>
        <w:t>iI</w:t>
      </w:r>
      <w:r w:rsidR="006274F9">
        <w:rPr>
          <w:rFonts w:ascii="Verdana" w:hAnsi="Verdana" w:cs="Verdana"/>
          <w:caps/>
          <w:snapToGrid w:val="0"/>
          <w:color w:val="auto"/>
          <w:sz w:val="20"/>
          <w:szCs w:val="20"/>
        </w:rPr>
        <w:t>I</w:t>
      </w:r>
      <w:r w:rsidRPr="00CD6059">
        <w:rPr>
          <w:rFonts w:ascii="Verdana" w:hAnsi="Verdana" w:cs="Verdana"/>
          <w:caps/>
          <w:snapToGrid w:val="0"/>
          <w:color w:val="auto"/>
          <w:sz w:val="20"/>
          <w:szCs w:val="20"/>
        </w:rPr>
        <w:br/>
      </w:r>
      <w:r>
        <w:rPr>
          <w:rFonts w:ascii="Verdana" w:hAnsi="Verdana" w:cs="Verdana"/>
          <w:caps/>
          <w:snapToGrid w:val="0"/>
          <w:color w:val="auto"/>
          <w:sz w:val="20"/>
          <w:szCs w:val="20"/>
        </w:rPr>
        <w:t>Fondo</w:t>
      </w:r>
      <w:bookmarkEnd w:id="43"/>
    </w:p>
    <w:p w14:paraId="6D172C7A" w14:textId="77777777" w:rsidR="00FB723A" w:rsidRPr="003A2E91" w:rsidRDefault="00FB723A" w:rsidP="00FB723A"/>
    <w:p w14:paraId="6D172C7B" w14:textId="280ABD6E" w:rsidR="00FB723A" w:rsidRPr="00D41B50" w:rsidRDefault="00FB723A" w:rsidP="00FB723A">
      <w:pPr>
        <w:pStyle w:val="ListParagraph"/>
        <w:numPr>
          <w:ilvl w:val="0"/>
          <w:numId w:val="2"/>
        </w:numPr>
        <w:ind w:left="0" w:hanging="11"/>
        <w:jc w:val="both"/>
        <w:rPr>
          <w:rFonts w:ascii="Verdana" w:hAnsi="Verdana"/>
          <w:sz w:val="20"/>
          <w:szCs w:val="20"/>
        </w:rPr>
      </w:pPr>
      <w:r w:rsidRPr="00D41B50">
        <w:rPr>
          <w:rFonts w:ascii="Verdana" w:hAnsi="Verdana" w:cs="Arial"/>
          <w:sz w:val="20"/>
          <w:szCs w:val="20"/>
          <w:lang w:val="es-CO"/>
        </w:rPr>
        <w:t>En este capítulo la Corte procederá a analizar los argumentos presentados</w:t>
      </w:r>
      <w:r w:rsidRPr="00D41B50">
        <w:rPr>
          <w:rFonts w:ascii="Verdana" w:hAnsi="Verdana"/>
          <w:sz w:val="20"/>
          <w:szCs w:val="20"/>
        </w:rPr>
        <w:t xml:space="preserve"> por las partes y la Comisión, y desarrollará las consideraciones de derecho pertinentes relacionadas con las alegadas vulneraciones a las garantías judiciales</w:t>
      </w:r>
      <w:r w:rsidR="0049462E">
        <w:rPr>
          <w:rFonts w:ascii="Verdana" w:hAnsi="Verdana"/>
          <w:sz w:val="20"/>
          <w:szCs w:val="20"/>
        </w:rPr>
        <w:t xml:space="preserve"> y</w:t>
      </w:r>
      <w:r w:rsidRPr="00D41B50">
        <w:rPr>
          <w:rFonts w:ascii="Verdana" w:hAnsi="Verdana"/>
          <w:sz w:val="20"/>
          <w:szCs w:val="20"/>
        </w:rPr>
        <w:t xml:space="preserve"> protección judicial</w:t>
      </w:r>
      <w:r w:rsidR="0049462E">
        <w:rPr>
          <w:rFonts w:ascii="Verdana" w:hAnsi="Verdana"/>
          <w:sz w:val="20"/>
          <w:szCs w:val="20"/>
        </w:rPr>
        <w:t xml:space="preserve">. </w:t>
      </w:r>
      <w:r w:rsidRPr="00D41B50">
        <w:rPr>
          <w:rFonts w:ascii="Verdana" w:hAnsi="Verdana"/>
          <w:sz w:val="20"/>
          <w:szCs w:val="20"/>
        </w:rPr>
        <w:t>Para ese efecto, se realizará un análisis en el siguiente orden: a) la alegada vulneración a</w:t>
      </w:r>
      <w:r>
        <w:rPr>
          <w:rFonts w:ascii="Verdana" w:hAnsi="Verdana"/>
          <w:sz w:val="20"/>
          <w:szCs w:val="20"/>
        </w:rPr>
        <w:t>l</w:t>
      </w:r>
      <w:r w:rsidRPr="00D41B50">
        <w:rPr>
          <w:rFonts w:ascii="Verdana" w:hAnsi="Verdana"/>
          <w:sz w:val="20"/>
          <w:szCs w:val="20"/>
        </w:rPr>
        <w:t xml:space="preserve"> artículo 8</w:t>
      </w:r>
      <w:r w:rsidRPr="0038713C">
        <w:rPr>
          <w:rStyle w:val="FootnoteReference"/>
          <w:szCs w:val="20"/>
        </w:rPr>
        <w:footnoteReference w:id="113"/>
      </w:r>
      <w:r w:rsidRPr="00D41B50">
        <w:rPr>
          <w:rFonts w:ascii="Verdana" w:hAnsi="Verdana"/>
          <w:sz w:val="20"/>
          <w:szCs w:val="20"/>
        </w:rPr>
        <w:t xml:space="preserve"> de la Convención Americana, y b) la alegada vulneración </w:t>
      </w:r>
      <w:r>
        <w:rPr>
          <w:rFonts w:ascii="Verdana" w:hAnsi="Verdana"/>
          <w:sz w:val="20"/>
          <w:szCs w:val="20"/>
        </w:rPr>
        <w:t>de los artículos 8.2.h y</w:t>
      </w:r>
      <w:r w:rsidRPr="00D41B50">
        <w:rPr>
          <w:rFonts w:ascii="Verdana" w:hAnsi="Verdana"/>
          <w:sz w:val="20"/>
          <w:szCs w:val="20"/>
        </w:rPr>
        <w:t xml:space="preserve"> 25</w:t>
      </w:r>
      <w:r w:rsidRPr="0038713C">
        <w:rPr>
          <w:rStyle w:val="FootnoteReference"/>
          <w:szCs w:val="20"/>
        </w:rPr>
        <w:footnoteReference w:id="114"/>
      </w:r>
      <w:r w:rsidR="0049462E">
        <w:rPr>
          <w:rFonts w:ascii="Verdana" w:hAnsi="Verdana"/>
          <w:sz w:val="20"/>
          <w:szCs w:val="20"/>
        </w:rPr>
        <w:t>.</w:t>
      </w:r>
    </w:p>
    <w:p w14:paraId="1326073A" w14:textId="77777777" w:rsidR="00480986" w:rsidRDefault="00480986" w:rsidP="00FB723A">
      <w:pPr>
        <w:pStyle w:val="Heading1"/>
        <w:tabs>
          <w:tab w:val="left" w:pos="851"/>
        </w:tabs>
        <w:spacing w:before="0"/>
        <w:jc w:val="center"/>
        <w:rPr>
          <w:rFonts w:ascii="Verdana" w:hAnsi="Verdana" w:cs="Verdana"/>
          <w:caps/>
          <w:snapToGrid w:val="0"/>
          <w:color w:val="auto"/>
          <w:sz w:val="20"/>
          <w:szCs w:val="20"/>
        </w:rPr>
      </w:pPr>
      <w:bookmarkStart w:id="44" w:name="_Toc460409017"/>
      <w:bookmarkStart w:id="45" w:name="_Toc460481998"/>
      <w:bookmarkStart w:id="46" w:name="_Toc462239153"/>
      <w:bookmarkStart w:id="47" w:name="_Toc336811049"/>
      <w:bookmarkStart w:id="48" w:name="_Toc447112134"/>
    </w:p>
    <w:p w14:paraId="6D172C7C" w14:textId="77777777" w:rsidR="00FB723A" w:rsidRDefault="00FB723A" w:rsidP="00FB723A">
      <w:pPr>
        <w:pStyle w:val="Heading1"/>
        <w:tabs>
          <w:tab w:val="left" w:pos="851"/>
        </w:tabs>
        <w:spacing w:before="0"/>
        <w:jc w:val="center"/>
        <w:rPr>
          <w:rFonts w:ascii="Verdana" w:hAnsi="Verdana" w:cs="Verdana"/>
          <w:caps/>
          <w:snapToGrid w:val="0"/>
          <w:color w:val="auto"/>
          <w:sz w:val="20"/>
          <w:szCs w:val="20"/>
        </w:rPr>
      </w:pPr>
      <w:bookmarkStart w:id="49" w:name="_Toc482093049"/>
      <w:r>
        <w:rPr>
          <w:rFonts w:ascii="Verdana" w:hAnsi="Verdana" w:cs="Verdana"/>
          <w:caps/>
          <w:snapToGrid w:val="0"/>
          <w:color w:val="auto"/>
          <w:sz w:val="20"/>
          <w:szCs w:val="20"/>
        </w:rPr>
        <w:t>VII</w:t>
      </w:r>
      <w:r w:rsidR="006274F9">
        <w:rPr>
          <w:rFonts w:ascii="Verdana" w:hAnsi="Verdana" w:cs="Verdana"/>
          <w:caps/>
          <w:snapToGrid w:val="0"/>
          <w:color w:val="auto"/>
          <w:sz w:val="20"/>
          <w:szCs w:val="20"/>
        </w:rPr>
        <w:t>I</w:t>
      </w:r>
      <w:r>
        <w:rPr>
          <w:rFonts w:ascii="Verdana" w:hAnsi="Verdana" w:cs="Verdana"/>
          <w:caps/>
          <w:snapToGrid w:val="0"/>
          <w:color w:val="auto"/>
          <w:sz w:val="20"/>
          <w:szCs w:val="20"/>
        </w:rPr>
        <w:t>-1</w:t>
      </w:r>
      <w:bookmarkEnd w:id="44"/>
      <w:bookmarkEnd w:id="45"/>
      <w:bookmarkEnd w:id="46"/>
      <w:bookmarkEnd w:id="47"/>
      <w:bookmarkEnd w:id="49"/>
    </w:p>
    <w:p w14:paraId="6D172C7D" w14:textId="77777777" w:rsidR="00FB723A" w:rsidRDefault="00FB723A" w:rsidP="00FB723A">
      <w:pPr>
        <w:pStyle w:val="Heading1"/>
        <w:tabs>
          <w:tab w:val="left" w:pos="851"/>
        </w:tabs>
        <w:spacing w:before="0"/>
        <w:jc w:val="center"/>
        <w:rPr>
          <w:rFonts w:ascii="Verdana" w:hAnsi="Verdana" w:cs="Verdana"/>
          <w:caps/>
          <w:snapToGrid w:val="0"/>
          <w:color w:val="auto"/>
          <w:sz w:val="20"/>
          <w:szCs w:val="20"/>
        </w:rPr>
      </w:pPr>
      <w:bookmarkStart w:id="50" w:name="_Toc336811050"/>
      <w:bookmarkStart w:id="51" w:name="_Toc482093050"/>
      <w:r w:rsidRPr="003A2E91">
        <w:rPr>
          <w:rFonts w:ascii="Verdana" w:hAnsi="Verdana" w:cs="Verdana"/>
          <w:caps/>
          <w:snapToGrid w:val="0"/>
          <w:color w:val="auto"/>
          <w:sz w:val="20"/>
          <w:szCs w:val="20"/>
        </w:rPr>
        <w:t>DERECHO A LAS GARANTÍAS JUDICIALES</w:t>
      </w:r>
      <w:bookmarkEnd w:id="50"/>
      <w:bookmarkEnd w:id="51"/>
      <w:r w:rsidRPr="003A2E91">
        <w:rPr>
          <w:rFonts w:ascii="Verdana" w:hAnsi="Verdana" w:cs="Verdana"/>
          <w:caps/>
          <w:snapToGrid w:val="0"/>
          <w:color w:val="auto"/>
          <w:sz w:val="20"/>
          <w:szCs w:val="20"/>
        </w:rPr>
        <w:t xml:space="preserve"> </w:t>
      </w:r>
      <w:bookmarkEnd w:id="48"/>
    </w:p>
    <w:p w14:paraId="6D172C7E" w14:textId="77777777" w:rsidR="00FB723A" w:rsidRPr="00542AB9" w:rsidRDefault="00FB723A" w:rsidP="00FB723A">
      <w:pPr>
        <w:pStyle w:val="Heading1"/>
        <w:tabs>
          <w:tab w:val="left" w:pos="851"/>
        </w:tabs>
        <w:spacing w:before="0"/>
        <w:jc w:val="center"/>
        <w:rPr>
          <w:rFonts w:ascii="Verdana" w:hAnsi="Verdana" w:cs="Verdana"/>
          <w:caps/>
          <w:snapToGrid w:val="0"/>
          <w:color w:val="auto"/>
          <w:sz w:val="20"/>
          <w:szCs w:val="20"/>
        </w:rPr>
      </w:pPr>
      <w:bookmarkStart w:id="52" w:name="_Toc462239155"/>
      <w:bookmarkStart w:id="53" w:name="_Toc482093051"/>
      <w:r>
        <w:rPr>
          <w:rFonts w:ascii="Verdana" w:hAnsi="Verdana" w:cs="Verdana"/>
          <w:caps/>
          <w:snapToGrid w:val="0"/>
          <w:color w:val="auto"/>
          <w:sz w:val="20"/>
          <w:szCs w:val="20"/>
        </w:rPr>
        <w:t>(</w:t>
      </w:r>
      <w:r w:rsidRPr="00662EED">
        <w:rPr>
          <w:rFonts w:ascii="Verdana" w:hAnsi="Verdana"/>
          <w:color w:val="auto"/>
          <w:sz w:val="20"/>
          <w:szCs w:val="20"/>
          <w:lang w:val="es-ES"/>
        </w:rPr>
        <w:t xml:space="preserve">PRESUNCIÓN DE INOCENCIA EN RELACIÓN CON EL DEBER DE MOTIVAR </w:t>
      </w:r>
      <w:r w:rsidR="00675F84">
        <w:rPr>
          <w:rFonts w:ascii="Verdana" w:hAnsi="Verdana"/>
          <w:color w:val="auto"/>
          <w:sz w:val="20"/>
          <w:szCs w:val="20"/>
          <w:lang w:val="es-ES"/>
        </w:rPr>
        <w:t>EL</w:t>
      </w:r>
      <w:r w:rsidRPr="00662EED">
        <w:rPr>
          <w:rFonts w:ascii="Verdana" w:hAnsi="Verdana"/>
          <w:color w:val="auto"/>
          <w:sz w:val="20"/>
          <w:szCs w:val="20"/>
          <w:lang w:val="es-ES"/>
        </w:rPr>
        <w:t xml:space="preserve"> FALLO</w:t>
      </w:r>
      <w:r>
        <w:rPr>
          <w:rFonts w:ascii="Verdana" w:hAnsi="Verdana"/>
          <w:color w:val="auto"/>
          <w:sz w:val="20"/>
          <w:szCs w:val="20"/>
          <w:lang w:val="es-ES"/>
        </w:rPr>
        <w:t>)</w:t>
      </w:r>
      <w:bookmarkEnd w:id="52"/>
      <w:bookmarkEnd w:id="53"/>
    </w:p>
    <w:p w14:paraId="6D172C7F" w14:textId="77777777" w:rsidR="00FB723A" w:rsidRPr="003E2B77" w:rsidRDefault="00FB723A" w:rsidP="00FB723A">
      <w:pPr>
        <w:jc w:val="both"/>
        <w:rPr>
          <w:rFonts w:ascii="Verdana" w:hAnsi="Verdana"/>
          <w:sz w:val="20"/>
          <w:szCs w:val="20"/>
          <w:lang w:val="es-CR"/>
        </w:rPr>
      </w:pPr>
    </w:p>
    <w:p w14:paraId="6D172C80" w14:textId="77777777" w:rsidR="00FB723A" w:rsidRPr="00662EED" w:rsidRDefault="00FB723A" w:rsidP="00D83DC8">
      <w:pPr>
        <w:pStyle w:val="Heading2"/>
        <w:numPr>
          <w:ilvl w:val="0"/>
          <w:numId w:val="11"/>
        </w:numPr>
        <w:spacing w:before="0"/>
        <w:jc w:val="both"/>
        <w:rPr>
          <w:rFonts w:ascii="Verdana" w:hAnsi="Verdana"/>
          <w:i/>
          <w:color w:val="auto"/>
          <w:sz w:val="20"/>
          <w:szCs w:val="20"/>
          <w:lang w:val="es-ES"/>
        </w:rPr>
      </w:pPr>
      <w:bookmarkStart w:id="54" w:name="_Toc447112135"/>
      <w:bookmarkStart w:id="55" w:name="_Toc482093052"/>
      <w:r w:rsidRPr="00662EED">
        <w:rPr>
          <w:rFonts w:ascii="Verdana" w:hAnsi="Verdana"/>
          <w:i/>
          <w:color w:val="auto"/>
          <w:sz w:val="20"/>
          <w:szCs w:val="20"/>
          <w:lang w:val="es-ES"/>
        </w:rPr>
        <w:t>Argumentos de las partes</w:t>
      </w:r>
      <w:bookmarkEnd w:id="54"/>
      <w:r>
        <w:rPr>
          <w:rFonts w:ascii="Verdana" w:hAnsi="Verdana"/>
          <w:i/>
          <w:color w:val="auto"/>
          <w:sz w:val="20"/>
          <w:szCs w:val="20"/>
          <w:lang w:val="es-ES"/>
        </w:rPr>
        <w:t xml:space="preserve"> y</w:t>
      </w:r>
      <w:r w:rsidRPr="00787A73">
        <w:rPr>
          <w:rFonts w:ascii="Verdana" w:hAnsi="Verdana"/>
          <w:i/>
          <w:color w:val="auto"/>
          <w:sz w:val="20"/>
          <w:szCs w:val="20"/>
          <w:lang w:val="es-ES"/>
        </w:rPr>
        <w:t xml:space="preserve"> </w:t>
      </w:r>
      <w:r w:rsidRPr="00662EED">
        <w:rPr>
          <w:rFonts w:ascii="Verdana" w:hAnsi="Verdana"/>
          <w:i/>
          <w:color w:val="auto"/>
          <w:sz w:val="20"/>
          <w:szCs w:val="20"/>
          <w:lang w:val="es-ES"/>
        </w:rPr>
        <w:t>de la Comisión</w:t>
      </w:r>
      <w:bookmarkEnd w:id="55"/>
    </w:p>
    <w:p w14:paraId="6D172C81" w14:textId="77777777" w:rsidR="00FB723A" w:rsidRPr="00662EED" w:rsidRDefault="00FB723A" w:rsidP="00FB723A">
      <w:pPr>
        <w:ind w:left="360"/>
        <w:contextualSpacing/>
        <w:jc w:val="both"/>
        <w:rPr>
          <w:rFonts w:ascii="Verdana" w:hAnsi="Verdana"/>
          <w:i/>
          <w:sz w:val="20"/>
          <w:szCs w:val="20"/>
          <w:lang w:val="es-ES"/>
        </w:rPr>
      </w:pPr>
      <w:r w:rsidRPr="00662EED">
        <w:rPr>
          <w:rFonts w:ascii="Verdana" w:hAnsi="Verdana"/>
          <w:i/>
          <w:sz w:val="20"/>
          <w:szCs w:val="20"/>
          <w:lang w:val="es-ES"/>
        </w:rPr>
        <w:t xml:space="preserve"> </w:t>
      </w:r>
    </w:p>
    <w:p w14:paraId="6D172C82" w14:textId="37166D99" w:rsidR="00FB723A" w:rsidRPr="00662EED" w:rsidRDefault="00FB723A" w:rsidP="00FB723A">
      <w:pPr>
        <w:pStyle w:val="ListParagraph"/>
        <w:numPr>
          <w:ilvl w:val="0"/>
          <w:numId w:val="2"/>
        </w:numPr>
        <w:ind w:left="0" w:hanging="11"/>
        <w:jc w:val="both"/>
        <w:rPr>
          <w:rFonts w:ascii="Verdana" w:hAnsi="Verdana"/>
          <w:sz w:val="20"/>
          <w:szCs w:val="20"/>
          <w:lang w:val="es-MX"/>
        </w:rPr>
      </w:pPr>
      <w:r w:rsidRPr="00662EED">
        <w:rPr>
          <w:rFonts w:ascii="Verdana" w:hAnsi="Verdana"/>
          <w:sz w:val="20"/>
          <w:szCs w:val="20"/>
          <w:lang w:val="es-ES"/>
        </w:rPr>
        <w:t xml:space="preserve">La </w:t>
      </w:r>
      <w:r w:rsidRPr="00525A04">
        <w:rPr>
          <w:rFonts w:ascii="Verdana" w:hAnsi="Verdana"/>
          <w:b/>
          <w:i/>
          <w:sz w:val="20"/>
          <w:szCs w:val="20"/>
          <w:lang w:val="es-MX"/>
        </w:rPr>
        <w:t>Comisión</w:t>
      </w:r>
      <w:r w:rsidRPr="00662EED">
        <w:rPr>
          <w:rFonts w:ascii="Verdana" w:hAnsi="Verdana"/>
          <w:i/>
          <w:sz w:val="20"/>
          <w:szCs w:val="20"/>
          <w:lang w:val="es-MX"/>
        </w:rPr>
        <w:t xml:space="preserve"> </w:t>
      </w:r>
      <w:r w:rsidRPr="00662EED">
        <w:rPr>
          <w:rFonts w:ascii="Verdana" w:hAnsi="Verdana"/>
          <w:sz w:val="20"/>
          <w:szCs w:val="20"/>
          <w:lang w:val="es-MX"/>
        </w:rPr>
        <w:t xml:space="preserve">alegó que Perú violó el derecho </w:t>
      </w:r>
      <w:r w:rsidRPr="0007798A">
        <w:rPr>
          <w:rFonts w:ascii="Verdana" w:hAnsi="Verdana"/>
          <w:sz w:val="20"/>
          <w:szCs w:val="20"/>
          <w:lang w:val="es-ES"/>
        </w:rPr>
        <w:t>del señor Zegarra Marín</w:t>
      </w:r>
      <w:r w:rsidRPr="00662EED">
        <w:rPr>
          <w:rFonts w:ascii="Verdana" w:hAnsi="Verdana"/>
          <w:sz w:val="20"/>
          <w:szCs w:val="20"/>
          <w:lang w:val="es-MX"/>
        </w:rPr>
        <w:t xml:space="preserve"> a la presunción de inocencia, e incumplió el deber de motivación, establecidos en los artículos 8.1 y 8.2 de la Convención, en relación con el artículo 1.1 del mismo instrumento, con motivo de la sentencia emitida el 8 de noviembre de 1996 por la Quinta Sala Penal de la </w:t>
      </w:r>
      <w:r w:rsidRPr="00662EED">
        <w:rPr>
          <w:rFonts w:ascii="Verdana" w:hAnsi="Verdana"/>
          <w:sz w:val="20"/>
          <w:szCs w:val="20"/>
          <w:lang w:val="es-MX"/>
        </w:rPr>
        <w:lastRenderedPageBreak/>
        <w:t xml:space="preserve">Corte Superior de Justicia de Lima. Aseguró que en virtud de dicha condena se </w:t>
      </w:r>
      <w:r w:rsidR="008F5517">
        <w:rPr>
          <w:rFonts w:ascii="Verdana" w:hAnsi="Verdana"/>
          <w:sz w:val="20"/>
          <w:szCs w:val="20"/>
          <w:lang w:val="es-MX"/>
        </w:rPr>
        <w:t>configuraron</w:t>
      </w:r>
      <w:r w:rsidR="008F5517" w:rsidRPr="00662EED">
        <w:rPr>
          <w:rFonts w:ascii="Verdana" w:hAnsi="Verdana"/>
          <w:sz w:val="20"/>
          <w:szCs w:val="20"/>
          <w:lang w:val="es-MX"/>
        </w:rPr>
        <w:t xml:space="preserve"> </w:t>
      </w:r>
      <w:r w:rsidRPr="00662EED">
        <w:rPr>
          <w:rFonts w:ascii="Verdana" w:hAnsi="Verdana"/>
          <w:sz w:val="20"/>
          <w:szCs w:val="20"/>
          <w:lang w:val="es-MX"/>
        </w:rPr>
        <w:t>tres violaciones al principio de presunción de inocencia, las cuales tienen un contenido autónomo, consistes en que: i) la fundamentación de la condena se basó exclusivamente en las declaraciones de los coimputados y su factibilidad; ii) la falta de motivación sobre la valoración de la prueba de descargo, y iii) la inversión de la carga de la prueba.</w:t>
      </w:r>
    </w:p>
    <w:p w14:paraId="6D172C83" w14:textId="6430D5F9" w:rsidR="00FB723A" w:rsidRPr="00662EED" w:rsidRDefault="00247309" w:rsidP="00FB723A">
      <w:pPr>
        <w:tabs>
          <w:tab w:val="left" w:pos="284"/>
        </w:tabs>
        <w:jc w:val="both"/>
        <w:rPr>
          <w:rFonts w:ascii="Verdana" w:hAnsi="Verdana"/>
          <w:sz w:val="20"/>
          <w:szCs w:val="20"/>
          <w:lang w:val="es-MX"/>
        </w:rPr>
      </w:pPr>
      <w:r>
        <w:rPr>
          <w:rFonts w:ascii="Verdana" w:hAnsi="Verdana"/>
          <w:sz w:val="20"/>
          <w:szCs w:val="20"/>
          <w:lang w:val="es-MX"/>
        </w:rPr>
        <w:t xml:space="preserve"> </w:t>
      </w:r>
    </w:p>
    <w:p w14:paraId="6D172C84" w14:textId="74A171E7" w:rsidR="00FB723A" w:rsidRPr="00662EED" w:rsidRDefault="00FB723A" w:rsidP="00FB723A">
      <w:pPr>
        <w:pStyle w:val="ListParagraph"/>
        <w:numPr>
          <w:ilvl w:val="0"/>
          <w:numId w:val="2"/>
        </w:numPr>
        <w:ind w:left="0" w:hanging="11"/>
        <w:jc w:val="both"/>
        <w:rPr>
          <w:rFonts w:ascii="Verdana" w:hAnsi="Verdana"/>
          <w:sz w:val="20"/>
          <w:szCs w:val="20"/>
          <w:lang w:val="es-MX"/>
        </w:rPr>
      </w:pPr>
      <w:r w:rsidRPr="00662EED">
        <w:rPr>
          <w:rFonts w:ascii="Verdana" w:hAnsi="Verdana"/>
          <w:sz w:val="20"/>
          <w:szCs w:val="20"/>
          <w:lang w:val="es-MX"/>
        </w:rPr>
        <w:t>La Comisión argumentó que</w:t>
      </w:r>
      <w:r>
        <w:rPr>
          <w:rFonts w:ascii="Verdana" w:hAnsi="Verdana"/>
          <w:sz w:val="20"/>
          <w:szCs w:val="20"/>
          <w:lang w:val="es-MX"/>
        </w:rPr>
        <w:t>,</w:t>
      </w:r>
      <w:r w:rsidRPr="00662EED">
        <w:rPr>
          <w:rFonts w:ascii="Verdana" w:hAnsi="Verdana"/>
          <w:sz w:val="20"/>
          <w:szCs w:val="20"/>
          <w:lang w:val="es-MX"/>
        </w:rPr>
        <w:t xml:space="preserve"> del análisis de la motivación judicial realizada por la Quinta Sala Penal de la Corte Superior de Justicia de Lima en la sentencia condenatoria, </w:t>
      </w:r>
      <w:r>
        <w:rPr>
          <w:rFonts w:ascii="Verdana" w:hAnsi="Verdana"/>
          <w:sz w:val="20"/>
          <w:szCs w:val="20"/>
          <w:lang w:val="es-MX"/>
        </w:rPr>
        <w:t>é</w:t>
      </w:r>
      <w:r w:rsidRPr="00662EED">
        <w:rPr>
          <w:rFonts w:ascii="Verdana" w:hAnsi="Verdana"/>
          <w:sz w:val="20"/>
          <w:szCs w:val="20"/>
          <w:lang w:val="es-MX"/>
        </w:rPr>
        <w:t xml:space="preserve">sta fue explícita en indicar que los únicos elementos de prueba en contra </w:t>
      </w:r>
      <w:r w:rsidRPr="0007798A">
        <w:rPr>
          <w:rFonts w:ascii="Verdana" w:hAnsi="Verdana"/>
          <w:sz w:val="20"/>
          <w:szCs w:val="20"/>
          <w:lang w:val="es-ES"/>
        </w:rPr>
        <w:t>del señor Zegarra Marín</w:t>
      </w:r>
      <w:r w:rsidRPr="00662EED" w:rsidDel="00186534">
        <w:rPr>
          <w:rFonts w:ascii="Verdana" w:hAnsi="Verdana"/>
          <w:sz w:val="20"/>
          <w:szCs w:val="20"/>
          <w:lang w:val="es-MX"/>
        </w:rPr>
        <w:t xml:space="preserve"> </w:t>
      </w:r>
      <w:r w:rsidRPr="00662EED">
        <w:rPr>
          <w:rFonts w:ascii="Verdana" w:hAnsi="Verdana"/>
          <w:sz w:val="20"/>
          <w:szCs w:val="20"/>
          <w:lang w:val="es-MX"/>
        </w:rPr>
        <w:t>fueron las declaraciones de dos de sus coimputados. Asimismo, la Comisión señaló que</w:t>
      </w:r>
      <w:r>
        <w:rPr>
          <w:rFonts w:ascii="Verdana" w:hAnsi="Verdana"/>
          <w:sz w:val="20"/>
          <w:szCs w:val="20"/>
          <w:lang w:val="es-MX"/>
        </w:rPr>
        <w:t>,</w:t>
      </w:r>
      <w:r w:rsidRPr="00662EED">
        <w:rPr>
          <w:rFonts w:ascii="Verdana" w:hAnsi="Verdana"/>
          <w:sz w:val="20"/>
          <w:szCs w:val="20"/>
          <w:lang w:val="es-MX"/>
        </w:rPr>
        <w:t xml:space="preserve"> a pesar de la existencia de pruebas de descargo favorables </w:t>
      </w:r>
      <w:r>
        <w:rPr>
          <w:rFonts w:ascii="Verdana" w:hAnsi="Verdana"/>
          <w:sz w:val="20"/>
          <w:szCs w:val="20"/>
          <w:lang w:val="es-ES"/>
        </w:rPr>
        <w:t>al</w:t>
      </w:r>
      <w:r w:rsidRPr="0007798A">
        <w:rPr>
          <w:rFonts w:ascii="Verdana" w:hAnsi="Verdana"/>
          <w:sz w:val="20"/>
          <w:szCs w:val="20"/>
          <w:lang w:val="es-ES"/>
        </w:rPr>
        <w:t xml:space="preserve"> señor Zegarra Marín</w:t>
      </w:r>
      <w:r w:rsidRPr="00662EED">
        <w:rPr>
          <w:rFonts w:ascii="Verdana" w:hAnsi="Verdana"/>
          <w:sz w:val="20"/>
          <w:szCs w:val="20"/>
          <w:lang w:val="es-MX"/>
        </w:rPr>
        <w:t xml:space="preserve">, que contradecían directamente las declaraciones de </w:t>
      </w:r>
      <w:r>
        <w:rPr>
          <w:rFonts w:ascii="Verdana" w:hAnsi="Verdana"/>
          <w:sz w:val="20"/>
          <w:szCs w:val="20"/>
          <w:lang w:val="es-MX"/>
        </w:rPr>
        <w:t>los coimputados,</w:t>
      </w:r>
      <w:r w:rsidRPr="00662EED">
        <w:rPr>
          <w:rFonts w:ascii="Verdana" w:hAnsi="Verdana"/>
          <w:sz w:val="20"/>
          <w:szCs w:val="20"/>
          <w:lang w:val="es-MX"/>
        </w:rPr>
        <w:t xml:space="preserve"> la Quinta Sala no dejó constancia de la motivación por la cual tales pruebas no generaban duda sobre la responsabilidad penal </w:t>
      </w:r>
      <w:r w:rsidRPr="0007798A">
        <w:rPr>
          <w:rFonts w:ascii="Verdana" w:hAnsi="Verdana"/>
          <w:sz w:val="20"/>
          <w:szCs w:val="20"/>
          <w:lang w:val="es-ES"/>
        </w:rPr>
        <w:t>del señor Zegarra Marín</w:t>
      </w:r>
      <w:r w:rsidRPr="00662EED">
        <w:rPr>
          <w:rFonts w:ascii="Verdana" w:hAnsi="Verdana"/>
          <w:sz w:val="20"/>
          <w:szCs w:val="20"/>
          <w:lang w:val="es-MX"/>
        </w:rPr>
        <w:t>, limitándose a indicar</w:t>
      </w:r>
      <w:r>
        <w:rPr>
          <w:rFonts w:ascii="Verdana" w:hAnsi="Verdana"/>
          <w:sz w:val="20"/>
          <w:szCs w:val="20"/>
          <w:lang w:val="es-MX"/>
        </w:rPr>
        <w:t>,</w:t>
      </w:r>
      <w:r w:rsidRPr="00662EED">
        <w:rPr>
          <w:rFonts w:ascii="Verdana" w:hAnsi="Verdana"/>
          <w:sz w:val="20"/>
          <w:szCs w:val="20"/>
          <w:lang w:val="es-MX"/>
        </w:rPr>
        <w:t xml:space="preserve"> sin mayor análisis, que las imputaciones realizadas por el coimputado eran “factibles”. Igualmente, la Comisión aseguró que la sentencia contiene una expresa inversión de la carga de la prueba, al señalar que “no ha surgido prueba de descargo contundente que lo haga totalmente inocente de los ilícitos que se le imputan”.</w:t>
      </w:r>
    </w:p>
    <w:p w14:paraId="6D172C85" w14:textId="77777777" w:rsidR="00FB723A" w:rsidRPr="00662EED" w:rsidRDefault="00FB723A" w:rsidP="00FB723A">
      <w:pPr>
        <w:tabs>
          <w:tab w:val="left" w:pos="284"/>
        </w:tabs>
        <w:jc w:val="both"/>
        <w:rPr>
          <w:rFonts w:ascii="Verdana" w:hAnsi="Verdana"/>
          <w:sz w:val="20"/>
          <w:szCs w:val="20"/>
          <w:lang w:val="es-ES"/>
        </w:rPr>
      </w:pPr>
    </w:p>
    <w:p w14:paraId="6D172C86" w14:textId="5DC73D85" w:rsidR="00FB723A" w:rsidRDefault="00FB723A" w:rsidP="00FB723A">
      <w:pPr>
        <w:pStyle w:val="ListParagraph"/>
        <w:numPr>
          <w:ilvl w:val="0"/>
          <w:numId w:val="2"/>
        </w:numPr>
        <w:ind w:left="0" w:hanging="11"/>
        <w:jc w:val="both"/>
        <w:rPr>
          <w:rFonts w:ascii="Verdana" w:hAnsi="Verdana"/>
          <w:sz w:val="20"/>
          <w:szCs w:val="20"/>
          <w:lang w:val="es-ES"/>
        </w:rPr>
      </w:pPr>
      <w:r w:rsidRPr="00662EED">
        <w:rPr>
          <w:rFonts w:ascii="Verdana" w:hAnsi="Verdana"/>
          <w:sz w:val="20"/>
          <w:szCs w:val="20"/>
          <w:lang w:val="es-MX"/>
        </w:rPr>
        <w:t xml:space="preserve">Los </w:t>
      </w:r>
      <w:r w:rsidRPr="00525A04">
        <w:rPr>
          <w:rFonts w:ascii="Verdana" w:hAnsi="Verdana"/>
          <w:b/>
          <w:i/>
          <w:sz w:val="20"/>
          <w:szCs w:val="20"/>
          <w:lang w:val="es-MX"/>
        </w:rPr>
        <w:t>representantes</w:t>
      </w:r>
      <w:r w:rsidRPr="00662EED">
        <w:rPr>
          <w:rFonts w:ascii="Verdana" w:hAnsi="Verdana"/>
          <w:i/>
          <w:sz w:val="20"/>
          <w:szCs w:val="20"/>
          <w:lang w:val="es-MX"/>
        </w:rPr>
        <w:t xml:space="preserve"> </w:t>
      </w:r>
      <w:r w:rsidRPr="00662EED">
        <w:rPr>
          <w:rFonts w:ascii="Verdana" w:hAnsi="Verdana"/>
          <w:sz w:val="20"/>
          <w:szCs w:val="20"/>
          <w:lang w:val="es-MX"/>
        </w:rPr>
        <w:t xml:space="preserve">coincidieron en líneas generales con la Comisión. </w:t>
      </w:r>
      <w:r>
        <w:rPr>
          <w:rFonts w:ascii="Verdana" w:hAnsi="Verdana"/>
          <w:sz w:val="20"/>
          <w:szCs w:val="20"/>
          <w:lang w:val="es-MX"/>
        </w:rPr>
        <w:t xml:space="preserve">Añadieron que </w:t>
      </w:r>
      <w:r w:rsidRPr="00662EED">
        <w:rPr>
          <w:rFonts w:ascii="Verdana" w:hAnsi="Verdana"/>
          <w:sz w:val="20"/>
          <w:szCs w:val="20"/>
          <w:lang w:val="es-MX"/>
        </w:rPr>
        <w:t>la alusión en la sentencia condenatoria</w:t>
      </w:r>
      <w:r w:rsidR="008F5517">
        <w:rPr>
          <w:rFonts w:ascii="Verdana" w:hAnsi="Verdana"/>
          <w:sz w:val="20"/>
          <w:szCs w:val="20"/>
          <w:lang w:val="es-MX"/>
        </w:rPr>
        <w:t>,</w:t>
      </w:r>
      <w:r w:rsidRPr="00662EED">
        <w:rPr>
          <w:rFonts w:ascii="Verdana" w:hAnsi="Verdana"/>
          <w:sz w:val="20"/>
          <w:szCs w:val="20"/>
          <w:lang w:val="es-MX"/>
        </w:rPr>
        <w:t xml:space="preserve"> relativa a que </w:t>
      </w:r>
      <w:r w:rsidRPr="0007798A">
        <w:rPr>
          <w:rFonts w:ascii="Verdana" w:hAnsi="Verdana"/>
          <w:sz w:val="20"/>
          <w:szCs w:val="20"/>
          <w:lang w:val="es-ES"/>
        </w:rPr>
        <w:t>el señor Zegarra Marín</w:t>
      </w:r>
      <w:r w:rsidRPr="00662EED" w:rsidDel="00186534">
        <w:rPr>
          <w:rFonts w:ascii="Verdana" w:hAnsi="Verdana"/>
          <w:sz w:val="20"/>
          <w:szCs w:val="20"/>
          <w:lang w:val="es-MX"/>
        </w:rPr>
        <w:t xml:space="preserve"> </w:t>
      </w:r>
      <w:r w:rsidRPr="00662EED">
        <w:rPr>
          <w:rFonts w:ascii="Verdana" w:hAnsi="Verdana"/>
          <w:sz w:val="20"/>
          <w:szCs w:val="20"/>
          <w:lang w:val="es-MX"/>
        </w:rPr>
        <w:t>no a</w:t>
      </w:r>
      <w:r>
        <w:rPr>
          <w:rFonts w:ascii="Verdana" w:hAnsi="Verdana"/>
          <w:sz w:val="20"/>
          <w:szCs w:val="20"/>
          <w:lang w:val="es-MX"/>
        </w:rPr>
        <w:t>portó</w:t>
      </w:r>
      <w:r w:rsidRPr="00662EED">
        <w:rPr>
          <w:rFonts w:ascii="Verdana" w:hAnsi="Verdana"/>
          <w:sz w:val="20"/>
          <w:szCs w:val="20"/>
          <w:lang w:val="es-MX"/>
        </w:rPr>
        <w:t xml:space="preserve"> prueba de descargo para acreditar totalmente su inocencia, invierte la carga de la prueba vulnerando el principio de presunción de inocencia, el cual constituye un principio informador de todo el proceso penal y un fundamento de las garantías judiciales. Asimismo, alegaron que la sentencia condenatoria careció de motivación</w:t>
      </w:r>
      <w:r>
        <w:rPr>
          <w:rFonts w:ascii="Verdana" w:hAnsi="Verdana"/>
          <w:sz w:val="20"/>
          <w:szCs w:val="20"/>
          <w:lang w:val="es-MX"/>
        </w:rPr>
        <w:t xml:space="preserve"> y</w:t>
      </w:r>
      <w:r w:rsidRPr="00662EED">
        <w:rPr>
          <w:rFonts w:ascii="Verdana" w:hAnsi="Verdana"/>
          <w:sz w:val="20"/>
          <w:szCs w:val="20"/>
          <w:lang w:val="es-MX"/>
        </w:rPr>
        <w:t xml:space="preserve"> se sustentó en hechos falsos e inexistentes, ya que no explicó por qué las solas declaraciones de</w:t>
      </w:r>
      <w:r>
        <w:rPr>
          <w:rFonts w:ascii="Verdana" w:hAnsi="Verdana"/>
          <w:sz w:val="20"/>
          <w:szCs w:val="20"/>
          <w:lang w:val="es-MX"/>
        </w:rPr>
        <w:t>l señor</w:t>
      </w:r>
      <w:r w:rsidRPr="00662EED">
        <w:rPr>
          <w:rFonts w:ascii="Verdana" w:hAnsi="Verdana"/>
          <w:sz w:val="20"/>
          <w:szCs w:val="20"/>
          <w:lang w:val="es-MX"/>
        </w:rPr>
        <w:t xml:space="preserve"> </w:t>
      </w:r>
      <w:r w:rsidR="0014732F">
        <w:rPr>
          <w:rFonts w:ascii="Verdana" w:hAnsi="Verdana"/>
          <w:sz w:val="20"/>
          <w:szCs w:val="20"/>
          <w:lang w:val="es-MX"/>
        </w:rPr>
        <w:t>CH</w:t>
      </w:r>
      <w:r w:rsidRPr="00662EED">
        <w:rPr>
          <w:rFonts w:ascii="Verdana" w:hAnsi="Verdana"/>
          <w:sz w:val="20"/>
          <w:szCs w:val="20"/>
          <w:lang w:val="es-MX"/>
        </w:rPr>
        <w:t>, si fueran ciertas, serían útiles y suficientes para desvirtuar el principio de presunción de inocencia, limitándose a afirmar que las imputaciones eran “factibles”, lo cual indica falta de certeza</w:t>
      </w:r>
      <w:r>
        <w:rPr>
          <w:rFonts w:ascii="Verdana" w:hAnsi="Verdana"/>
          <w:sz w:val="20"/>
          <w:szCs w:val="20"/>
          <w:lang w:val="es-MX"/>
        </w:rPr>
        <w:t>.</w:t>
      </w:r>
      <w:r w:rsidRPr="00662EED">
        <w:rPr>
          <w:rFonts w:ascii="Verdana" w:hAnsi="Verdana"/>
          <w:sz w:val="20"/>
          <w:szCs w:val="20"/>
          <w:lang w:val="es-MX"/>
        </w:rPr>
        <w:t xml:space="preserve"> </w:t>
      </w:r>
      <w:r>
        <w:rPr>
          <w:rFonts w:ascii="Verdana" w:hAnsi="Verdana"/>
          <w:sz w:val="20"/>
          <w:szCs w:val="20"/>
          <w:lang w:val="es-MX"/>
        </w:rPr>
        <w:t>T</w:t>
      </w:r>
      <w:r w:rsidRPr="00662EED">
        <w:rPr>
          <w:rFonts w:ascii="Verdana" w:hAnsi="Verdana"/>
          <w:sz w:val="20"/>
          <w:szCs w:val="20"/>
          <w:lang w:val="es-MX"/>
        </w:rPr>
        <w:t xml:space="preserve">ampoco se argumentaron las razones por las cuales la prueba de descargo no generaba duda sobre la responsabilidad penal </w:t>
      </w:r>
      <w:r w:rsidRPr="0007798A">
        <w:rPr>
          <w:rFonts w:ascii="Verdana" w:hAnsi="Verdana"/>
          <w:sz w:val="20"/>
          <w:szCs w:val="20"/>
          <w:lang w:val="es-ES"/>
        </w:rPr>
        <w:t>del señor Zegarra Marín</w:t>
      </w:r>
      <w:r w:rsidRPr="00662EED">
        <w:rPr>
          <w:rFonts w:ascii="Verdana" w:hAnsi="Verdana"/>
          <w:sz w:val="20"/>
          <w:szCs w:val="20"/>
          <w:lang w:val="es-MX"/>
        </w:rPr>
        <w:t>, ni por qué debía ser desechada. Los representantes enfatizaron que el Estado violó el derecho</w:t>
      </w:r>
      <w:r w:rsidR="008F5517">
        <w:rPr>
          <w:rFonts w:ascii="Verdana" w:hAnsi="Verdana"/>
          <w:sz w:val="20"/>
          <w:szCs w:val="20"/>
          <w:lang w:val="es-MX"/>
        </w:rPr>
        <w:t xml:space="preserve"> del señor Zegarra Marín</w:t>
      </w:r>
      <w:r w:rsidRPr="00662EED">
        <w:rPr>
          <w:rFonts w:ascii="Verdana" w:hAnsi="Verdana"/>
          <w:sz w:val="20"/>
          <w:szCs w:val="20"/>
          <w:lang w:val="es-MX"/>
        </w:rPr>
        <w:t xml:space="preserve"> a obtener un fallo razonado y el deber de motivar las resoluciones en un proceso, ya que la sentencia cuestionada no estaba basada en una derivación razonada de la prueba </w:t>
      </w:r>
      <w:r>
        <w:rPr>
          <w:rFonts w:ascii="Verdana" w:hAnsi="Verdana"/>
          <w:sz w:val="20"/>
          <w:szCs w:val="20"/>
          <w:lang w:val="es-MX"/>
        </w:rPr>
        <w:t>re</w:t>
      </w:r>
      <w:r w:rsidRPr="00662EED">
        <w:rPr>
          <w:rFonts w:ascii="Verdana" w:hAnsi="Verdana"/>
          <w:sz w:val="20"/>
          <w:szCs w:val="20"/>
          <w:lang w:val="es-MX"/>
        </w:rPr>
        <w:t xml:space="preserve">colectada, carecía de motivación suficiente y resultaba violatoria del principio de presunción de inocencia. </w:t>
      </w:r>
      <w:r w:rsidRPr="009C7422">
        <w:rPr>
          <w:rFonts w:ascii="Verdana" w:hAnsi="Verdana"/>
          <w:sz w:val="20"/>
          <w:szCs w:val="20"/>
          <w:lang w:val="es-ES"/>
        </w:rPr>
        <w:t>Adicionalmente, los representantes alegaron que los juzgadores partieron de la consideración de que el señor Zegarra Marín era culpable, ya que la falta de motivación de la sentencia condenatoria, así como de la resolución que rechazó el recurso de nulidad interpuesto contra dicha sentencia, sin dar fundamento de ello, representaban signos de parcialidad de los jueces, lo que a su criterio vulnera el derecho a un tribunal imparcial</w:t>
      </w:r>
      <w:r>
        <w:rPr>
          <w:rFonts w:ascii="Verdana" w:hAnsi="Verdana"/>
          <w:sz w:val="20"/>
          <w:szCs w:val="20"/>
          <w:lang w:val="es-ES"/>
        </w:rPr>
        <w:t>.</w:t>
      </w:r>
    </w:p>
    <w:p w14:paraId="6D172C87" w14:textId="77777777" w:rsidR="00FB723A" w:rsidRPr="009C7422" w:rsidRDefault="00FB723A" w:rsidP="00FB723A">
      <w:pPr>
        <w:pStyle w:val="ListParagraph"/>
        <w:ind w:left="0"/>
        <w:jc w:val="both"/>
        <w:rPr>
          <w:rFonts w:ascii="Verdana" w:hAnsi="Verdana"/>
          <w:sz w:val="20"/>
          <w:szCs w:val="20"/>
          <w:lang w:val="es-ES"/>
        </w:rPr>
      </w:pPr>
    </w:p>
    <w:p w14:paraId="6D172C88" w14:textId="3080D04F" w:rsidR="00FB723A" w:rsidRPr="00662EED" w:rsidRDefault="00FB723A" w:rsidP="00FB723A">
      <w:pPr>
        <w:pStyle w:val="ListParagraph"/>
        <w:numPr>
          <w:ilvl w:val="0"/>
          <w:numId w:val="2"/>
        </w:numPr>
        <w:ind w:left="0" w:hanging="11"/>
        <w:jc w:val="both"/>
        <w:rPr>
          <w:rFonts w:ascii="Verdana" w:hAnsi="Verdana"/>
          <w:sz w:val="20"/>
          <w:szCs w:val="20"/>
          <w:lang w:val="es-MX"/>
        </w:rPr>
      </w:pPr>
      <w:r w:rsidRPr="00662EED">
        <w:rPr>
          <w:rFonts w:ascii="Verdana" w:hAnsi="Verdana"/>
          <w:sz w:val="20"/>
          <w:szCs w:val="20"/>
          <w:lang w:val="es-MX"/>
        </w:rPr>
        <w:t xml:space="preserve">El </w:t>
      </w:r>
      <w:r w:rsidRPr="00525A04">
        <w:rPr>
          <w:rFonts w:ascii="Verdana" w:hAnsi="Verdana"/>
          <w:b/>
          <w:i/>
          <w:sz w:val="20"/>
          <w:szCs w:val="20"/>
          <w:lang w:val="es-MX"/>
        </w:rPr>
        <w:t>Estado</w:t>
      </w:r>
      <w:r w:rsidRPr="00662EED">
        <w:rPr>
          <w:rFonts w:ascii="Verdana" w:hAnsi="Verdana"/>
          <w:i/>
          <w:sz w:val="20"/>
          <w:szCs w:val="20"/>
          <w:lang w:val="es-MX"/>
        </w:rPr>
        <w:t xml:space="preserve"> </w:t>
      </w:r>
      <w:r w:rsidRPr="00662EED">
        <w:rPr>
          <w:rFonts w:ascii="Verdana" w:hAnsi="Verdana"/>
          <w:sz w:val="20"/>
          <w:szCs w:val="20"/>
          <w:lang w:val="es-MX"/>
        </w:rPr>
        <w:t>alegó que la presunción de inocencia se mantuvo durante el desarrollo del proceso penal que se siguió al señor Zegarra Marín</w:t>
      </w:r>
      <w:r>
        <w:rPr>
          <w:rFonts w:ascii="Verdana" w:hAnsi="Verdana"/>
          <w:sz w:val="20"/>
          <w:szCs w:val="20"/>
          <w:lang w:val="es-MX"/>
        </w:rPr>
        <w:t>.</w:t>
      </w:r>
      <w:r w:rsidRPr="00662EED">
        <w:rPr>
          <w:rFonts w:ascii="Verdana" w:hAnsi="Verdana"/>
          <w:sz w:val="20"/>
          <w:szCs w:val="20"/>
          <w:lang w:val="es-MX"/>
        </w:rPr>
        <w:t xml:space="preserve"> </w:t>
      </w:r>
      <w:r>
        <w:rPr>
          <w:rFonts w:ascii="Verdana" w:hAnsi="Verdana"/>
          <w:sz w:val="20"/>
          <w:szCs w:val="20"/>
          <w:lang w:val="es-MX"/>
        </w:rPr>
        <w:t>L</w:t>
      </w:r>
      <w:r w:rsidRPr="00662EED">
        <w:rPr>
          <w:rFonts w:ascii="Verdana" w:hAnsi="Verdana"/>
          <w:sz w:val="20"/>
          <w:szCs w:val="20"/>
          <w:lang w:val="es-MX"/>
        </w:rPr>
        <w:t>a sentencia condenatoria logró desvirtuar dicho principio, ya que se fundamentó en auténticos hechos de prueba, y la actividad probatoria fue suficiente para generar en el Juez la evidencia de la existencia del hecho punible y de la responsabilidad penal. Señaló que</w:t>
      </w:r>
      <w:r w:rsidR="008F5517">
        <w:rPr>
          <w:rFonts w:ascii="Verdana" w:hAnsi="Verdana"/>
          <w:sz w:val="20"/>
          <w:szCs w:val="20"/>
          <w:lang w:val="es-MX"/>
        </w:rPr>
        <w:t>,</w:t>
      </w:r>
      <w:r w:rsidRPr="00662EED">
        <w:rPr>
          <w:rFonts w:ascii="Verdana" w:hAnsi="Verdana"/>
          <w:sz w:val="20"/>
          <w:szCs w:val="20"/>
          <w:lang w:val="es-MX"/>
        </w:rPr>
        <w:t xml:space="preserve"> en la sentencia condenatoria</w:t>
      </w:r>
      <w:r w:rsidR="008F5517">
        <w:rPr>
          <w:rFonts w:ascii="Verdana" w:hAnsi="Verdana"/>
          <w:sz w:val="20"/>
          <w:szCs w:val="20"/>
          <w:lang w:val="es-MX"/>
        </w:rPr>
        <w:t>,</w:t>
      </w:r>
      <w:r w:rsidRPr="00662EED">
        <w:rPr>
          <w:rFonts w:ascii="Verdana" w:hAnsi="Verdana"/>
          <w:sz w:val="20"/>
          <w:szCs w:val="20"/>
          <w:lang w:val="es-MX"/>
        </w:rPr>
        <w:t xml:space="preserve"> el juzgador</w:t>
      </w:r>
      <w:r>
        <w:rPr>
          <w:rFonts w:ascii="Verdana" w:hAnsi="Verdana"/>
          <w:sz w:val="20"/>
          <w:szCs w:val="20"/>
          <w:lang w:val="es-MX"/>
        </w:rPr>
        <w:t>,</w:t>
      </w:r>
      <w:r w:rsidRPr="00662EED">
        <w:rPr>
          <w:rFonts w:ascii="Verdana" w:hAnsi="Verdana"/>
          <w:sz w:val="20"/>
          <w:szCs w:val="20"/>
          <w:lang w:val="es-MX"/>
        </w:rPr>
        <w:t xml:space="preserve"> al exponer sus argumentos de hecho y de derecho, lo hizo libre de todo prejuicio o idea previa</w:t>
      </w:r>
      <w:r w:rsidR="008F5517">
        <w:rPr>
          <w:rFonts w:ascii="Verdana" w:hAnsi="Verdana"/>
          <w:sz w:val="20"/>
          <w:szCs w:val="20"/>
          <w:lang w:val="es-MX"/>
        </w:rPr>
        <w:t>,</w:t>
      </w:r>
      <w:r w:rsidRPr="00662EED">
        <w:rPr>
          <w:rFonts w:ascii="Verdana" w:hAnsi="Verdana"/>
          <w:sz w:val="20"/>
          <w:szCs w:val="20"/>
          <w:lang w:val="es-MX"/>
        </w:rPr>
        <w:t xml:space="preserve"> y que buscó construir y determinar la responsabilidad penal a partir de la valoración de los elementos de prueba con los que contó. El Estado señaló que la </w:t>
      </w:r>
      <w:r>
        <w:rPr>
          <w:rFonts w:ascii="Verdana" w:hAnsi="Verdana"/>
          <w:sz w:val="20"/>
          <w:szCs w:val="20"/>
          <w:lang w:val="es-MX"/>
        </w:rPr>
        <w:t>Comisión</w:t>
      </w:r>
      <w:r w:rsidRPr="00662EED">
        <w:rPr>
          <w:rFonts w:ascii="Verdana" w:hAnsi="Verdana"/>
          <w:sz w:val="20"/>
          <w:szCs w:val="20"/>
          <w:lang w:val="es-MX"/>
        </w:rPr>
        <w:t xml:space="preserve"> se limitó a revisar y citar parcialmente el considerando Décimo Tercero de la sentencia condenatoria para sustentar que la Sala tomó su decisión con base en el análisis de las declaraciones de un coimputado</w:t>
      </w:r>
      <w:r>
        <w:rPr>
          <w:rFonts w:ascii="Verdana" w:hAnsi="Verdana"/>
          <w:sz w:val="20"/>
          <w:szCs w:val="20"/>
          <w:lang w:val="es-MX"/>
        </w:rPr>
        <w:t>,</w:t>
      </w:r>
      <w:r w:rsidRPr="00662EED">
        <w:rPr>
          <w:rFonts w:ascii="Verdana" w:hAnsi="Verdana"/>
          <w:sz w:val="20"/>
          <w:szCs w:val="20"/>
          <w:lang w:val="es-MX"/>
        </w:rPr>
        <w:t xml:space="preserve"> quien indicó que </w:t>
      </w:r>
      <w:r w:rsidRPr="0007798A">
        <w:rPr>
          <w:rFonts w:ascii="Verdana" w:hAnsi="Verdana"/>
          <w:sz w:val="20"/>
          <w:szCs w:val="20"/>
          <w:lang w:val="es-ES"/>
        </w:rPr>
        <w:t>el señor Zegarra Marín</w:t>
      </w:r>
      <w:r w:rsidRPr="00662EED" w:rsidDel="00E5229E">
        <w:rPr>
          <w:rFonts w:ascii="Verdana" w:hAnsi="Verdana"/>
          <w:sz w:val="20"/>
          <w:szCs w:val="20"/>
          <w:lang w:val="es-MX"/>
        </w:rPr>
        <w:t xml:space="preserve"> </w:t>
      </w:r>
      <w:r w:rsidRPr="00662EED">
        <w:rPr>
          <w:rFonts w:ascii="Verdana" w:hAnsi="Verdana"/>
          <w:sz w:val="20"/>
          <w:szCs w:val="20"/>
          <w:lang w:val="es-MX"/>
        </w:rPr>
        <w:t>tuvo conocimiento de la expedición irregular de pasaportes. Asimismo</w:t>
      </w:r>
      <w:r>
        <w:rPr>
          <w:rFonts w:ascii="Verdana" w:hAnsi="Verdana"/>
          <w:sz w:val="20"/>
          <w:szCs w:val="20"/>
          <w:lang w:val="es-MX"/>
        </w:rPr>
        <w:t>,</w:t>
      </w:r>
      <w:r w:rsidRPr="00662EED">
        <w:rPr>
          <w:rFonts w:ascii="Verdana" w:hAnsi="Verdana"/>
          <w:sz w:val="20"/>
          <w:szCs w:val="20"/>
          <w:lang w:val="es-MX"/>
        </w:rPr>
        <w:t xml:space="preserve"> alegó que la actividad probatoria estuvo </w:t>
      </w:r>
      <w:r w:rsidRPr="00662EED">
        <w:rPr>
          <w:rFonts w:ascii="Verdana" w:hAnsi="Verdana"/>
          <w:sz w:val="20"/>
          <w:szCs w:val="20"/>
          <w:lang w:val="es-MX"/>
        </w:rPr>
        <w:lastRenderedPageBreak/>
        <w:t>presidida por los principios de contradicción e igualdad, y por todo el conjunto de garantías constitucionales y ordinarias</w:t>
      </w:r>
      <w:r w:rsidR="008F5517">
        <w:rPr>
          <w:rFonts w:ascii="Verdana" w:hAnsi="Verdana"/>
          <w:sz w:val="20"/>
          <w:szCs w:val="20"/>
          <w:lang w:val="es-MX"/>
        </w:rPr>
        <w:t xml:space="preserve"> tendientes a garantizar la libertad de las declaraciones de las partes, testigos y peritos</w:t>
      </w:r>
      <w:r w:rsidRPr="00662EED">
        <w:rPr>
          <w:rFonts w:ascii="Verdana" w:hAnsi="Verdana"/>
          <w:sz w:val="20"/>
          <w:szCs w:val="20"/>
          <w:lang w:val="es-MX"/>
        </w:rPr>
        <w:t xml:space="preserve">, y que </w:t>
      </w:r>
      <w:r w:rsidRPr="0007798A">
        <w:rPr>
          <w:rFonts w:ascii="Verdana" w:hAnsi="Verdana"/>
          <w:sz w:val="20"/>
          <w:szCs w:val="20"/>
          <w:lang w:val="es-ES"/>
        </w:rPr>
        <w:t>el señor Zegarra Marín</w:t>
      </w:r>
      <w:r w:rsidRPr="00662EED">
        <w:rPr>
          <w:rFonts w:ascii="Verdana" w:hAnsi="Verdana"/>
          <w:sz w:val="20"/>
          <w:szCs w:val="20"/>
          <w:lang w:val="es-MX"/>
        </w:rPr>
        <w:t xml:space="preserve"> </w:t>
      </w:r>
      <w:r>
        <w:rPr>
          <w:rFonts w:ascii="Verdana" w:hAnsi="Verdana"/>
          <w:sz w:val="20"/>
          <w:szCs w:val="20"/>
          <w:lang w:val="es-MX"/>
        </w:rPr>
        <w:t>“</w:t>
      </w:r>
      <w:r w:rsidRPr="00662EED">
        <w:rPr>
          <w:rFonts w:ascii="Verdana" w:hAnsi="Verdana"/>
          <w:sz w:val="20"/>
          <w:szCs w:val="20"/>
          <w:lang w:val="es-MX"/>
        </w:rPr>
        <w:t>contó con la oportunidad de probar los hechos positivos en que descansó su postura excluyente, sin que bastara su sola negativa</w:t>
      </w:r>
      <w:r>
        <w:rPr>
          <w:rFonts w:ascii="Verdana" w:hAnsi="Verdana"/>
          <w:sz w:val="20"/>
          <w:szCs w:val="20"/>
          <w:lang w:val="es-MX"/>
        </w:rPr>
        <w:t>, la cual</w:t>
      </w:r>
      <w:r w:rsidRPr="00662EED">
        <w:rPr>
          <w:rFonts w:ascii="Verdana" w:hAnsi="Verdana"/>
          <w:sz w:val="20"/>
          <w:szCs w:val="20"/>
          <w:lang w:val="es-MX"/>
        </w:rPr>
        <w:t xml:space="preserve"> no </w:t>
      </w:r>
      <w:r>
        <w:rPr>
          <w:rFonts w:ascii="Verdana" w:hAnsi="Verdana"/>
          <w:sz w:val="20"/>
          <w:szCs w:val="20"/>
          <w:lang w:val="es-MX"/>
        </w:rPr>
        <w:t xml:space="preserve">fue </w:t>
      </w:r>
      <w:r w:rsidRPr="00662EED">
        <w:rPr>
          <w:rFonts w:ascii="Verdana" w:hAnsi="Verdana"/>
          <w:sz w:val="20"/>
          <w:szCs w:val="20"/>
          <w:lang w:val="es-MX"/>
        </w:rPr>
        <w:t>corroborada con elementos de convicción eficaces, pues admitir como válida y por sí misma suficiente su manifestación o declaración, sería destruir todo el mecanismo de la prueba circunstancial, desconocer su eficacia y alcance demostrativo</w:t>
      </w:r>
      <w:r>
        <w:rPr>
          <w:rFonts w:ascii="Verdana" w:hAnsi="Verdana"/>
          <w:sz w:val="20"/>
          <w:szCs w:val="20"/>
          <w:lang w:val="es-MX"/>
        </w:rPr>
        <w:t>”</w:t>
      </w:r>
      <w:r w:rsidRPr="00662EED">
        <w:rPr>
          <w:rFonts w:ascii="Verdana" w:hAnsi="Verdana"/>
          <w:sz w:val="20"/>
          <w:szCs w:val="20"/>
          <w:lang w:val="es-MX"/>
        </w:rPr>
        <w:t xml:space="preserve">. </w:t>
      </w:r>
    </w:p>
    <w:p w14:paraId="6D172C89" w14:textId="77777777" w:rsidR="00FB723A" w:rsidRPr="00662EED" w:rsidRDefault="00FB723A" w:rsidP="00FB723A">
      <w:pPr>
        <w:tabs>
          <w:tab w:val="left" w:pos="284"/>
        </w:tabs>
        <w:jc w:val="both"/>
        <w:rPr>
          <w:rFonts w:ascii="Verdana" w:hAnsi="Verdana"/>
          <w:sz w:val="20"/>
          <w:szCs w:val="20"/>
          <w:lang w:val="es-MX"/>
        </w:rPr>
      </w:pPr>
    </w:p>
    <w:p w14:paraId="6D172C8A" w14:textId="138FACE8" w:rsidR="00FB723A" w:rsidRDefault="00FB723A" w:rsidP="00FB723A">
      <w:pPr>
        <w:pStyle w:val="ListParagraph"/>
        <w:numPr>
          <w:ilvl w:val="0"/>
          <w:numId w:val="2"/>
        </w:numPr>
        <w:ind w:left="0" w:hanging="11"/>
        <w:jc w:val="both"/>
        <w:rPr>
          <w:rFonts w:ascii="Verdana" w:hAnsi="Verdana"/>
          <w:sz w:val="20"/>
          <w:szCs w:val="20"/>
          <w:lang w:val="es-MX"/>
        </w:rPr>
      </w:pPr>
      <w:r w:rsidRPr="00662EED">
        <w:rPr>
          <w:rFonts w:ascii="Verdana" w:hAnsi="Verdana"/>
          <w:sz w:val="20"/>
          <w:szCs w:val="20"/>
          <w:lang w:val="es-MX"/>
        </w:rPr>
        <w:t>El Estado consideró que la existencia del párrafo en la sentencia</w:t>
      </w:r>
      <w:r>
        <w:rPr>
          <w:rFonts w:ascii="Verdana" w:hAnsi="Verdana"/>
          <w:sz w:val="20"/>
          <w:szCs w:val="20"/>
          <w:lang w:val="es-MX"/>
        </w:rPr>
        <w:t xml:space="preserve"> </w:t>
      </w:r>
      <w:r w:rsidRPr="00662EED">
        <w:rPr>
          <w:rFonts w:ascii="Verdana" w:hAnsi="Verdana"/>
          <w:sz w:val="20"/>
          <w:szCs w:val="20"/>
          <w:lang w:val="es-MX"/>
        </w:rPr>
        <w:t>que señalaba “por cuánto no ha surgido una prueba de descargo contundente que lo haga totalmente inocente de los ilícitos que se le imputan”</w:t>
      </w:r>
      <w:r>
        <w:rPr>
          <w:rFonts w:ascii="Verdana" w:hAnsi="Verdana"/>
          <w:sz w:val="20"/>
          <w:szCs w:val="20"/>
          <w:lang w:val="es-MX"/>
        </w:rPr>
        <w:t xml:space="preserve"> </w:t>
      </w:r>
      <w:r w:rsidRPr="00662EED">
        <w:rPr>
          <w:rFonts w:ascii="Verdana" w:hAnsi="Verdana"/>
          <w:sz w:val="20"/>
          <w:szCs w:val="20"/>
          <w:lang w:val="es-MX"/>
        </w:rPr>
        <w:t xml:space="preserve">no puede poner en cuestionamiento todo lo realizado por los fiscales y jueces que conocieron del caso, constituyendo sólo una cuestión de forma la interpretación dada al mismo por la </w:t>
      </w:r>
      <w:r>
        <w:rPr>
          <w:rFonts w:ascii="Verdana" w:hAnsi="Verdana"/>
          <w:sz w:val="20"/>
          <w:szCs w:val="20"/>
          <w:lang w:val="es-MX"/>
        </w:rPr>
        <w:t>Comisión</w:t>
      </w:r>
      <w:r w:rsidRPr="00662EED">
        <w:rPr>
          <w:rFonts w:ascii="Verdana" w:hAnsi="Verdana"/>
          <w:sz w:val="20"/>
          <w:szCs w:val="20"/>
          <w:lang w:val="es-MX"/>
        </w:rPr>
        <w:t xml:space="preserve"> y los representantes de la víctima. Observó que la prueba de cargo resultaba suficiente, pertinente, idónea, conducente y útil para sustentar una sentencia condenatoria</w:t>
      </w:r>
      <w:r w:rsidR="008F5517">
        <w:rPr>
          <w:rFonts w:ascii="Verdana" w:hAnsi="Verdana"/>
          <w:sz w:val="20"/>
          <w:szCs w:val="20"/>
          <w:lang w:val="es-MX"/>
        </w:rPr>
        <w:t>,</w:t>
      </w:r>
      <w:r w:rsidRPr="00662EED">
        <w:rPr>
          <w:rFonts w:ascii="Verdana" w:hAnsi="Verdana"/>
          <w:sz w:val="20"/>
          <w:szCs w:val="20"/>
          <w:lang w:val="es-MX"/>
        </w:rPr>
        <w:t xml:space="preserve"> </w:t>
      </w:r>
      <w:r>
        <w:rPr>
          <w:rFonts w:ascii="Verdana" w:hAnsi="Verdana"/>
          <w:sz w:val="20"/>
          <w:szCs w:val="20"/>
          <w:lang w:val="es-MX"/>
        </w:rPr>
        <w:t xml:space="preserve">y </w:t>
      </w:r>
      <w:r w:rsidRPr="00662EED">
        <w:rPr>
          <w:rFonts w:ascii="Verdana" w:hAnsi="Verdana"/>
          <w:sz w:val="20"/>
          <w:szCs w:val="20"/>
          <w:lang w:val="es-MX"/>
        </w:rPr>
        <w:t xml:space="preserve">que </w:t>
      </w:r>
      <w:r w:rsidRPr="0007798A">
        <w:rPr>
          <w:rFonts w:ascii="Verdana" w:hAnsi="Verdana"/>
          <w:sz w:val="20"/>
          <w:szCs w:val="20"/>
          <w:lang w:val="es-ES"/>
        </w:rPr>
        <w:t>el señor Zegarra Marín</w:t>
      </w:r>
      <w:r w:rsidRPr="00662EED">
        <w:rPr>
          <w:rFonts w:ascii="Verdana" w:hAnsi="Verdana"/>
          <w:sz w:val="20"/>
          <w:szCs w:val="20"/>
          <w:lang w:val="es-MX"/>
        </w:rPr>
        <w:t xml:space="preserve"> y su abogado no aportaron elementos probatorios que enervaran las pruebas de cargo, y que como estrategia la defensa no puede detentar un rol pasivo durante el juzgamiento, dejando que el Ministerio Público sea la única parte que realice actividad relacionada con las pruebas</w:t>
      </w:r>
      <w:r>
        <w:rPr>
          <w:rFonts w:ascii="Verdana" w:hAnsi="Verdana"/>
          <w:sz w:val="20"/>
          <w:szCs w:val="20"/>
          <w:lang w:val="es-MX"/>
        </w:rPr>
        <w:t xml:space="preserve">. Asimismo, </w:t>
      </w:r>
      <w:r w:rsidRPr="00662EED">
        <w:rPr>
          <w:rFonts w:ascii="Verdana" w:hAnsi="Verdana"/>
          <w:sz w:val="20"/>
          <w:szCs w:val="20"/>
          <w:lang w:val="es-MX"/>
        </w:rPr>
        <w:t xml:space="preserve">observó que el acusado que niega los cargos tiene la opción de demostrar sus argumentos destinados a cuestionar los fundamentos de la imputación. Finalmente, alegó que no hubo acto alguno que haya vulnerado el derecho a la defensa, y que </w:t>
      </w:r>
      <w:r w:rsidRPr="0007798A">
        <w:rPr>
          <w:rFonts w:ascii="Verdana" w:hAnsi="Verdana"/>
          <w:sz w:val="20"/>
          <w:szCs w:val="20"/>
          <w:lang w:val="es-ES"/>
        </w:rPr>
        <w:t>el señor Zegarra Marín</w:t>
      </w:r>
      <w:r w:rsidRPr="00662EED" w:rsidDel="00870092">
        <w:rPr>
          <w:rFonts w:ascii="Verdana" w:hAnsi="Verdana"/>
          <w:sz w:val="20"/>
          <w:szCs w:val="20"/>
          <w:lang w:val="es-MX"/>
        </w:rPr>
        <w:t xml:space="preserve"> </w:t>
      </w:r>
      <w:r w:rsidRPr="00662EED">
        <w:rPr>
          <w:rFonts w:ascii="Verdana" w:hAnsi="Verdana"/>
          <w:sz w:val="20"/>
          <w:szCs w:val="20"/>
          <w:lang w:val="es-MX"/>
        </w:rPr>
        <w:t xml:space="preserve">tuvo la oportunidad de designar a su abogado defensor, así como de ofrecer medios probatorios, y de oponerse o impugnar decisiones que hubiera considerado no ajustadas a la ley. </w:t>
      </w:r>
    </w:p>
    <w:p w14:paraId="6D172C8B" w14:textId="77777777" w:rsidR="00FB723A" w:rsidRPr="00AC7B27" w:rsidRDefault="00FB723A" w:rsidP="00FB723A">
      <w:pPr>
        <w:tabs>
          <w:tab w:val="left" w:pos="284"/>
        </w:tabs>
        <w:jc w:val="both"/>
        <w:rPr>
          <w:rFonts w:ascii="Verdana" w:hAnsi="Verdana"/>
          <w:sz w:val="20"/>
          <w:szCs w:val="20"/>
          <w:lang w:val="es-MX"/>
        </w:rPr>
      </w:pPr>
    </w:p>
    <w:p w14:paraId="6D172C8C" w14:textId="77777777" w:rsidR="00FB723A" w:rsidRDefault="00FB723A" w:rsidP="00D83DC8">
      <w:pPr>
        <w:pStyle w:val="Heading2"/>
        <w:numPr>
          <w:ilvl w:val="0"/>
          <w:numId w:val="11"/>
        </w:numPr>
        <w:spacing w:before="0"/>
        <w:jc w:val="both"/>
        <w:rPr>
          <w:rFonts w:ascii="Verdana" w:hAnsi="Verdana"/>
          <w:bCs w:val="0"/>
          <w:i/>
          <w:color w:val="auto"/>
          <w:sz w:val="20"/>
          <w:szCs w:val="20"/>
        </w:rPr>
      </w:pPr>
      <w:bookmarkStart w:id="56" w:name="_Toc441666175"/>
      <w:bookmarkStart w:id="57" w:name="_Toc482093053"/>
      <w:r w:rsidRPr="00662EED">
        <w:rPr>
          <w:rFonts w:ascii="Verdana" w:hAnsi="Verdana"/>
          <w:bCs w:val="0"/>
          <w:i/>
          <w:color w:val="auto"/>
          <w:sz w:val="20"/>
          <w:szCs w:val="20"/>
        </w:rPr>
        <w:t>Consideraciones de la Corte</w:t>
      </w:r>
      <w:bookmarkEnd w:id="56"/>
      <w:bookmarkEnd w:id="57"/>
    </w:p>
    <w:p w14:paraId="6D172C8D" w14:textId="77777777" w:rsidR="00FB723A" w:rsidRPr="00AC7B27" w:rsidRDefault="00FB723A" w:rsidP="00FB723A">
      <w:pPr>
        <w:rPr>
          <w:lang w:val="es-MX" w:eastAsia="es-ES"/>
        </w:rPr>
      </w:pPr>
    </w:p>
    <w:p w14:paraId="6D172C8E" w14:textId="21DDC896" w:rsidR="00FB723A" w:rsidRDefault="008F5517" w:rsidP="00FB723A">
      <w:pPr>
        <w:pStyle w:val="ListParagraph"/>
        <w:numPr>
          <w:ilvl w:val="0"/>
          <w:numId w:val="2"/>
        </w:numPr>
        <w:ind w:left="0" w:hanging="11"/>
        <w:jc w:val="both"/>
        <w:rPr>
          <w:rFonts w:ascii="Verdana" w:hAnsi="Verdana" w:cs="Arial"/>
          <w:sz w:val="20"/>
          <w:lang w:val="es-CR"/>
        </w:rPr>
      </w:pPr>
      <w:r>
        <w:rPr>
          <w:rFonts w:ascii="Verdana" w:hAnsi="Verdana" w:cs="Arial"/>
          <w:sz w:val="20"/>
          <w:lang w:val="es-CR"/>
        </w:rPr>
        <w:t>De la posición de las partes</w:t>
      </w:r>
      <w:r w:rsidR="00FB723A" w:rsidRPr="00D27D15">
        <w:rPr>
          <w:rFonts w:ascii="Verdana" w:hAnsi="Verdana" w:cs="Arial"/>
          <w:sz w:val="20"/>
          <w:lang w:val="es-CR"/>
        </w:rPr>
        <w:t xml:space="preserve"> se desprenden distintos alegatos sobre </w:t>
      </w:r>
      <w:r w:rsidR="00FB723A">
        <w:rPr>
          <w:rFonts w:ascii="Verdana" w:hAnsi="Verdana" w:cs="Arial"/>
          <w:sz w:val="20"/>
          <w:lang w:val="es-CR"/>
        </w:rPr>
        <w:t xml:space="preserve">el tratamiento y </w:t>
      </w:r>
      <w:r w:rsidR="00FB723A" w:rsidRPr="00D27D15">
        <w:rPr>
          <w:rFonts w:ascii="Verdana" w:hAnsi="Verdana" w:cs="Arial"/>
          <w:sz w:val="20"/>
          <w:lang w:val="es-CR"/>
        </w:rPr>
        <w:t>valoración de los elementos</w:t>
      </w:r>
      <w:r w:rsidR="00FB723A" w:rsidRPr="00817EFB">
        <w:rPr>
          <w:rFonts w:ascii="Verdana" w:hAnsi="Verdana" w:cs="Arial"/>
          <w:sz w:val="20"/>
          <w:lang w:val="es-CR"/>
        </w:rPr>
        <w:t xml:space="preserve"> probatorios por parte de</w:t>
      </w:r>
      <w:r w:rsidR="00FB723A">
        <w:rPr>
          <w:rFonts w:ascii="Verdana" w:hAnsi="Verdana" w:cs="Arial"/>
          <w:sz w:val="20"/>
          <w:lang w:val="es-CR"/>
        </w:rPr>
        <w:t xml:space="preserve"> los</w:t>
      </w:r>
      <w:r w:rsidR="00FB723A" w:rsidRPr="00817EFB">
        <w:rPr>
          <w:rFonts w:ascii="Verdana" w:hAnsi="Verdana" w:cs="Arial"/>
          <w:sz w:val="20"/>
          <w:lang w:val="es-CR"/>
        </w:rPr>
        <w:t xml:space="preserve"> juzgador</w:t>
      </w:r>
      <w:r w:rsidR="00FB723A">
        <w:rPr>
          <w:rFonts w:ascii="Verdana" w:hAnsi="Verdana" w:cs="Arial"/>
          <w:sz w:val="20"/>
          <w:lang w:val="es-CR"/>
        </w:rPr>
        <w:t>es</w:t>
      </w:r>
      <w:r w:rsidR="00FB723A" w:rsidRPr="00817EFB">
        <w:rPr>
          <w:rFonts w:ascii="Verdana" w:hAnsi="Verdana" w:cs="Arial"/>
          <w:sz w:val="20"/>
          <w:lang w:val="es-CR"/>
        </w:rPr>
        <w:t xml:space="preserve">, </w:t>
      </w:r>
      <w:r w:rsidR="00FB723A" w:rsidRPr="00817EFB">
        <w:rPr>
          <w:rFonts w:ascii="Verdana" w:hAnsi="Verdana" w:cs="Arial"/>
          <w:i/>
          <w:sz w:val="20"/>
          <w:lang w:val="es-CR"/>
        </w:rPr>
        <w:t>inter alia</w:t>
      </w:r>
      <w:r w:rsidR="00FB723A" w:rsidRPr="00817EFB">
        <w:rPr>
          <w:rFonts w:ascii="Verdana" w:hAnsi="Verdana" w:cs="Arial"/>
          <w:sz w:val="20"/>
          <w:lang w:val="es-CR"/>
        </w:rPr>
        <w:t xml:space="preserve">: </w:t>
      </w:r>
      <w:r w:rsidR="00FB723A">
        <w:rPr>
          <w:rFonts w:ascii="Verdana" w:hAnsi="Verdana" w:cs="Arial"/>
          <w:sz w:val="20"/>
          <w:lang w:val="es-ES"/>
        </w:rPr>
        <w:t>i</w:t>
      </w:r>
      <w:r w:rsidR="00FB723A" w:rsidRPr="00817EFB">
        <w:rPr>
          <w:rFonts w:ascii="Verdana" w:hAnsi="Verdana" w:cs="Arial"/>
          <w:sz w:val="20"/>
          <w:lang w:val="es-ES"/>
        </w:rPr>
        <w:t xml:space="preserve">) la imputación realizada por dos coimputados y su </w:t>
      </w:r>
      <w:r w:rsidR="00FB723A">
        <w:rPr>
          <w:rFonts w:ascii="Verdana" w:hAnsi="Verdana" w:cs="Arial"/>
          <w:sz w:val="20"/>
          <w:lang w:val="es-ES"/>
        </w:rPr>
        <w:t xml:space="preserve">alegada </w:t>
      </w:r>
      <w:r w:rsidR="00FB723A" w:rsidRPr="00817EFB">
        <w:rPr>
          <w:rFonts w:ascii="Verdana" w:hAnsi="Verdana" w:cs="Arial"/>
          <w:sz w:val="20"/>
          <w:lang w:val="es-ES"/>
        </w:rPr>
        <w:t xml:space="preserve">apreciación como </w:t>
      </w:r>
      <w:r w:rsidR="00FB723A">
        <w:rPr>
          <w:rFonts w:ascii="Verdana" w:hAnsi="Verdana" w:cs="Arial"/>
          <w:sz w:val="20"/>
          <w:lang w:val="es-ES"/>
        </w:rPr>
        <w:t xml:space="preserve">única </w:t>
      </w:r>
      <w:r w:rsidR="00FB723A" w:rsidRPr="00817EFB">
        <w:rPr>
          <w:rFonts w:ascii="Verdana" w:hAnsi="Verdana" w:cs="Arial"/>
          <w:sz w:val="20"/>
          <w:lang w:val="es-ES"/>
        </w:rPr>
        <w:t xml:space="preserve">prueba de cargo; </w:t>
      </w:r>
      <w:r w:rsidR="00FB723A">
        <w:rPr>
          <w:rFonts w:ascii="Verdana" w:hAnsi="Verdana" w:cs="Arial"/>
          <w:sz w:val="20"/>
          <w:lang w:val="es-ES"/>
        </w:rPr>
        <w:t>ii</w:t>
      </w:r>
      <w:r w:rsidR="00FB723A" w:rsidRPr="00817EFB">
        <w:rPr>
          <w:rFonts w:ascii="Verdana" w:hAnsi="Verdana" w:cs="Arial"/>
          <w:sz w:val="20"/>
          <w:lang w:val="es-ES"/>
        </w:rPr>
        <w:t xml:space="preserve">) la </w:t>
      </w:r>
      <w:r w:rsidR="00FB723A">
        <w:rPr>
          <w:rFonts w:ascii="Verdana" w:hAnsi="Verdana" w:cs="Arial"/>
          <w:sz w:val="20"/>
          <w:lang w:val="es-ES"/>
        </w:rPr>
        <w:t>alegada</w:t>
      </w:r>
      <w:r w:rsidR="00FB723A" w:rsidRPr="00817EFB">
        <w:rPr>
          <w:rFonts w:ascii="Verdana" w:hAnsi="Verdana" w:cs="Arial"/>
          <w:sz w:val="20"/>
          <w:lang w:val="es-ES"/>
        </w:rPr>
        <w:t xml:space="preserve"> inversión de la carga de la prueba; </w:t>
      </w:r>
      <w:r w:rsidR="00FB723A">
        <w:rPr>
          <w:rFonts w:ascii="Verdana" w:hAnsi="Verdana" w:cs="Arial"/>
          <w:sz w:val="20"/>
          <w:lang w:val="es-ES"/>
        </w:rPr>
        <w:t>iii</w:t>
      </w:r>
      <w:r w:rsidR="00FB723A" w:rsidRPr="00817EFB">
        <w:rPr>
          <w:rFonts w:ascii="Verdana" w:hAnsi="Verdana" w:cs="Arial"/>
          <w:sz w:val="20"/>
          <w:lang w:val="es-ES"/>
        </w:rPr>
        <w:t xml:space="preserve">) la </w:t>
      </w:r>
      <w:r w:rsidR="00FB723A">
        <w:rPr>
          <w:rFonts w:ascii="Verdana" w:hAnsi="Verdana" w:cs="Arial"/>
          <w:sz w:val="20"/>
          <w:lang w:val="es-ES"/>
        </w:rPr>
        <w:t>alegada</w:t>
      </w:r>
      <w:r w:rsidR="00FB723A" w:rsidRPr="00817EFB">
        <w:rPr>
          <w:rFonts w:ascii="Verdana" w:hAnsi="Verdana" w:cs="Arial"/>
          <w:sz w:val="20"/>
          <w:lang w:val="es-ES"/>
        </w:rPr>
        <w:t xml:space="preserve"> falta de valoración de la prueba de descargo y de oficio;</w:t>
      </w:r>
      <w:r w:rsidR="00FB723A">
        <w:rPr>
          <w:rFonts w:ascii="Verdana" w:hAnsi="Verdana" w:cs="Arial"/>
          <w:sz w:val="20"/>
          <w:lang w:val="es-ES"/>
        </w:rPr>
        <w:t xml:space="preserve"> iv</w:t>
      </w:r>
      <w:r w:rsidR="00FB723A" w:rsidRPr="00817EFB">
        <w:rPr>
          <w:rFonts w:ascii="Verdana" w:hAnsi="Verdana" w:cs="Arial"/>
          <w:sz w:val="20"/>
          <w:lang w:val="es-ES"/>
        </w:rPr>
        <w:t xml:space="preserve">) la supuesta falta de certeza para determinar la responsabilidad penal </w:t>
      </w:r>
      <w:r w:rsidR="00FB723A" w:rsidRPr="0007798A">
        <w:rPr>
          <w:rFonts w:ascii="Verdana" w:hAnsi="Verdana"/>
          <w:sz w:val="20"/>
          <w:szCs w:val="20"/>
          <w:lang w:val="es-ES"/>
        </w:rPr>
        <w:t>del señor Zegarra Marín</w:t>
      </w:r>
      <w:r w:rsidR="00FB723A">
        <w:rPr>
          <w:rFonts w:ascii="Verdana" w:hAnsi="Verdana" w:cs="Arial"/>
          <w:sz w:val="20"/>
          <w:lang w:val="es-ES"/>
        </w:rPr>
        <w:t>, y</w:t>
      </w:r>
      <w:r w:rsidR="00FB723A" w:rsidRPr="00817EFB">
        <w:rPr>
          <w:rFonts w:ascii="Verdana" w:hAnsi="Verdana" w:cs="Arial"/>
          <w:sz w:val="20"/>
          <w:lang w:val="es-ES"/>
        </w:rPr>
        <w:t xml:space="preserve"> </w:t>
      </w:r>
      <w:r w:rsidR="00FB723A">
        <w:rPr>
          <w:rFonts w:ascii="Verdana" w:hAnsi="Verdana" w:cs="Arial"/>
          <w:sz w:val="20"/>
          <w:lang w:val="es-ES"/>
        </w:rPr>
        <w:t>v</w:t>
      </w:r>
      <w:r w:rsidR="00FB723A" w:rsidRPr="00817EFB">
        <w:rPr>
          <w:rFonts w:ascii="Verdana" w:hAnsi="Verdana" w:cs="Arial"/>
          <w:sz w:val="20"/>
          <w:lang w:val="es-ES"/>
        </w:rPr>
        <w:t>) la alegada falta de motivación de la sentencia condenatoria y su relación con el principio de presunción de inocencia</w:t>
      </w:r>
      <w:r w:rsidR="00FB723A" w:rsidRPr="00662EED">
        <w:rPr>
          <w:rStyle w:val="FootnoteReference"/>
          <w:szCs w:val="20"/>
          <w:lang w:val="es-CR"/>
        </w:rPr>
        <w:footnoteReference w:id="115"/>
      </w:r>
      <w:r w:rsidR="00FB723A" w:rsidRPr="00817EFB">
        <w:rPr>
          <w:rFonts w:ascii="Verdana" w:hAnsi="Verdana" w:cs="Arial"/>
          <w:sz w:val="20"/>
          <w:lang w:val="es-ES"/>
        </w:rPr>
        <w:t xml:space="preserve">. </w:t>
      </w:r>
      <w:r w:rsidR="00FB723A">
        <w:rPr>
          <w:rFonts w:ascii="Verdana" w:hAnsi="Verdana" w:cs="Arial"/>
          <w:sz w:val="20"/>
          <w:lang w:val="es-ES"/>
        </w:rPr>
        <w:t xml:space="preserve">Por otra parte, siendo que </w:t>
      </w:r>
      <w:r w:rsidR="00FB723A" w:rsidRPr="0007798A">
        <w:rPr>
          <w:rFonts w:ascii="Verdana" w:hAnsi="Verdana"/>
          <w:sz w:val="20"/>
          <w:szCs w:val="20"/>
          <w:lang w:val="es-ES"/>
        </w:rPr>
        <w:t>el señor Zegarra Marín</w:t>
      </w:r>
      <w:r w:rsidR="00FB723A" w:rsidDel="00870092">
        <w:rPr>
          <w:rFonts w:ascii="Verdana" w:hAnsi="Verdana" w:cs="Arial"/>
          <w:sz w:val="20"/>
          <w:lang w:val="es-CR"/>
        </w:rPr>
        <w:t xml:space="preserve"> </w:t>
      </w:r>
      <w:r w:rsidR="00FB723A">
        <w:rPr>
          <w:rFonts w:ascii="Verdana" w:hAnsi="Verdana" w:cs="Arial"/>
          <w:sz w:val="20"/>
          <w:lang w:val="es-CR"/>
        </w:rPr>
        <w:t>estuvo facultado para participar en el proceso y controvertir la prueba con las debidas garantías, así como debido a la falta de elementos probatorios, no corresponde en este caso pronunciarse sobre la alegada falta de parcialidad del tribunal.</w:t>
      </w:r>
    </w:p>
    <w:p w14:paraId="6D172C8F" w14:textId="77777777" w:rsidR="00FB723A" w:rsidRPr="00817EFB" w:rsidRDefault="00FB723A" w:rsidP="00FB723A">
      <w:pPr>
        <w:tabs>
          <w:tab w:val="left" w:pos="284"/>
        </w:tabs>
        <w:jc w:val="both"/>
        <w:rPr>
          <w:rFonts w:ascii="Verdana" w:hAnsi="Verdana" w:cs="Arial"/>
          <w:sz w:val="20"/>
          <w:lang w:val="es-CR"/>
        </w:rPr>
      </w:pPr>
    </w:p>
    <w:p w14:paraId="6D172C90" w14:textId="248D53DD" w:rsidR="00FB723A" w:rsidRPr="00B446C7" w:rsidRDefault="00FB723A" w:rsidP="00FB723A">
      <w:pPr>
        <w:pStyle w:val="ListParagraph"/>
        <w:numPr>
          <w:ilvl w:val="0"/>
          <w:numId w:val="2"/>
        </w:numPr>
        <w:ind w:left="0" w:hanging="11"/>
        <w:jc w:val="both"/>
        <w:rPr>
          <w:rFonts w:ascii="Verdana" w:hAnsi="Verdana"/>
          <w:b/>
          <w:sz w:val="20"/>
          <w:szCs w:val="20"/>
          <w:lang w:val="es-CR" w:eastAsia="es-ES"/>
        </w:rPr>
      </w:pPr>
      <w:r>
        <w:rPr>
          <w:rFonts w:ascii="Verdana" w:hAnsi="Verdana"/>
          <w:sz w:val="20"/>
          <w:szCs w:val="20"/>
          <w:lang w:val="es-CR"/>
        </w:rPr>
        <w:t xml:space="preserve">En vista de ello, </w:t>
      </w:r>
      <w:r>
        <w:rPr>
          <w:rFonts w:ascii="Verdana" w:hAnsi="Verdana"/>
          <w:sz w:val="20"/>
          <w:szCs w:val="20"/>
          <w:lang w:val="es-MX"/>
        </w:rPr>
        <w:t xml:space="preserve">para efectos del presente apartado, </w:t>
      </w:r>
      <w:r w:rsidRPr="000A0953">
        <w:rPr>
          <w:rFonts w:ascii="Verdana" w:hAnsi="Verdana"/>
          <w:sz w:val="20"/>
          <w:szCs w:val="20"/>
          <w:lang w:val="es-MX"/>
        </w:rPr>
        <w:t>la controversia</w:t>
      </w:r>
      <w:r w:rsidRPr="00AC7B27">
        <w:rPr>
          <w:rFonts w:ascii="Verdana" w:hAnsi="Verdana"/>
          <w:sz w:val="20"/>
          <w:szCs w:val="20"/>
          <w:lang w:val="es-MX"/>
        </w:rPr>
        <w:t xml:space="preserve"> </w:t>
      </w:r>
      <w:r>
        <w:rPr>
          <w:rFonts w:ascii="Verdana" w:hAnsi="Verdana"/>
          <w:sz w:val="20"/>
          <w:szCs w:val="20"/>
          <w:lang w:val="es-MX"/>
        </w:rPr>
        <w:t xml:space="preserve">consiste en </w:t>
      </w:r>
      <w:r w:rsidRPr="00AC7B27">
        <w:rPr>
          <w:rFonts w:ascii="Verdana" w:hAnsi="Verdana"/>
          <w:sz w:val="20"/>
          <w:szCs w:val="20"/>
          <w:lang w:val="es-MX"/>
        </w:rPr>
        <w:t xml:space="preserve">determinar </w:t>
      </w:r>
      <w:r>
        <w:rPr>
          <w:rFonts w:ascii="Verdana" w:hAnsi="Verdana"/>
          <w:sz w:val="20"/>
          <w:szCs w:val="20"/>
          <w:lang w:val="es-MX"/>
        </w:rPr>
        <w:t xml:space="preserve">si, de acuerdo con los estándares del </w:t>
      </w:r>
      <w:r w:rsidRPr="00AC7B27">
        <w:rPr>
          <w:rFonts w:ascii="Verdana" w:hAnsi="Verdana"/>
          <w:sz w:val="20"/>
          <w:szCs w:val="20"/>
          <w:lang w:val="es-MX"/>
        </w:rPr>
        <w:t xml:space="preserve">debido proceso establecido en el artículo 8 </w:t>
      </w:r>
      <w:r w:rsidRPr="00AC7B27">
        <w:rPr>
          <w:rFonts w:ascii="Verdana" w:hAnsi="Verdana"/>
          <w:sz w:val="20"/>
          <w:szCs w:val="20"/>
          <w:lang w:val="es-MX"/>
        </w:rPr>
        <w:lastRenderedPageBreak/>
        <w:t>de la Convención Americana</w:t>
      </w:r>
      <w:r>
        <w:rPr>
          <w:rFonts w:ascii="Verdana" w:hAnsi="Verdana"/>
          <w:sz w:val="20"/>
          <w:szCs w:val="20"/>
          <w:lang w:val="es-MX"/>
        </w:rPr>
        <w:t>,</w:t>
      </w:r>
      <w:r w:rsidRPr="00AC7B27">
        <w:rPr>
          <w:rFonts w:ascii="Verdana" w:hAnsi="Verdana"/>
          <w:sz w:val="20"/>
          <w:szCs w:val="20"/>
          <w:lang w:val="es-CR" w:eastAsia="es-ES"/>
        </w:rPr>
        <w:t xml:space="preserve"> </w:t>
      </w:r>
      <w:r>
        <w:rPr>
          <w:rFonts w:ascii="Verdana" w:hAnsi="Verdana"/>
          <w:sz w:val="20"/>
          <w:szCs w:val="20"/>
          <w:lang w:val="es-MX"/>
        </w:rPr>
        <w:t xml:space="preserve">se vulneró </w:t>
      </w:r>
      <w:r w:rsidRPr="00AC7B27">
        <w:rPr>
          <w:rFonts w:ascii="Verdana" w:hAnsi="Verdana"/>
          <w:sz w:val="20"/>
          <w:szCs w:val="20"/>
          <w:lang w:val="es-MX"/>
        </w:rPr>
        <w:t>el princ</w:t>
      </w:r>
      <w:r>
        <w:rPr>
          <w:rFonts w:ascii="Verdana" w:hAnsi="Verdana"/>
          <w:sz w:val="20"/>
          <w:szCs w:val="20"/>
          <w:lang w:val="es-MX"/>
        </w:rPr>
        <w:t xml:space="preserve">ipio de presunción de inocencia, así como </w:t>
      </w:r>
      <w:r w:rsidRPr="00AC7B27">
        <w:rPr>
          <w:rFonts w:ascii="Verdana" w:hAnsi="Verdana"/>
          <w:sz w:val="20"/>
          <w:szCs w:val="20"/>
          <w:lang w:val="es-MX"/>
        </w:rPr>
        <w:t>el deber de motivar las resoluciones judiciales</w:t>
      </w:r>
      <w:r w:rsidR="00354F41">
        <w:rPr>
          <w:rFonts w:ascii="Verdana" w:hAnsi="Verdana"/>
          <w:sz w:val="20"/>
          <w:szCs w:val="20"/>
          <w:lang w:val="es-MX"/>
        </w:rPr>
        <w:t>,</w:t>
      </w:r>
      <w:r>
        <w:rPr>
          <w:rFonts w:ascii="Verdana" w:hAnsi="Verdana"/>
          <w:sz w:val="20"/>
          <w:szCs w:val="20"/>
          <w:lang w:val="es-MX"/>
        </w:rPr>
        <w:t xml:space="preserve"> que recayeron en perjuicio de la presunta víctima. </w:t>
      </w:r>
      <w:r w:rsidRPr="00640286">
        <w:rPr>
          <w:rFonts w:ascii="Verdana" w:hAnsi="Verdana"/>
          <w:sz w:val="20"/>
          <w:szCs w:val="20"/>
          <w:lang w:val="es-CR" w:eastAsia="es-ES"/>
        </w:rPr>
        <w:t xml:space="preserve">Así, la Corte analizará dicha controversia </w:t>
      </w:r>
      <w:r>
        <w:rPr>
          <w:rFonts w:ascii="Verdana" w:hAnsi="Verdana"/>
          <w:sz w:val="20"/>
          <w:szCs w:val="20"/>
          <w:lang w:val="es-CR" w:eastAsia="es-ES"/>
        </w:rPr>
        <w:t xml:space="preserve">en los siguientes acápites: </w:t>
      </w:r>
      <w:r w:rsidRPr="008A301C">
        <w:rPr>
          <w:rFonts w:ascii="Verdana" w:hAnsi="Verdana"/>
          <w:sz w:val="20"/>
          <w:szCs w:val="20"/>
          <w:lang w:val="es-CR" w:eastAsia="es-ES"/>
        </w:rPr>
        <w:t xml:space="preserve">1) alcance del principio de presunción de inocencia; 2) </w:t>
      </w:r>
      <w:r>
        <w:rPr>
          <w:rFonts w:ascii="Verdana" w:hAnsi="Verdana"/>
          <w:sz w:val="20"/>
          <w:szCs w:val="20"/>
          <w:lang w:val="es-CR" w:eastAsia="es-ES"/>
        </w:rPr>
        <w:t xml:space="preserve">el valor probatorio de las </w:t>
      </w:r>
      <w:r w:rsidRPr="008A301C">
        <w:rPr>
          <w:rFonts w:ascii="Verdana" w:hAnsi="Verdana"/>
          <w:sz w:val="20"/>
          <w:szCs w:val="20"/>
          <w:lang w:val="es-CR" w:eastAsia="es-ES"/>
        </w:rPr>
        <w:t>declaraciones de coimputados</w:t>
      </w:r>
      <w:r w:rsidR="00D95EF4">
        <w:rPr>
          <w:rFonts w:ascii="Verdana" w:hAnsi="Verdana"/>
          <w:sz w:val="20"/>
          <w:szCs w:val="20"/>
          <w:lang w:val="es-CR" w:eastAsia="es-ES"/>
        </w:rPr>
        <w:t>;</w:t>
      </w:r>
      <w:r w:rsidRPr="008A301C">
        <w:rPr>
          <w:rFonts w:ascii="Verdana" w:hAnsi="Verdana"/>
          <w:sz w:val="20"/>
          <w:szCs w:val="20"/>
          <w:lang w:val="es-CR" w:eastAsia="es-ES"/>
        </w:rPr>
        <w:t xml:space="preserve"> 3) </w:t>
      </w:r>
      <w:r>
        <w:rPr>
          <w:rFonts w:ascii="Verdana" w:hAnsi="Verdana"/>
          <w:sz w:val="20"/>
          <w:szCs w:val="20"/>
          <w:lang w:val="es-CR" w:eastAsia="es-ES"/>
        </w:rPr>
        <w:t xml:space="preserve">la </w:t>
      </w:r>
      <w:r w:rsidRPr="008A301C">
        <w:rPr>
          <w:rFonts w:ascii="Verdana" w:hAnsi="Verdana"/>
          <w:sz w:val="20"/>
          <w:szCs w:val="20"/>
          <w:lang w:val="es-CR" w:eastAsia="es-ES"/>
        </w:rPr>
        <w:t>carga probatoria</w:t>
      </w:r>
      <w:r>
        <w:rPr>
          <w:rFonts w:ascii="Verdana" w:hAnsi="Verdana"/>
          <w:sz w:val="20"/>
          <w:szCs w:val="20"/>
          <w:lang w:val="es-CR" w:eastAsia="es-ES"/>
        </w:rPr>
        <w:t xml:space="preserve"> y la inversión de la misma</w:t>
      </w:r>
      <w:r w:rsidRPr="008A301C">
        <w:rPr>
          <w:rFonts w:ascii="Verdana" w:hAnsi="Verdana"/>
          <w:sz w:val="20"/>
          <w:szCs w:val="20"/>
          <w:lang w:val="es-CR" w:eastAsia="es-ES"/>
        </w:rPr>
        <w:t>; 4) deber de motivar</w:t>
      </w:r>
      <w:r w:rsidR="00D95EF4">
        <w:rPr>
          <w:rFonts w:ascii="Verdana" w:hAnsi="Verdana"/>
          <w:sz w:val="20"/>
          <w:szCs w:val="20"/>
          <w:lang w:val="es-CR" w:eastAsia="es-ES"/>
        </w:rPr>
        <w:t>;</w:t>
      </w:r>
      <w:r w:rsidRPr="008A301C">
        <w:rPr>
          <w:rFonts w:ascii="Verdana" w:hAnsi="Verdana"/>
          <w:sz w:val="20"/>
          <w:szCs w:val="20"/>
          <w:lang w:val="es-CR" w:eastAsia="es-ES"/>
        </w:rPr>
        <w:t xml:space="preserve"> y 5) conclusiones. </w:t>
      </w:r>
    </w:p>
    <w:p w14:paraId="495F2D10" w14:textId="77777777" w:rsidR="00052F4D" w:rsidRPr="00817EFB" w:rsidRDefault="00052F4D" w:rsidP="00B446C7">
      <w:pPr>
        <w:pStyle w:val="ListParagraph"/>
        <w:ind w:left="0"/>
        <w:jc w:val="both"/>
        <w:rPr>
          <w:rFonts w:ascii="Verdana" w:hAnsi="Verdana"/>
          <w:b/>
          <w:sz w:val="20"/>
          <w:szCs w:val="20"/>
          <w:lang w:val="es-CR" w:eastAsia="es-ES"/>
        </w:rPr>
      </w:pPr>
    </w:p>
    <w:p w14:paraId="6D172C91" w14:textId="5464F9DC" w:rsidR="00FB723A" w:rsidRPr="000A0953" w:rsidRDefault="00FB723A" w:rsidP="000A0953">
      <w:pPr>
        <w:pStyle w:val="Heading3"/>
        <w:numPr>
          <w:ilvl w:val="0"/>
          <w:numId w:val="26"/>
        </w:numPr>
        <w:rPr>
          <w:rFonts w:ascii="Verdana" w:hAnsi="Verdana"/>
          <w:b w:val="0"/>
          <w:i/>
          <w:sz w:val="20"/>
          <w:szCs w:val="20"/>
        </w:rPr>
      </w:pPr>
      <w:bookmarkStart w:id="58" w:name="_Toc482093054"/>
      <w:r w:rsidRPr="000A0953">
        <w:rPr>
          <w:rFonts w:ascii="Verdana" w:hAnsi="Verdana"/>
          <w:i/>
          <w:color w:val="auto"/>
          <w:sz w:val="20"/>
          <w:szCs w:val="20"/>
        </w:rPr>
        <w:t>Alcance del principio de presunción de inocencia</w:t>
      </w:r>
      <w:bookmarkEnd w:id="58"/>
    </w:p>
    <w:p w14:paraId="6D172C92" w14:textId="77777777" w:rsidR="00FB723A" w:rsidRDefault="00FB723A" w:rsidP="00FB723A">
      <w:pPr>
        <w:tabs>
          <w:tab w:val="left" w:pos="284"/>
        </w:tabs>
        <w:jc w:val="both"/>
        <w:rPr>
          <w:rFonts w:ascii="Verdana" w:hAnsi="Verdana"/>
          <w:sz w:val="20"/>
          <w:szCs w:val="20"/>
          <w:lang w:val="es-CR" w:eastAsia="es-ES"/>
        </w:rPr>
      </w:pPr>
    </w:p>
    <w:p w14:paraId="6D172C93" w14:textId="77777777" w:rsidR="00FB723A" w:rsidRDefault="00FB723A" w:rsidP="00FB723A">
      <w:pPr>
        <w:pStyle w:val="ListParagraph"/>
        <w:numPr>
          <w:ilvl w:val="0"/>
          <w:numId w:val="2"/>
        </w:numPr>
        <w:ind w:left="0" w:hanging="11"/>
        <w:jc w:val="both"/>
        <w:rPr>
          <w:rFonts w:ascii="Verdana" w:hAnsi="Verdana" w:cs="Arial"/>
          <w:sz w:val="20"/>
          <w:lang w:val="es-CR"/>
        </w:rPr>
      </w:pPr>
      <w:bookmarkStart w:id="59" w:name="_Ref375063243"/>
      <w:r w:rsidRPr="00977693">
        <w:rPr>
          <w:rFonts w:ascii="Verdana" w:hAnsi="Verdana" w:cs="Arial"/>
          <w:bCs/>
          <w:iCs/>
          <w:sz w:val="20"/>
          <w:lang w:val="es-CR"/>
        </w:rPr>
        <w:t xml:space="preserve">El artículo 8.2 de la Convención dispone que “[t]oda persona inculpada de delito tiene derecho a que se presuma su inocencia mientras no se establezca legalmente su culpabilidad”. Por ello, la Corte </w:t>
      </w:r>
      <w:r w:rsidRPr="00977693">
        <w:rPr>
          <w:rFonts w:ascii="Verdana" w:hAnsi="Verdana" w:cs="Arial"/>
          <w:sz w:val="20"/>
          <w:lang w:val="es-CR"/>
        </w:rPr>
        <w:t>ha señalado que el principio de presunción de inocencia constituye un fundamento de las garantías judiciales</w:t>
      </w:r>
      <w:r w:rsidRPr="00977693">
        <w:rPr>
          <w:rFonts w:ascii="Verdana" w:hAnsi="Verdana" w:cs="Arial"/>
          <w:sz w:val="20"/>
          <w:vertAlign w:val="superscript"/>
          <w:lang w:val="es-CR"/>
        </w:rPr>
        <w:footnoteReference w:id="116"/>
      </w:r>
      <w:r w:rsidRPr="00977693">
        <w:rPr>
          <w:rFonts w:ascii="Verdana" w:hAnsi="Verdana" w:cs="Arial"/>
          <w:sz w:val="20"/>
          <w:lang w:val="es-CR"/>
        </w:rPr>
        <w:t xml:space="preserve">. </w:t>
      </w:r>
      <w:bookmarkEnd w:id="59"/>
      <w:r w:rsidRPr="00977693">
        <w:rPr>
          <w:rFonts w:ascii="Verdana" w:hAnsi="Verdana" w:cs="Arial"/>
          <w:sz w:val="20"/>
          <w:lang w:val="es-CR"/>
        </w:rPr>
        <w:t>La presunción de inocencia implica que el imputado goza de un estado jurídico de inocencia o no culpabilidad mientras se resuelve acerca de su responsabilidad penal, de modo tal que debe recibir del Estado un trato acorde con su condición de persona no condenada</w:t>
      </w:r>
      <w:r w:rsidRPr="00977693">
        <w:rPr>
          <w:rFonts w:ascii="Verdana" w:hAnsi="Verdana"/>
          <w:sz w:val="20"/>
          <w:vertAlign w:val="superscript"/>
          <w:lang w:val="es-CR"/>
        </w:rPr>
        <w:footnoteReference w:id="117"/>
      </w:r>
      <w:r w:rsidRPr="00977693">
        <w:rPr>
          <w:rFonts w:ascii="Verdana" w:hAnsi="Verdana" w:cs="Arial"/>
          <w:sz w:val="20"/>
          <w:lang w:val="es-CR"/>
        </w:rPr>
        <w:t xml:space="preserve">. </w:t>
      </w:r>
    </w:p>
    <w:p w14:paraId="6D172C94" w14:textId="77777777" w:rsidR="00FB723A" w:rsidRDefault="00FB723A" w:rsidP="00FB723A">
      <w:pPr>
        <w:tabs>
          <w:tab w:val="left" w:pos="284"/>
        </w:tabs>
        <w:jc w:val="both"/>
        <w:rPr>
          <w:rFonts w:ascii="Verdana" w:hAnsi="Verdana" w:cs="Arial"/>
          <w:sz w:val="20"/>
          <w:lang w:val="es-CR"/>
        </w:rPr>
      </w:pPr>
    </w:p>
    <w:p w14:paraId="6D172C95" w14:textId="77777777" w:rsidR="00FB723A" w:rsidRPr="00977693" w:rsidRDefault="00FB723A" w:rsidP="00FB723A">
      <w:pPr>
        <w:pStyle w:val="ListParagraph"/>
        <w:numPr>
          <w:ilvl w:val="0"/>
          <w:numId w:val="2"/>
        </w:numPr>
        <w:ind w:left="0" w:hanging="11"/>
        <w:jc w:val="both"/>
        <w:rPr>
          <w:rFonts w:ascii="Verdana" w:hAnsi="Verdana" w:cs="Arial"/>
          <w:b/>
          <w:sz w:val="20"/>
          <w:lang w:val="es-CR"/>
        </w:rPr>
      </w:pPr>
      <w:r w:rsidRPr="00977693">
        <w:rPr>
          <w:rFonts w:ascii="Verdana" w:hAnsi="Verdana" w:cs="Helvetica"/>
          <w:sz w:val="20"/>
          <w:lang w:val="es-CR"/>
        </w:rPr>
        <w:t xml:space="preserve">En relación con lo anterior, el principio de presunción de inocencia requiere que nadie sea condenado </w:t>
      </w:r>
      <w:r w:rsidRPr="00AB72AE">
        <w:rPr>
          <w:rFonts w:ascii="Verdana" w:hAnsi="Verdana" w:cs="Helvetica"/>
          <w:sz w:val="20"/>
          <w:lang w:val="es-CR"/>
        </w:rPr>
        <w:t>salvo la existencia de prueba plena o más allá de toda duda razonable de su</w:t>
      </w:r>
      <w:r w:rsidRPr="00977693">
        <w:rPr>
          <w:rFonts w:ascii="Verdana" w:hAnsi="Verdana" w:cs="Helvetica"/>
          <w:sz w:val="20"/>
          <w:lang w:val="es-CR"/>
        </w:rPr>
        <w:t xml:space="preserve"> culpabilidad</w:t>
      </w:r>
      <w:r w:rsidRPr="00977693">
        <w:rPr>
          <w:rFonts w:ascii="Verdana" w:hAnsi="Verdana" w:cs="Helvetica"/>
          <w:sz w:val="20"/>
          <w:vertAlign w:val="superscript"/>
          <w:lang w:val="es-CR"/>
        </w:rPr>
        <w:footnoteReference w:id="118"/>
      </w:r>
      <w:r w:rsidRPr="00977693">
        <w:rPr>
          <w:rFonts w:ascii="Verdana" w:hAnsi="Verdana" w:cs="Helvetica"/>
          <w:sz w:val="20"/>
          <w:lang w:val="es-CR"/>
        </w:rPr>
        <w:t>, tras un proceso sustanciado de acuerdo a las debidas garantías</w:t>
      </w:r>
      <w:r>
        <w:rPr>
          <w:rStyle w:val="FootnoteReference"/>
          <w:lang w:val="es-CR"/>
        </w:rPr>
        <w:footnoteReference w:id="119"/>
      </w:r>
      <w:r w:rsidRPr="00977693">
        <w:rPr>
          <w:rFonts w:ascii="Verdana" w:hAnsi="Verdana"/>
          <w:sz w:val="20"/>
          <w:szCs w:val="20"/>
          <w:lang w:val="es-CR"/>
        </w:rPr>
        <w:t xml:space="preserve">. </w:t>
      </w:r>
      <w:r w:rsidRPr="00BA5177">
        <w:rPr>
          <w:rFonts w:ascii="Verdana" w:hAnsi="Verdana"/>
          <w:sz w:val="20"/>
          <w:szCs w:val="20"/>
          <w:lang w:val="es-CR"/>
        </w:rPr>
        <w:t xml:space="preserve">Por lo que </w:t>
      </w:r>
      <w:r>
        <w:rPr>
          <w:rFonts w:ascii="Verdana" w:hAnsi="Verdana"/>
          <w:sz w:val="20"/>
          <w:szCs w:val="20"/>
          <w:lang w:val="es-CR"/>
        </w:rPr>
        <w:t>si</w:t>
      </w:r>
      <w:r w:rsidRPr="00BA5177">
        <w:rPr>
          <w:rFonts w:ascii="Verdana" w:hAnsi="Verdana"/>
          <w:sz w:val="20"/>
          <w:szCs w:val="20"/>
          <w:lang w:val="es-CR"/>
        </w:rPr>
        <w:t xml:space="preserve"> “obra contra ella prueba incompleta o insuficiente, no es procedente condenarla, sino absolverla</w:t>
      </w:r>
      <w:r w:rsidRPr="00BA5177">
        <w:rPr>
          <w:rStyle w:val="FootnoteReference"/>
          <w:szCs w:val="20"/>
          <w:lang w:val="es-CR"/>
        </w:rPr>
        <w:footnoteReference w:id="120"/>
      </w:r>
      <w:r w:rsidRPr="00BA5177">
        <w:rPr>
          <w:rFonts w:ascii="Verdana" w:hAnsi="Verdana"/>
          <w:sz w:val="20"/>
          <w:szCs w:val="20"/>
          <w:lang w:val="es-CR"/>
        </w:rPr>
        <w:t xml:space="preserve">”. </w:t>
      </w:r>
      <w:r>
        <w:rPr>
          <w:rFonts w:ascii="Verdana" w:hAnsi="Verdana"/>
          <w:sz w:val="20"/>
          <w:szCs w:val="20"/>
          <w:lang w:val="es-CR"/>
        </w:rPr>
        <w:t xml:space="preserve">Debe recordarse que </w:t>
      </w:r>
      <w:r w:rsidRPr="00BA5177">
        <w:rPr>
          <w:rFonts w:ascii="Verdana" w:hAnsi="Verdana"/>
          <w:sz w:val="20"/>
          <w:szCs w:val="20"/>
          <w:lang w:val="es-CR"/>
        </w:rPr>
        <w:t>“</w:t>
      </w:r>
      <w:r>
        <w:rPr>
          <w:rFonts w:ascii="Verdana" w:hAnsi="Verdana"/>
          <w:sz w:val="20"/>
          <w:szCs w:val="20"/>
          <w:lang w:val="es-CR"/>
        </w:rPr>
        <w:t>[l]</w:t>
      </w:r>
      <w:r w:rsidRPr="00BA5177">
        <w:rPr>
          <w:rFonts w:ascii="Verdana" w:hAnsi="Verdana"/>
          <w:sz w:val="20"/>
          <w:szCs w:val="20"/>
          <w:lang w:val="es-CR"/>
        </w:rPr>
        <w:t>a falta de prueba plena de la responsabilidad en una sentencia condenatoria constituye una violación al principio de presunción de inocencia</w:t>
      </w:r>
      <w:r w:rsidRPr="00BA5177">
        <w:rPr>
          <w:rStyle w:val="FootnoteReference"/>
          <w:szCs w:val="20"/>
          <w:lang w:val="es-CR"/>
        </w:rPr>
        <w:footnoteReference w:id="121"/>
      </w:r>
      <w:r w:rsidRPr="00BA5177">
        <w:rPr>
          <w:rFonts w:ascii="Verdana" w:hAnsi="Verdana"/>
          <w:sz w:val="20"/>
          <w:szCs w:val="20"/>
          <w:lang w:val="es-CR"/>
        </w:rPr>
        <w:t>”. En este sentido, c</w:t>
      </w:r>
      <w:r w:rsidRPr="00BA5177">
        <w:rPr>
          <w:rFonts w:ascii="Verdana" w:hAnsi="Verdana" w:cs="Arial"/>
          <w:sz w:val="20"/>
          <w:szCs w:val="20"/>
          <w:lang w:val="es-CR"/>
        </w:rPr>
        <w:t>ualquier duda debe ser usada en beneficio del acusado</w:t>
      </w:r>
      <w:r w:rsidRPr="00BA5177">
        <w:rPr>
          <w:rStyle w:val="FootnoteReference"/>
          <w:rFonts w:cs="Arial"/>
          <w:szCs w:val="20"/>
          <w:lang w:val="es-CR"/>
        </w:rPr>
        <w:footnoteReference w:id="122"/>
      </w:r>
      <w:r w:rsidRPr="00BA5177">
        <w:rPr>
          <w:rFonts w:ascii="Verdana" w:hAnsi="Verdana" w:cs="Arial"/>
          <w:sz w:val="20"/>
          <w:szCs w:val="20"/>
          <w:lang w:val="es-CR"/>
        </w:rPr>
        <w:t>.</w:t>
      </w:r>
    </w:p>
    <w:p w14:paraId="6D172C96" w14:textId="77777777" w:rsidR="00FB723A" w:rsidRDefault="00FB723A" w:rsidP="00FB723A">
      <w:pPr>
        <w:tabs>
          <w:tab w:val="left" w:pos="284"/>
        </w:tabs>
        <w:jc w:val="both"/>
        <w:rPr>
          <w:rFonts w:ascii="Verdana" w:hAnsi="Verdana" w:cs="Arial"/>
          <w:sz w:val="20"/>
          <w:szCs w:val="20"/>
          <w:lang w:val="es-CR"/>
        </w:rPr>
      </w:pPr>
    </w:p>
    <w:p w14:paraId="6D172C97" w14:textId="054EF873" w:rsidR="00FB723A" w:rsidRPr="007C77BD" w:rsidRDefault="00FB723A" w:rsidP="00FB723A">
      <w:pPr>
        <w:pStyle w:val="ListParagraph"/>
        <w:numPr>
          <w:ilvl w:val="0"/>
          <w:numId w:val="2"/>
        </w:numPr>
        <w:ind w:left="0" w:hanging="11"/>
        <w:jc w:val="both"/>
        <w:rPr>
          <w:rFonts w:ascii="Verdana" w:hAnsi="Verdana" w:cs="Arial"/>
          <w:sz w:val="20"/>
          <w:lang w:val="es-CR"/>
        </w:rPr>
      </w:pPr>
      <w:r w:rsidRPr="00977693">
        <w:rPr>
          <w:rFonts w:ascii="Verdana" w:hAnsi="Verdana" w:cs="Arial"/>
          <w:bCs/>
          <w:iCs/>
          <w:sz w:val="20"/>
          <w:lang w:val="es-CR"/>
        </w:rPr>
        <w:t xml:space="preserve">Este estado jurídico de inocencia se proyecta en diversas obligaciones que orientan el </w:t>
      </w:r>
      <w:r w:rsidRPr="00977693">
        <w:rPr>
          <w:rFonts w:ascii="Verdana" w:hAnsi="Verdana"/>
          <w:sz w:val="20"/>
          <w:szCs w:val="20"/>
          <w:lang w:val="es-CR" w:eastAsia="es-ES"/>
        </w:rPr>
        <w:t>desarrollo</w:t>
      </w:r>
      <w:r w:rsidRPr="00977693">
        <w:rPr>
          <w:rFonts w:ascii="Verdana" w:hAnsi="Verdana" w:cs="Arial"/>
          <w:bCs/>
          <w:iCs/>
          <w:sz w:val="20"/>
          <w:lang w:val="es-CR"/>
        </w:rPr>
        <w:t xml:space="preserve"> de todo el proceso penal. Así, la demostración fehaciente de la culpabilidad constituye un requisito indispensable para la sanción penal, de modo que la </w:t>
      </w:r>
      <w:r w:rsidRPr="00AB72AE">
        <w:rPr>
          <w:rFonts w:ascii="Verdana" w:hAnsi="Verdana" w:cs="Arial"/>
          <w:bCs/>
          <w:iCs/>
          <w:sz w:val="20"/>
          <w:lang w:val="es-CR"/>
        </w:rPr>
        <w:t>carga de la prueba recae en la parte acusadora</w:t>
      </w:r>
      <w:r w:rsidRPr="00AB72AE">
        <w:rPr>
          <w:rFonts w:ascii="Verdana" w:hAnsi="Verdana" w:cs="Arial"/>
          <w:bCs/>
          <w:iCs/>
          <w:sz w:val="20"/>
          <w:vertAlign w:val="superscript"/>
          <w:lang w:val="es-CR"/>
        </w:rPr>
        <w:footnoteReference w:id="123"/>
      </w:r>
      <w:r w:rsidR="000D594E" w:rsidRPr="007C77BD">
        <w:rPr>
          <w:rFonts w:ascii="Verdana" w:hAnsi="Verdana" w:cs="Arial"/>
          <w:bCs/>
          <w:iCs/>
          <w:sz w:val="20"/>
          <w:lang w:val="es-CR"/>
        </w:rPr>
        <w:t>.</w:t>
      </w:r>
      <w:r w:rsidR="000D594E">
        <w:rPr>
          <w:rFonts w:ascii="Verdana" w:hAnsi="Verdana" w:cs="Arial"/>
          <w:bCs/>
          <w:iCs/>
          <w:sz w:val="20"/>
          <w:lang w:val="es-CR"/>
        </w:rPr>
        <w:t xml:space="preserve"> </w:t>
      </w:r>
      <w:r>
        <w:rPr>
          <w:rFonts w:ascii="Verdana" w:hAnsi="Verdana" w:cs="Arial"/>
          <w:bCs/>
          <w:iCs/>
          <w:sz w:val="20"/>
          <w:lang w:val="es-CR"/>
        </w:rPr>
        <w:t>Es más</w:t>
      </w:r>
      <w:r w:rsidRPr="00977693">
        <w:rPr>
          <w:rFonts w:ascii="Verdana" w:hAnsi="Verdana" w:cs="Arial"/>
          <w:sz w:val="20"/>
          <w:lang w:val="es-CR"/>
        </w:rPr>
        <w:t xml:space="preserve">, el principio de presunción de inocencia implica que los juzgadores no inicien el proceso con una </w:t>
      </w:r>
      <w:r w:rsidRPr="007C77BD">
        <w:rPr>
          <w:rFonts w:ascii="Verdana" w:hAnsi="Verdana" w:cs="Arial"/>
          <w:sz w:val="20"/>
          <w:lang w:val="es-CR"/>
        </w:rPr>
        <w:t>idea preconcebida de que el acusado ha cometido el delito que se le imputa</w:t>
      </w:r>
      <w:r w:rsidRPr="007C77BD">
        <w:rPr>
          <w:rFonts w:ascii="Verdana" w:hAnsi="Verdana" w:cs="Arial"/>
          <w:sz w:val="20"/>
          <w:vertAlign w:val="superscript"/>
          <w:lang w:val="es-CR"/>
        </w:rPr>
        <w:footnoteReference w:id="124"/>
      </w:r>
      <w:r w:rsidRPr="007C77BD">
        <w:rPr>
          <w:rFonts w:ascii="Verdana" w:hAnsi="Verdana" w:cs="Arial"/>
          <w:sz w:val="20"/>
          <w:lang w:val="es-CR"/>
        </w:rPr>
        <w:t xml:space="preserve">. </w:t>
      </w:r>
    </w:p>
    <w:p w14:paraId="6D172C98" w14:textId="77777777" w:rsidR="00FB723A" w:rsidRPr="007C77BD" w:rsidRDefault="00FB723A" w:rsidP="00FB723A">
      <w:pPr>
        <w:tabs>
          <w:tab w:val="num" w:pos="11028"/>
        </w:tabs>
        <w:contextualSpacing/>
        <w:jc w:val="both"/>
        <w:rPr>
          <w:rFonts w:ascii="Verdana" w:hAnsi="Verdana" w:cs="Arial"/>
          <w:sz w:val="20"/>
          <w:szCs w:val="20"/>
          <w:lang w:val="es-CR"/>
        </w:rPr>
      </w:pPr>
    </w:p>
    <w:p w14:paraId="6D172C99" w14:textId="640DD6DD" w:rsidR="00FB723A" w:rsidRPr="007C77BD" w:rsidRDefault="00FB723A" w:rsidP="00FB723A">
      <w:pPr>
        <w:pStyle w:val="ListParagraph"/>
        <w:numPr>
          <w:ilvl w:val="0"/>
          <w:numId w:val="2"/>
        </w:numPr>
        <w:ind w:left="0" w:hanging="11"/>
        <w:jc w:val="both"/>
        <w:rPr>
          <w:rFonts w:ascii="Verdana" w:hAnsi="Verdana" w:cs="Arial"/>
          <w:sz w:val="20"/>
          <w:lang w:val="es-CR"/>
        </w:rPr>
      </w:pPr>
      <w:r w:rsidRPr="007C77BD">
        <w:rPr>
          <w:rFonts w:ascii="Verdana" w:hAnsi="Verdana" w:cs="Arial"/>
          <w:sz w:val="20"/>
          <w:lang w:val="es-CR"/>
        </w:rPr>
        <w:t xml:space="preserve">En este sentido, la Corte estima que la presunción de inocencia exige que el acusador </w:t>
      </w:r>
      <w:r w:rsidRPr="007C77BD">
        <w:rPr>
          <w:rFonts w:ascii="Verdana" w:hAnsi="Verdana" w:cs="Arial"/>
          <w:bCs/>
          <w:iCs/>
          <w:sz w:val="20"/>
          <w:lang w:val="es-CR"/>
        </w:rPr>
        <w:t>deba</w:t>
      </w:r>
      <w:r w:rsidRPr="007C77BD">
        <w:rPr>
          <w:rFonts w:ascii="Verdana" w:hAnsi="Verdana" w:cs="Arial"/>
          <w:sz w:val="20"/>
          <w:lang w:val="es-CR"/>
        </w:rPr>
        <w:t xml:space="preserve"> demostrar que el ilícito penal es atribuible a la persona imputada, es decir, </w:t>
      </w:r>
      <w:r w:rsidRPr="007C77BD">
        <w:rPr>
          <w:rFonts w:ascii="Verdana" w:hAnsi="Verdana" w:cs="Arial"/>
          <w:sz w:val="20"/>
          <w:lang w:val="es-CR"/>
        </w:rPr>
        <w:lastRenderedPageBreak/>
        <w:t xml:space="preserve">que ha participado culpablemente en su comisión y </w:t>
      </w:r>
      <w:r w:rsidRPr="00292441">
        <w:rPr>
          <w:rFonts w:ascii="Verdana" w:hAnsi="Verdana" w:cs="Arial"/>
          <w:sz w:val="20"/>
          <w:lang w:val="es-CR"/>
        </w:rPr>
        <w:t>que l</w:t>
      </w:r>
      <w:r w:rsidRPr="00000743">
        <w:rPr>
          <w:rFonts w:ascii="Verdana" w:hAnsi="Verdana" w:cs="Arial"/>
          <w:sz w:val="20"/>
          <w:lang w:val="es-CR"/>
        </w:rPr>
        <w:t xml:space="preserve">as autoridades judiciales deban fallar [con </w:t>
      </w:r>
      <w:r>
        <w:rPr>
          <w:rFonts w:ascii="Verdana" w:hAnsi="Verdana" w:cs="Arial"/>
          <w:sz w:val="20"/>
          <w:lang w:val="es-CR"/>
        </w:rPr>
        <w:t xml:space="preserve">un </w:t>
      </w:r>
      <w:r w:rsidRPr="00000743">
        <w:rPr>
          <w:rFonts w:ascii="Verdana" w:hAnsi="Verdana" w:cs="Arial"/>
          <w:sz w:val="20"/>
          <w:lang w:val="es-CR"/>
        </w:rPr>
        <w:t xml:space="preserve">criterio] </w:t>
      </w:r>
      <w:r w:rsidRPr="009C7422">
        <w:rPr>
          <w:rFonts w:ascii="Verdana" w:hAnsi="Verdana" w:cs="Arial"/>
          <w:sz w:val="20"/>
          <w:lang w:val="es-CR"/>
        </w:rPr>
        <w:t>más allá de toda duda razonable para declarar</w:t>
      </w:r>
      <w:r w:rsidRPr="00000743">
        <w:rPr>
          <w:rFonts w:ascii="Verdana" w:hAnsi="Verdana" w:cs="Arial"/>
          <w:sz w:val="20"/>
          <w:lang w:val="es-CR"/>
        </w:rPr>
        <w:t xml:space="preserve"> la responsabilidad penal individual del imputado, incluyendo determinados aspectos fácticos</w:t>
      </w:r>
      <w:r w:rsidRPr="007C77BD">
        <w:rPr>
          <w:rFonts w:ascii="Verdana" w:hAnsi="Verdana" w:cs="Arial"/>
          <w:sz w:val="20"/>
          <w:lang w:val="es-CR"/>
        </w:rPr>
        <w:t xml:space="preserve"> relativos a la culpabilidad del imputado</w:t>
      </w:r>
      <w:r w:rsidRPr="007C77BD">
        <w:rPr>
          <w:rStyle w:val="FootnoteReference"/>
          <w:lang w:val="es-CR"/>
        </w:rPr>
        <w:footnoteReference w:id="125"/>
      </w:r>
      <w:r w:rsidRPr="007C77BD">
        <w:rPr>
          <w:rFonts w:ascii="Verdana" w:hAnsi="Verdana" w:cs="Arial"/>
          <w:sz w:val="20"/>
          <w:lang w:val="es-CR"/>
        </w:rPr>
        <w:t>.</w:t>
      </w:r>
      <w:r>
        <w:rPr>
          <w:rFonts w:ascii="Verdana" w:hAnsi="Verdana" w:cs="Arial"/>
          <w:sz w:val="20"/>
          <w:lang w:val="es-CR"/>
        </w:rPr>
        <w:t xml:space="preserve"> </w:t>
      </w:r>
    </w:p>
    <w:p w14:paraId="6D172C9A" w14:textId="77777777" w:rsidR="00FB723A" w:rsidRPr="007C77BD" w:rsidRDefault="00FB723A" w:rsidP="00FB723A">
      <w:pPr>
        <w:tabs>
          <w:tab w:val="left" w:pos="284"/>
        </w:tabs>
        <w:jc w:val="both"/>
        <w:rPr>
          <w:rFonts w:ascii="Verdana" w:hAnsi="Verdana" w:cs="Arial"/>
          <w:sz w:val="20"/>
          <w:lang w:val="es-CR"/>
        </w:rPr>
      </w:pPr>
    </w:p>
    <w:p w14:paraId="6D172C9B" w14:textId="77777777" w:rsidR="00FB723A" w:rsidRPr="007C77BD" w:rsidRDefault="00FB723A" w:rsidP="00FB723A">
      <w:pPr>
        <w:pStyle w:val="ListParagraph"/>
        <w:numPr>
          <w:ilvl w:val="0"/>
          <w:numId w:val="2"/>
        </w:numPr>
        <w:ind w:left="0" w:hanging="11"/>
        <w:jc w:val="both"/>
        <w:rPr>
          <w:rFonts w:ascii="Verdana" w:hAnsi="Verdana"/>
          <w:sz w:val="20"/>
          <w:szCs w:val="20"/>
          <w:lang w:val="es-CR"/>
        </w:rPr>
      </w:pPr>
      <w:r w:rsidRPr="007C77BD">
        <w:rPr>
          <w:rFonts w:ascii="Verdana" w:hAnsi="Verdana" w:cs="Arial"/>
          <w:sz w:val="20"/>
          <w:lang w:val="es-CR"/>
        </w:rPr>
        <w:t>Por</w:t>
      </w:r>
      <w:r w:rsidRPr="007C77BD">
        <w:rPr>
          <w:rFonts w:ascii="Verdana" w:hAnsi="Verdana"/>
          <w:sz w:val="20"/>
          <w:szCs w:val="20"/>
          <w:lang w:val="es-MX"/>
        </w:rPr>
        <w:t xml:space="preserve"> ende, la Corte resalta que el principio de presunción de inocencia es un eje rector en el juicio y un estándar fundamental en la apreciación probatoria que establece límites a la subjetividad y discrecionalidad de la actividad judicial. Así, en un sistema democrático la apreciación de la prueba debe ser </w:t>
      </w:r>
      <w:r w:rsidRPr="007C77BD">
        <w:rPr>
          <w:rFonts w:ascii="Verdana" w:hAnsi="Verdana"/>
          <w:sz w:val="20"/>
          <w:szCs w:val="20"/>
          <w:lang w:val="es-CR"/>
        </w:rPr>
        <w:t>racional, objetiva e imparcial para desvirtuar la presunción de inocencia y generar certeza de la responsabilidad penal.</w:t>
      </w:r>
    </w:p>
    <w:p w14:paraId="6D172C9C" w14:textId="77777777" w:rsidR="00FB723A" w:rsidRPr="007C77BD" w:rsidRDefault="00FB723A" w:rsidP="00FB723A">
      <w:pPr>
        <w:tabs>
          <w:tab w:val="left" w:pos="284"/>
        </w:tabs>
        <w:jc w:val="both"/>
        <w:rPr>
          <w:rFonts w:ascii="Verdana" w:hAnsi="Verdana"/>
          <w:sz w:val="20"/>
          <w:szCs w:val="20"/>
          <w:lang w:val="es-CR"/>
        </w:rPr>
      </w:pPr>
    </w:p>
    <w:p w14:paraId="6D172C9D" w14:textId="55589FA5" w:rsidR="00FB723A" w:rsidRPr="00817EFB" w:rsidRDefault="00FB723A" w:rsidP="00FB723A">
      <w:pPr>
        <w:pStyle w:val="ListParagraph"/>
        <w:numPr>
          <w:ilvl w:val="0"/>
          <w:numId w:val="2"/>
        </w:numPr>
        <w:ind w:left="0" w:hanging="11"/>
        <w:jc w:val="both"/>
        <w:rPr>
          <w:rFonts w:ascii="Verdana" w:hAnsi="Verdana"/>
          <w:sz w:val="20"/>
          <w:szCs w:val="20"/>
          <w:lang w:val="es-CR"/>
        </w:rPr>
      </w:pPr>
      <w:r w:rsidRPr="007C77BD">
        <w:rPr>
          <w:rFonts w:ascii="Verdana" w:hAnsi="Verdana" w:cs="Arial"/>
          <w:sz w:val="20"/>
          <w:lang w:val="es-CR"/>
        </w:rPr>
        <w:t>Cabe señalar que</w:t>
      </w:r>
      <w:r w:rsidRPr="007C77BD">
        <w:rPr>
          <w:rFonts w:ascii="Verdana" w:hAnsi="Verdana"/>
          <w:sz w:val="20"/>
          <w:szCs w:val="20"/>
          <w:lang w:val="es-CR"/>
        </w:rPr>
        <w:t xml:space="preserve">, </w:t>
      </w:r>
      <w:r w:rsidR="00556A70">
        <w:rPr>
          <w:rFonts w:ascii="Verdana" w:hAnsi="Verdana"/>
          <w:sz w:val="20"/>
          <w:szCs w:val="20"/>
          <w:lang w:val="es-CR"/>
        </w:rPr>
        <w:t>desde el</w:t>
      </w:r>
      <w:r w:rsidR="00556A70" w:rsidRPr="007C77BD">
        <w:rPr>
          <w:rFonts w:ascii="Verdana" w:hAnsi="Verdana"/>
          <w:sz w:val="20"/>
          <w:szCs w:val="20"/>
          <w:lang w:val="es-CR"/>
        </w:rPr>
        <w:t xml:space="preserve"> </w:t>
      </w:r>
      <w:r w:rsidRPr="007C77BD">
        <w:rPr>
          <w:rFonts w:ascii="Verdana" w:hAnsi="Verdana"/>
          <w:sz w:val="20"/>
          <w:szCs w:val="20"/>
          <w:lang w:val="es-CR"/>
        </w:rPr>
        <w:t>momento de los hechos, dicho principio se encontraba reconocido en</w:t>
      </w:r>
      <w:r>
        <w:rPr>
          <w:rFonts w:ascii="Verdana" w:hAnsi="Verdana"/>
          <w:sz w:val="20"/>
          <w:szCs w:val="20"/>
          <w:lang w:val="es-CR"/>
        </w:rPr>
        <w:t xml:space="preserve"> Perú en </w:t>
      </w:r>
      <w:r w:rsidRPr="00817EFB">
        <w:rPr>
          <w:rFonts w:ascii="Verdana" w:hAnsi="Verdana"/>
          <w:sz w:val="20"/>
          <w:szCs w:val="20"/>
          <w:lang w:val="es-CR"/>
        </w:rPr>
        <w:t xml:space="preserve">el artículo 2, inciso 24 </w:t>
      </w:r>
      <w:r w:rsidR="00453038">
        <w:rPr>
          <w:rFonts w:ascii="Verdana" w:hAnsi="Verdana"/>
          <w:sz w:val="20"/>
          <w:szCs w:val="20"/>
          <w:lang w:val="es-CR"/>
        </w:rPr>
        <w:t>e)</w:t>
      </w:r>
      <w:r w:rsidRPr="00817EFB">
        <w:rPr>
          <w:rFonts w:ascii="Verdana" w:hAnsi="Verdana"/>
          <w:sz w:val="20"/>
          <w:szCs w:val="20"/>
          <w:lang w:val="es-CR"/>
        </w:rPr>
        <w:t xml:space="preserve"> de la Constitución Política de 1993</w:t>
      </w:r>
      <w:r>
        <w:rPr>
          <w:rFonts w:ascii="Verdana" w:hAnsi="Verdana"/>
          <w:sz w:val="20"/>
          <w:szCs w:val="20"/>
          <w:lang w:val="es-CR"/>
        </w:rPr>
        <w:t xml:space="preserve">, el cual </w:t>
      </w:r>
      <w:r w:rsidRPr="00817EFB">
        <w:rPr>
          <w:rFonts w:ascii="Verdana" w:hAnsi="Verdana"/>
          <w:sz w:val="20"/>
          <w:szCs w:val="20"/>
          <w:lang w:val="es-CR"/>
        </w:rPr>
        <w:t>establecía que: “</w:t>
      </w:r>
      <w:r w:rsidR="00453038">
        <w:rPr>
          <w:rFonts w:ascii="Verdana" w:hAnsi="Verdana"/>
          <w:sz w:val="20"/>
          <w:szCs w:val="20"/>
          <w:lang w:val="es-CR"/>
        </w:rPr>
        <w:t>[</w:t>
      </w:r>
      <w:r w:rsidRPr="00817EFB">
        <w:rPr>
          <w:rFonts w:ascii="Verdana" w:hAnsi="Verdana"/>
          <w:sz w:val="20"/>
          <w:szCs w:val="20"/>
          <w:lang w:val="es-CR"/>
        </w:rPr>
        <w:t>t</w:t>
      </w:r>
      <w:r w:rsidR="00453038">
        <w:rPr>
          <w:rFonts w:ascii="Verdana" w:hAnsi="Verdana"/>
          <w:sz w:val="20"/>
          <w:szCs w:val="20"/>
          <w:lang w:val="es-CR"/>
        </w:rPr>
        <w:t>]</w:t>
      </w:r>
      <w:r w:rsidRPr="00817EFB">
        <w:rPr>
          <w:rFonts w:ascii="Verdana" w:hAnsi="Verdana"/>
          <w:sz w:val="20"/>
          <w:szCs w:val="20"/>
          <w:lang w:val="es-CR"/>
        </w:rPr>
        <w:t xml:space="preserve">oda persona tiene derecho </w:t>
      </w:r>
      <w:r w:rsidR="00453038">
        <w:rPr>
          <w:rFonts w:ascii="Verdana" w:hAnsi="Verdana"/>
          <w:sz w:val="20"/>
          <w:szCs w:val="20"/>
          <w:lang w:val="es-CR"/>
        </w:rPr>
        <w:t>[…] [</w:t>
      </w:r>
      <w:r w:rsidRPr="00817EFB">
        <w:rPr>
          <w:rFonts w:ascii="Verdana" w:hAnsi="Verdana"/>
          <w:sz w:val="20"/>
          <w:szCs w:val="20"/>
          <w:lang w:val="es-CR"/>
        </w:rPr>
        <w:t>a</w:t>
      </w:r>
      <w:r w:rsidR="00453038">
        <w:rPr>
          <w:rFonts w:ascii="Verdana" w:hAnsi="Verdana"/>
          <w:sz w:val="20"/>
          <w:szCs w:val="20"/>
          <w:lang w:val="es-CR"/>
        </w:rPr>
        <w:t>]</w:t>
      </w:r>
      <w:r w:rsidRPr="00817EFB">
        <w:rPr>
          <w:rFonts w:ascii="Verdana" w:hAnsi="Verdana"/>
          <w:sz w:val="20"/>
          <w:szCs w:val="20"/>
          <w:lang w:val="es-CR"/>
        </w:rPr>
        <w:t xml:space="preserve"> la libertad y a la seguridad personales</w:t>
      </w:r>
      <w:r w:rsidR="00453038">
        <w:rPr>
          <w:rFonts w:ascii="Verdana" w:hAnsi="Verdana"/>
          <w:sz w:val="20"/>
          <w:szCs w:val="20"/>
          <w:lang w:val="es-CR"/>
        </w:rPr>
        <w:t>. E</w:t>
      </w:r>
      <w:r w:rsidRPr="00817EFB">
        <w:rPr>
          <w:rFonts w:ascii="Verdana" w:hAnsi="Verdana"/>
          <w:sz w:val="20"/>
          <w:szCs w:val="20"/>
          <w:lang w:val="es-CR"/>
        </w:rPr>
        <w:t xml:space="preserve">n consecuencia </w:t>
      </w:r>
      <w:r w:rsidR="00453038">
        <w:rPr>
          <w:rFonts w:ascii="Verdana" w:hAnsi="Verdana"/>
          <w:sz w:val="20"/>
          <w:szCs w:val="20"/>
          <w:lang w:val="es-CR"/>
        </w:rPr>
        <w:t xml:space="preserve">[…] </w:t>
      </w:r>
      <w:r w:rsidRPr="00817EFB">
        <w:rPr>
          <w:rFonts w:ascii="Verdana" w:hAnsi="Verdana"/>
          <w:sz w:val="20"/>
          <w:szCs w:val="20"/>
          <w:lang w:val="es-CR"/>
        </w:rPr>
        <w:t>es considerada inocente mientras no se haya declarado judicialmente su responsabilidad”.</w:t>
      </w:r>
    </w:p>
    <w:p w14:paraId="6D172C9E" w14:textId="77777777" w:rsidR="00FB723A" w:rsidRDefault="00FB723A" w:rsidP="00FB723A">
      <w:pPr>
        <w:tabs>
          <w:tab w:val="left" w:pos="284"/>
        </w:tabs>
        <w:jc w:val="both"/>
        <w:rPr>
          <w:rFonts w:ascii="Verdana" w:hAnsi="Verdana"/>
          <w:sz w:val="20"/>
          <w:szCs w:val="20"/>
          <w:lang w:val="es-CR"/>
        </w:rPr>
      </w:pPr>
    </w:p>
    <w:p w14:paraId="6D172C9F" w14:textId="419FEB0F" w:rsidR="00FB723A" w:rsidRPr="000A0953" w:rsidRDefault="000D594E" w:rsidP="000A0953">
      <w:pPr>
        <w:pStyle w:val="Heading3"/>
        <w:numPr>
          <w:ilvl w:val="0"/>
          <w:numId w:val="26"/>
        </w:numPr>
        <w:rPr>
          <w:rFonts w:ascii="Verdana" w:hAnsi="Verdana"/>
          <w:color w:val="auto"/>
          <w:sz w:val="20"/>
          <w:szCs w:val="20"/>
        </w:rPr>
      </w:pPr>
      <w:bookmarkStart w:id="60" w:name="_Toc482093055"/>
      <w:r w:rsidRPr="000A0953">
        <w:rPr>
          <w:rFonts w:ascii="Verdana" w:hAnsi="Verdana"/>
          <w:i/>
          <w:color w:val="auto"/>
          <w:sz w:val="20"/>
          <w:szCs w:val="20"/>
        </w:rPr>
        <w:t>El valor probatorio de las declaraciones de coimputados</w:t>
      </w:r>
      <w:bookmarkEnd w:id="60"/>
    </w:p>
    <w:p w14:paraId="6D172CA0" w14:textId="77777777" w:rsidR="00FB723A" w:rsidRPr="00662EED" w:rsidRDefault="00FB723A" w:rsidP="00FB723A">
      <w:pPr>
        <w:jc w:val="both"/>
        <w:rPr>
          <w:rFonts w:ascii="Verdana" w:hAnsi="Verdana" w:cs="Arial"/>
          <w:sz w:val="20"/>
          <w:szCs w:val="20"/>
          <w:lang w:val="es-CR"/>
        </w:rPr>
      </w:pPr>
    </w:p>
    <w:p w14:paraId="6D172CA1" w14:textId="77777777" w:rsidR="00FB723A" w:rsidRPr="009C7422" w:rsidRDefault="00FB723A" w:rsidP="00FB723A">
      <w:pPr>
        <w:pStyle w:val="ListParagraph"/>
        <w:numPr>
          <w:ilvl w:val="0"/>
          <w:numId w:val="2"/>
        </w:numPr>
        <w:ind w:left="0" w:hanging="11"/>
        <w:jc w:val="both"/>
        <w:rPr>
          <w:rFonts w:ascii="Verdana" w:hAnsi="Verdana"/>
          <w:sz w:val="20"/>
          <w:szCs w:val="20"/>
          <w:lang w:val="es-CR" w:eastAsia="es-ES"/>
        </w:rPr>
      </w:pPr>
      <w:r>
        <w:rPr>
          <w:rFonts w:ascii="Verdana" w:hAnsi="Verdana"/>
          <w:sz w:val="20"/>
          <w:szCs w:val="20"/>
          <w:lang w:val="es-CR" w:eastAsia="es-ES"/>
        </w:rPr>
        <w:t>La Corte ha sostenido que “m</w:t>
      </w:r>
      <w:r w:rsidRPr="00B172B3">
        <w:rPr>
          <w:rFonts w:ascii="Verdana" w:hAnsi="Verdana"/>
          <w:sz w:val="20"/>
          <w:szCs w:val="20"/>
          <w:lang w:val="es-CR" w:eastAsia="es-ES"/>
        </w:rPr>
        <w:t xml:space="preserve">ás allá de la compatibilidad de instituciones que buscan la colaboración de ciertos implicados con la parte acusadora a cambio de determinadas contraprestaciones </w:t>
      </w:r>
      <w:r>
        <w:rPr>
          <w:rFonts w:ascii="Verdana" w:hAnsi="Verdana"/>
          <w:sz w:val="20"/>
          <w:szCs w:val="20"/>
          <w:lang w:val="es-CR" w:eastAsia="es-ES"/>
        </w:rPr>
        <w:t xml:space="preserve">[…] </w:t>
      </w:r>
      <w:r w:rsidRPr="00B172B3">
        <w:rPr>
          <w:rFonts w:ascii="Verdana" w:hAnsi="Verdana"/>
          <w:sz w:val="20"/>
          <w:szCs w:val="20"/>
          <w:lang w:val="es-CR" w:eastAsia="es-ES"/>
        </w:rPr>
        <w:t xml:space="preserve">con la Convención Americana, </w:t>
      </w:r>
      <w:r>
        <w:rPr>
          <w:rFonts w:ascii="Verdana" w:hAnsi="Verdana"/>
          <w:sz w:val="20"/>
          <w:szCs w:val="20"/>
          <w:lang w:val="es-CR" w:eastAsia="es-ES"/>
        </w:rPr>
        <w:t>[…]</w:t>
      </w:r>
      <w:r w:rsidRPr="00B172B3">
        <w:rPr>
          <w:rFonts w:ascii="Verdana" w:hAnsi="Verdana"/>
          <w:sz w:val="20"/>
          <w:szCs w:val="20"/>
          <w:lang w:val="es-CR" w:eastAsia="es-ES"/>
        </w:rPr>
        <w:t xml:space="preserve">, </w:t>
      </w:r>
      <w:r w:rsidRPr="009C7422">
        <w:rPr>
          <w:rFonts w:ascii="Verdana" w:hAnsi="Verdana"/>
          <w:sz w:val="20"/>
          <w:szCs w:val="20"/>
          <w:lang w:val="es-CR" w:eastAsia="es-ES"/>
        </w:rPr>
        <w:t>lo cierto es que es posible afirmar la limitada eficacia probatoria que debe asignarse a la declaración de un coimputado, más allá de su contenido específico, cuando es la única prueba en la que se fundamenta una decisión de condena, pues objetivamente no sería suficiente por sí sola para desvirtuar la presunción de inocencia”</w:t>
      </w:r>
      <w:r w:rsidRPr="009C7422">
        <w:rPr>
          <w:rStyle w:val="FootnoteReference"/>
          <w:sz w:val="18"/>
          <w:szCs w:val="18"/>
          <w:lang w:val="es-CR"/>
        </w:rPr>
        <w:footnoteReference w:id="126"/>
      </w:r>
      <w:r w:rsidRPr="009C7422">
        <w:rPr>
          <w:rFonts w:ascii="Verdana" w:hAnsi="Verdana"/>
          <w:sz w:val="20"/>
          <w:szCs w:val="20"/>
          <w:lang w:val="es-CR" w:eastAsia="es-ES"/>
        </w:rPr>
        <w:t>.</w:t>
      </w:r>
    </w:p>
    <w:p w14:paraId="6D172CA2" w14:textId="77777777" w:rsidR="00FB723A" w:rsidRPr="00C457DD" w:rsidRDefault="00FB723A" w:rsidP="00FB723A">
      <w:pPr>
        <w:tabs>
          <w:tab w:val="left" w:pos="284"/>
        </w:tabs>
        <w:jc w:val="both"/>
        <w:rPr>
          <w:rFonts w:ascii="Verdana" w:hAnsi="Verdana"/>
          <w:sz w:val="20"/>
          <w:szCs w:val="20"/>
          <w:lang w:val="es-CR" w:eastAsia="es-ES"/>
        </w:rPr>
      </w:pPr>
    </w:p>
    <w:p w14:paraId="6D172CA3" w14:textId="2F097538" w:rsidR="00FB723A" w:rsidRPr="009C7422" w:rsidRDefault="00FB723A" w:rsidP="00FB723A">
      <w:pPr>
        <w:pStyle w:val="ListParagraph"/>
        <w:numPr>
          <w:ilvl w:val="0"/>
          <w:numId w:val="2"/>
        </w:numPr>
        <w:ind w:left="0" w:hanging="11"/>
        <w:jc w:val="both"/>
        <w:rPr>
          <w:rFonts w:ascii="Verdana" w:hAnsi="Verdana"/>
          <w:color w:val="0070C0"/>
          <w:sz w:val="20"/>
          <w:szCs w:val="20"/>
          <w:lang w:val="es-CR"/>
        </w:rPr>
      </w:pPr>
      <w:r w:rsidRPr="00093EE2">
        <w:rPr>
          <w:rFonts w:ascii="Verdana" w:hAnsi="Verdana"/>
          <w:sz w:val="20"/>
          <w:szCs w:val="20"/>
          <w:lang w:val="es-CR"/>
        </w:rPr>
        <w:t>Al respecto, el perito</w:t>
      </w:r>
      <w:r w:rsidRPr="00AB72AE">
        <w:rPr>
          <w:sz w:val="20"/>
          <w:szCs w:val="20"/>
          <w:lang w:val="es-CR"/>
        </w:rPr>
        <w:t xml:space="preserve"> </w:t>
      </w:r>
      <w:r w:rsidRPr="00093EE2">
        <w:rPr>
          <w:rFonts w:ascii="Verdana" w:hAnsi="Verdana"/>
          <w:sz w:val="20"/>
          <w:szCs w:val="20"/>
          <w:lang w:val="es-CR"/>
        </w:rPr>
        <w:t xml:space="preserve">Hernán Víctor Gullco declaró </w:t>
      </w:r>
      <w:r w:rsidR="008E2E04">
        <w:rPr>
          <w:rFonts w:ascii="Verdana" w:hAnsi="Verdana"/>
          <w:sz w:val="20"/>
          <w:szCs w:val="20"/>
          <w:lang w:val="es-CR"/>
        </w:rPr>
        <w:t>a</w:t>
      </w:r>
      <w:r w:rsidR="008E2E04" w:rsidRPr="00093EE2">
        <w:rPr>
          <w:rFonts w:ascii="Verdana" w:hAnsi="Verdana"/>
          <w:sz w:val="20"/>
          <w:szCs w:val="20"/>
          <w:lang w:val="es-CR"/>
        </w:rPr>
        <w:t xml:space="preserve"> </w:t>
      </w:r>
      <w:r w:rsidRPr="00093EE2">
        <w:rPr>
          <w:rFonts w:ascii="Verdana" w:hAnsi="Verdana"/>
          <w:sz w:val="20"/>
          <w:szCs w:val="20"/>
          <w:lang w:val="es-CR"/>
        </w:rPr>
        <w:t xml:space="preserve">la Corte sobre el </w:t>
      </w:r>
      <w:r w:rsidRPr="00AB72AE">
        <w:rPr>
          <w:rFonts w:ascii="Verdana" w:hAnsi="Verdana" w:cs="Arial"/>
          <w:sz w:val="20"/>
          <w:szCs w:val="20"/>
          <w:lang w:val="es-CR"/>
        </w:rPr>
        <w:t>valor probatorio de las declaraciones incriminatorias prestadas por un coimputado en un proceso penal, las cuales exigen un</w:t>
      </w:r>
      <w:r>
        <w:rPr>
          <w:rFonts w:ascii="Verdana" w:hAnsi="Verdana" w:cs="Arial"/>
          <w:sz w:val="20"/>
          <w:szCs w:val="20"/>
          <w:lang w:val="es-CR"/>
        </w:rPr>
        <w:t xml:space="preserve">a </w:t>
      </w:r>
      <w:r w:rsidRPr="00AB72AE">
        <w:rPr>
          <w:rFonts w:ascii="Verdana" w:hAnsi="Verdana" w:cs="Arial"/>
          <w:sz w:val="20"/>
          <w:szCs w:val="20"/>
          <w:lang w:val="es-CR"/>
        </w:rPr>
        <w:t xml:space="preserve">corroboración </w:t>
      </w:r>
      <w:r>
        <w:rPr>
          <w:rFonts w:ascii="Verdana" w:hAnsi="Verdana" w:cs="Arial"/>
          <w:sz w:val="20"/>
          <w:szCs w:val="20"/>
          <w:lang w:val="es-CR"/>
        </w:rPr>
        <w:t xml:space="preserve">adicional </w:t>
      </w:r>
      <w:r w:rsidRPr="00AB72AE">
        <w:rPr>
          <w:rFonts w:ascii="Verdana" w:hAnsi="Verdana" w:cs="Arial"/>
          <w:sz w:val="20"/>
          <w:szCs w:val="20"/>
          <w:lang w:val="es-CR"/>
        </w:rPr>
        <w:t>al efecto de ser valoradas como prueba de cargo suficiente</w:t>
      </w:r>
      <w:r w:rsidRPr="00AB72AE">
        <w:rPr>
          <w:rStyle w:val="FootnoteReference"/>
          <w:rFonts w:cs="Arial"/>
          <w:szCs w:val="20"/>
          <w:lang w:val="es-CR"/>
        </w:rPr>
        <w:footnoteReference w:id="127"/>
      </w:r>
      <w:r w:rsidRPr="0089636B">
        <w:rPr>
          <w:rFonts w:ascii="Verdana" w:hAnsi="Verdana" w:cs="Arial"/>
          <w:sz w:val="20"/>
          <w:szCs w:val="20"/>
          <w:lang w:val="es-CR"/>
        </w:rPr>
        <w:t xml:space="preserve">. </w:t>
      </w:r>
    </w:p>
    <w:p w14:paraId="6D172CA4" w14:textId="77777777" w:rsidR="00FB723A" w:rsidRPr="00AB72AE" w:rsidRDefault="00FB723A" w:rsidP="00FB723A">
      <w:pPr>
        <w:pStyle w:val="ListParagraph"/>
        <w:ind w:left="0"/>
        <w:jc w:val="both"/>
        <w:rPr>
          <w:rFonts w:ascii="Verdana" w:hAnsi="Verdana"/>
          <w:color w:val="0070C0"/>
          <w:sz w:val="20"/>
          <w:szCs w:val="20"/>
          <w:lang w:val="es-CR"/>
        </w:rPr>
      </w:pPr>
    </w:p>
    <w:p w14:paraId="6D172CA5" w14:textId="77777777" w:rsidR="00FB723A" w:rsidRPr="009B5E7D" w:rsidRDefault="00FB723A" w:rsidP="00FB723A">
      <w:pPr>
        <w:pStyle w:val="ListParagraph"/>
        <w:numPr>
          <w:ilvl w:val="0"/>
          <w:numId w:val="2"/>
        </w:numPr>
        <w:ind w:left="0" w:hanging="11"/>
        <w:jc w:val="both"/>
        <w:rPr>
          <w:rFonts w:ascii="Verdana" w:hAnsi="Verdana"/>
          <w:sz w:val="20"/>
          <w:szCs w:val="20"/>
          <w:lang w:val="es-CR"/>
        </w:rPr>
      </w:pPr>
      <w:r>
        <w:rPr>
          <w:rFonts w:ascii="Verdana" w:hAnsi="Verdana"/>
          <w:sz w:val="20"/>
          <w:szCs w:val="20"/>
          <w:lang w:val="es-CR" w:eastAsia="es-ES"/>
        </w:rPr>
        <w:t xml:space="preserve">Asimismo, </w:t>
      </w:r>
      <w:r w:rsidRPr="007C77BD">
        <w:rPr>
          <w:rFonts w:ascii="Verdana" w:hAnsi="Verdana"/>
          <w:sz w:val="20"/>
          <w:szCs w:val="20"/>
        </w:rPr>
        <w:t>el Comité de Derechos Humanos ha señalado que “</w:t>
      </w:r>
      <w:r w:rsidRPr="007C77BD">
        <w:rPr>
          <w:rFonts w:ascii="Verdana" w:hAnsi="Verdana"/>
          <w:sz w:val="20"/>
          <w:szCs w:val="20"/>
          <w:lang w:val="es-CR"/>
        </w:rPr>
        <w:t>las pruebas incriminatorias presentadas contra una persona por un cómplice acusado del mismo delito deben tratarse con prudencia, especialmente cuando el cómplice ha modificado su versión de los hechos en diversas ocasiones”</w:t>
      </w:r>
      <w:r w:rsidRPr="007C77BD">
        <w:rPr>
          <w:rStyle w:val="FootnoteReference"/>
          <w:szCs w:val="20"/>
          <w:lang w:val="es-CR"/>
        </w:rPr>
        <w:footnoteReference w:id="128"/>
      </w:r>
      <w:r w:rsidRPr="007C77BD">
        <w:rPr>
          <w:rFonts w:ascii="Verdana" w:hAnsi="Verdana"/>
          <w:sz w:val="20"/>
          <w:szCs w:val="20"/>
          <w:lang w:val="es-CR"/>
        </w:rPr>
        <w:t>.</w:t>
      </w:r>
    </w:p>
    <w:p w14:paraId="6D172CA6" w14:textId="77777777" w:rsidR="00FB723A" w:rsidRDefault="00FB723A" w:rsidP="00FB723A">
      <w:pPr>
        <w:tabs>
          <w:tab w:val="left" w:pos="284"/>
        </w:tabs>
        <w:jc w:val="both"/>
        <w:rPr>
          <w:rFonts w:ascii="Verdana" w:hAnsi="Verdana"/>
          <w:sz w:val="20"/>
          <w:szCs w:val="20"/>
          <w:lang w:val="es-CR"/>
        </w:rPr>
      </w:pPr>
    </w:p>
    <w:p w14:paraId="6D172CA7" w14:textId="18E2BCDD" w:rsidR="00FB723A" w:rsidRPr="000D594E" w:rsidRDefault="007B77B3" w:rsidP="00FB723A">
      <w:pPr>
        <w:pStyle w:val="ListParagraph"/>
        <w:numPr>
          <w:ilvl w:val="0"/>
          <w:numId w:val="2"/>
        </w:numPr>
        <w:ind w:left="0" w:hanging="11"/>
        <w:jc w:val="both"/>
        <w:rPr>
          <w:rFonts w:ascii="Verdana" w:hAnsi="Verdana"/>
          <w:sz w:val="20"/>
          <w:szCs w:val="20"/>
          <w:lang w:val="es-CR"/>
        </w:rPr>
      </w:pPr>
      <w:r w:rsidRPr="000A0953">
        <w:rPr>
          <w:rFonts w:ascii="Verdana" w:hAnsi="Verdana"/>
          <w:sz w:val="20"/>
          <w:szCs w:val="20"/>
          <w:lang w:val="es-CR"/>
        </w:rPr>
        <w:t xml:space="preserve">En este sentido, la Corte resalta que las declaraciones de los co-acusados revisten </w:t>
      </w:r>
      <w:r w:rsidR="001A0416" w:rsidRPr="000A0953">
        <w:rPr>
          <w:rFonts w:ascii="Verdana" w:hAnsi="Verdana"/>
          <w:sz w:val="20"/>
          <w:szCs w:val="20"/>
          <w:lang w:val="es-CR"/>
        </w:rPr>
        <w:t xml:space="preserve">valor indiciario y, por consiguiente, </w:t>
      </w:r>
      <w:r w:rsidR="006D2FEF" w:rsidRPr="000A0953">
        <w:rPr>
          <w:rFonts w:ascii="Verdana" w:hAnsi="Verdana"/>
          <w:sz w:val="20"/>
          <w:szCs w:val="20"/>
          <w:lang w:val="es-CR"/>
        </w:rPr>
        <w:t xml:space="preserve">forman parte de la prueba indirecta o indiciaria, debiendo </w:t>
      </w:r>
      <w:r w:rsidR="00F636EB" w:rsidRPr="000A0953">
        <w:rPr>
          <w:rFonts w:ascii="Verdana" w:hAnsi="Verdana"/>
          <w:sz w:val="20"/>
          <w:szCs w:val="20"/>
          <w:lang w:val="es-CR"/>
        </w:rPr>
        <w:t>valorar sus contenidos conforme a los</w:t>
      </w:r>
      <w:r w:rsidR="002D5E44" w:rsidRPr="000A0953">
        <w:rPr>
          <w:rFonts w:ascii="Verdana" w:hAnsi="Verdana"/>
          <w:sz w:val="20"/>
          <w:szCs w:val="20"/>
          <w:lang w:val="es-CR"/>
        </w:rPr>
        <w:t xml:space="preserve"> principios</w:t>
      </w:r>
      <w:r w:rsidR="006D2FEF" w:rsidRPr="000A0953">
        <w:rPr>
          <w:rFonts w:ascii="Verdana" w:hAnsi="Verdana"/>
          <w:sz w:val="20"/>
          <w:szCs w:val="20"/>
          <w:lang w:val="es-CR"/>
        </w:rPr>
        <w:t xml:space="preserve"> </w:t>
      </w:r>
      <w:r w:rsidR="00F636EB" w:rsidRPr="000A0953">
        <w:rPr>
          <w:rFonts w:ascii="Verdana" w:hAnsi="Verdana"/>
          <w:sz w:val="20"/>
          <w:szCs w:val="20"/>
          <w:lang w:val="es-CR"/>
        </w:rPr>
        <w:t>de</w:t>
      </w:r>
      <w:r w:rsidR="006D2FEF" w:rsidRPr="000A0953">
        <w:rPr>
          <w:rFonts w:ascii="Verdana" w:hAnsi="Verdana"/>
          <w:sz w:val="20"/>
          <w:szCs w:val="20"/>
          <w:lang w:val="es-CR"/>
        </w:rPr>
        <w:t xml:space="preserve"> la sana crítica</w:t>
      </w:r>
      <w:r w:rsidR="008E2E04">
        <w:rPr>
          <w:rFonts w:ascii="Verdana" w:hAnsi="Verdana"/>
          <w:sz w:val="20"/>
          <w:szCs w:val="20"/>
          <w:lang w:val="es-CR"/>
        </w:rPr>
        <w:t>;</w:t>
      </w:r>
      <w:r w:rsidR="006D2FEF" w:rsidRPr="000A0953">
        <w:rPr>
          <w:rFonts w:ascii="Verdana" w:hAnsi="Verdana"/>
          <w:sz w:val="20"/>
          <w:szCs w:val="20"/>
          <w:lang w:val="es-CR"/>
        </w:rPr>
        <w:t xml:space="preserve"> es decir, que sean varios los indicios y, entre ellos, sean </w:t>
      </w:r>
      <w:r w:rsidR="002D5E44" w:rsidRPr="000A0953">
        <w:rPr>
          <w:rFonts w:ascii="Verdana" w:hAnsi="Verdana"/>
          <w:sz w:val="20"/>
          <w:szCs w:val="20"/>
          <w:lang w:val="es-CR"/>
        </w:rPr>
        <w:t>serios</w:t>
      </w:r>
      <w:r w:rsidR="002D5E44" w:rsidRPr="000A0953">
        <w:rPr>
          <w:rFonts w:ascii="Verdana" w:hAnsi="Verdana"/>
          <w:sz w:val="20"/>
          <w:lang w:val="es-CR"/>
        </w:rPr>
        <w:t xml:space="preserve"> y </w:t>
      </w:r>
      <w:r w:rsidR="002D5E44" w:rsidRPr="000A0953">
        <w:rPr>
          <w:rFonts w:ascii="Verdana" w:hAnsi="Verdana"/>
          <w:sz w:val="20"/>
          <w:szCs w:val="20"/>
          <w:lang w:val="es-CR"/>
        </w:rPr>
        <w:t>precisos</w:t>
      </w:r>
      <w:r w:rsidR="00631B30" w:rsidRPr="000A0953">
        <w:rPr>
          <w:rFonts w:ascii="Verdana" w:hAnsi="Verdana"/>
          <w:sz w:val="20"/>
          <w:szCs w:val="20"/>
          <w:lang w:val="es-CR"/>
        </w:rPr>
        <w:t>, así como</w:t>
      </w:r>
      <w:r w:rsidR="006D2FEF" w:rsidRPr="000A0953">
        <w:rPr>
          <w:rFonts w:ascii="Verdana" w:hAnsi="Verdana"/>
          <w:sz w:val="20"/>
          <w:szCs w:val="20"/>
          <w:lang w:val="es-CR"/>
        </w:rPr>
        <w:t xml:space="preserve"> concordantes. El co-imputado no tiene el deber de prestar declaraciones, dado que realiza un acto sustancial de defensa, a diferencia del testigo, que incurre en una conducta delictiva no sólo cuando falta a la verdad, sino incluso cuando la omite o </w:t>
      </w:r>
      <w:r w:rsidR="006D2FEF" w:rsidRPr="000A0953">
        <w:rPr>
          <w:rFonts w:ascii="Verdana" w:hAnsi="Verdana"/>
          <w:sz w:val="20"/>
          <w:lang w:val="es-CR"/>
        </w:rPr>
        <w:t xml:space="preserve">es </w:t>
      </w:r>
      <w:r w:rsidR="002D5E44" w:rsidRPr="000A0953">
        <w:rPr>
          <w:rFonts w:ascii="Verdana" w:hAnsi="Verdana"/>
          <w:sz w:val="20"/>
          <w:szCs w:val="20"/>
          <w:lang w:val="es-CR"/>
        </w:rPr>
        <w:t>remiso</w:t>
      </w:r>
      <w:r w:rsidR="00FE0C2E" w:rsidRPr="000A0953">
        <w:rPr>
          <w:rFonts w:ascii="Verdana" w:hAnsi="Verdana"/>
          <w:sz w:val="20"/>
          <w:szCs w:val="20"/>
          <w:lang w:val="es-CR"/>
        </w:rPr>
        <w:t>.</w:t>
      </w:r>
    </w:p>
    <w:p w14:paraId="6D172CA8" w14:textId="77777777" w:rsidR="00FB723A" w:rsidRPr="00093EE2" w:rsidRDefault="00FB723A" w:rsidP="00FB723A">
      <w:pPr>
        <w:tabs>
          <w:tab w:val="left" w:pos="284"/>
        </w:tabs>
        <w:jc w:val="both"/>
        <w:rPr>
          <w:rFonts w:ascii="Verdana" w:hAnsi="Verdana"/>
          <w:sz w:val="20"/>
          <w:szCs w:val="20"/>
          <w:lang w:val="es-CR"/>
        </w:rPr>
      </w:pPr>
    </w:p>
    <w:p w14:paraId="6D172CA9" w14:textId="444438B4" w:rsidR="00FB723A" w:rsidRDefault="00FB723A" w:rsidP="00FB723A">
      <w:pPr>
        <w:pStyle w:val="ListParagraph"/>
        <w:numPr>
          <w:ilvl w:val="0"/>
          <w:numId w:val="2"/>
        </w:numPr>
        <w:ind w:left="0" w:hanging="11"/>
        <w:jc w:val="both"/>
        <w:rPr>
          <w:rFonts w:ascii="Verdana" w:hAnsi="Verdana"/>
          <w:sz w:val="20"/>
          <w:szCs w:val="20"/>
          <w:lang w:val="es-CR"/>
        </w:rPr>
      </w:pPr>
      <w:r>
        <w:rPr>
          <w:rFonts w:ascii="Verdana" w:hAnsi="Verdana"/>
          <w:sz w:val="20"/>
          <w:szCs w:val="20"/>
          <w:lang w:val="es-CR"/>
        </w:rPr>
        <w:t>L</w:t>
      </w:r>
      <w:r w:rsidRPr="00662EED">
        <w:rPr>
          <w:rFonts w:ascii="Verdana" w:hAnsi="Verdana"/>
          <w:sz w:val="20"/>
          <w:szCs w:val="20"/>
          <w:lang w:val="es-CR"/>
        </w:rPr>
        <w:t xml:space="preserve">a Corte constató que </w:t>
      </w:r>
      <w:r>
        <w:rPr>
          <w:rFonts w:ascii="Verdana" w:hAnsi="Verdana"/>
          <w:sz w:val="20"/>
          <w:szCs w:val="20"/>
          <w:lang w:val="es-CR"/>
        </w:rPr>
        <w:t>la</w:t>
      </w:r>
      <w:r w:rsidRPr="00662EED">
        <w:rPr>
          <w:rFonts w:ascii="Verdana" w:hAnsi="Verdana"/>
          <w:sz w:val="20"/>
          <w:szCs w:val="20"/>
          <w:lang w:val="es-CR"/>
        </w:rPr>
        <w:t xml:space="preserve"> sentencia </w:t>
      </w:r>
      <w:r>
        <w:rPr>
          <w:rFonts w:ascii="Verdana" w:hAnsi="Verdana"/>
          <w:sz w:val="20"/>
          <w:szCs w:val="20"/>
          <w:lang w:val="es-CR"/>
        </w:rPr>
        <w:t xml:space="preserve">en comento otorgó </w:t>
      </w:r>
      <w:r w:rsidRPr="00662EED">
        <w:rPr>
          <w:rFonts w:ascii="Verdana" w:hAnsi="Verdana"/>
          <w:sz w:val="20"/>
          <w:szCs w:val="20"/>
          <w:lang w:val="es-CR"/>
        </w:rPr>
        <w:t>grado decisivo</w:t>
      </w:r>
      <w:r>
        <w:rPr>
          <w:rStyle w:val="FootnoteReference"/>
          <w:szCs w:val="20"/>
          <w:lang w:val="es-CR"/>
        </w:rPr>
        <w:footnoteReference w:id="129"/>
      </w:r>
      <w:r w:rsidRPr="00662EED">
        <w:rPr>
          <w:rFonts w:ascii="Verdana" w:hAnsi="Verdana"/>
          <w:sz w:val="20"/>
          <w:szCs w:val="20"/>
          <w:lang w:val="es-CR"/>
        </w:rPr>
        <w:t xml:space="preserve"> </w:t>
      </w:r>
      <w:r>
        <w:rPr>
          <w:rFonts w:ascii="Verdana" w:hAnsi="Verdana"/>
          <w:sz w:val="20"/>
          <w:szCs w:val="20"/>
          <w:lang w:val="es-CR"/>
        </w:rPr>
        <w:t>a</w:t>
      </w:r>
      <w:r w:rsidRPr="00662EED">
        <w:rPr>
          <w:rFonts w:ascii="Verdana" w:hAnsi="Verdana"/>
          <w:sz w:val="20"/>
          <w:szCs w:val="20"/>
          <w:lang w:val="es-CR"/>
        </w:rPr>
        <w:t xml:space="preserve"> las imputaciones realizadas por dos co-acusados del señor Zegarra Marín (</w:t>
      </w:r>
      <w:r w:rsidRPr="0058104A">
        <w:rPr>
          <w:rFonts w:ascii="Verdana" w:hAnsi="Verdana"/>
          <w:i/>
          <w:sz w:val="20"/>
          <w:szCs w:val="20"/>
          <w:lang w:val="es-CR"/>
        </w:rPr>
        <w:t>supra</w:t>
      </w:r>
      <w:r w:rsidRPr="00662EED">
        <w:rPr>
          <w:rFonts w:ascii="Verdana" w:hAnsi="Verdana"/>
          <w:sz w:val="20"/>
          <w:szCs w:val="20"/>
          <w:lang w:val="es-CR"/>
        </w:rPr>
        <w:t xml:space="preserve"> párr.</w:t>
      </w:r>
      <w:r>
        <w:rPr>
          <w:rFonts w:ascii="Verdana" w:hAnsi="Verdana"/>
          <w:sz w:val="20"/>
          <w:szCs w:val="20"/>
          <w:lang w:val="es-CR"/>
        </w:rPr>
        <w:t xml:space="preserve"> </w:t>
      </w:r>
      <w:r w:rsidR="008E2E04">
        <w:rPr>
          <w:rFonts w:ascii="Verdana" w:hAnsi="Verdana"/>
          <w:sz w:val="20"/>
          <w:szCs w:val="20"/>
          <w:lang w:val="es-CR"/>
        </w:rPr>
        <w:t>93</w:t>
      </w:r>
      <w:r w:rsidRPr="00662EED">
        <w:rPr>
          <w:rFonts w:ascii="Verdana" w:hAnsi="Verdana"/>
          <w:sz w:val="20"/>
          <w:szCs w:val="20"/>
          <w:lang w:val="es-CR"/>
        </w:rPr>
        <w:t>)</w:t>
      </w:r>
      <w:r>
        <w:rPr>
          <w:rFonts w:ascii="Verdana" w:hAnsi="Verdana"/>
          <w:sz w:val="20"/>
          <w:szCs w:val="20"/>
          <w:lang w:val="es-CR"/>
        </w:rPr>
        <w:t>,</w:t>
      </w:r>
      <w:r w:rsidRPr="00662EED">
        <w:rPr>
          <w:rFonts w:ascii="Verdana" w:hAnsi="Verdana"/>
          <w:sz w:val="20"/>
          <w:szCs w:val="20"/>
          <w:lang w:val="es-CR"/>
        </w:rPr>
        <w:t xml:space="preserve"> de las cuales s</w:t>
      </w:r>
      <w:r>
        <w:rPr>
          <w:rFonts w:ascii="Verdana" w:hAnsi="Verdana"/>
          <w:sz w:val="20"/>
          <w:szCs w:val="20"/>
          <w:lang w:val="es-CR"/>
        </w:rPr>
        <w:t>ó</w:t>
      </w:r>
      <w:r w:rsidRPr="00662EED">
        <w:rPr>
          <w:rFonts w:ascii="Verdana" w:hAnsi="Verdana"/>
          <w:sz w:val="20"/>
          <w:szCs w:val="20"/>
          <w:lang w:val="es-CR"/>
        </w:rPr>
        <w:t>lo la declaración de</w:t>
      </w:r>
      <w:r>
        <w:rPr>
          <w:rFonts w:ascii="Verdana" w:hAnsi="Verdana"/>
          <w:sz w:val="20"/>
          <w:szCs w:val="20"/>
          <w:lang w:val="es-CR"/>
        </w:rPr>
        <w:t xml:space="preserve">l señor </w:t>
      </w:r>
      <w:r w:rsidR="0014732F">
        <w:rPr>
          <w:rFonts w:ascii="Verdana" w:hAnsi="Verdana"/>
          <w:sz w:val="20"/>
          <w:szCs w:val="20"/>
          <w:lang w:val="es-CR"/>
        </w:rPr>
        <w:t>CH</w:t>
      </w:r>
      <w:r w:rsidRPr="00662EED">
        <w:rPr>
          <w:rFonts w:ascii="Verdana" w:hAnsi="Verdana"/>
          <w:sz w:val="20"/>
          <w:szCs w:val="20"/>
          <w:lang w:val="es-CR"/>
        </w:rPr>
        <w:t xml:space="preserve"> se refirió a hechos propios, ya que la de</w:t>
      </w:r>
      <w:r>
        <w:rPr>
          <w:rFonts w:ascii="Verdana" w:hAnsi="Verdana"/>
          <w:sz w:val="20"/>
          <w:szCs w:val="20"/>
          <w:lang w:val="es-CR"/>
        </w:rPr>
        <w:t xml:space="preserve">l señor </w:t>
      </w:r>
      <w:r w:rsidR="005E0AEB">
        <w:rPr>
          <w:rFonts w:ascii="Verdana" w:hAnsi="Verdana"/>
          <w:sz w:val="20"/>
          <w:szCs w:val="20"/>
          <w:lang w:val="es-CR"/>
        </w:rPr>
        <w:t>MP</w:t>
      </w:r>
      <w:r w:rsidRPr="00662EED">
        <w:rPr>
          <w:rFonts w:ascii="Verdana" w:hAnsi="Verdana"/>
          <w:sz w:val="20"/>
          <w:szCs w:val="20"/>
          <w:lang w:val="es-CR"/>
        </w:rPr>
        <w:t xml:space="preserve"> señaló hechos que el declarante no conoció directamente, sino a través de comentario del señor </w:t>
      </w:r>
      <w:r w:rsidR="0014732F">
        <w:rPr>
          <w:rFonts w:ascii="Verdana" w:hAnsi="Verdana"/>
          <w:sz w:val="20"/>
          <w:szCs w:val="20"/>
          <w:lang w:val="es-CR"/>
        </w:rPr>
        <w:t>CH</w:t>
      </w:r>
      <w:r w:rsidRPr="00662EED">
        <w:rPr>
          <w:rStyle w:val="FootnoteReference"/>
          <w:szCs w:val="20"/>
          <w:lang w:val="es-CR"/>
        </w:rPr>
        <w:footnoteReference w:id="130"/>
      </w:r>
      <w:r w:rsidRPr="00662EED">
        <w:rPr>
          <w:rFonts w:ascii="Verdana" w:hAnsi="Verdana"/>
          <w:sz w:val="20"/>
          <w:szCs w:val="20"/>
          <w:lang w:val="es-CR"/>
        </w:rPr>
        <w:t>.</w:t>
      </w:r>
      <w:r>
        <w:rPr>
          <w:rFonts w:ascii="Verdana" w:hAnsi="Verdana"/>
          <w:sz w:val="20"/>
          <w:szCs w:val="20"/>
          <w:lang w:val="es-CR"/>
        </w:rPr>
        <w:t xml:space="preserve"> </w:t>
      </w:r>
    </w:p>
    <w:p w14:paraId="6D172CAA" w14:textId="77777777" w:rsidR="00FB723A" w:rsidRPr="00637905" w:rsidRDefault="00FB723A" w:rsidP="00FB723A">
      <w:pPr>
        <w:tabs>
          <w:tab w:val="left" w:pos="284"/>
        </w:tabs>
        <w:jc w:val="both"/>
        <w:rPr>
          <w:rFonts w:ascii="Verdana" w:hAnsi="Verdana"/>
          <w:sz w:val="20"/>
          <w:szCs w:val="20"/>
          <w:lang w:val="es-CR"/>
        </w:rPr>
      </w:pPr>
    </w:p>
    <w:p w14:paraId="6D172CAB" w14:textId="237C08F1" w:rsidR="00FB723A" w:rsidRDefault="00FB723A" w:rsidP="00FB723A">
      <w:pPr>
        <w:pStyle w:val="ListParagraph"/>
        <w:numPr>
          <w:ilvl w:val="0"/>
          <w:numId w:val="2"/>
        </w:numPr>
        <w:ind w:left="0" w:hanging="11"/>
        <w:jc w:val="both"/>
        <w:rPr>
          <w:rFonts w:ascii="Verdana" w:hAnsi="Verdana"/>
          <w:sz w:val="20"/>
          <w:szCs w:val="20"/>
          <w:lang w:val="es-CR"/>
        </w:rPr>
      </w:pPr>
      <w:r w:rsidRPr="00F51509">
        <w:rPr>
          <w:rFonts w:ascii="Verdana" w:hAnsi="Verdana"/>
          <w:sz w:val="20"/>
          <w:szCs w:val="20"/>
          <w:lang w:val="es-CR"/>
        </w:rPr>
        <w:t xml:space="preserve">Por otra parte, la Corte nota que </w:t>
      </w:r>
      <w:r>
        <w:rPr>
          <w:rFonts w:ascii="Verdana" w:hAnsi="Verdana"/>
          <w:sz w:val="20"/>
          <w:szCs w:val="20"/>
          <w:lang w:val="es-CR"/>
        </w:rPr>
        <w:t xml:space="preserve">en el </w:t>
      </w:r>
      <w:r w:rsidRPr="00F51509">
        <w:rPr>
          <w:rFonts w:ascii="Verdana" w:hAnsi="Verdana"/>
          <w:sz w:val="20"/>
          <w:szCs w:val="20"/>
          <w:lang w:val="es-CR"/>
        </w:rPr>
        <w:t xml:space="preserve">auto de libertad provisional emitido por la propia </w:t>
      </w:r>
      <w:r w:rsidRPr="00CA10BF">
        <w:rPr>
          <w:rFonts w:ascii="Verdana" w:hAnsi="Verdana"/>
          <w:sz w:val="20"/>
          <w:szCs w:val="20"/>
          <w:lang w:val="es-CR"/>
        </w:rPr>
        <w:t>Quinta Sala Penal</w:t>
      </w:r>
      <w:r w:rsidR="000D594E">
        <w:rPr>
          <w:rFonts w:ascii="Verdana" w:hAnsi="Verdana"/>
          <w:sz w:val="20"/>
          <w:szCs w:val="20"/>
          <w:lang w:val="es-CR"/>
        </w:rPr>
        <w:t>,</w:t>
      </w:r>
      <w:r w:rsidRPr="00CA10BF">
        <w:rPr>
          <w:rFonts w:ascii="Verdana" w:hAnsi="Verdana"/>
          <w:sz w:val="20"/>
          <w:szCs w:val="20"/>
          <w:lang w:val="es-CR"/>
        </w:rPr>
        <w:t xml:space="preserve"> dictado el 22 de junio de 1995 a favor </w:t>
      </w:r>
      <w:r w:rsidRPr="0007798A">
        <w:rPr>
          <w:rFonts w:ascii="Verdana" w:hAnsi="Verdana"/>
          <w:sz w:val="20"/>
          <w:szCs w:val="20"/>
          <w:lang w:val="es-ES"/>
        </w:rPr>
        <w:t>del señor Zegarra Marín</w:t>
      </w:r>
      <w:r w:rsidRPr="00C82017">
        <w:rPr>
          <w:rFonts w:ascii="Verdana" w:hAnsi="Verdana"/>
          <w:sz w:val="20"/>
          <w:szCs w:val="20"/>
          <w:lang w:val="es-CR"/>
        </w:rPr>
        <w:t xml:space="preserve">, </w:t>
      </w:r>
      <w:r>
        <w:rPr>
          <w:rFonts w:ascii="Verdana" w:hAnsi="Verdana"/>
          <w:sz w:val="20"/>
          <w:szCs w:val="20"/>
          <w:lang w:val="es-CR"/>
        </w:rPr>
        <w:t xml:space="preserve">se </w:t>
      </w:r>
      <w:r w:rsidRPr="00C82017">
        <w:rPr>
          <w:rFonts w:ascii="Verdana" w:hAnsi="Verdana"/>
          <w:sz w:val="20"/>
          <w:szCs w:val="20"/>
          <w:lang w:val="es-CR"/>
        </w:rPr>
        <w:t>señaló que “</w:t>
      </w:r>
      <w:r w:rsidRPr="00BA5177">
        <w:rPr>
          <w:rFonts w:ascii="Verdana" w:hAnsi="Verdana"/>
          <w:sz w:val="20"/>
          <w:szCs w:val="20"/>
          <w:lang w:val="es-CR"/>
        </w:rPr>
        <w:t xml:space="preserve">la diligencia de confrontación con su co-procesado </w:t>
      </w:r>
      <w:r w:rsidR="0014732F">
        <w:rPr>
          <w:rFonts w:ascii="Verdana" w:hAnsi="Verdana"/>
          <w:sz w:val="20"/>
          <w:szCs w:val="20"/>
          <w:lang w:val="es-CR"/>
        </w:rPr>
        <w:t>CH</w:t>
      </w:r>
      <w:r w:rsidRPr="00BA5177">
        <w:rPr>
          <w:rFonts w:ascii="Verdana" w:hAnsi="Verdana"/>
          <w:sz w:val="20"/>
          <w:szCs w:val="20"/>
          <w:lang w:val="es-CR"/>
        </w:rPr>
        <w:t>, así como de la instructiva de este último[,] se aprecia la existencia de contradicciones respecto a los cargos que formuló en contra del apelante en su declaración indagatoria”</w:t>
      </w:r>
      <w:r>
        <w:rPr>
          <w:rFonts w:ascii="Verdana" w:hAnsi="Verdana"/>
          <w:sz w:val="20"/>
          <w:szCs w:val="20"/>
          <w:lang w:val="es-CR"/>
        </w:rPr>
        <w:t>, entre otras (</w:t>
      </w:r>
      <w:r w:rsidRPr="0058104A">
        <w:rPr>
          <w:rFonts w:ascii="Verdana" w:hAnsi="Verdana"/>
          <w:i/>
          <w:sz w:val="20"/>
          <w:szCs w:val="20"/>
          <w:lang w:val="es-CR"/>
        </w:rPr>
        <w:t>supra</w:t>
      </w:r>
      <w:r>
        <w:rPr>
          <w:rFonts w:ascii="Verdana" w:hAnsi="Verdana"/>
          <w:sz w:val="20"/>
          <w:szCs w:val="20"/>
          <w:lang w:val="es-CR"/>
        </w:rPr>
        <w:t xml:space="preserve"> párr. </w:t>
      </w:r>
      <w:r w:rsidR="000D594E">
        <w:rPr>
          <w:rFonts w:ascii="Verdana" w:hAnsi="Verdana"/>
          <w:sz w:val="20"/>
          <w:szCs w:val="20"/>
          <w:lang w:val="es-CR"/>
        </w:rPr>
        <w:t>89</w:t>
      </w:r>
      <w:r>
        <w:rPr>
          <w:rFonts w:ascii="Verdana" w:hAnsi="Verdana"/>
          <w:sz w:val="20"/>
          <w:szCs w:val="20"/>
          <w:lang w:val="es-CR"/>
        </w:rPr>
        <w:t xml:space="preserve">). Se desprende, en consecuencia, que dichas declaraciones habrían variado respecto de la presunta participación </w:t>
      </w:r>
      <w:r w:rsidRPr="0007798A">
        <w:rPr>
          <w:rFonts w:ascii="Verdana" w:hAnsi="Verdana"/>
          <w:sz w:val="20"/>
          <w:szCs w:val="20"/>
          <w:lang w:val="es-ES"/>
        </w:rPr>
        <w:t>del señor Zegarra Marín</w:t>
      </w:r>
      <w:r>
        <w:rPr>
          <w:rFonts w:ascii="Verdana" w:hAnsi="Verdana"/>
          <w:sz w:val="20"/>
          <w:szCs w:val="20"/>
          <w:lang w:val="es-CR"/>
        </w:rPr>
        <w:t xml:space="preserve">. </w:t>
      </w:r>
    </w:p>
    <w:p w14:paraId="6D172CAC" w14:textId="77777777" w:rsidR="00FB723A" w:rsidRPr="0052302A" w:rsidRDefault="00FB723A" w:rsidP="00FB723A">
      <w:pPr>
        <w:tabs>
          <w:tab w:val="left" w:pos="284"/>
        </w:tabs>
        <w:jc w:val="both"/>
        <w:rPr>
          <w:rFonts w:ascii="Verdana" w:hAnsi="Verdana"/>
          <w:sz w:val="20"/>
          <w:szCs w:val="20"/>
          <w:lang w:val="es-CR"/>
        </w:rPr>
      </w:pPr>
    </w:p>
    <w:p w14:paraId="6D172CAD" w14:textId="786716CA" w:rsidR="00FB723A" w:rsidRDefault="00FB723A" w:rsidP="00FB723A">
      <w:pPr>
        <w:pStyle w:val="ListParagraph"/>
        <w:numPr>
          <w:ilvl w:val="0"/>
          <w:numId w:val="2"/>
        </w:numPr>
        <w:ind w:left="0" w:hanging="11"/>
        <w:jc w:val="both"/>
        <w:rPr>
          <w:rFonts w:ascii="Verdana" w:hAnsi="Verdana"/>
          <w:sz w:val="20"/>
          <w:szCs w:val="20"/>
          <w:lang w:val="es-CR"/>
        </w:rPr>
      </w:pPr>
      <w:r w:rsidRPr="00AE408B">
        <w:rPr>
          <w:rFonts w:ascii="Verdana" w:hAnsi="Verdana"/>
          <w:sz w:val="20"/>
          <w:szCs w:val="20"/>
          <w:lang w:val="es-CR"/>
        </w:rPr>
        <w:t>Adicionalmente, la Corte nota que</w:t>
      </w:r>
      <w:r w:rsidRPr="009C7422">
        <w:rPr>
          <w:rFonts w:ascii="Verdana" w:hAnsi="Verdana"/>
          <w:sz w:val="20"/>
          <w:szCs w:val="20"/>
          <w:lang w:val="es-CR"/>
        </w:rPr>
        <w:t xml:space="preserve"> los jueces sostuvieron </w:t>
      </w:r>
      <w:r>
        <w:rPr>
          <w:rFonts w:ascii="Verdana" w:hAnsi="Verdana"/>
          <w:sz w:val="20"/>
          <w:szCs w:val="20"/>
          <w:lang w:val="es-CR"/>
        </w:rPr>
        <w:t xml:space="preserve">dicha </w:t>
      </w:r>
      <w:r w:rsidRPr="009C7422">
        <w:rPr>
          <w:rFonts w:ascii="Verdana" w:hAnsi="Verdana"/>
          <w:sz w:val="20"/>
          <w:szCs w:val="20"/>
          <w:lang w:val="es-CR"/>
        </w:rPr>
        <w:t>condena en la factibilidad de que los acusados actuaran en connivencia para cometer los delitos (</w:t>
      </w:r>
      <w:r w:rsidRPr="009C7422">
        <w:rPr>
          <w:rFonts w:ascii="Verdana" w:hAnsi="Verdana"/>
          <w:i/>
          <w:sz w:val="20"/>
          <w:szCs w:val="20"/>
          <w:lang w:val="es-CR"/>
        </w:rPr>
        <w:t>supra</w:t>
      </w:r>
      <w:r w:rsidRPr="009C7422">
        <w:rPr>
          <w:rFonts w:ascii="Verdana" w:hAnsi="Verdana"/>
          <w:sz w:val="20"/>
          <w:szCs w:val="20"/>
          <w:lang w:val="es-CR"/>
        </w:rPr>
        <w:t xml:space="preserve"> párr. </w:t>
      </w:r>
      <w:r w:rsidR="000D594E">
        <w:rPr>
          <w:rFonts w:ascii="Verdana" w:hAnsi="Verdana"/>
          <w:sz w:val="20"/>
          <w:szCs w:val="20"/>
          <w:lang w:val="es-CR"/>
        </w:rPr>
        <w:t>93</w:t>
      </w:r>
      <w:r w:rsidRPr="009C7422">
        <w:rPr>
          <w:rFonts w:ascii="Verdana" w:hAnsi="Verdana"/>
          <w:sz w:val="20"/>
          <w:szCs w:val="20"/>
          <w:lang w:val="es-CR"/>
        </w:rPr>
        <w:t xml:space="preserve">), así como al considerar que “no se […] acreditó plenamente que Zegarra no haya tenido conocimiento de tales eventos” delictivos. Sin embargo, </w:t>
      </w:r>
      <w:r>
        <w:rPr>
          <w:rFonts w:ascii="Verdana" w:hAnsi="Verdana"/>
          <w:sz w:val="20"/>
          <w:szCs w:val="20"/>
          <w:lang w:val="es-CR"/>
        </w:rPr>
        <w:t xml:space="preserve">en </w:t>
      </w:r>
      <w:r w:rsidRPr="00271397">
        <w:rPr>
          <w:rFonts w:ascii="Verdana" w:hAnsi="Verdana"/>
          <w:sz w:val="20"/>
          <w:szCs w:val="20"/>
          <w:lang w:val="es-CR"/>
        </w:rPr>
        <w:t>el otorgamiento de la libertad provisional</w:t>
      </w:r>
      <w:r w:rsidRPr="00AE408B">
        <w:rPr>
          <w:rFonts w:ascii="Verdana" w:hAnsi="Verdana"/>
          <w:sz w:val="20"/>
          <w:szCs w:val="20"/>
          <w:lang w:val="es-CR"/>
        </w:rPr>
        <w:t xml:space="preserve"> </w:t>
      </w:r>
      <w:r>
        <w:rPr>
          <w:rFonts w:ascii="Verdana" w:hAnsi="Verdana"/>
          <w:sz w:val="20"/>
          <w:szCs w:val="20"/>
          <w:lang w:val="es-CR"/>
        </w:rPr>
        <w:t>del señor Zegarra Marín, la misma Qui</w:t>
      </w:r>
      <w:r w:rsidR="000D594E">
        <w:rPr>
          <w:rFonts w:ascii="Verdana" w:hAnsi="Verdana"/>
          <w:sz w:val="20"/>
          <w:szCs w:val="20"/>
          <w:lang w:val="es-CR"/>
        </w:rPr>
        <w:t>n</w:t>
      </w:r>
      <w:r>
        <w:rPr>
          <w:rFonts w:ascii="Verdana" w:hAnsi="Verdana"/>
          <w:sz w:val="20"/>
          <w:szCs w:val="20"/>
          <w:lang w:val="es-CR"/>
        </w:rPr>
        <w:t>ta Sala</w:t>
      </w:r>
      <w:r w:rsidR="000D594E">
        <w:rPr>
          <w:rFonts w:ascii="Verdana" w:hAnsi="Verdana"/>
          <w:sz w:val="20"/>
          <w:szCs w:val="20"/>
          <w:lang w:val="es-CR"/>
        </w:rPr>
        <w:t xml:space="preserve"> Penal</w:t>
      </w:r>
      <w:r>
        <w:rPr>
          <w:rFonts w:ascii="Verdana" w:hAnsi="Verdana"/>
          <w:sz w:val="20"/>
          <w:szCs w:val="20"/>
          <w:lang w:val="es-CR"/>
        </w:rPr>
        <w:t xml:space="preserve"> valoró </w:t>
      </w:r>
      <w:r w:rsidRPr="009C7422">
        <w:rPr>
          <w:rFonts w:ascii="Verdana" w:hAnsi="Verdana"/>
          <w:sz w:val="20"/>
          <w:szCs w:val="20"/>
          <w:lang w:val="es-CR"/>
        </w:rPr>
        <w:t>el Organigrama y el Manual de Organización y funciones de la Dirección de Migraciones y Naturalización</w:t>
      </w:r>
      <w:r w:rsidRPr="00AE408B">
        <w:rPr>
          <w:rFonts w:ascii="Verdana" w:hAnsi="Verdana"/>
          <w:sz w:val="20"/>
          <w:szCs w:val="20"/>
          <w:lang w:val="es-CR"/>
        </w:rPr>
        <w:t xml:space="preserve">, </w:t>
      </w:r>
      <w:r>
        <w:rPr>
          <w:rFonts w:ascii="Verdana" w:hAnsi="Verdana"/>
          <w:sz w:val="20"/>
          <w:szCs w:val="20"/>
          <w:lang w:val="es-CR"/>
        </w:rPr>
        <w:t xml:space="preserve">y determinó </w:t>
      </w:r>
      <w:r w:rsidRPr="00AE408B">
        <w:rPr>
          <w:rFonts w:ascii="Verdana" w:hAnsi="Verdana"/>
          <w:sz w:val="20"/>
          <w:szCs w:val="20"/>
          <w:lang w:val="es-CR"/>
        </w:rPr>
        <w:t xml:space="preserve">que “los inculpados […], no tenían por qué dirigirse a su co-procesado Zegarra Marín en el desempeño de </w:t>
      </w:r>
      <w:r w:rsidRPr="00B7167A">
        <w:rPr>
          <w:rFonts w:ascii="Verdana" w:hAnsi="Verdana"/>
          <w:sz w:val="20"/>
          <w:szCs w:val="20"/>
          <w:lang w:val="es-CR"/>
        </w:rPr>
        <w:t xml:space="preserve">sus funciones, toda vez que ambos funcionarios dependían administrativamente y funcionalmente de la Sub-Dirección de Control </w:t>
      </w:r>
      <w:r w:rsidRPr="00855CC7">
        <w:rPr>
          <w:rFonts w:ascii="Verdana" w:hAnsi="Verdana"/>
          <w:sz w:val="20"/>
          <w:szCs w:val="20"/>
          <w:lang w:val="es-CR"/>
        </w:rPr>
        <w:t>M</w:t>
      </w:r>
      <w:r w:rsidRPr="00F20980">
        <w:rPr>
          <w:rFonts w:ascii="Verdana" w:hAnsi="Verdana"/>
          <w:sz w:val="20"/>
          <w:szCs w:val="20"/>
          <w:lang w:val="es-CR"/>
        </w:rPr>
        <w:t xml:space="preserve">igratorio a cargo del Comandante </w:t>
      </w:r>
      <w:r w:rsidR="00294F62">
        <w:rPr>
          <w:rFonts w:ascii="Verdana" w:hAnsi="Verdana"/>
          <w:sz w:val="20"/>
          <w:szCs w:val="20"/>
          <w:lang w:val="es-CR"/>
        </w:rPr>
        <w:t>[LC]</w:t>
      </w:r>
      <w:r w:rsidRPr="00F20980">
        <w:rPr>
          <w:rFonts w:ascii="Verdana" w:hAnsi="Verdana"/>
          <w:sz w:val="20"/>
          <w:szCs w:val="20"/>
          <w:lang w:val="es-CR"/>
        </w:rPr>
        <w:t>” (</w:t>
      </w:r>
      <w:r w:rsidRPr="00F20980">
        <w:rPr>
          <w:rFonts w:ascii="Verdana" w:hAnsi="Verdana"/>
          <w:i/>
          <w:sz w:val="20"/>
          <w:szCs w:val="20"/>
          <w:lang w:val="es-CR"/>
        </w:rPr>
        <w:t>supra</w:t>
      </w:r>
      <w:r w:rsidRPr="00F20980">
        <w:rPr>
          <w:rFonts w:ascii="Verdana" w:hAnsi="Verdana"/>
          <w:sz w:val="20"/>
          <w:szCs w:val="20"/>
          <w:lang w:val="es-CR"/>
        </w:rPr>
        <w:t xml:space="preserve"> párr. </w:t>
      </w:r>
      <w:r w:rsidR="000D594E">
        <w:rPr>
          <w:rFonts w:ascii="Verdana" w:hAnsi="Verdana"/>
          <w:sz w:val="20"/>
          <w:szCs w:val="20"/>
          <w:lang w:val="es-CR"/>
        </w:rPr>
        <w:t>89</w:t>
      </w:r>
      <w:r w:rsidRPr="00F20980">
        <w:rPr>
          <w:rFonts w:ascii="Verdana" w:hAnsi="Verdana"/>
          <w:sz w:val="20"/>
          <w:szCs w:val="20"/>
          <w:lang w:val="es-CR"/>
        </w:rPr>
        <w:t xml:space="preserve">). </w:t>
      </w:r>
    </w:p>
    <w:p w14:paraId="6D172CAE" w14:textId="77777777" w:rsidR="008B6F4D" w:rsidRPr="00F20980" w:rsidRDefault="008B6F4D" w:rsidP="008B6F4D">
      <w:pPr>
        <w:pStyle w:val="ListParagraph"/>
        <w:ind w:left="0"/>
        <w:jc w:val="both"/>
        <w:rPr>
          <w:rFonts w:ascii="Verdana" w:hAnsi="Verdana"/>
          <w:sz w:val="20"/>
          <w:szCs w:val="20"/>
          <w:lang w:val="es-CR"/>
        </w:rPr>
      </w:pPr>
    </w:p>
    <w:p w14:paraId="6D172CAF" w14:textId="5CD702E0" w:rsidR="008B6F4D" w:rsidRPr="00F20980" w:rsidRDefault="008B6F4D" w:rsidP="008B6F4D">
      <w:pPr>
        <w:pStyle w:val="ListParagraph"/>
        <w:numPr>
          <w:ilvl w:val="0"/>
          <w:numId w:val="2"/>
        </w:numPr>
        <w:ind w:left="0" w:hanging="11"/>
        <w:jc w:val="both"/>
        <w:rPr>
          <w:rFonts w:ascii="Verdana" w:hAnsi="Verdana"/>
          <w:sz w:val="20"/>
          <w:szCs w:val="20"/>
          <w:lang w:val="es-MX"/>
        </w:rPr>
      </w:pPr>
      <w:r>
        <w:rPr>
          <w:rFonts w:ascii="Verdana" w:hAnsi="Verdana"/>
          <w:sz w:val="20"/>
          <w:szCs w:val="20"/>
          <w:lang w:val="es-CR"/>
        </w:rPr>
        <w:lastRenderedPageBreak/>
        <w:t>L</w:t>
      </w:r>
      <w:r w:rsidRPr="00F20980">
        <w:rPr>
          <w:rFonts w:ascii="Verdana" w:hAnsi="Verdana"/>
          <w:sz w:val="20"/>
          <w:szCs w:val="20"/>
          <w:lang w:val="es-MX"/>
        </w:rPr>
        <w:t xml:space="preserve">a Corte </w:t>
      </w:r>
      <w:r w:rsidRPr="000A0953">
        <w:rPr>
          <w:rFonts w:ascii="Verdana" w:hAnsi="Verdana"/>
          <w:sz w:val="20"/>
          <w:szCs w:val="20"/>
          <w:lang w:val="es-MX"/>
        </w:rPr>
        <w:t>destaca</w:t>
      </w:r>
      <w:r w:rsidRPr="00B7167A">
        <w:rPr>
          <w:rFonts w:ascii="Verdana" w:hAnsi="Verdana"/>
          <w:b/>
          <w:sz w:val="20"/>
          <w:szCs w:val="20"/>
          <w:lang w:val="es-MX"/>
        </w:rPr>
        <w:t xml:space="preserve"> </w:t>
      </w:r>
      <w:r w:rsidRPr="00F20980">
        <w:rPr>
          <w:rFonts w:ascii="Verdana" w:hAnsi="Verdana"/>
          <w:sz w:val="20"/>
          <w:szCs w:val="20"/>
          <w:lang w:val="es-MX"/>
        </w:rPr>
        <w:t>las reformas a la legislación peruana</w:t>
      </w:r>
      <w:r w:rsidRPr="00B7167A">
        <w:rPr>
          <w:rStyle w:val="FootnoteReference"/>
        </w:rPr>
        <w:footnoteReference w:id="131"/>
      </w:r>
      <w:r w:rsidRPr="00B7167A">
        <w:rPr>
          <w:rFonts w:ascii="Verdana" w:hAnsi="Verdana"/>
          <w:sz w:val="20"/>
          <w:szCs w:val="20"/>
          <w:lang w:val="es-MX"/>
        </w:rPr>
        <w:t xml:space="preserve"> </w:t>
      </w:r>
      <w:r w:rsidRPr="000D597B">
        <w:rPr>
          <w:rFonts w:ascii="Verdana" w:hAnsi="Verdana"/>
          <w:sz w:val="20"/>
          <w:szCs w:val="20"/>
          <w:lang w:val="es-CR"/>
        </w:rPr>
        <w:t>posteriores</w:t>
      </w:r>
      <w:r w:rsidRPr="00855CC7">
        <w:rPr>
          <w:rFonts w:ascii="Verdana" w:hAnsi="Verdana"/>
          <w:sz w:val="20"/>
          <w:szCs w:val="20"/>
          <w:lang w:val="es-MX"/>
        </w:rPr>
        <w:t xml:space="preserve"> a estos hechos, que señalan que las imputaciones realizadas p</w:t>
      </w:r>
      <w:r w:rsidRPr="00F20980">
        <w:rPr>
          <w:rFonts w:ascii="Verdana" w:hAnsi="Verdana"/>
          <w:sz w:val="20"/>
          <w:szCs w:val="20"/>
          <w:lang w:val="es-MX"/>
        </w:rPr>
        <w:t xml:space="preserve">or coimputados deben estar corroboradas por otros hechos, datos o circunstancias externas. Asimismo, </w:t>
      </w:r>
      <w:r w:rsidRPr="000A0953">
        <w:rPr>
          <w:rFonts w:ascii="Verdana" w:hAnsi="Verdana"/>
          <w:sz w:val="20"/>
          <w:szCs w:val="20"/>
          <w:lang w:val="es-MX"/>
        </w:rPr>
        <w:t>destaca</w:t>
      </w:r>
      <w:r w:rsidRPr="006231F4">
        <w:rPr>
          <w:rFonts w:ascii="Verdana" w:hAnsi="Verdana"/>
          <w:b/>
          <w:sz w:val="20"/>
          <w:szCs w:val="20"/>
          <w:lang w:val="es-MX"/>
        </w:rPr>
        <w:t xml:space="preserve"> </w:t>
      </w:r>
      <w:r w:rsidRPr="000D597B">
        <w:rPr>
          <w:rFonts w:ascii="Verdana" w:hAnsi="Verdana"/>
          <w:sz w:val="20"/>
          <w:szCs w:val="20"/>
          <w:lang w:val="es-MX"/>
        </w:rPr>
        <w:t>el Acuerdo Plenario No. 2-2005/CJ-116</w:t>
      </w:r>
      <w:r w:rsidRPr="00B7167A">
        <w:rPr>
          <w:rStyle w:val="FootnoteReference"/>
          <w:szCs w:val="20"/>
          <w:lang w:val="es-MX"/>
        </w:rPr>
        <w:footnoteReference w:id="132"/>
      </w:r>
      <w:r w:rsidRPr="00B7167A">
        <w:rPr>
          <w:rFonts w:ascii="Verdana" w:hAnsi="Verdana"/>
          <w:sz w:val="20"/>
          <w:szCs w:val="20"/>
          <w:lang w:val="es-MX"/>
        </w:rPr>
        <w:t xml:space="preserve">, el cual exige valorar varias circunstancias, que se erigen en criterios de credibilidad, no de </w:t>
      </w:r>
      <w:r w:rsidRPr="00855CC7">
        <w:rPr>
          <w:rFonts w:ascii="Verdana" w:hAnsi="Verdana"/>
          <w:sz w:val="20"/>
          <w:szCs w:val="20"/>
          <w:lang w:val="es-MX"/>
        </w:rPr>
        <w:t>m</w:t>
      </w:r>
      <w:r w:rsidRPr="00F20980">
        <w:rPr>
          <w:rFonts w:ascii="Verdana" w:hAnsi="Verdana"/>
          <w:sz w:val="20"/>
          <w:szCs w:val="20"/>
          <w:lang w:val="es-MX"/>
        </w:rPr>
        <w:t>era legalidad, respecto del coimputado. No obstante, las mismas no se aplicaron a este caso.</w:t>
      </w:r>
    </w:p>
    <w:p w14:paraId="6D172CB0" w14:textId="77777777" w:rsidR="00FB723A" w:rsidRPr="00F20980" w:rsidRDefault="00FB723A" w:rsidP="00FB723A">
      <w:pPr>
        <w:tabs>
          <w:tab w:val="left" w:pos="284"/>
        </w:tabs>
        <w:jc w:val="both"/>
        <w:rPr>
          <w:rFonts w:ascii="Verdana" w:hAnsi="Verdana"/>
          <w:sz w:val="20"/>
          <w:szCs w:val="20"/>
          <w:lang w:val="es-CR"/>
        </w:rPr>
      </w:pPr>
    </w:p>
    <w:p w14:paraId="6D172CB1" w14:textId="4D1D7BB2" w:rsidR="00FB723A" w:rsidRPr="008B6F4D" w:rsidRDefault="00F57863" w:rsidP="008B6F4D">
      <w:pPr>
        <w:pStyle w:val="ListParagraph"/>
        <w:numPr>
          <w:ilvl w:val="0"/>
          <w:numId w:val="2"/>
        </w:numPr>
        <w:ind w:left="0" w:hanging="11"/>
        <w:jc w:val="both"/>
        <w:rPr>
          <w:rFonts w:ascii="Verdana" w:hAnsi="Verdana"/>
          <w:sz w:val="20"/>
          <w:szCs w:val="20"/>
          <w:lang w:val="es-CR"/>
        </w:rPr>
      </w:pPr>
      <w:r w:rsidRPr="006231F4">
        <w:rPr>
          <w:rFonts w:ascii="Verdana" w:hAnsi="Verdana"/>
          <w:sz w:val="20"/>
          <w:szCs w:val="20"/>
          <w:lang w:val="es-CR"/>
        </w:rPr>
        <w:t xml:space="preserve">En vista de lo anterior, la Corte estima que las declaraciones de </w:t>
      </w:r>
      <w:r w:rsidR="008E2E04">
        <w:rPr>
          <w:rFonts w:ascii="Verdana" w:hAnsi="Verdana"/>
          <w:sz w:val="20"/>
          <w:szCs w:val="20"/>
          <w:lang w:val="es-CR"/>
        </w:rPr>
        <w:t>CH</w:t>
      </w:r>
      <w:r w:rsidR="008E2E04" w:rsidRPr="006231F4" w:rsidDel="000D594E">
        <w:rPr>
          <w:rFonts w:ascii="Verdana" w:hAnsi="Verdana"/>
          <w:sz w:val="20"/>
          <w:szCs w:val="20"/>
          <w:lang w:val="es-CR"/>
        </w:rPr>
        <w:t xml:space="preserve"> </w:t>
      </w:r>
      <w:r w:rsidR="008E2E04">
        <w:rPr>
          <w:rFonts w:ascii="Verdana" w:hAnsi="Verdana"/>
          <w:sz w:val="20"/>
          <w:szCs w:val="20"/>
          <w:lang w:val="es-CR"/>
        </w:rPr>
        <w:t xml:space="preserve">y </w:t>
      </w:r>
      <w:r w:rsidR="000D594E">
        <w:rPr>
          <w:rFonts w:ascii="Verdana" w:hAnsi="Verdana"/>
          <w:sz w:val="20"/>
          <w:szCs w:val="20"/>
          <w:lang w:val="es-CR"/>
        </w:rPr>
        <w:t>MP como</w:t>
      </w:r>
      <w:r w:rsidR="000D594E" w:rsidRPr="006231F4">
        <w:rPr>
          <w:rFonts w:ascii="Verdana" w:hAnsi="Verdana"/>
          <w:sz w:val="20"/>
          <w:szCs w:val="20"/>
          <w:lang w:val="es-CR"/>
        </w:rPr>
        <w:t xml:space="preserve"> </w:t>
      </w:r>
      <w:r w:rsidRPr="006231F4">
        <w:rPr>
          <w:rFonts w:ascii="Verdana" w:hAnsi="Verdana"/>
          <w:sz w:val="20"/>
          <w:szCs w:val="20"/>
          <w:lang w:val="es-CR"/>
        </w:rPr>
        <w:t xml:space="preserve">co-imputados, </w:t>
      </w:r>
      <w:r w:rsidR="00A20E45">
        <w:rPr>
          <w:rFonts w:ascii="Verdana" w:hAnsi="Verdana"/>
          <w:sz w:val="20"/>
          <w:szCs w:val="20"/>
          <w:lang w:val="es-CR"/>
        </w:rPr>
        <w:t xml:space="preserve">las cuales </w:t>
      </w:r>
      <w:r w:rsidRPr="000A0953">
        <w:rPr>
          <w:rFonts w:ascii="Verdana" w:hAnsi="Verdana"/>
          <w:sz w:val="20"/>
          <w:szCs w:val="20"/>
          <w:lang w:val="es-CR"/>
        </w:rPr>
        <w:t>sólo debieron tener valor indiciario,</w:t>
      </w:r>
      <w:r w:rsidRPr="006231F4">
        <w:rPr>
          <w:rFonts w:ascii="Verdana" w:hAnsi="Verdana"/>
          <w:b/>
          <w:sz w:val="20"/>
          <w:szCs w:val="20"/>
          <w:lang w:val="es-CR"/>
        </w:rPr>
        <w:t xml:space="preserve"> </w:t>
      </w:r>
      <w:r w:rsidRPr="006231F4">
        <w:rPr>
          <w:rFonts w:ascii="Verdana" w:hAnsi="Verdana"/>
          <w:sz w:val="20"/>
          <w:szCs w:val="20"/>
          <w:lang w:val="es-CR"/>
        </w:rPr>
        <w:t xml:space="preserve">no fueron corroboradas por </w:t>
      </w:r>
      <w:r w:rsidRPr="000A0953">
        <w:rPr>
          <w:rFonts w:ascii="Verdana" w:hAnsi="Verdana"/>
          <w:sz w:val="20"/>
          <w:szCs w:val="20"/>
          <w:lang w:val="es-CR"/>
        </w:rPr>
        <w:t>otros medios de prueba,</w:t>
      </w:r>
      <w:r w:rsidRPr="006231F4">
        <w:rPr>
          <w:rFonts w:ascii="Verdana" w:hAnsi="Verdana"/>
          <w:sz w:val="20"/>
          <w:szCs w:val="20"/>
          <w:lang w:val="es-CR"/>
        </w:rPr>
        <w:t xml:space="preserve"> </w:t>
      </w:r>
      <w:r w:rsidR="00CA4516" w:rsidRPr="00B7167A">
        <w:rPr>
          <w:rFonts w:ascii="Verdana" w:hAnsi="Verdana"/>
          <w:sz w:val="20"/>
          <w:szCs w:val="20"/>
          <w:lang w:val="es-CR"/>
        </w:rPr>
        <w:t xml:space="preserve">no obstante </w:t>
      </w:r>
      <w:r w:rsidRPr="006231F4">
        <w:rPr>
          <w:rFonts w:ascii="Verdana" w:hAnsi="Verdana"/>
          <w:sz w:val="20"/>
          <w:szCs w:val="20"/>
          <w:lang w:val="es-CR"/>
        </w:rPr>
        <w:t>sirvieron como base decisiva para emitir la condena.</w:t>
      </w:r>
    </w:p>
    <w:p w14:paraId="6D172CB2" w14:textId="77777777" w:rsidR="00FB723A" w:rsidRPr="00F20980" w:rsidRDefault="00FB723A" w:rsidP="00FB723A">
      <w:pPr>
        <w:tabs>
          <w:tab w:val="left" w:pos="284"/>
        </w:tabs>
        <w:jc w:val="both"/>
        <w:rPr>
          <w:rFonts w:ascii="Verdana" w:hAnsi="Verdana"/>
          <w:sz w:val="20"/>
          <w:szCs w:val="20"/>
          <w:lang w:val="es-MX"/>
        </w:rPr>
      </w:pPr>
    </w:p>
    <w:p w14:paraId="6D172CB3" w14:textId="7F1F4742" w:rsidR="00FB723A" w:rsidRPr="000A0953" w:rsidRDefault="00A20E45" w:rsidP="000A0953">
      <w:pPr>
        <w:pStyle w:val="Heading3"/>
        <w:numPr>
          <w:ilvl w:val="0"/>
          <w:numId w:val="26"/>
        </w:numPr>
        <w:rPr>
          <w:rFonts w:ascii="Verdana" w:hAnsi="Verdana"/>
          <w:i/>
          <w:color w:val="auto"/>
          <w:sz w:val="20"/>
          <w:szCs w:val="20"/>
        </w:rPr>
      </w:pPr>
      <w:bookmarkStart w:id="61" w:name="_Toc482093056"/>
      <w:r w:rsidRPr="000A0953">
        <w:rPr>
          <w:rFonts w:ascii="Verdana" w:hAnsi="Verdana"/>
          <w:i/>
          <w:color w:val="auto"/>
          <w:sz w:val="20"/>
          <w:szCs w:val="20"/>
        </w:rPr>
        <w:t>La carga probatoria y la inversión de la misma</w:t>
      </w:r>
      <w:bookmarkEnd w:id="61"/>
    </w:p>
    <w:p w14:paraId="6D172CB4" w14:textId="77777777" w:rsidR="00FB723A" w:rsidRPr="00233FEA" w:rsidRDefault="00FB723A" w:rsidP="00FB723A">
      <w:pPr>
        <w:pStyle w:val="ListParagraph"/>
        <w:tabs>
          <w:tab w:val="left" w:pos="284"/>
        </w:tabs>
        <w:jc w:val="both"/>
        <w:rPr>
          <w:rFonts w:ascii="Verdana" w:hAnsi="Verdana"/>
          <w:b/>
          <w:i/>
          <w:sz w:val="20"/>
          <w:szCs w:val="20"/>
          <w:lang w:val="es-MX"/>
        </w:rPr>
      </w:pPr>
    </w:p>
    <w:p w14:paraId="6D172CB5" w14:textId="1126903B" w:rsidR="00FB723A" w:rsidRPr="00817EFB" w:rsidRDefault="00FB723A" w:rsidP="00FB723A">
      <w:pPr>
        <w:pStyle w:val="ListParagraph"/>
        <w:numPr>
          <w:ilvl w:val="0"/>
          <w:numId w:val="2"/>
        </w:numPr>
        <w:ind w:left="0" w:hanging="11"/>
        <w:jc w:val="both"/>
        <w:rPr>
          <w:rFonts w:ascii="Verdana" w:hAnsi="Verdana"/>
          <w:sz w:val="20"/>
          <w:szCs w:val="20"/>
          <w:lang w:val="es-ES"/>
        </w:rPr>
      </w:pPr>
      <w:r>
        <w:rPr>
          <w:rFonts w:ascii="Verdana" w:hAnsi="Verdana"/>
          <w:sz w:val="20"/>
          <w:szCs w:val="20"/>
          <w:lang w:val="es-MX"/>
        </w:rPr>
        <w:t>E</w:t>
      </w:r>
      <w:r>
        <w:rPr>
          <w:rFonts w:ascii="Verdana" w:hAnsi="Verdana"/>
          <w:sz w:val="20"/>
          <w:szCs w:val="20"/>
          <w:lang w:val="es-CR"/>
        </w:rPr>
        <w:t>n primer lugar, l</w:t>
      </w:r>
      <w:r w:rsidRPr="00662EED">
        <w:rPr>
          <w:rFonts w:ascii="Verdana" w:hAnsi="Verdana"/>
          <w:sz w:val="20"/>
          <w:szCs w:val="20"/>
          <w:lang w:val="es-CR"/>
        </w:rPr>
        <w:t xml:space="preserve">a Corte corroboró que la sentencia condenatoria dictada por la Quinta Sala Penal </w:t>
      </w:r>
      <w:r w:rsidRPr="00F125C3">
        <w:rPr>
          <w:rFonts w:ascii="Verdana" w:hAnsi="Verdana"/>
          <w:sz w:val="20"/>
          <w:szCs w:val="20"/>
          <w:lang w:val="es-CR"/>
        </w:rPr>
        <w:t>estableció que</w:t>
      </w:r>
      <w:r w:rsidRPr="00BA5177">
        <w:rPr>
          <w:rFonts w:ascii="Verdana" w:hAnsi="Verdana"/>
          <w:sz w:val="20"/>
          <w:szCs w:val="20"/>
          <w:lang w:val="es-CR"/>
        </w:rPr>
        <w:t xml:space="preserve"> </w:t>
      </w:r>
      <w:r w:rsidRPr="00F125C3">
        <w:rPr>
          <w:rFonts w:ascii="Verdana" w:hAnsi="Verdana"/>
          <w:sz w:val="20"/>
          <w:szCs w:val="20"/>
          <w:lang w:val="es-CR"/>
        </w:rPr>
        <w:t>las</w:t>
      </w:r>
      <w:r w:rsidRPr="00F125C3">
        <w:rPr>
          <w:rFonts w:ascii="Verdana" w:hAnsi="Verdana"/>
          <w:b/>
          <w:sz w:val="20"/>
          <w:szCs w:val="20"/>
          <w:lang w:val="es-ES"/>
        </w:rPr>
        <w:t xml:space="preserve"> </w:t>
      </w:r>
      <w:r w:rsidRPr="00F125C3">
        <w:rPr>
          <w:rFonts w:ascii="Verdana" w:hAnsi="Verdana"/>
          <w:sz w:val="20"/>
          <w:szCs w:val="20"/>
          <w:lang w:val="es-ES"/>
        </w:rPr>
        <w:t>“pruebas</w:t>
      </w:r>
      <w:r w:rsidRPr="00662EED">
        <w:rPr>
          <w:rFonts w:ascii="Verdana" w:hAnsi="Verdana"/>
          <w:sz w:val="20"/>
          <w:szCs w:val="20"/>
          <w:lang w:val="es-ES"/>
        </w:rPr>
        <w:t xml:space="preserve"> glosadas no llegan a desvirtuar en su totalidad las imputaciones que le han hecho sus co-acusados […]</w:t>
      </w:r>
      <w:r>
        <w:rPr>
          <w:rFonts w:ascii="Verdana" w:hAnsi="Verdana"/>
          <w:sz w:val="20"/>
          <w:szCs w:val="20"/>
          <w:lang w:val="es-ES"/>
        </w:rPr>
        <w:t xml:space="preserve"> </w:t>
      </w:r>
      <w:r w:rsidRPr="00662EED">
        <w:rPr>
          <w:rFonts w:ascii="Verdana" w:hAnsi="Verdana"/>
          <w:sz w:val="20"/>
          <w:szCs w:val="20"/>
          <w:lang w:val="es-ES"/>
        </w:rPr>
        <w:t xml:space="preserve">tanto más si no se ha acreditado plenamente que Zegarra Marín no haya tenido conocimiento de tales eventos </w:t>
      </w:r>
      <w:r w:rsidRPr="00B446C7">
        <w:rPr>
          <w:rFonts w:ascii="Verdana" w:hAnsi="Verdana"/>
          <w:sz w:val="20"/>
          <w:szCs w:val="20"/>
          <w:lang w:val="es-ES"/>
        </w:rPr>
        <w:t>por cuanto no ha surgido una prueba de descargo contundente que lo haga totalmente inocente de los ilícitos que se le imputan</w:t>
      </w:r>
      <w:r w:rsidRPr="00052F4D">
        <w:rPr>
          <w:rFonts w:ascii="Verdana" w:hAnsi="Verdana"/>
          <w:sz w:val="20"/>
          <w:szCs w:val="20"/>
          <w:lang w:val="es-ES"/>
        </w:rPr>
        <w:t xml:space="preserve"> </w:t>
      </w:r>
      <w:r w:rsidRPr="00662EED">
        <w:rPr>
          <w:rFonts w:ascii="Verdana" w:hAnsi="Verdana"/>
          <w:sz w:val="20"/>
          <w:szCs w:val="20"/>
          <w:lang w:val="es-ES"/>
        </w:rPr>
        <w:t>[…]</w:t>
      </w:r>
      <w:r w:rsidR="00A20E45">
        <w:rPr>
          <w:rFonts w:ascii="Verdana" w:hAnsi="Verdana"/>
          <w:sz w:val="20"/>
          <w:szCs w:val="20"/>
          <w:lang w:val="es-ES"/>
        </w:rPr>
        <w:t>”</w:t>
      </w:r>
      <w:r w:rsidRPr="00662EED">
        <w:rPr>
          <w:rStyle w:val="FootnoteReference"/>
          <w:szCs w:val="20"/>
          <w:lang w:val="es-ES"/>
        </w:rPr>
        <w:footnoteReference w:id="133"/>
      </w:r>
      <w:r w:rsidR="00A20E45">
        <w:rPr>
          <w:rFonts w:ascii="Verdana" w:hAnsi="Verdana"/>
          <w:sz w:val="20"/>
          <w:szCs w:val="20"/>
          <w:lang w:val="es-ES"/>
        </w:rPr>
        <w:t xml:space="preserve"> </w:t>
      </w:r>
      <w:r w:rsidRPr="00662EED">
        <w:rPr>
          <w:rFonts w:ascii="Verdana" w:hAnsi="Verdana"/>
          <w:sz w:val="20"/>
          <w:szCs w:val="20"/>
          <w:lang w:val="es-ES"/>
        </w:rPr>
        <w:t>(</w:t>
      </w:r>
      <w:r w:rsidRPr="0058104A">
        <w:rPr>
          <w:rFonts w:ascii="Verdana" w:hAnsi="Verdana"/>
          <w:i/>
          <w:sz w:val="20"/>
          <w:szCs w:val="20"/>
          <w:lang w:val="es-ES"/>
        </w:rPr>
        <w:t>supra</w:t>
      </w:r>
      <w:r w:rsidRPr="00662EED">
        <w:rPr>
          <w:rFonts w:ascii="Verdana" w:hAnsi="Verdana"/>
          <w:sz w:val="20"/>
          <w:szCs w:val="20"/>
          <w:lang w:val="es-ES"/>
        </w:rPr>
        <w:t xml:space="preserve"> párr. </w:t>
      </w:r>
      <w:r w:rsidR="00A20E45">
        <w:rPr>
          <w:rFonts w:ascii="Verdana" w:hAnsi="Verdana"/>
          <w:sz w:val="20"/>
          <w:szCs w:val="20"/>
          <w:lang w:val="es-ES"/>
        </w:rPr>
        <w:t>93</w:t>
      </w:r>
      <w:r w:rsidRPr="008E2E04">
        <w:rPr>
          <w:rFonts w:ascii="Verdana" w:hAnsi="Verdana"/>
          <w:sz w:val="20"/>
          <w:szCs w:val="20"/>
          <w:lang w:val="es-ES"/>
        </w:rPr>
        <w:t>)</w:t>
      </w:r>
      <w:r w:rsidR="00A20E45" w:rsidRPr="000A0953">
        <w:rPr>
          <w:rFonts w:ascii="Verdana" w:hAnsi="Verdana"/>
          <w:sz w:val="20"/>
          <w:szCs w:val="20"/>
          <w:lang w:val="es-CR"/>
        </w:rPr>
        <w:t>.</w:t>
      </w:r>
    </w:p>
    <w:p w14:paraId="6D172CB6" w14:textId="77777777" w:rsidR="00FB723A" w:rsidRDefault="00FB723A" w:rsidP="00FB723A">
      <w:pPr>
        <w:ind w:left="720"/>
        <w:jc w:val="both"/>
        <w:rPr>
          <w:rFonts w:ascii="Verdana" w:hAnsi="Verdana"/>
          <w:sz w:val="20"/>
          <w:szCs w:val="20"/>
          <w:lang w:val="es-CR"/>
        </w:rPr>
      </w:pPr>
    </w:p>
    <w:p w14:paraId="6D172CB7" w14:textId="05801E06" w:rsidR="00FB723A" w:rsidRDefault="00FB723A" w:rsidP="00FB723A">
      <w:pPr>
        <w:pStyle w:val="ListParagraph"/>
        <w:numPr>
          <w:ilvl w:val="0"/>
          <w:numId w:val="2"/>
        </w:numPr>
        <w:ind w:left="0" w:hanging="11"/>
        <w:jc w:val="both"/>
        <w:rPr>
          <w:rFonts w:ascii="Verdana" w:hAnsi="Verdana"/>
          <w:sz w:val="20"/>
          <w:szCs w:val="20"/>
          <w:lang w:val="es-ES"/>
        </w:rPr>
      </w:pPr>
      <w:r w:rsidRPr="00662EED">
        <w:rPr>
          <w:rFonts w:ascii="Verdana" w:hAnsi="Verdana"/>
          <w:sz w:val="20"/>
          <w:szCs w:val="20"/>
          <w:lang w:val="es-CR"/>
        </w:rPr>
        <w:t xml:space="preserve">Por </w:t>
      </w:r>
      <w:r>
        <w:rPr>
          <w:rFonts w:ascii="Verdana" w:hAnsi="Verdana"/>
          <w:sz w:val="20"/>
          <w:szCs w:val="20"/>
          <w:lang w:val="es-CR"/>
        </w:rPr>
        <w:t>su</w:t>
      </w:r>
      <w:r w:rsidRPr="00662EED">
        <w:rPr>
          <w:rFonts w:ascii="Verdana" w:hAnsi="Verdana"/>
          <w:sz w:val="20"/>
          <w:szCs w:val="20"/>
          <w:lang w:val="es-CR"/>
        </w:rPr>
        <w:t xml:space="preserve"> parte, el Estado alegó </w:t>
      </w:r>
      <w:r>
        <w:rPr>
          <w:rFonts w:ascii="Verdana" w:hAnsi="Verdana"/>
          <w:sz w:val="20"/>
          <w:szCs w:val="20"/>
          <w:lang w:val="es-CR"/>
        </w:rPr>
        <w:t xml:space="preserve">ante este Tribunal </w:t>
      </w:r>
      <w:r w:rsidRPr="00662EED">
        <w:rPr>
          <w:rFonts w:ascii="Verdana" w:hAnsi="Verdana"/>
          <w:sz w:val="20"/>
          <w:szCs w:val="20"/>
          <w:lang w:val="es-CR"/>
        </w:rPr>
        <w:t xml:space="preserve">que </w:t>
      </w:r>
      <w:r w:rsidRPr="0007798A">
        <w:rPr>
          <w:rFonts w:ascii="Verdana" w:hAnsi="Verdana"/>
          <w:sz w:val="20"/>
          <w:szCs w:val="20"/>
          <w:lang w:val="es-ES"/>
        </w:rPr>
        <w:t>el señor Zegarra Marín</w:t>
      </w:r>
      <w:r w:rsidRPr="00662EED">
        <w:rPr>
          <w:rFonts w:ascii="Verdana" w:hAnsi="Verdana"/>
          <w:sz w:val="20"/>
          <w:szCs w:val="20"/>
          <w:lang w:val="es-MX"/>
        </w:rPr>
        <w:t xml:space="preserve"> y su abogado no aportaron elementos probatorios que enervaran las pruebas de cargo, y que la defensa no podía detentar un rol pasivo durante el juzgamiento, dejando que el Ministerio Público fuera la única parte que realizara actividad relacionada con las pruebas.</w:t>
      </w:r>
    </w:p>
    <w:p w14:paraId="6D172CB8" w14:textId="77777777" w:rsidR="00FB723A" w:rsidRPr="00817EFB" w:rsidRDefault="00FB723A" w:rsidP="00FB723A">
      <w:pPr>
        <w:jc w:val="both"/>
        <w:rPr>
          <w:rFonts w:ascii="Verdana" w:hAnsi="Verdana"/>
          <w:sz w:val="20"/>
          <w:szCs w:val="20"/>
          <w:lang w:val="es-ES"/>
        </w:rPr>
      </w:pPr>
    </w:p>
    <w:p w14:paraId="6D172CB9" w14:textId="0390345A" w:rsidR="00FB723A" w:rsidRDefault="00FB723A" w:rsidP="00FB723A">
      <w:pPr>
        <w:pStyle w:val="ListParagraph"/>
        <w:numPr>
          <w:ilvl w:val="0"/>
          <w:numId w:val="2"/>
        </w:numPr>
        <w:ind w:left="0" w:hanging="11"/>
        <w:jc w:val="both"/>
        <w:rPr>
          <w:rFonts w:ascii="Verdana" w:hAnsi="Verdana"/>
          <w:sz w:val="20"/>
          <w:szCs w:val="20"/>
          <w:lang w:val="es-CR"/>
        </w:rPr>
      </w:pPr>
      <w:r w:rsidRPr="00662EED">
        <w:rPr>
          <w:rFonts w:ascii="Verdana" w:hAnsi="Verdana" w:cs="Arial"/>
          <w:sz w:val="20"/>
          <w:szCs w:val="20"/>
          <w:lang w:val="es-CR"/>
        </w:rPr>
        <w:t xml:space="preserve">Al respecto, el Tribunal </w:t>
      </w:r>
      <w:r>
        <w:rPr>
          <w:rFonts w:ascii="Verdana" w:hAnsi="Verdana" w:cs="Arial"/>
          <w:sz w:val="20"/>
          <w:szCs w:val="20"/>
          <w:lang w:val="es-CR"/>
        </w:rPr>
        <w:t>reitera</w:t>
      </w:r>
      <w:r w:rsidRPr="00662EED">
        <w:rPr>
          <w:rFonts w:ascii="Verdana" w:hAnsi="Verdana" w:cs="Arial"/>
          <w:sz w:val="20"/>
          <w:szCs w:val="20"/>
          <w:lang w:val="es-CR"/>
        </w:rPr>
        <w:t xml:space="preserve"> que “la demostración fehaciente de la culpabilidad constituye un requisito indispensable para la sanción penal, </w:t>
      </w:r>
      <w:r w:rsidRPr="009C7422">
        <w:rPr>
          <w:rFonts w:ascii="Verdana" w:hAnsi="Verdana" w:cs="Arial"/>
          <w:sz w:val="20"/>
          <w:szCs w:val="20"/>
          <w:lang w:val="es-CR"/>
        </w:rPr>
        <w:t>de modo que la carga de la prueba recae en la parte acusadora y no en el acusado”</w:t>
      </w:r>
      <w:r w:rsidRPr="009C7422">
        <w:rPr>
          <w:rStyle w:val="FootnoteReference"/>
          <w:rFonts w:cs="Arial"/>
          <w:szCs w:val="20"/>
          <w:lang w:val="es-CR"/>
        </w:rPr>
        <w:footnoteReference w:id="134"/>
      </w:r>
      <w:r w:rsidRPr="009C7422">
        <w:rPr>
          <w:rFonts w:ascii="Verdana" w:hAnsi="Verdana" w:cs="Arial"/>
          <w:sz w:val="20"/>
          <w:szCs w:val="20"/>
          <w:lang w:val="es-CR"/>
        </w:rPr>
        <w:t xml:space="preserve"> (</w:t>
      </w:r>
      <w:r w:rsidRPr="009C7422">
        <w:rPr>
          <w:rFonts w:ascii="Verdana" w:hAnsi="Verdana" w:cs="Arial"/>
          <w:i/>
          <w:sz w:val="20"/>
          <w:szCs w:val="20"/>
          <w:lang w:val="es-CR"/>
        </w:rPr>
        <w:t>supra</w:t>
      </w:r>
      <w:r w:rsidR="00294B81">
        <w:rPr>
          <w:rFonts w:ascii="Verdana" w:hAnsi="Verdana" w:cs="Arial"/>
          <w:sz w:val="20"/>
          <w:szCs w:val="20"/>
          <w:lang w:val="es-CR"/>
        </w:rPr>
        <w:t xml:space="preserve"> párr.</w:t>
      </w:r>
      <w:r w:rsidRPr="009C7422">
        <w:rPr>
          <w:rFonts w:ascii="Verdana" w:hAnsi="Verdana" w:cs="Arial"/>
          <w:sz w:val="20"/>
          <w:szCs w:val="20"/>
          <w:lang w:val="es-CR"/>
        </w:rPr>
        <w:t xml:space="preserve"> </w:t>
      </w:r>
      <w:r w:rsidR="000D594E">
        <w:rPr>
          <w:rFonts w:ascii="Verdana" w:hAnsi="Verdana" w:cs="Arial"/>
          <w:sz w:val="20"/>
          <w:szCs w:val="20"/>
          <w:lang w:val="es-CR"/>
        </w:rPr>
        <w:t>123</w:t>
      </w:r>
      <w:r w:rsidRPr="009C7422">
        <w:rPr>
          <w:rFonts w:ascii="Verdana" w:hAnsi="Verdana" w:cs="Arial"/>
          <w:sz w:val="20"/>
          <w:szCs w:val="20"/>
          <w:lang w:val="es-CR"/>
        </w:rPr>
        <w:t>).</w:t>
      </w:r>
      <w:r w:rsidRPr="00662EED">
        <w:rPr>
          <w:rFonts w:ascii="Verdana" w:hAnsi="Verdana" w:cs="Arial"/>
          <w:sz w:val="20"/>
          <w:szCs w:val="20"/>
          <w:lang w:val="es-CR"/>
        </w:rPr>
        <w:t xml:space="preserve"> En este sentido, “el acusado no debe demostrar que no ha cometido el delito que se le atribuye, ya que el </w:t>
      </w:r>
      <w:r w:rsidRPr="00662EED">
        <w:rPr>
          <w:rFonts w:ascii="Verdana" w:hAnsi="Verdana" w:cs="Arial"/>
          <w:i/>
          <w:sz w:val="20"/>
          <w:szCs w:val="20"/>
          <w:lang w:val="es-CR"/>
        </w:rPr>
        <w:t>onus probandi</w:t>
      </w:r>
      <w:r w:rsidRPr="00662EED">
        <w:rPr>
          <w:rFonts w:ascii="Verdana" w:hAnsi="Verdana" w:cs="Arial"/>
          <w:sz w:val="20"/>
          <w:szCs w:val="20"/>
          <w:lang w:val="es-CR"/>
        </w:rPr>
        <w:t xml:space="preserve"> corresponde a quien acusa”</w:t>
      </w:r>
      <w:r>
        <w:rPr>
          <w:rFonts w:ascii="Verdana" w:hAnsi="Verdana" w:cs="Arial"/>
          <w:sz w:val="20"/>
          <w:szCs w:val="20"/>
          <w:lang w:val="es-CR"/>
        </w:rPr>
        <w:t xml:space="preserve"> </w:t>
      </w:r>
      <w:r w:rsidRPr="009C7422">
        <w:rPr>
          <w:rFonts w:ascii="Verdana" w:hAnsi="Verdana" w:cs="Arial"/>
          <w:sz w:val="20"/>
          <w:lang w:val="es-CR"/>
        </w:rPr>
        <w:t>y cualquier duda debe ser usada en beneficio del acusado</w:t>
      </w:r>
      <w:r w:rsidRPr="009C7422">
        <w:rPr>
          <w:rFonts w:ascii="Verdana" w:hAnsi="Verdana"/>
          <w:sz w:val="20"/>
          <w:szCs w:val="20"/>
          <w:vertAlign w:val="superscript"/>
        </w:rPr>
        <w:footnoteReference w:id="135"/>
      </w:r>
      <w:r w:rsidRPr="009C7422">
        <w:rPr>
          <w:rFonts w:ascii="Verdana" w:hAnsi="Verdana" w:cs="Arial"/>
          <w:sz w:val="20"/>
          <w:lang w:val="es-CR"/>
        </w:rPr>
        <w:t>.</w:t>
      </w:r>
      <w:r w:rsidRPr="00662EED">
        <w:rPr>
          <w:rFonts w:ascii="Verdana" w:hAnsi="Verdana" w:cs="Arial"/>
          <w:sz w:val="20"/>
          <w:szCs w:val="20"/>
          <w:lang w:val="es-CR"/>
        </w:rPr>
        <w:t xml:space="preserve"> </w:t>
      </w:r>
      <w:r w:rsidR="00A20E45">
        <w:rPr>
          <w:rFonts w:ascii="Verdana" w:hAnsi="Verdana" w:cs="Arial"/>
          <w:sz w:val="20"/>
          <w:szCs w:val="20"/>
          <w:lang w:val="es-CR"/>
        </w:rPr>
        <w:t xml:space="preserve">En consecuencia, al presumir la culpabilidad del </w:t>
      </w:r>
      <w:r w:rsidR="008E2E04">
        <w:rPr>
          <w:rFonts w:ascii="Verdana" w:hAnsi="Verdana" w:cs="Arial"/>
          <w:sz w:val="20"/>
          <w:szCs w:val="20"/>
          <w:lang w:val="es-CR"/>
        </w:rPr>
        <w:t>inculpado</w:t>
      </w:r>
      <w:r w:rsidR="00A20E45">
        <w:rPr>
          <w:rFonts w:ascii="Verdana" w:hAnsi="Verdana" w:cs="Arial"/>
          <w:sz w:val="20"/>
          <w:szCs w:val="20"/>
          <w:lang w:val="es-CR"/>
        </w:rPr>
        <w:t xml:space="preserve">, </w:t>
      </w:r>
      <w:r w:rsidR="00A20E45">
        <w:rPr>
          <w:rFonts w:ascii="Verdana" w:hAnsi="Verdana" w:cs="Arial"/>
          <w:sz w:val="20"/>
          <w:szCs w:val="20"/>
          <w:lang w:val="es-CR"/>
        </w:rPr>
        <w:lastRenderedPageBreak/>
        <w:t xml:space="preserve">requiriendo que </w:t>
      </w:r>
      <w:r w:rsidR="008E2E04">
        <w:rPr>
          <w:rFonts w:ascii="Verdana" w:hAnsi="Verdana" w:cs="Arial"/>
          <w:sz w:val="20"/>
          <w:szCs w:val="20"/>
          <w:lang w:val="es-CR"/>
        </w:rPr>
        <w:t xml:space="preserve">sea este </w:t>
      </w:r>
      <w:r w:rsidR="00A20E45">
        <w:rPr>
          <w:rFonts w:ascii="Verdana" w:hAnsi="Verdana" w:cs="Arial"/>
          <w:sz w:val="20"/>
          <w:szCs w:val="20"/>
          <w:lang w:val="es-CR"/>
        </w:rPr>
        <w:t>quien dem</w:t>
      </w:r>
      <w:r w:rsidR="008E2E04">
        <w:rPr>
          <w:rFonts w:ascii="Verdana" w:hAnsi="Verdana" w:cs="Arial"/>
          <w:sz w:val="20"/>
          <w:szCs w:val="20"/>
          <w:lang w:val="es-CR"/>
        </w:rPr>
        <w:t>uestre</w:t>
      </w:r>
      <w:r w:rsidR="00A20E45">
        <w:rPr>
          <w:rFonts w:ascii="Verdana" w:hAnsi="Verdana" w:cs="Arial"/>
          <w:sz w:val="20"/>
          <w:szCs w:val="20"/>
          <w:lang w:val="es-CR"/>
        </w:rPr>
        <w:t xml:space="preserve"> su inculpabilidad, </w:t>
      </w:r>
      <w:r w:rsidR="002B51BD">
        <w:rPr>
          <w:rFonts w:ascii="Verdana" w:hAnsi="Verdana" w:cs="Arial"/>
          <w:sz w:val="20"/>
          <w:szCs w:val="20"/>
          <w:lang w:val="es-CR"/>
        </w:rPr>
        <w:t xml:space="preserve">se vulnera </w:t>
      </w:r>
      <w:r w:rsidR="00A20E45">
        <w:rPr>
          <w:rFonts w:ascii="Verdana" w:hAnsi="Verdana" w:cs="Arial"/>
          <w:sz w:val="20"/>
          <w:szCs w:val="20"/>
          <w:lang w:val="es-CR"/>
        </w:rPr>
        <w:t>el derecho a la presunción de inocencia</w:t>
      </w:r>
      <w:r w:rsidRPr="00662EED">
        <w:rPr>
          <w:rStyle w:val="FootnoteReference"/>
          <w:szCs w:val="20"/>
          <w:lang w:val="es-CR"/>
        </w:rPr>
        <w:footnoteReference w:id="136"/>
      </w:r>
      <w:r w:rsidRPr="00662EED">
        <w:rPr>
          <w:rFonts w:ascii="Verdana" w:hAnsi="Verdana"/>
          <w:sz w:val="20"/>
          <w:szCs w:val="20"/>
          <w:lang w:val="es-CR"/>
        </w:rPr>
        <w:t>.</w:t>
      </w:r>
    </w:p>
    <w:p w14:paraId="6D172CBA" w14:textId="77777777" w:rsidR="00FB723A" w:rsidRPr="00BA5177" w:rsidRDefault="00FB723A" w:rsidP="00FB723A">
      <w:pPr>
        <w:tabs>
          <w:tab w:val="left" w:pos="284"/>
        </w:tabs>
        <w:jc w:val="both"/>
        <w:rPr>
          <w:rFonts w:ascii="Verdana" w:hAnsi="Verdana"/>
          <w:sz w:val="20"/>
          <w:szCs w:val="20"/>
          <w:lang w:val="es-CR"/>
        </w:rPr>
      </w:pPr>
    </w:p>
    <w:p w14:paraId="6D172CBB" w14:textId="77777777" w:rsidR="00FB723A" w:rsidRDefault="00FB723A" w:rsidP="00FB723A">
      <w:pPr>
        <w:pStyle w:val="ListParagraph"/>
        <w:numPr>
          <w:ilvl w:val="0"/>
          <w:numId w:val="2"/>
        </w:numPr>
        <w:ind w:left="0" w:hanging="11"/>
        <w:jc w:val="both"/>
        <w:rPr>
          <w:rFonts w:ascii="Verdana" w:hAnsi="Verdana"/>
          <w:sz w:val="20"/>
          <w:szCs w:val="20"/>
          <w:lang w:val="es-CR"/>
        </w:rPr>
      </w:pPr>
      <w:r>
        <w:rPr>
          <w:rFonts w:ascii="Verdana" w:hAnsi="Verdana"/>
          <w:sz w:val="20"/>
          <w:szCs w:val="20"/>
          <w:lang w:val="es-CR"/>
        </w:rPr>
        <w:t>En este mismo sentido se pronunciaron los peritajes presentados en este caso</w:t>
      </w:r>
      <w:r>
        <w:rPr>
          <w:rStyle w:val="FootnoteReference"/>
          <w:szCs w:val="20"/>
          <w:lang w:val="es-CR"/>
        </w:rPr>
        <w:footnoteReference w:id="137"/>
      </w:r>
      <w:r>
        <w:rPr>
          <w:rFonts w:ascii="Verdana" w:hAnsi="Verdana"/>
          <w:sz w:val="20"/>
          <w:szCs w:val="20"/>
          <w:lang w:val="es-CR"/>
        </w:rPr>
        <w:t xml:space="preserve">, así como los criterios desarrollados por el </w:t>
      </w:r>
      <w:r>
        <w:rPr>
          <w:rFonts w:ascii="Verdana" w:hAnsi="Verdana"/>
          <w:sz w:val="20"/>
          <w:szCs w:val="20"/>
        </w:rPr>
        <w:t xml:space="preserve">propio </w:t>
      </w:r>
      <w:r w:rsidRPr="00662EED">
        <w:rPr>
          <w:rFonts w:ascii="Verdana" w:hAnsi="Verdana"/>
          <w:sz w:val="20"/>
          <w:szCs w:val="20"/>
          <w:lang w:val="es-CR"/>
        </w:rPr>
        <w:t>Tribunal Constitucional del Perú</w:t>
      </w:r>
      <w:r>
        <w:rPr>
          <w:rStyle w:val="FootnoteReference"/>
          <w:szCs w:val="20"/>
          <w:lang w:val="es-CR"/>
        </w:rPr>
        <w:footnoteReference w:id="138"/>
      </w:r>
      <w:r>
        <w:rPr>
          <w:rFonts w:ascii="Verdana" w:hAnsi="Verdana"/>
          <w:sz w:val="20"/>
          <w:szCs w:val="20"/>
          <w:lang w:val="es-CR"/>
        </w:rPr>
        <w:t>,</w:t>
      </w:r>
      <w:r w:rsidRPr="00662EED">
        <w:rPr>
          <w:rFonts w:ascii="Verdana" w:hAnsi="Verdana"/>
          <w:sz w:val="20"/>
          <w:szCs w:val="20"/>
          <w:lang w:val="es-CR"/>
        </w:rPr>
        <w:t xml:space="preserve"> </w:t>
      </w:r>
      <w:r>
        <w:rPr>
          <w:rFonts w:ascii="Verdana" w:hAnsi="Verdana"/>
          <w:sz w:val="20"/>
          <w:szCs w:val="20"/>
          <w:lang w:val="es-CR"/>
        </w:rPr>
        <w:t>el Tribunal Europeo de Derechos Humanos</w:t>
      </w:r>
      <w:r>
        <w:rPr>
          <w:rStyle w:val="FootnoteReference"/>
          <w:szCs w:val="20"/>
          <w:lang w:val="es-CR"/>
        </w:rPr>
        <w:footnoteReference w:id="139"/>
      </w:r>
      <w:r>
        <w:rPr>
          <w:rFonts w:ascii="Verdana" w:hAnsi="Verdana"/>
          <w:sz w:val="20"/>
          <w:szCs w:val="20"/>
          <w:lang w:val="es-CR"/>
        </w:rPr>
        <w:t>, el Comité de Derechos Humanos de la ONU</w:t>
      </w:r>
      <w:r>
        <w:rPr>
          <w:rStyle w:val="FootnoteReference"/>
          <w:szCs w:val="20"/>
          <w:lang w:val="es-CR"/>
        </w:rPr>
        <w:footnoteReference w:id="140"/>
      </w:r>
      <w:r>
        <w:rPr>
          <w:rFonts w:ascii="Verdana" w:hAnsi="Verdana"/>
          <w:sz w:val="20"/>
          <w:szCs w:val="20"/>
          <w:lang w:val="es-CR"/>
        </w:rPr>
        <w:t xml:space="preserve"> y lo dispuesto en el Estatuto de Roma</w:t>
      </w:r>
      <w:r>
        <w:rPr>
          <w:rStyle w:val="FootnoteReference"/>
          <w:szCs w:val="20"/>
          <w:lang w:val="es-CR"/>
        </w:rPr>
        <w:footnoteReference w:id="141"/>
      </w:r>
      <w:r>
        <w:rPr>
          <w:rFonts w:ascii="Verdana" w:hAnsi="Verdana"/>
          <w:sz w:val="20"/>
          <w:szCs w:val="20"/>
          <w:lang w:val="es-CR"/>
        </w:rPr>
        <w:t>.</w:t>
      </w:r>
    </w:p>
    <w:p w14:paraId="6D172CBC" w14:textId="77777777" w:rsidR="00FB723A" w:rsidRPr="00817EFB" w:rsidRDefault="00FB723A" w:rsidP="00FB723A">
      <w:pPr>
        <w:tabs>
          <w:tab w:val="left" w:pos="284"/>
        </w:tabs>
        <w:jc w:val="both"/>
        <w:rPr>
          <w:rFonts w:ascii="Verdana" w:hAnsi="Verdana"/>
          <w:sz w:val="20"/>
          <w:szCs w:val="20"/>
          <w:lang w:val="es-CR"/>
        </w:rPr>
      </w:pPr>
    </w:p>
    <w:p w14:paraId="6D172CBD" w14:textId="77777777" w:rsidR="00FB723A" w:rsidRDefault="00FB723A" w:rsidP="00FB723A">
      <w:pPr>
        <w:pStyle w:val="ListParagraph"/>
        <w:numPr>
          <w:ilvl w:val="0"/>
          <w:numId w:val="2"/>
        </w:numPr>
        <w:ind w:left="0" w:hanging="11"/>
        <w:jc w:val="both"/>
        <w:rPr>
          <w:rFonts w:ascii="Verdana" w:hAnsi="Verdana"/>
          <w:sz w:val="20"/>
          <w:szCs w:val="20"/>
          <w:lang w:val="es-CR"/>
        </w:rPr>
      </w:pPr>
      <w:r>
        <w:rPr>
          <w:rFonts w:ascii="Verdana" w:hAnsi="Verdana"/>
          <w:sz w:val="20"/>
          <w:szCs w:val="20"/>
          <w:lang w:val="es-CR"/>
        </w:rPr>
        <w:t>L</w:t>
      </w:r>
      <w:r w:rsidRPr="00662EED">
        <w:rPr>
          <w:rFonts w:ascii="Verdana" w:hAnsi="Verdana"/>
          <w:sz w:val="20"/>
          <w:szCs w:val="20"/>
          <w:lang w:val="es-CR"/>
        </w:rPr>
        <w:t xml:space="preserve">a Corte destaca que la carga de la prueba se sustenta en </w:t>
      </w:r>
      <w:r>
        <w:rPr>
          <w:rFonts w:ascii="Verdana" w:hAnsi="Verdana"/>
          <w:sz w:val="20"/>
          <w:szCs w:val="20"/>
          <w:lang w:val="es-CR"/>
        </w:rPr>
        <w:t xml:space="preserve">el órgano del Estado, quien </w:t>
      </w:r>
      <w:r w:rsidRPr="00662EED">
        <w:rPr>
          <w:rFonts w:ascii="Verdana" w:hAnsi="Verdana"/>
          <w:sz w:val="20"/>
          <w:szCs w:val="20"/>
          <w:lang w:val="es-CR"/>
        </w:rPr>
        <w:t xml:space="preserve">tiene </w:t>
      </w:r>
      <w:r>
        <w:rPr>
          <w:rFonts w:ascii="Verdana" w:hAnsi="Verdana"/>
          <w:sz w:val="20"/>
          <w:szCs w:val="20"/>
          <w:lang w:val="es-CR"/>
        </w:rPr>
        <w:t>el deber</w:t>
      </w:r>
      <w:r w:rsidRPr="00662EED">
        <w:rPr>
          <w:rFonts w:ascii="Verdana" w:hAnsi="Verdana"/>
          <w:sz w:val="20"/>
          <w:szCs w:val="20"/>
          <w:lang w:val="es-CR"/>
        </w:rPr>
        <w:t xml:space="preserve"> de probar la hipótesis de la acusación y la responsabilidad penal, por lo que no existe la obligación del acusado de acreditar su inocencia ni de aportar pruebas de descargo</w:t>
      </w:r>
      <w:r>
        <w:rPr>
          <w:rFonts w:ascii="Verdana" w:hAnsi="Verdana"/>
          <w:sz w:val="20"/>
          <w:szCs w:val="20"/>
          <w:lang w:val="es-CR"/>
        </w:rPr>
        <w:t>. Es decir, l</w:t>
      </w:r>
      <w:r w:rsidRPr="00BA5177">
        <w:rPr>
          <w:rFonts w:ascii="Verdana" w:hAnsi="Verdana"/>
          <w:sz w:val="20"/>
          <w:szCs w:val="20"/>
          <w:lang w:val="es-CR"/>
        </w:rPr>
        <w:t>a posibilidad de aportar contraprueba es un derecho de la defensa para invalidar la hipótesis acusatoria, contradiciéndola mediante contrapruebas o pruebas de descargo compatibles con hipótesis alternativas (contra-hipótesis)</w:t>
      </w:r>
      <w:r>
        <w:rPr>
          <w:rFonts w:ascii="Verdana" w:hAnsi="Verdana"/>
          <w:sz w:val="20"/>
          <w:szCs w:val="20"/>
          <w:lang w:val="es-CR"/>
        </w:rPr>
        <w:t>,</w:t>
      </w:r>
      <w:r w:rsidRPr="00BA5177">
        <w:rPr>
          <w:rFonts w:ascii="Verdana" w:hAnsi="Verdana"/>
          <w:sz w:val="20"/>
          <w:szCs w:val="20"/>
          <w:lang w:val="es-CR"/>
        </w:rPr>
        <w:t xml:space="preserve"> que a su vez la acusación tiene la carga de invalidar.</w:t>
      </w:r>
    </w:p>
    <w:p w14:paraId="6D172CBE" w14:textId="77777777" w:rsidR="00FB723A" w:rsidRPr="009C7422" w:rsidRDefault="00FB723A" w:rsidP="00FB723A">
      <w:pPr>
        <w:pStyle w:val="ListParagraph"/>
        <w:rPr>
          <w:rFonts w:ascii="Verdana" w:hAnsi="Verdana"/>
          <w:sz w:val="20"/>
          <w:szCs w:val="20"/>
          <w:lang w:val="es-CR"/>
        </w:rPr>
      </w:pPr>
    </w:p>
    <w:p w14:paraId="6D172CBF" w14:textId="6038C82A" w:rsidR="00FB723A" w:rsidRPr="00662EED" w:rsidRDefault="00FB723A" w:rsidP="00FB723A">
      <w:pPr>
        <w:pStyle w:val="ListParagraph"/>
        <w:numPr>
          <w:ilvl w:val="0"/>
          <w:numId w:val="2"/>
        </w:numPr>
        <w:ind w:left="0" w:hanging="11"/>
        <w:jc w:val="both"/>
        <w:rPr>
          <w:rFonts w:ascii="Verdana" w:hAnsi="Verdana"/>
          <w:sz w:val="20"/>
          <w:szCs w:val="20"/>
          <w:lang w:val="es-CR"/>
        </w:rPr>
      </w:pPr>
      <w:r>
        <w:rPr>
          <w:rFonts w:ascii="Verdana" w:hAnsi="Verdana"/>
          <w:sz w:val="20"/>
          <w:szCs w:val="20"/>
          <w:lang w:val="es-CR"/>
        </w:rPr>
        <w:t xml:space="preserve">En el presente caso no se respetó dicho principio, especialmente al manifestar expresamente la sentencia que </w:t>
      </w:r>
      <w:r w:rsidRPr="009C7422">
        <w:rPr>
          <w:rFonts w:ascii="Verdana" w:hAnsi="Verdana"/>
          <w:i/>
          <w:sz w:val="20"/>
          <w:szCs w:val="20"/>
          <w:lang w:val="es-CR"/>
        </w:rPr>
        <w:t>“</w:t>
      </w:r>
      <w:r w:rsidRPr="009C7422">
        <w:rPr>
          <w:rFonts w:ascii="Verdana" w:hAnsi="Verdana"/>
          <w:i/>
          <w:sz w:val="20"/>
          <w:szCs w:val="20"/>
          <w:lang w:val="es-ES"/>
        </w:rPr>
        <w:t>no surgi</w:t>
      </w:r>
      <w:r>
        <w:rPr>
          <w:rFonts w:ascii="Verdana" w:hAnsi="Verdana"/>
          <w:i/>
          <w:sz w:val="20"/>
          <w:szCs w:val="20"/>
          <w:lang w:val="es-ES"/>
        </w:rPr>
        <w:t>[ó]</w:t>
      </w:r>
      <w:r w:rsidRPr="009C7422">
        <w:rPr>
          <w:rFonts w:ascii="Verdana" w:hAnsi="Verdana"/>
          <w:i/>
          <w:sz w:val="20"/>
          <w:szCs w:val="20"/>
          <w:lang w:val="es-ES"/>
        </w:rPr>
        <w:t xml:space="preserve"> una prueba de descargo contundente que lo h</w:t>
      </w:r>
      <w:r>
        <w:rPr>
          <w:rFonts w:ascii="Verdana" w:hAnsi="Verdana"/>
          <w:i/>
          <w:sz w:val="20"/>
          <w:szCs w:val="20"/>
          <w:lang w:val="es-ES"/>
        </w:rPr>
        <w:t>[iciera]</w:t>
      </w:r>
      <w:r w:rsidRPr="009C7422">
        <w:rPr>
          <w:rFonts w:ascii="Verdana" w:hAnsi="Verdana"/>
          <w:i/>
          <w:sz w:val="20"/>
          <w:szCs w:val="20"/>
          <w:lang w:val="es-ES"/>
        </w:rPr>
        <w:t xml:space="preserve"> totalmente inocente de los ilícitos que se le imputa</w:t>
      </w:r>
      <w:r>
        <w:rPr>
          <w:rFonts w:ascii="Verdana" w:hAnsi="Verdana"/>
          <w:i/>
          <w:sz w:val="20"/>
          <w:szCs w:val="20"/>
          <w:lang w:val="es-ES"/>
        </w:rPr>
        <w:t>[ban</w:t>
      </w:r>
      <w:r w:rsidR="006F271A">
        <w:rPr>
          <w:rFonts w:ascii="Verdana" w:hAnsi="Verdana"/>
          <w:i/>
          <w:sz w:val="20"/>
          <w:szCs w:val="20"/>
          <w:lang w:val="es-ES"/>
        </w:rPr>
        <w:t>]</w:t>
      </w:r>
      <w:r w:rsidRPr="009C7422">
        <w:rPr>
          <w:rFonts w:ascii="Verdana" w:hAnsi="Verdana"/>
          <w:i/>
          <w:sz w:val="20"/>
          <w:szCs w:val="20"/>
          <w:lang w:val="es-ES"/>
        </w:rPr>
        <w:t>”,</w:t>
      </w:r>
      <w:r w:rsidRPr="009C7422">
        <w:rPr>
          <w:rFonts w:ascii="Verdana" w:hAnsi="Verdana"/>
          <w:sz w:val="20"/>
          <w:szCs w:val="20"/>
          <w:lang w:val="es-ES"/>
        </w:rPr>
        <w:t xml:space="preserve"> por lo que</w:t>
      </w:r>
      <w:r w:rsidRPr="00891ADD">
        <w:rPr>
          <w:rFonts w:ascii="Verdana" w:hAnsi="Verdana"/>
          <w:sz w:val="20"/>
          <w:szCs w:val="20"/>
          <w:lang w:val="es-CR"/>
        </w:rPr>
        <w:t xml:space="preserve"> se</w:t>
      </w:r>
      <w:r>
        <w:rPr>
          <w:rFonts w:ascii="Verdana" w:hAnsi="Verdana"/>
          <w:sz w:val="20"/>
          <w:szCs w:val="20"/>
          <w:lang w:val="es-CR"/>
        </w:rPr>
        <w:t xml:space="preserve"> invirtió la carga de la prueba en perjuicio </w:t>
      </w:r>
      <w:r w:rsidRPr="0007798A">
        <w:rPr>
          <w:rFonts w:ascii="Verdana" w:hAnsi="Verdana"/>
          <w:sz w:val="20"/>
          <w:szCs w:val="20"/>
          <w:lang w:val="es-ES"/>
        </w:rPr>
        <w:t>del señor Zegarra Marín</w:t>
      </w:r>
      <w:r>
        <w:rPr>
          <w:rStyle w:val="FootnoteReference"/>
          <w:szCs w:val="20"/>
          <w:lang w:val="es-CR"/>
        </w:rPr>
        <w:footnoteReference w:id="142"/>
      </w:r>
      <w:r>
        <w:rPr>
          <w:rFonts w:ascii="Verdana" w:hAnsi="Verdana"/>
          <w:sz w:val="20"/>
          <w:szCs w:val="20"/>
          <w:lang w:val="es-CR"/>
        </w:rPr>
        <w:t xml:space="preserve">. </w:t>
      </w:r>
    </w:p>
    <w:p w14:paraId="6D172CC0" w14:textId="77777777" w:rsidR="00FB723A" w:rsidRPr="00662EED" w:rsidRDefault="00FB723A" w:rsidP="00FB723A">
      <w:pPr>
        <w:autoSpaceDE w:val="0"/>
        <w:autoSpaceDN w:val="0"/>
        <w:adjustRightInd w:val="0"/>
        <w:jc w:val="both"/>
        <w:rPr>
          <w:rFonts w:ascii="Verdana" w:hAnsi="Verdana"/>
          <w:sz w:val="20"/>
          <w:szCs w:val="20"/>
        </w:rPr>
      </w:pPr>
    </w:p>
    <w:p w14:paraId="6D172CC1" w14:textId="224CB0F5" w:rsidR="00FB723A" w:rsidRPr="009C7422" w:rsidRDefault="00FB723A" w:rsidP="00FB723A">
      <w:pPr>
        <w:pStyle w:val="ListParagraph"/>
        <w:numPr>
          <w:ilvl w:val="0"/>
          <w:numId w:val="2"/>
        </w:numPr>
        <w:ind w:left="0" w:hanging="11"/>
        <w:jc w:val="both"/>
        <w:rPr>
          <w:rFonts w:ascii="Verdana" w:hAnsi="Verdana"/>
          <w:sz w:val="20"/>
          <w:szCs w:val="20"/>
          <w:lang w:val="es-ES"/>
        </w:rPr>
      </w:pPr>
      <w:r>
        <w:rPr>
          <w:rFonts w:ascii="Verdana" w:hAnsi="Verdana"/>
          <w:sz w:val="20"/>
          <w:szCs w:val="20"/>
          <w:lang w:val="es-CR"/>
        </w:rPr>
        <w:t xml:space="preserve">En segundo lugar, </w:t>
      </w:r>
      <w:r w:rsidRPr="00BA5177">
        <w:rPr>
          <w:rFonts w:ascii="Verdana" w:hAnsi="Verdana"/>
          <w:sz w:val="20"/>
          <w:szCs w:val="20"/>
          <w:lang w:val="es-CR"/>
        </w:rPr>
        <w:t xml:space="preserve">la Corte ha señalado que </w:t>
      </w:r>
      <w:r w:rsidR="006F271A">
        <w:rPr>
          <w:rFonts w:ascii="Verdana" w:hAnsi="Verdana"/>
          <w:sz w:val="20"/>
          <w:szCs w:val="20"/>
          <w:lang w:val="es-CR"/>
        </w:rPr>
        <w:t>el proceso penal, en tanto respuesta investigativa y judicial del Estado, debe constituir un medio adecuado para permitir una búsqueda genuina de la verdad de lo</w:t>
      </w:r>
      <w:r w:rsidRPr="00BA5177">
        <w:rPr>
          <w:rFonts w:ascii="Verdana" w:hAnsi="Verdana"/>
          <w:sz w:val="20"/>
          <w:szCs w:val="20"/>
          <w:lang w:val="es-CR"/>
        </w:rPr>
        <w:t xml:space="preserve"> sucedido mediante una evaluación adecuada de las hipótesis consideradas sobre el modo y circunstancias del delito</w:t>
      </w:r>
      <w:r w:rsidRPr="00BA5177">
        <w:rPr>
          <w:rFonts w:ascii="Verdana" w:hAnsi="Verdana"/>
          <w:sz w:val="20"/>
          <w:szCs w:val="20"/>
          <w:vertAlign w:val="superscript"/>
        </w:rPr>
        <w:footnoteReference w:id="143"/>
      </w:r>
      <w:r w:rsidRPr="00BA5177">
        <w:rPr>
          <w:rFonts w:ascii="Verdana" w:hAnsi="Verdana"/>
          <w:sz w:val="20"/>
          <w:szCs w:val="20"/>
          <w:lang w:val="es-CR"/>
        </w:rPr>
        <w:t>.</w:t>
      </w:r>
      <w:r w:rsidRPr="009E2B36">
        <w:rPr>
          <w:rFonts w:ascii="Verdana" w:hAnsi="Verdana"/>
          <w:sz w:val="20"/>
          <w:szCs w:val="20"/>
          <w:lang w:val="es-CR"/>
        </w:rPr>
        <w:t xml:space="preserve"> </w:t>
      </w:r>
      <w:r>
        <w:rPr>
          <w:rFonts w:ascii="Verdana" w:hAnsi="Verdana"/>
          <w:sz w:val="20"/>
          <w:szCs w:val="20"/>
          <w:lang w:val="es-CR"/>
        </w:rPr>
        <w:t>Al respecto, e</w:t>
      </w:r>
      <w:r w:rsidRPr="00BA5177">
        <w:rPr>
          <w:rFonts w:ascii="Verdana" w:hAnsi="Verdana"/>
          <w:sz w:val="20"/>
          <w:szCs w:val="20"/>
          <w:lang w:val="es-CR"/>
        </w:rPr>
        <w:t xml:space="preserve">n virtud del principio de presunción de inocencia, </w:t>
      </w:r>
      <w:r>
        <w:rPr>
          <w:rFonts w:ascii="Verdana" w:hAnsi="Verdana"/>
          <w:sz w:val="20"/>
          <w:szCs w:val="20"/>
          <w:lang w:val="es-CR"/>
        </w:rPr>
        <w:t>la Quinta Sala Penal</w:t>
      </w:r>
      <w:r w:rsidRPr="00BA5177">
        <w:rPr>
          <w:rFonts w:ascii="Verdana" w:hAnsi="Verdana"/>
          <w:sz w:val="20"/>
          <w:szCs w:val="20"/>
          <w:lang w:val="es-CR"/>
        </w:rPr>
        <w:t xml:space="preserve"> </w:t>
      </w:r>
      <w:r>
        <w:rPr>
          <w:rFonts w:ascii="Verdana" w:hAnsi="Verdana"/>
          <w:sz w:val="20"/>
          <w:szCs w:val="20"/>
          <w:lang w:val="es-CR"/>
        </w:rPr>
        <w:t>debía</w:t>
      </w:r>
      <w:r w:rsidRPr="00BA5177">
        <w:rPr>
          <w:rFonts w:ascii="Verdana" w:hAnsi="Verdana"/>
          <w:sz w:val="20"/>
          <w:szCs w:val="20"/>
          <w:lang w:val="es-CR"/>
        </w:rPr>
        <w:t xml:space="preserve"> valorar racional y </w:t>
      </w:r>
      <w:r w:rsidRPr="00BA5177">
        <w:rPr>
          <w:rFonts w:ascii="Verdana" w:hAnsi="Verdana"/>
          <w:sz w:val="20"/>
          <w:szCs w:val="20"/>
          <w:lang w:val="es-CR"/>
        </w:rPr>
        <w:lastRenderedPageBreak/>
        <w:t xml:space="preserve">objetivamente las pruebas de </w:t>
      </w:r>
      <w:r>
        <w:rPr>
          <w:rFonts w:ascii="Verdana" w:hAnsi="Verdana"/>
          <w:sz w:val="20"/>
          <w:szCs w:val="20"/>
          <w:lang w:val="es-CR"/>
        </w:rPr>
        <w:t xml:space="preserve">cargo y </w:t>
      </w:r>
      <w:r w:rsidRPr="00281A05">
        <w:rPr>
          <w:rFonts w:ascii="Verdana" w:hAnsi="Verdana"/>
          <w:sz w:val="20"/>
          <w:szCs w:val="20"/>
          <w:lang w:val="es-CR"/>
        </w:rPr>
        <w:t>descargo, pero también las pruebas de oficio, así como desvirtuar las hipótesis de inocencia que surgiera</w:t>
      </w:r>
      <w:r w:rsidRPr="00187F66">
        <w:rPr>
          <w:rFonts w:ascii="Verdana" w:hAnsi="Verdana"/>
          <w:sz w:val="20"/>
          <w:szCs w:val="20"/>
          <w:lang w:val="es-CR"/>
        </w:rPr>
        <w:t xml:space="preserve"> a partir de </w:t>
      </w:r>
      <w:r w:rsidRPr="00AB72AE">
        <w:rPr>
          <w:rFonts w:ascii="Verdana" w:hAnsi="Verdana"/>
          <w:sz w:val="20"/>
          <w:szCs w:val="20"/>
          <w:lang w:val="es-CR"/>
        </w:rPr>
        <w:t>éstas</w:t>
      </w:r>
      <w:r>
        <w:rPr>
          <w:rFonts w:ascii="Verdana" w:hAnsi="Verdana"/>
          <w:sz w:val="20"/>
          <w:szCs w:val="20"/>
          <w:lang w:val="es-CR"/>
        </w:rPr>
        <w:t>, a fin de determinar la responsabilidad penal.</w:t>
      </w:r>
    </w:p>
    <w:p w14:paraId="6D172CC2" w14:textId="77777777" w:rsidR="00FB723A" w:rsidRPr="000C7505" w:rsidRDefault="00FB723A" w:rsidP="00FB723A">
      <w:pPr>
        <w:tabs>
          <w:tab w:val="left" w:pos="284"/>
        </w:tabs>
        <w:jc w:val="both"/>
        <w:rPr>
          <w:rFonts w:ascii="Verdana" w:hAnsi="Verdana"/>
          <w:sz w:val="20"/>
          <w:szCs w:val="20"/>
          <w:lang w:val="es-ES"/>
        </w:rPr>
      </w:pPr>
    </w:p>
    <w:p w14:paraId="6D172CC3" w14:textId="124889DE" w:rsidR="00FB723A" w:rsidRPr="00BA5177" w:rsidRDefault="00FB723A" w:rsidP="00FB723A">
      <w:pPr>
        <w:pStyle w:val="ListParagraph"/>
        <w:numPr>
          <w:ilvl w:val="0"/>
          <w:numId w:val="2"/>
        </w:numPr>
        <w:ind w:left="0" w:hanging="11"/>
        <w:jc w:val="both"/>
        <w:rPr>
          <w:rFonts w:ascii="Verdana" w:hAnsi="Verdana"/>
          <w:sz w:val="20"/>
          <w:szCs w:val="20"/>
          <w:lang w:val="es-ES"/>
        </w:rPr>
      </w:pPr>
      <w:r>
        <w:rPr>
          <w:rFonts w:ascii="Verdana" w:hAnsi="Verdana"/>
          <w:sz w:val="20"/>
          <w:szCs w:val="20"/>
          <w:lang w:val="es-ES"/>
        </w:rPr>
        <w:t>En este sentido</w:t>
      </w:r>
      <w:r w:rsidRPr="00BA5177">
        <w:rPr>
          <w:rFonts w:ascii="Verdana" w:hAnsi="Verdana"/>
          <w:sz w:val="20"/>
          <w:szCs w:val="20"/>
          <w:lang w:val="es-ES"/>
        </w:rPr>
        <w:t xml:space="preserve">, el perito Hernán Víctor Gullco señaló </w:t>
      </w:r>
      <w:r w:rsidR="002B51BD">
        <w:rPr>
          <w:rFonts w:ascii="Verdana" w:hAnsi="Verdana"/>
          <w:sz w:val="20"/>
          <w:szCs w:val="20"/>
          <w:lang w:val="es-ES"/>
        </w:rPr>
        <w:t xml:space="preserve">en audiencia </w:t>
      </w:r>
      <w:r>
        <w:rPr>
          <w:rFonts w:ascii="Verdana" w:hAnsi="Verdana"/>
          <w:sz w:val="20"/>
          <w:szCs w:val="20"/>
          <w:lang w:val="es-ES"/>
        </w:rPr>
        <w:t xml:space="preserve">ante la Corte </w:t>
      </w:r>
      <w:r w:rsidRPr="00BA5177">
        <w:rPr>
          <w:rFonts w:ascii="Verdana" w:hAnsi="Verdana"/>
          <w:sz w:val="20"/>
          <w:szCs w:val="20"/>
          <w:lang w:val="es-ES"/>
        </w:rPr>
        <w:t xml:space="preserve">que no basta con una enumeración de la prueba para fundar válidamente una condena, es necesario que el tribunal </w:t>
      </w:r>
      <w:r w:rsidRPr="009C7422">
        <w:rPr>
          <w:rFonts w:ascii="Verdana" w:hAnsi="Verdana"/>
          <w:sz w:val="20"/>
          <w:szCs w:val="20"/>
          <w:lang w:val="es-ES"/>
        </w:rPr>
        <w:t>evalúe las pruebas, establezca el peso de cada una</w:t>
      </w:r>
      <w:r w:rsidR="00754118">
        <w:rPr>
          <w:rFonts w:ascii="Verdana" w:hAnsi="Verdana"/>
          <w:sz w:val="20"/>
          <w:szCs w:val="20"/>
          <w:lang w:val="es-ES"/>
        </w:rPr>
        <w:t>,</w:t>
      </w:r>
      <w:r w:rsidRPr="009C7422">
        <w:rPr>
          <w:rFonts w:ascii="Verdana" w:hAnsi="Verdana"/>
          <w:sz w:val="20"/>
          <w:szCs w:val="20"/>
          <w:lang w:val="es-ES"/>
        </w:rPr>
        <w:t xml:space="preserve"> y las compare con la prueba de descargo</w:t>
      </w:r>
      <w:r>
        <w:rPr>
          <w:rFonts w:ascii="Verdana" w:hAnsi="Verdana"/>
          <w:sz w:val="20"/>
          <w:szCs w:val="20"/>
          <w:lang w:val="es-ES"/>
        </w:rPr>
        <w:t>;</w:t>
      </w:r>
      <w:r w:rsidRPr="00BA5177">
        <w:rPr>
          <w:rFonts w:ascii="Verdana" w:hAnsi="Verdana"/>
          <w:sz w:val="20"/>
          <w:szCs w:val="20"/>
          <w:lang w:val="es-ES"/>
        </w:rPr>
        <w:t xml:space="preserve"> debe haber un análisis, una evaluación de la prueba de cargo y de descargo.</w:t>
      </w:r>
      <w:r>
        <w:rPr>
          <w:rFonts w:ascii="Verdana" w:hAnsi="Verdana"/>
          <w:sz w:val="20"/>
          <w:szCs w:val="20"/>
          <w:lang w:val="es-ES"/>
        </w:rPr>
        <w:t xml:space="preserve"> </w:t>
      </w:r>
    </w:p>
    <w:p w14:paraId="6D172CC4" w14:textId="77777777" w:rsidR="00FB723A" w:rsidRPr="00BA5177" w:rsidRDefault="00FB723A" w:rsidP="00FB723A">
      <w:pPr>
        <w:pStyle w:val="ListParagraph"/>
        <w:rPr>
          <w:rFonts w:ascii="Verdana" w:hAnsi="Verdana"/>
          <w:lang w:val="es-CR"/>
        </w:rPr>
      </w:pPr>
    </w:p>
    <w:p w14:paraId="6D172CC5" w14:textId="754B5E7E" w:rsidR="00FB723A" w:rsidRPr="009C7422" w:rsidRDefault="00FB723A" w:rsidP="00FB723A">
      <w:pPr>
        <w:pStyle w:val="ListParagraph"/>
        <w:numPr>
          <w:ilvl w:val="0"/>
          <w:numId w:val="2"/>
        </w:numPr>
        <w:ind w:left="0" w:hanging="11"/>
        <w:jc w:val="both"/>
        <w:rPr>
          <w:rFonts w:ascii="Verdana" w:hAnsi="Verdana"/>
          <w:sz w:val="20"/>
          <w:szCs w:val="20"/>
          <w:lang w:val="es-ES"/>
        </w:rPr>
      </w:pPr>
      <w:r w:rsidRPr="00AB72AE">
        <w:rPr>
          <w:rFonts w:ascii="Verdana" w:hAnsi="Verdana"/>
          <w:sz w:val="20"/>
          <w:szCs w:val="20"/>
          <w:lang w:val="es-CR"/>
        </w:rPr>
        <w:t xml:space="preserve"> </w:t>
      </w:r>
      <w:r>
        <w:rPr>
          <w:rFonts w:ascii="Verdana" w:hAnsi="Verdana"/>
          <w:sz w:val="20"/>
          <w:szCs w:val="20"/>
          <w:lang w:val="es-CR"/>
        </w:rPr>
        <w:t>E</w:t>
      </w:r>
      <w:r w:rsidRPr="00BA5177">
        <w:rPr>
          <w:rFonts w:ascii="Verdana" w:hAnsi="Verdana"/>
          <w:sz w:val="20"/>
          <w:szCs w:val="20"/>
          <w:lang w:val="es-CR"/>
        </w:rPr>
        <w:t>ste Tribunal constató que en la sentencia condenatoria emitida por la Quinta Sala Penal se enunciaron pruebas de oficio y de descargo que supuestamente podrían favorecer al inculpado</w:t>
      </w:r>
      <w:r w:rsidR="00754118">
        <w:rPr>
          <w:rFonts w:ascii="Verdana" w:hAnsi="Verdana"/>
          <w:sz w:val="20"/>
          <w:szCs w:val="20"/>
          <w:lang w:val="es-CR"/>
        </w:rPr>
        <w:t>,</w:t>
      </w:r>
      <w:r w:rsidRPr="00BA5177">
        <w:rPr>
          <w:rFonts w:ascii="Verdana" w:hAnsi="Verdana"/>
          <w:sz w:val="20"/>
          <w:szCs w:val="20"/>
          <w:lang w:val="es-CR"/>
        </w:rPr>
        <w:t xml:space="preserve"> o bien podrían generar duda respecto a su responsabilidad penal, las cuales no se desprende haber sido analizadas</w:t>
      </w:r>
      <w:r w:rsidRPr="00BA5177">
        <w:rPr>
          <w:rFonts w:ascii="Verdana" w:hAnsi="Verdana"/>
          <w:sz w:val="20"/>
          <w:szCs w:val="20"/>
          <w:lang w:val="es-ES"/>
        </w:rPr>
        <w:t xml:space="preserve"> para confirmar o desvirtuar la hipótesis acusatoria (</w:t>
      </w:r>
      <w:r w:rsidRPr="0058104A">
        <w:rPr>
          <w:rFonts w:ascii="Verdana" w:hAnsi="Verdana"/>
          <w:i/>
          <w:sz w:val="20"/>
          <w:szCs w:val="20"/>
          <w:lang w:val="es-ES"/>
        </w:rPr>
        <w:t>infra</w:t>
      </w:r>
      <w:r w:rsidRPr="00BA5177">
        <w:rPr>
          <w:rFonts w:ascii="Verdana" w:hAnsi="Verdana"/>
          <w:sz w:val="20"/>
          <w:szCs w:val="20"/>
          <w:lang w:val="es-ES"/>
        </w:rPr>
        <w:t xml:space="preserve"> </w:t>
      </w:r>
      <w:r w:rsidR="00A9720E">
        <w:rPr>
          <w:rFonts w:ascii="Verdana" w:hAnsi="Verdana"/>
          <w:sz w:val="20"/>
          <w:szCs w:val="20"/>
          <w:lang w:val="es-ES"/>
        </w:rPr>
        <w:t>párr</w:t>
      </w:r>
      <w:r w:rsidR="000D4816" w:rsidRPr="000D4816">
        <w:rPr>
          <w:rFonts w:ascii="Verdana" w:hAnsi="Verdana"/>
          <w:i/>
          <w:sz w:val="20"/>
          <w:szCs w:val="20"/>
          <w:lang w:val="es-ES"/>
        </w:rPr>
        <w:t>.</w:t>
      </w:r>
      <w:r w:rsidRPr="00BA5177">
        <w:rPr>
          <w:rFonts w:ascii="Verdana" w:hAnsi="Verdana"/>
          <w:sz w:val="20"/>
          <w:szCs w:val="20"/>
          <w:lang w:val="es-ES"/>
        </w:rPr>
        <w:t xml:space="preserve"> </w:t>
      </w:r>
      <w:r w:rsidR="00754118">
        <w:rPr>
          <w:rFonts w:ascii="Verdana" w:hAnsi="Verdana"/>
          <w:sz w:val="20"/>
          <w:szCs w:val="20"/>
          <w:lang w:val="es-ES"/>
        </w:rPr>
        <w:t>150</w:t>
      </w:r>
      <w:r w:rsidRPr="00BA5177">
        <w:rPr>
          <w:rFonts w:ascii="Verdana" w:hAnsi="Verdana"/>
          <w:sz w:val="20"/>
          <w:szCs w:val="20"/>
          <w:lang w:val="es-ES"/>
        </w:rPr>
        <w:t xml:space="preserve">). </w:t>
      </w:r>
      <w:r w:rsidRPr="00BA5177">
        <w:rPr>
          <w:rFonts w:ascii="Verdana" w:hAnsi="Verdana"/>
          <w:sz w:val="20"/>
          <w:szCs w:val="20"/>
          <w:lang w:val="es-CR"/>
        </w:rPr>
        <w:t>Tampoco se habrían confrontado las pruebas de cargo con otros elementos para ensayar las hipótesis posibles y desvirtuar la presunción de inocencia.</w:t>
      </w:r>
    </w:p>
    <w:p w14:paraId="6D172CC6" w14:textId="77777777" w:rsidR="00FB723A" w:rsidRDefault="00FB723A" w:rsidP="00FB723A">
      <w:pPr>
        <w:jc w:val="both"/>
        <w:rPr>
          <w:rFonts w:ascii="Verdana" w:hAnsi="Verdana"/>
          <w:sz w:val="20"/>
          <w:szCs w:val="20"/>
          <w:lang w:val="es-CR"/>
        </w:rPr>
      </w:pPr>
    </w:p>
    <w:p w14:paraId="6D172CC7" w14:textId="5E7F5C7A" w:rsidR="00FB723A" w:rsidRPr="003232EE" w:rsidRDefault="00FB723A" w:rsidP="00FB723A">
      <w:pPr>
        <w:pStyle w:val="ListParagraph"/>
        <w:numPr>
          <w:ilvl w:val="0"/>
          <w:numId w:val="2"/>
        </w:numPr>
        <w:ind w:left="0" w:hanging="11"/>
        <w:jc w:val="both"/>
        <w:rPr>
          <w:rFonts w:ascii="Verdana" w:hAnsi="Verdana"/>
          <w:sz w:val="20"/>
          <w:szCs w:val="20"/>
          <w:lang w:val="es-CR"/>
        </w:rPr>
      </w:pPr>
      <w:r>
        <w:rPr>
          <w:rFonts w:ascii="Verdana" w:hAnsi="Verdana"/>
          <w:sz w:val="20"/>
          <w:szCs w:val="20"/>
          <w:lang w:val="es-CR"/>
        </w:rPr>
        <w:t>Por otra parte, l</w:t>
      </w:r>
      <w:r w:rsidRPr="00662EED">
        <w:rPr>
          <w:rFonts w:ascii="Verdana" w:hAnsi="Verdana"/>
          <w:sz w:val="20"/>
          <w:szCs w:val="20"/>
          <w:lang w:val="es-CR"/>
        </w:rPr>
        <w:t xml:space="preserve">a Corte </w:t>
      </w:r>
      <w:r w:rsidR="008F4974" w:rsidRPr="000A0953">
        <w:rPr>
          <w:rFonts w:ascii="Verdana" w:hAnsi="Verdana"/>
          <w:sz w:val="20"/>
          <w:szCs w:val="20"/>
          <w:lang w:val="es-CR"/>
        </w:rPr>
        <w:t>advierte</w:t>
      </w:r>
      <w:r w:rsidRPr="00662EED">
        <w:rPr>
          <w:rFonts w:ascii="Verdana" w:hAnsi="Verdana"/>
          <w:sz w:val="20"/>
          <w:szCs w:val="20"/>
          <w:lang w:val="es-CR"/>
        </w:rPr>
        <w:t xml:space="preserve"> </w:t>
      </w:r>
      <w:r>
        <w:rPr>
          <w:rFonts w:ascii="Verdana" w:hAnsi="Verdana"/>
          <w:sz w:val="20"/>
          <w:szCs w:val="20"/>
          <w:lang w:val="es-CR"/>
        </w:rPr>
        <w:t>que, con posterioridad</w:t>
      </w:r>
      <w:r w:rsidRPr="001531E5">
        <w:rPr>
          <w:rFonts w:ascii="Verdana" w:hAnsi="Verdana"/>
          <w:sz w:val="20"/>
          <w:szCs w:val="20"/>
          <w:lang w:val="es-CR"/>
        </w:rPr>
        <w:t xml:space="preserve"> a los hechos</w:t>
      </w:r>
      <w:r>
        <w:rPr>
          <w:rFonts w:ascii="Verdana" w:hAnsi="Verdana"/>
          <w:sz w:val="20"/>
          <w:szCs w:val="20"/>
          <w:lang w:val="es-CR"/>
        </w:rPr>
        <w:t>, se</w:t>
      </w:r>
      <w:r w:rsidRPr="00662EED">
        <w:rPr>
          <w:rFonts w:ascii="Verdana" w:hAnsi="Verdana"/>
          <w:sz w:val="20"/>
          <w:szCs w:val="20"/>
          <w:lang w:val="es-CR"/>
        </w:rPr>
        <w:t xml:space="preserve"> emi</w:t>
      </w:r>
      <w:r>
        <w:rPr>
          <w:rFonts w:ascii="Verdana" w:hAnsi="Verdana"/>
          <w:sz w:val="20"/>
          <w:szCs w:val="20"/>
          <w:lang w:val="es-CR"/>
        </w:rPr>
        <w:t>tió</w:t>
      </w:r>
      <w:r w:rsidRPr="00662EED">
        <w:rPr>
          <w:rFonts w:ascii="Verdana" w:hAnsi="Verdana"/>
          <w:sz w:val="20"/>
          <w:szCs w:val="20"/>
          <w:lang w:val="es-CR"/>
        </w:rPr>
        <w:t xml:space="preserve"> el Nuevo Código Procesal Penal del Perú</w:t>
      </w:r>
      <w:r>
        <w:rPr>
          <w:rFonts w:ascii="Verdana" w:hAnsi="Verdana"/>
          <w:sz w:val="20"/>
          <w:szCs w:val="20"/>
          <w:lang w:val="es-CR"/>
        </w:rPr>
        <w:t>,</w:t>
      </w:r>
      <w:r w:rsidRPr="00662EED">
        <w:rPr>
          <w:rFonts w:ascii="Verdana" w:hAnsi="Verdana"/>
          <w:sz w:val="20"/>
          <w:szCs w:val="20"/>
          <w:lang w:val="es-CR"/>
        </w:rPr>
        <w:t xml:space="preserve"> publicado en 2004, el cual reconoce el sistema de </w:t>
      </w:r>
      <w:r>
        <w:rPr>
          <w:rFonts w:ascii="Verdana" w:hAnsi="Verdana"/>
          <w:sz w:val="20"/>
          <w:szCs w:val="20"/>
          <w:lang w:val="es-CR"/>
        </w:rPr>
        <w:t xml:space="preserve">la </w:t>
      </w:r>
      <w:r w:rsidRPr="00662EED">
        <w:rPr>
          <w:rFonts w:ascii="Verdana" w:hAnsi="Verdana"/>
          <w:sz w:val="20"/>
          <w:szCs w:val="20"/>
          <w:lang w:val="es-CR"/>
        </w:rPr>
        <w:t>sana crítica en la apreciación probatoria</w:t>
      </w:r>
      <w:r w:rsidRPr="00662EED">
        <w:rPr>
          <w:rStyle w:val="FootnoteReference"/>
          <w:szCs w:val="20"/>
          <w:lang w:val="es-CR"/>
        </w:rPr>
        <w:footnoteReference w:id="144"/>
      </w:r>
      <w:r w:rsidRPr="00662EED">
        <w:rPr>
          <w:rFonts w:ascii="Verdana" w:hAnsi="Verdana"/>
          <w:sz w:val="20"/>
          <w:szCs w:val="20"/>
          <w:lang w:val="es-CR"/>
        </w:rPr>
        <w:t>.</w:t>
      </w:r>
      <w:r>
        <w:rPr>
          <w:rFonts w:ascii="Verdana" w:hAnsi="Verdana"/>
          <w:sz w:val="20"/>
          <w:szCs w:val="20"/>
          <w:lang w:val="es-CR"/>
        </w:rPr>
        <w:t xml:space="preserve"> Asimismo, </w:t>
      </w:r>
      <w:r w:rsidRPr="001531E5">
        <w:rPr>
          <w:rFonts w:ascii="Verdana" w:hAnsi="Verdana"/>
          <w:sz w:val="20"/>
          <w:szCs w:val="20"/>
          <w:lang w:val="es-CR"/>
        </w:rPr>
        <w:t>el propio Tribunal Constitucional del Perú</w:t>
      </w:r>
      <w:r w:rsidR="00754118">
        <w:rPr>
          <w:rFonts w:ascii="Verdana" w:hAnsi="Verdana"/>
          <w:sz w:val="20"/>
          <w:szCs w:val="20"/>
          <w:lang w:val="es-CR"/>
        </w:rPr>
        <w:t>,</w:t>
      </w:r>
      <w:r w:rsidRPr="001531E5">
        <w:rPr>
          <w:rFonts w:ascii="Verdana" w:hAnsi="Verdana"/>
          <w:sz w:val="20"/>
          <w:szCs w:val="20"/>
          <w:lang w:val="es-CR"/>
        </w:rPr>
        <w:t xml:space="preserve"> </w:t>
      </w:r>
      <w:r>
        <w:rPr>
          <w:rFonts w:ascii="Verdana" w:hAnsi="Verdana"/>
          <w:sz w:val="20"/>
          <w:szCs w:val="20"/>
          <w:lang w:val="es-CR"/>
        </w:rPr>
        <w:t>a partir de 2004</w:t>
      </w:r>
      <w:r w:rsidRPr="001531E5">
        <w:rPr>
          <w:rFonts w:ascii="Verdana" w:hAnsi="Verdana"/>
          <w:sz w:val="20"/>
          <w:szCs w:val="20"/>
          <w:lang w:val="es-CR"/>
        </w:rPr>
        <w:t>, ha establecido que:</w:t>
      </w:r>
      <w:r>
        <w:rPr>
          <w:rFonts w:ascii="Verdana" w:hAnsi="Verdana"/>
          <w:sz w:val="20"/>
          <w:szCs w:val="20"/>
          <w:lang w:val="es-CR"/>
        </w:rPr>
        <w:t xml:space="preserve"> </w:t>
      </w:r>
      <w:r w:rsidR="00BC1216">
        <w:rPr>
          <w:rFonts w:ascii="Verdana" w:hAnsi="Verdana"/>
          <w:sz w:val="20"/>
          <w:szCs w:val="20"/>
          <w:lang w:val="es-CR"/>
        </w:rPr>
        <w:t>“</w:t>
      </w:r>
      <w:r w:rsidRPr="00BA5177">
        <w:rPr>
          <w:rFonts w:ascii="Verdana" w:hAnsi="Verdana"/>
          <w:sz w:val="20"/>
          <w:szCs w:val="20"/>
          <w:lang w:val="es-CR"/>
        </w:rPr>
        <w:t>[</w:t>
      </w:r>
      <w:r w:rsidR="00BC1216">
        <w:rPr>
          <w:rFonts w:ascii="Verdana" w:hAnsi="Verdana"/>
          <w:sz w:val="20"/>
          <w:szCs w:val="20"/>
          <w:lang w:val="es-CR"/>
        </w:rPr>
        <w:t>…</w:t>
      </w:r>
      <w:r w:rsidRPr="00BA5177">
        <w:rPr>
          <w:rFonts w:ascii="Verdana" w:hAnsi="Verdana"/>
          <w:sz w:val="20"/>
          <w:szCs w:val="20"/>
          <w:lang w:val="es-CR"/>
        </w:rPr>
        <w:t xml:space="preserve">] </w:t>
      </w:r>
      <w:r w:rsidR="00A9720E">
        <w:rPr>
          <w:rFonts w:ascii="Verdana" w:hAnsi="Verdana"/>
          <w:sz w:val="20"/>
          <w:szCs w:val="20"/>
          <w:lang w:val="es-CR"/>
        </w:rPr>
        <w:t>[e</w:t>
      </w:r>
      <w:r w:rsidRPr="00BA5177">
        <w:rPr>
          <w:rFonts w:ascii="Verdana" w:hAnsi="Verdana"/>
          <w:sz w:val="20"/>
          <w:szCs w:val="20"/>
          <w:lang w:val="es-CR"/>
        </w:rPr>
        <w:t>l</w:t>
      </w:r>
      <w:r w:rsidR="00A9720E">
        <w:rPr>
          <w:rFonts w:ascii="Verdana" w:hAnsi="Verdana"/>
          <w:sz w:val="20"/>
          <w:szCs w:val="20"/>
          <w:lang w:val="es-CR"/>
        </w:rPr>
        <w:t>]</w:t>
      </w:r>
      <w:r w:rsidRPr="00BA5177">
        <w:rPr>
          <w:rFonts w:ascii="Verdana" w:hAnsi="Verdana"/>
          <w:sz w:val="20"/>
          <w:szCs w:val="20"/>
          <w:lang w:val="es-CR"/>
        </w:rPr>
        <w:t xml:space="preserve"> contenido esencial del derecho a la presunción de inocencia […] termina convirtiéndose en un límite al principio de libre apreciación de la prueba por parte del juez, puesto que dispone la exigencia de un mínimo de suficiencia probatoria para declarar la culpabilidad, </w:t>
      </w:r>
      <w:r w:rsidRPr="00B446C7">
        <w:rPr>
          <w:rFonts w:ascii="Verdana" w:hAnsi="Verdana"/>
          <w:sz w:val="20"/>
          <w:szCs w:val="20"/>
          <w:lang w:val="es-CR"/>
        </w:rPr>
        <w:t>más allá de toda duda razonable</w:t>
      </w:r>
      <w:r w:rsidR="00BC1216">
        <w:rPr>
          <w:rFonts w:ascii="Verdana" w:hAnsi="Verdana"/>
          <w:sz w:val="20"/>
          <w:szCs w:val="20"/>
          <w:lang w:val="es-CR"/>
        </w:rPr>
        <w:t>”</w:t>
      </w:r>
      <w:r w:rsidRPr="00B446C7">
        <w:rPr>
          <w:rStyle w:val="FootnoteReference"/>
          <w:szCs w:val="20"/>
          <w:lang w:val="es-MX" w:eastAsia="es-ES"/>
        </w:rPr>
        <w:footnoteReference w:id="145"/>
      </w:r>
      <w:r w:rsidRPr="00B446C7">
        <w:rPr>
          <w:rStyle w:val="FootnoteReference"/>
          <w:szCs w:val="20"/>
          <w:lang w:val="es-MX" w:eastAsia="es-ES"/>
        </w:rPr>
        <w:t>.</w:t>
      </w:r>
      <w:r w:rsidRPr="00BA5177">
        <w:rPr>
          <w:rFonts w:ascii="Verdana" w:hAnsi="Verdana"/>
          <w:sz w:val="20"/>
          <w:szCs w:val="20"/>
          <w:lang w:val="es-CR"/>
        </w:rPr>
        <w:t xml:space="preserve"> Asimismo, en el 2008, el Tribunal Constitucional peruano</w:t>
      </w:r>
      <w:r>
        <w:rPr>
          <w:rFonts w:ascii="Verdana" w:hAnsi="Verdana"/>
          <w:sz w:val="20"/>
          <w:szCs w:val="20"/>
          <w:lang w:val="es-CR"/>
        </w:rPr>
        <w:t>,</w:t>
      </w:r>
      <w:r w:rsidRPr="00BA5177">
        <w:rPr>
          <w:rFonts w:ascii="Verdana" w:hAnsi="Verdana"/>
          <w:sz w:val="20"/>
          <w:szCs w:val="20"/>
          <w:lang w:val="es-CR"/>
        </w:rPr>
        <w:t xml:space="preserve"> al interpretar el </w:t>
      </w:r>
      <w:r w:rsidRPr="009C7422">
        <w:rPr>
          <w:rFonts w:ascii="Verdana" w:hAnsi="Verdana"/>
          <w:sz w:val="20"/>
          <w:szCs w:val="20"/>
          <w:lang w:val="es-CR"/>
        </w:rPr>
        <w:t xml:space="preserve">artículo </w:t>
      </w:r>
      <w:r w:rsidR="00754118">
        <w:rPr>
          <w:rFonts w:ascii="Verdana" w:hAnsi="Verdana"/>
          <w:sz w:val="20"/>
          <w:szCs w:val="20"/>
          <w:lang w:val="es-CR"/>
        </w:rPr>
        <w:t>2°, inciso 24, literal e)</w:t>
      </w:r>
      <w:r w:rsidRPr="009C7422">
        <w:rPr>
          <w:rFonts w:ascii="Verdana" w:hAnsi="Verdana"/>
          <w:sz w:val="20"/>
          <w:szCs w:val="20"/>
          <w:lang w:val="es-CR"/>
        </w:rPr>
        <w:t xml:space="preserve"> de la Constitución del Perú</w:t>
      </w:r>
      <w:r w:rsidR="00754118">
        <w:rPr>
          <w:rFonts w:ascii="Verdana" w:hAnsi="Verdana"/>
          <w:sz w:val="20"/>
          <w:szCs w:val="20"/>
          <w:lang w:val="es-CR"/>
        </w:rPr>
        <w:t>,</w:t>
      </w:r>
      <w:r w:rsidRPr="00BA5177">
        <w:rPr>
          <w:rFonts w:ascii="Verdana" w:hAnsi="Verdana"/>
          <w:sz w:val="20"/>
          <w:szCs w:val="20"/>
          <w:lang w:val="es-CR"/>
        </w:rPr>
        <w:t xml:space="preserve"> relativo a la presunción de inocencia, ha señalado que éste supone que “</w:t>
      </w:r>
      <w:r w:rsidRPr="00BA5177">
        <w:rPr>
          <w:rFonts w:ascii="Verdana" w:hAnsi="Verdana"/>
          <w:sz w:val="20"/>
          <w:szCs w:val="20"/>
        </w:rPr>
        <w:t>el juez ordinario para dictar esa sentencia condenatoria debe alcanzar la certeza de culpabilidad del acusado, y esa certeza debe ser el resultado de la valoración razonable de los medios de prueba practicados en el proceso penal”</w:t>
      </w:r>
      <w:r w:rsidRPr="00BA5177">
        <w:rPr>
          <w:rStyle w:val="FootnoteReference"/>
          <w:szCs w:val="20"/>
        </w:rPr>
        <w:footnoteReference w:id="146"/>
      </w:r>
      <w:r w:rsidRPr="00BA5177">
        <w:rPr>
          <w:rFonts w:ascii="Verdana" w:hAnsi="Verdana"/>
          <w:sz w:val="20"/>
          <w:szCs w:val="20"/>
        </w:rPr>
        <w:t>.</w:t>
      </w:r>
    </w:p>
    <w:p w14:paraId="6D172CC8" w14:textId="77777777" w:rsidR="00FB723A" w:rsidRPr="00AB72AE" w:rsidRDefault="00FB723A" w:rsidP="00FB723A">
      <w:pPr>
        <w:jc w:val="both"/>
        <w:rPr>
          <w:rFonts w:ascii="Verdana" w:hAnsi="Verdana"/>
          <w:sz w:val="20"/>
          <w:szCs w:val="20"/>
          <w:lang w:val="es-CR"/>
        </w:rPr>
      </w:pPr>
    </w:p>
    <w:p w14:paraId="6D172CC9" w14:textId="24EDCBF6" w:rsidR="00FB723A" w:rsidRPr="000A0953" w:rsidRDefault="00754118" w:rsidP="000A0953">
      <w:pPr>
        <w:pStyle w:val="Heading3"/>
        <w:numPr>
          <w:ilvl w:val="0"/>
          <w:numId w:val="26"/>
        </w:numPr>
        <w:rPr>
          <w:rFonts w:ascii="Verdana" w:hAnsi="Verdana"/>
          <w:i/>
          <w:color w:val="auto"/>
          <w:sz w:val="20"/>
          <w:szCs w:val="20"/>
        </w:rPr>
      </w:pPr>
      <w:bookmarkStart w:id="62" w:name="_Toc482093057"/>
      <w:r w:rsidRPr="00E114CC">
        <w:rPr>
          <w:rFonts w:ascii="Verdana" w:hAnsi="Verdana"/>
          <w:i/>
          <w:color w:val="auto"/>
          <w:sz w:val="20"/>
          <w:szCs w:val="20"/>
        </w:rPr>
        <w:t>Deber de motivar</w:t>
      </w:r>
      <w:bookmarkEnd w:id="62"/>
    </w:p>
    <w:p w14:paraId="6D172CCA" w14:textId="77777777" w:rsidR="00FB723A" w:rsidRPr="00AB72AE" w:rsidRDefault="00FB723A" w:rsidP="00FB723A">
      <w:pPr>
        <w:tabs>
          <w:tab w:val="left" w:pos="284"/>
        </w:tabs>
        <w:jc w:val="both"/>
        <w:rPr>
          <w:rFonts w:ascii="Verdana" w:hAnsi="Verdana" w:cs="Arial"/>
          <w:b/>
          <w:i/>
          <w:snapToGrid w:val="0"/>
          <w:sz w:val="20"/>
          <w:szCs w:val="20"/>
          <w:lang w:val="es-CR" w:eastAsia="es-ES"/>
        </w:rPr>
      </w:pPr>
    </w:p>
    <w:p w14:paraId="6D172CCB" w14:textId="77777777" w:rsidR="00FB723A" w:rsidRPr="00BA5177" w:rsidRDefault="00FB723A" w:rsidP="00FB723A">
      <w:pPr>
        <w:pStyle w:val="ListParagraph"/>
        <w:numPr>
          <w:ilvl w:val="0"/>
          <w:numId w:val="2"/>
        </w:numPr>
        <w:ind w:left="0" w:hanging="11"/>
        <w:jc w:val="both"/>
        <w:rPr>
          <w:rFonts w:ascii="Verdana" w:hAnsi="Verdana"/>
          <w:strike/>
          <w:sz w:val="20"/>
          <w:szCs w:val="20"/>
          <w:lang w:val="es-CR"/>
        </w:rPr>
      </w:pPr>
      <w:r>
        <w:rPr>
          <w:rFonts w:ascii="Verdana" w:hAnsi="Verdana"/>
          <w:sz w:val="20"/>
          <w:szCs w:val="20"/>
          <w:lang w:val="es-CR"/>
        </w:rPr>
        <w:lastRenderedPageBreak/>
        <w:t xml:space="preserve">Este Tribunal ha sostenido que </w:t>
      </w:r>
      <w:r w:rsidRPr="00AB72AE">
        <w:rPr>
          <w:rFonts w:ascii="Verdana" w:hAnsi="Verdana"/>
          <w:sz w:val="20"/>
          <w:szCs w:val="20"/>
          <w:lang w:val="es-CR"/>
        </w:rPr>
        <w:t>“</w:t>
      </w:r>
      <w:r>
        <w:rPr>
          <w:rFonts w:ascii="Verdana" w:hAnsi="Verdana"/>
          <w:sz w:val="20"/>
          <w:szCs w:val="20"/>
          <w:lang w:val="es-CR"/>
        </w:rPr>
        <w:t>e</w:t>
      </w:r>
      <w:r w:rsidRPr="00AB72AE">
        <w:rPr>
          <w:rFonts w:ascii="Verdana" w:hAnsi="Verdana"/>
          <w:sz w:val="20"/>
          <w:szCs w:val="20"/>
          <w:lang w:val="es-CR"/>
        </w:rPr>
        <w:t>l deber de motivación es una de las ‘debidas garantías’ incluidas en el artículo 8.1 para salvaguardar el derecho a un debido proceso</w:t>
      </w:r>
      <w:r w:rsidRPr="00AB72AE">
        <w:rPr>
          <w:rFonts w:ascii="Verdana" w:hAnsi="Verdana"/>
          <w:lang w:val="es-CR"/>
        </w:rPr>
        <w:t>”</w:t>
      </w:r>
      <w:r w:rsidRPr="00AB72AE">
        <w:rPr>
          <w:rStyle w:val="FootnoteReference"/>
          <w:lang w:val="es-CR"/>
        </w:rPr>
        <w:footnoteReference w:id="147"/>
      </w:r>
      <w:r w:rsidRPr="00A9720E">
        <w:rPr>
          <w:rFonts w:ascii="Verdana" w:hAnsi="Verdana"/>
          <w:lang w:val="es-CR"/>
        </w:rPr>
        <w:t>.</w:t>
      </w:r>
      <w:r w:rsidRPr="00AB72AE">
        <w:rPr>
          <w:rFonts w:ascii="Verdana" w:hAnsi="Verdana"/>
          <w:lang w:val="es-CR"/>
        </w:rPr>
        <w:t xml:space="preserve"> </w:t>
      </w:r>
      <w:r w:rsidRPr="00AB72AE">
        <w:rPr>
          <w:rFonts w:ascii="Verdana" w:hAnsi="Verdana"/>
          <w:sz w:val="20"/>
          <w:szCs w:val="20"/>
          <w:lang w:val="es-CR"/>
        </w:rPr>
        <w:t>“[…] Es una garantía vinculada con la correcta administración de justicia […] que protege el derecho […] a ser juzgados por las razones que el Derecho suministra, y otorga credibilidad de las decisiones jurídicas en el marco de una sociedad democrática”</w:t>
      </w:r>
      <w:r w:rsidRPr="00AB72AE">
        <w:rPr>
          <w:rStyle w:val="FootnoteReference"/>
          <w:lang w:val="es-CR"/>
        </w:rPr>
        <w:footnoteReference w:id="148"/>
      </w:r>
      <w:bookmarkStart w:id="63" w:name="_ftnref67"/>
      <w:r w:rsidR="000737AC" w:rsidRPr="00AB72AE">
        <w:rPr>
          <w:rFonts w:ascii="Verdana" w:hAnsi="Verdana"/>
          <w:lang w:val="es-CR"/>
        </w:rPr>
        <w:fldChar w:fldCharType="begin"/>
      </w:r>
      <w:r w:rsidRPr="00AB72AE">
        <w:rPr>
          <w:rFonts w:ascii="Verdana" w:hAnsi="Verdana"/>
          <w:lang w:val="es-CR"/>
        </w:rPr>
        <w:instrText xml:space="preserve"> HYPERLINK "http://www.corteidh.or.cr/cf/themis/digesto/digesto.cfm" \l "_ftn67" \o "" </w:instrText>
      </w:r>
      <w:r w:rsidR="000737AC" w:rsidRPr="00AB72AE">
        <w:rPr>
          <w:rFonts w:ascii="Verdana" w:hAnsi="Verdana"/>
          <w:lang w:val="es-CR"/>
        </w:rPr>
        <w:fldChar w:fldCharType="end"/>
      </w:r>
      <w:bookmarkEnd w:id="63"/>
      <w:r w:rsidRPr="00AB72AE">
        <w:rPr>
          <w:rFonts w:ascii="Verdana" w:hAnsi="Verdana"/>
          <w:lang w:val="es-CR"/>
        </w:rPr>
        <w:t xml:space="preserve">. </w:t>
      </w:r>
      <w:r w:rsidRPr="00AB72AE">
        <w:rPr>
          <w:rFonts w:ascii="Verdana" w:hAnsi="Verdana"/>
          <w:sz w:val="20"/>
          <w:szCs w:val="20"/>
          <w:lang w:val="es-AR"/>
        </w:rPr>
        <w:t>“Las decisiones que adopten los órganos internos que puedan afectar derechos humanos</w:t>
      </w:r>
      <w:r w:rsidRPr="00AB72AE">
        <w:rPr>
          <w:rFonts w:ascii="Verdana" w:hAnsi="Verdana"/>
          <w:color w:val="FF0000"/>
          <w:sz w:val="20"/>
          <w:szCs w:val="20"/>
          <w:lang w:val="es-AR"/>
        </w:rPr>
        <w:t xml:space="preserve"> </w:t>
      </w:r>
      <w:r w:rsidRPr="00AB72AE">
        <w:rPr>
          <w:rFonts w:ascii="Verdana" w:hAnsi="Verdana"/>
          <w:sz w:val="20"/>
          <w:szCs w:val="20"/>
          <w:lang w:val="es-AR"/>
        </w:rPr>
        <w:t>deben estar debidamente</w:t>
      </w:r>
      <w:r w:rsidRPr="00662EED">
        <w:rPr>
          <w:rFonts w:ascii="Verdana" w:hAnsi="Verdana"/>
          <w:sz w:val="20"/>
          <w:szCs w:val="20"/>
          <w:lang w:val="es-AR"/>
        </w:rPr>
        <w:t xml:space="preserve"> fundamentadas, pues de lo contrario serían decisiones arbitrarias”</w:t>
      </w:r>
      <w:r w:rsidRPr="00662EED">
        <w:rPr>
          <w:rStyle w:val="FootnoteReference"/>
          <w:szCs w:val="20"/>
        </w:rPr>
        <w:footnoteReference w:id="149"/>
      </w:r>
      <w:r w:rsidRPr="00662EED">
        <w:rPr>
          <w:rFonts w:ascii="Verdana" w:hAnsi="Verdana"/>
          <w:sz w:val="20"/>
          <w:szCs w:val="20"/>
          <w:lang w:val="es-AR"/>
        </w:rPr>
        <w:t>.</w:t>
      </w:r>
      <w:r w:rsidRPr="00662EED">
        <w:rPr>
          <w:rFonts w:ascii="Verdana" w:hAnsi="Verdana"/>
          <w:sz w:val="20"/>
          <w:szCs w:val="20"/>
          <w:lang w:val="es-CR"/>
        </w:rPr>
        <w:t xml:space="preserve"> </w:t>
      </w:r>
    </w:p>
    <w:p w14:paraId="6D172CCC" w14:textId="77777777" w:rsidR="00FB723A" w:rsidRDefault="00FB723A" w:rsidP="00FB723A">
      <w:pPr>
        <w:jc w:val="both"/>
        <w:rPr>
          <w:rFonts w:ascii="Verdana" w:hAnsi="Verdana"/>
          <w:sz w:val="20"/>
          <w:szCs w:val="20"/>
          <w:lang w:val="es-CR"/>
        </w:rPr>
      </w:pPr>
    </w:p>
    <w:p w14:paraId="6D172CCD" w14:textId="1C370E2D" w:rsidR="00FB723A" w:rsidRPr="00BA5177" w:rsidRDefault="00FB723A" w:rsidP="00FB723A">
      <w:pPr>
        <w:pStyle w:val="ListParagraph"/>
        <w:numPr>
          <w:ilvl w:val="0"/>
          <w:numId w:val="2"/>
        </w:numPr>
        <w:ind w:left="0" w:hanging="11"/>
        <w:jc w:val="both"/>
        <w:rPr>
          <w:rFonts w:ascii="Verdana" w:hAnsi="Verdana"/>
          <w:sz w:val="20"/>
          <w:szCs w:val="20"/>
          <w:lang w:val="es-CR"/>
        </w:rPr>
      </w:pPr>
      <w:r w:rsidRPr="00542AB9">
        <w:rPr>
          <w:rFonts w:ascii="Verdana" w:hAnsi="Verdana"/>
          <w:sz w:val="20"/>
          <w:szCs w:val="20"/>
          <w:lang w:val="es-CR"/>
        </w:rPr>
        <w:t>La</w:t>
      </w:r>
      <w:r w:rsidRPr="00BA5177">
        <w:rPr>
          <w:rFonts w:ascii="Verdana" w:hAnsi="Verdana" w:cs="MSTT3132dbeaafO05102100"/>
          <w:sz w:val="20"/>
          <w:szCs w:val="20"/>
          <w:lang w:val="es-CR"/>
        </w:rPr>
        <w:t xml:space="preserve"> Corte subraya la relevancia de la motivación</w:t>
      </w:r>
      <w:r w:rsidR="00754118">
        <w:rPr>
          <w:rFonts w:ascii="Verdana" w:hAnsi="Verdana" w:cs="MSTT3132dbeaafO05102100"/>
          <w:sz w:val="20"/>
          <w:szCs w:val="20"/>
          <w:lang w:val="es-CR"/>
        </w:rPr>
        <w:t>,</w:t>
      </w:r>
      <w:r w:rsidRPr="00BA5177">
        <w:rPr>
          <w:rFonts w:ascii="Verdana" w:hAnsi="Verdana" w:cs="MSTT3132dbeaafO05102100"/>
          <w:sz w:val="20"/>
          <w:szCs w:val="20"/>
          <w:lang w:val="es-CR"/>
        </w:rPr>
        <w:t xml:space="preserve"> a fin de garantizar el principio de presunción de inocencia</w:t>
      </w:r>
      <w:r>
        <w:rPr>
          <w:rFonts w:ascii="Verdana" w:hAnsi="Verdana" w:cs="MSTT3132dbeaafO05102100"/>
          <w:sz w:val="20"/>
          <w:szCs w:val="20"/>
          <w:lang w:val="es-CR"/>
        </w:rPr>
        <w:t>, principalmente en una sentencia condenatoria</w:t>
      </w:r>
      <w:r w:rsidRPr="00BA5177">
        <w:rPr>
          <w:rFonts w:ascii="Verdana" w:hAnsi="Verdana" w:cs="MSTT3132dbeaafO05102100"/>
          <w:sz w:val="20"/>
          <w:szCs w:val="20"/>
          <w:lang w:val="es-CR"/>
        </w:rPr>
        <w:t xml:space="preserve">, la cual </w:t>
      </w:r>
      <w:r w:rsidRPr="00BA5177">
        <w:rPr>
          <w:rFonts w:ascii="Verdana" w:hAnsi="Verdana"/>
          <w:sz w:val="20"/>
          <w:szCs w:val="20"/>
          <w:lang w:val="es-CR"/>
        </w:rPr>
        <w:t>debe expresar la suficiencia de prueba de cargo para confirmar la hipótesis acusatoria</w:t>
      </w:r>
      <w:r w:rsidR="00754118">
        <w:rPr>
          <w:rFonts w:ascii="Verdana" w:hAnsi="Verdana"/>
          <w:sz w:val="20"/>
          <w:szCs w:val="20"/>
          <w:lang w:val="es-CR"/>
        </w:rPr>
        <w:t>;</w:t>
      </w:r>
      <w:r w:rsidRPr="00BA5177">
        <w:rPr>
          <w:rFonts w:ascii="Verdana" w:hAnsi="Verdana"/>
          <w:sz w:val="20"/>
          <w:szCs w:val="20"/>
          <w:lang w:val="es-CR"/>
        </w:rPr>
        <w:t xml:space="preserve"> </w:t>
      </w:r>
      <w:r w:rsidRPr="00BA5177">
        <w:rPr>
          <w:rFonts w:ascii="Verdana" w:hAnsi="Verdana" w:cs="MSTT3132dbeaafO05102100"/>
          <w:sz w:val="20"/>
          <w:szCs w:val="20"/>
          <w:lang w:val="es-CR"/>
        </w:rPr>
        <w:t>la observancia de las reglas de la sana crítica en la apreciación de la prueba</w:t>
      </w:r>
      <w:r w:rsidRPr="00BA5177">
        <w:rPr>
          <w:rFonts w:ascii="Verdana" w:hAnsi="Verdana"/>
          <w:sz w:val="20"/>
          <w:szCs w:val="20"/>
          <w:lang w:val="es-CR"/>
        </w:rPr>
        <w:t xml:space="preserve">, incluidas aquellas que </w:t>
      </w:r>
      <w:r>
        <w:rPr>
          <w:rFonts w:ascii="Verdana" w:hAnsi="Verdana"/>
          <w:sz w:val="20"/>
          <w:szCs w:val="20"/>
          <w:lang w:val="es-CR"/>
        </w:rPr>
        <w:t xml:space="preserve">pudieran </w:t>
      </w:r>
      <w:r w:rsidRPr="00BA5177">
        <w:rPr>
          <w:rFonts w:ascii="Verdana" w:hAnsi="Verdana"/>
          <w:sz w:val="20"/>
          <w:szCs w:val="20"/>
          <w:lang w:val="es-CR"/>
        </w:rPr>
        <w:t>generar duda de la responsabilidad penal</w:t>
      </w:r>
      <w:r w:rsidR="00754118">
        <w:rPr>
          <w:rFonts w:ascii="Verdana" w:hAnsi="Verdana"/>
          <w:sz w:val="20"/>
          <w:szCs w:val="20"/>
          <w:lang w:val="es-CR"/>
        </w:rPr>
        <w:t>;</w:t>
      </w:r>
      <w:r w:rsidRPr="00BA5177">
        <w:rPr>
          <w:rFonts w:ascii="Verdana" w:hAnsi="Verdana"/>
          <w:sz w:val="20"/>
          <w:szCs w:val="20"/>
          <w:lang w:val="es-CR"/>
        </w:rPr>
        <w:t xml:space="preserve"> y el juicio final que deriva de esta valoración. </w:t>
      </w:r>
      <w:r>
        <w:rPr>
          <w:rFonts w:ascii="Verdana" w:hAnsi="Verdana"/>
          <w:sz w:val="20"/>
          <w:szCs w:val="20"/>
          <w:lang w:val="es-CR"/>
        </w:rPr>
        <w:t>En su caso, d</w:t>
      </w:r>
      <w:r w:rsidRPr="00330BF4">
        <w:rPr>
          <w:rFonts w:ascii="Verdana" w:hAnsi="Verdana"/>
          <w:sz w:val="20"/>
          <w:szCs w:val="20"/>
          <w:lang w:val="es-CR"/>
        </w:rPr>
        <w:t xml:space="preserve">ebe reflejar las razones por las que fue posible obtener </w:t>
      </w:r>
      <w:r w:rsidRPr="00A659C5">
        <w:rPr>
          <w:rFonts w:ascii="Verdana" w:hAnsi="Verdana"/>
          <w:sz w:val="20"/>
          <w:szCs w:val="20"/>
          <w:lang w:val="es-CR"/>
        </w:rPr>
        <w:t>convicción</w:t>
      </w:r>
      <w:r w:rsidRPr="00330BF4">
        <w:rPr>
          <w:rFonts w:ascii="Verdana" w:hAnsi="Verdana"/>
          <w:sz w:val="20"/>
          <w:szCs w:val="20"/>
          <w:lang w:val="es-CR"/>
        </w:rPr>
        <w:t xml:space="preserve"> sobre la imputación y la responsabilidad penal, así como la apreciación de las pruebas para desvirtuar cualquier hipótesis de inocencia, y solo así poder confirmar o refutar la hipótesis acusatoria.</w:t>
      </w:r>
      <w:r w:rsidRPr="00BA5177">
        <w:rPr>
          <w:rFonts w:ascii="Verdana" w:hAnsi="Verdana"/>
          <w:sz w:val="20"/>
          <w:szCs w:val="20"/>
          <w:lang w:val="es-CR"/>
        </w:rPr>
        <w:t xml:space="preserve"> </w:t>
      </w:r>
      <w:r>
        <w:rPr>
          <w:rFonts w:ascii="Verdana" w:hAnsi="Verdana"/>
          <w:sz w:val="20"/>
          <w:szCs w:val="20"/>
          <w:lang w:val="es-CR"/>
        </w:rPr>
        <w:t xml:space="preserve">Lo anterior, </w:t>
      </w:r>
      <w:r w:rsidRPr="00BA5177">
        <w:rPr>
          <w:rFonts w:ascii="Verdana" w:hAnsi="Verdana"/>
          <w:sz w:val="20"/>
          <w:szCs w:val="20"/>
          <w:lang w:val="es-CR"/>
        </w:rPr>
        <w:t>permit</w:t>
      </w:r>
      <w:r>
        <w:rPr>
          <w:rFonts w:ascii="Verdana" w:hAnsi="Verdana"/>
          <w:sz w:val="20"/>
          <w:szCs w:val="20"/>
          <w:lang w:val="es-CR"/>
        </w:rPr>
        <w:t>iría</w:t>
      </w:r>
      <w:r w:rsidRPr="00BA5177">
        <w:rPr>
          <w:rFonts w:ascii="Verdana" w:hAnsi="Verdana"/>
          <w:sz w:val="20"/>
          <w:szCs w:val="20"/>
          <w:lang w:val="es-CR"/>
        </w:rPr>
        <w:t xml:space="preserve"> desvirtuar la presunción de inocencia y determinar la responsabilidad penal más allá de toda duda razonable. Ante la duda, la presunción de inocencia y el principio </w:t>
      </w:r>
      <w:r w:rsidRPr="00BA5177">
        <w:rPr>
          <w:rFonts w:ascii="Verdana" w:hAnsi="Verdana"/>
          <w:i/>
          <w:sz w:val="20"/>
          <w:szCs w:val="20"/>
          <w:lang w:val="es-CR"/>
        </w:rPr>
        <w:t>in dubio pro reo</w:t>
      </w:r>
      <w:r w:rsidR="00754118">
        <w:rPr>
          <w:rFonts w:ascii="Verdana" w:hAnsi="Verdana"/>
          <w:sz w:val="20"/>
          <w:szCs w:val="20"/>
          <w:lang w:val="es-CR"/>
        </w:rPr>
        <w:t>,</w:t>
      </w:r>
      <w:r w:rsidRPr="00BA5177">
        <w:rPr>
          <w:rFonts w:ascii="Verdana" w:hAnsi="Verdana"/>
          <w:i/>
          <w:sz w:val="20"/>
          <w:szCs w:val="20"/>
          <w:lang w:val="es-CR"/>
        </w:rPr>
        <w:t xml:space="preserve"> </w:t>
      </w:r>
      <w:r w:rsidRPr="00BA5177">
        <w:rPr>
          <w:rFonts w:ascii="Verdana" w:hAnsi="Verdana"/>
          <w:sz w:val="20"/>
          <w:szCs w:val="20"/>
          <w:lang w:val="es-CR"/>
        </w:rPr>
        <w:t>operan como criterio decisorio al momento de emitir el fallo</w:t>
      </w:r>
      <w:r w:rsidRPr="00BA5177">
        <w:rPr>
          <w:rStyle w:val="FootnoteReference"/>
          <w:szCs w:val="20"/>
          <w:lang w:val="es-CR"/>
        </w:rPr>
        <w:footnoteReference w:id="150"/>
      </w:r>
      <w:r w:rsidRPr="00BA5177">
        <w:rPr>
          <w:rFonts w:ascii="Verdana" w:hAnsi="Verdana"/>
          <w:sz w:val="20"/>
          <w:szCs w:val="20"/>
          <w:lang w:val="es-CR"/>
        </w:rPr>
        <w:t>.</w:t>
      </w:r>
      <w:r>
        <w:rPr>
          <w:rFonts w:ascii="Verdana" w:hAnsi="Verdana"/>
          <w:sz w:val="20"/>
          <w:szCs w:val="20"/>
          <w:lang w:val="es-CR"/>
        </w:rPr>
        <w:t xml:space="preserve"> </w:t>
      </w:r>
    </w:p>
    <w:p w14:paraId="6D172CCE" w14:textId="77777777" w:rsidR="00FB723A" w:rsidRPr="00FB1DE6" w:rsidRDefault="00FB723A" w:rsidP="00FB723A">
      <w:pPr>
        <w:jc w:val="both"/>
        <w:rPr>
          <w:rFonts w:ascii="Verdana" w:hAnsi="Verdana"/>
          <w:sz w:val="20"/>
          <w:szCs w:val="20"/>
          <w:lang w:val="es-CR"/>
        </w:rPr>
      </w:pPr>
    </w:p>
    <w:p w14:paraId="6D172CCF" w14:textId="77777777" w:rsidR="00FB723A" w:rsidRPr="00281A05" w:rsidRDefault="00FB723A" w:rsidP="00FB723A">
      <w:pPr>
        <w:pStyle w:val="ListParagraph"/>
        <w:numPr>
          <w:ilvl w:val="0"/>
          <w:numId w:val="2"/>
        </w:numPr>
        <w:ind w:left="0" w:hanging="11"/>
        <w:jc w:val="both"/>
        <w:rPr>
          <w:rFonts w:ascii="Verdana" w:hAnsi="Verdana"/>
          <w:sz w:val="20"/>
          <w:szCs w:val="20"/>
          <w:lang w:val="es-CR"/>
        </w:rPr>
      </w:pPr>
      <w:r w:rsidRPr="00BA5177">
        <w:rPr>
          <w:rFonts w:ascii="Verdana" w:hAnsi="Verdana"/>
          <w:sz w:val="20"/>
          <w:szCs w:val="20"/>
          <w:lang w:val="es-CR"/>
        </w:rPr>
        <w:t>Asimismo, la Corte ha resaltado la necesidad de que “el fallo de condena proporcione una fundamentación clara, completa y lógica en la cual, además de realizar una descripción del contenido de los medios de prueba, exponga su apreciación de los mismos y se indiquen las razones por las cuales los mismos le resultaron</w:t>
      </w:r>
      <w:r w:rsidRPr="00281A05">
        <w:rPr>
          <w:rFonts w:ascii="Verdana" w:hAnsi="Verdana"/>
          <w:sz w:val="20"/>
          <w:szCs w:val="20"/>
          <w:lang w:val="es-CR"/>
        </w:rPr>
        <w:t>, o no, confiables e idóneos para acreditar los elementos de la responsabilidad penal y, por lo tanto, desvirtuar la presunción de inocencia”</w:t>
      </w:r>
      <w:r w:rsidRPr="00281A05">
        <w:rPr>
          <w:rStyle w:val="FootnoteReference"/>
          <w:szCs w:val="20"/>
          <w:lang w:val="es-CR"/>
        </w:rPr>
        <w:footnoteReference w:id="151"/>
      </w:r>
      <w:r w:rsidRPr="00281A05">
        <w:rPr>
          <w:rFonts w:ascii="Verdana" w:hAnsi="Verdana"/>
          <w:sz w:val="20"/>
          <w:szCs w:val="20"/>
          <w:lang w:val="es-CR"/>
        </w:rPr>
        <w:t>.</w:t>
      </w:r>
    </w:p>
    <w:p w14:paraId="6D172CD0" w14:textId="77777777" w:rsidR="00FB723A" w:rsidRPr="00AB72AE" w:rsidRDefault="00FB723A" w:rsidP="00761CF6">
      <w:pPr>
        <w:pStyle w:val="FootnoteText"/>
      </w:pPr>
    </w:p>
    <w:p w14:paraId="6D172CD1" w14:textId="78702005" w:rsidR="00FB723A" w:rsidRPr="00AB72AE" w:rsidRDefault="00FB723A" w:rsidP="00FB723A">
      <w:pPr>
        <w:pStyle w:val="ListParagraph"/>
        <w:numPr>
          <w:ilvl w:val="0"/>
          <w:numId w:val="2"/>
        </w:numPr>
        <w:ind w:left="0" w:hanging="11"/>
        <w:jc w:val="both"/>
        <w:rPr>
          <w:rFonts w:ascii="Verdana" w:hAnsi="Verdana"/>
          <w:sz w:val="20"/>
          <w:szCs w:val="20"/>
          <w:lang w:val="es-CR"/>
        </w:rPr>
      </w:pPr>
      <w:r w:rsidRPr="00AB72AE">
        <w:rPr>
          <w:rFonts w:ascii="Verdana" w:hAnsi="Verdana"/>
          <w:sz w:val="20"/>
          <w:szCs w:val="20"/>
          <w:lang w:val="es-ES"/>
        </w:rPr>
        <w:t xml:space="preserve">Por su parte, </w:t>
      </w:r>
      <w:r>
        <w:rPr>
          <w:rFonts w:ascii="Verdana" w:hAnsi="Verdana"/>
          <w:sz w:val="20"/>
          <w:szCs w:val="20"/>
          <w:lang w:val="es-ES"/>
        </w:rPr>
        <w:t xml:space="preserve">el artículo </w:t>
      </w:r>
      <w:r w:rsidRPr="00281A05">
        <w:rPr>
          <w:rFonts w:ascii="Verdana" w:hAnsi="Verdana"/>
          <w:sz w:val="20"/>
          <w:szCs w:val="16"/>
          <w:lang w:val="es-CR"/>
        </w:rPr>
        <w:t>139 apartado 5</w:t>
      </w:r>
      <w:r>
        <w:rPr>
          <w:rFonts w:ascii="Verdana" w:hAnsi="Verdana"/>
          <w:sz w:val="20"/>
          <w:szCs w:val="16"/>
          <w:lang w:val="es-CR"/>
        </w:rPr>
        <w:t xml:space="preserve"> de</w:t>
      </w:r>
      <w:r w:rsidRPr="00AB72AE">
        <w:rPr>
          <w:rFonts w:ascii="Verdana" w:hAnsi="Verdana"/>
          <w:sz w:val="20"/>
          <w:szCs w:val="16"/>
          <w:lang w:val="es-CR"/>
        </w:rPr>
        <w:t xml:space="preserve"> </w:t>
      </w:r>
      <w:r w:rsidRPr="00281A05">
        <w:rPr>
          <w:rFonts w:ascii="Verdana" w:hAnsi="Verdana"/>
          <w:sz w:val="20"/>
          <w:szCs w:val="20"/>
          <w:lang w:val="es-ES"/>
        </w:rPr>
        <w:t>l</w:t>
      </w:r>
      <w:r w:rsidRPr="00281A05">
        <w:rPr>
          <w:rFonts w:ascii="Verdana" w:hAnsi="Verdana"/>
          <w:sz w:val="20"/>
          <w:szCs w:val="20"/>
          <w:lang w:val="es-CR"/>
        </w:rPr>
        <w:t xml:space="preserve">a Constitución Política del Perú de 1993 contempla como </w:t>
      </w:r>
      <w:r w:rsidRPr="00DA58FE">
        <w:rPr>
          <w:rFonts w:ascii="Verdana" w:hAnsi="Verdana"/>
          <w:sz w:val="20"/>
          <w:szCs w:val="20"/>
          <w:lang w:val="es-CR"/>
        </w:rPr>
        <w:t>principio de la administración de justicia y derechos</w:t>
      </w:r>
      <w:r w:rsidR="00D61986">
        <w:rPr>
          <w:rFonts w:ascii="Verdana" w:hAnsi="Verdana"/>
          <w:sz w:val="20"/>
          <w:szCs w:val="20"/>
          <w:lang w:val="es-CR"/>
        </w:rPr>
        <w:t xml:space="preserve"> </w:t>
      </w:r>
      <w:r w:rsidRPr="00DA58FE">
        <w:rPr>
          <w:rFonts w:ascii="Verdana" w:hAnsi="Verdana"/>
          <w:sz w:val="20"/>
          <w:szCs w:val="20"/>
          <w:lang w:val="es-CR"/>
        </w:rPr>
        <w:t>de la función ju</w:t>
      </w:r>
      <w:r w:rsidRPr="00F715F0">
        <w:rPr>
          <w:rFonts w:ascii="Verdana" w:hAnsi="Verdana"/>
          <w:sz w:val="20"/>
          <w:szCs w:val="20"/>
          <w:lang w:val="es-CR"/>
        </w:rPr>
        <w:t>risdiccional</w:t>
      </w:r>
      <w:r w:rsidR="00D61986">
        <w:rPr>
          <w:rFonts w:ascii="Verdana" w:hAnsi="Verdana"/>
          <w:sz w:val="20"/>
          <w:szCs w:val="20"/>
          <w:lang w:val="es-CR"/>
        </w:rPr>
        <w:t xml:space="preserve">, </w:t>
      </w:r>
      <w:r w:rsidRPr="00281A05">
        <w:rPr>
          <w:rFonts w:ascii="Verdana" w:hAnsi="Verdana"/>
          <w:sz w:val="20"/>
          <w:szCs w:val="20"/>
          <w:lang w:val="es-CR"/>
        </w:rPr>
        <w:t xml:space="preserve">“la motivación escrita de las resoluciones judiciales en todas las instancias, </w:t>
      </w:r>
      <w:r w:rsidRPr="00281A05">
        <w:rPr>
          <w:rFonts w:ascii="Verdana" w:hAnsi="Verdana"/>
          <w:sz w:val="20"/>
          <w:szCs w:val="20"/>
          <w:lang w:val="es-CR"/>
        </w:rPr>
        <w:lastRenderedPageBreak/>
        <w:t>excepto los decretos de mero trámite, con mención expresa de la ley aplicable y de los fundamentos de hecho en que se sustentan”.</w:t>
      </w:r>
    </w:p>
    <w:p w14:paraId="6D172CD2" w14:textId="77777777" w:rsidR="00FB723A" w:rsidRPr="00281A05" w:rsidRDefault="00FB723A" w:rsidP="00FB723A">
      <w:pPr>
        <w:jc w:val="both"/>
        <w:rPr>
          <w:rFonts w:ascii="Verdana" w:hAnsi="Verdana"/>
          <w:b/>
          <w:sz w:val="20"/>
          <w:szCs w:val="20"/>
          <w:lang w:val="es-CR"/>
        </w:rPr>
      </w:pPr>
    </w:p>
    <w:p w14:paraId="6D172CD3" w14:textId="5E88F218" w:rsidR="00FB723A" w:rsidRPr="00AB72AE" w:rsidRDefault="00FB723A" w:rsidP="00FB723A">
      <w:pPr>
        <w:pStyle w:val="ListParagraph"/>
        <w:numPr>
          <w:ilvl w:val="0"/>
          <w:numId w:val="2"/>
        </w:numPr>
        <w:ind w:left="0" w:hanging="11"/>
        <w:jc w:val="both"/>
        <w:rPr>
          <w:rFonts w:ascii="Verdana" w:hAnsi="Verdana"/>
          <w:sz w:val="20"/>
          <w:szCs w:val="20"/>
          <w:lang w:val="es-CR"/>
        </w:rPr>
      </w:pPr>
      <w:r w:rsidRPr="00281A05">
        <w:rPr>
          <w:rFonts w:ascii="Verdana" w:hAnsi="Verdana" w:cs="Vijaya"/>
          <w:sz w:val="20"/>
          <w:szCs w:val="20"/>
          <w:lang w:val="es-CR"/>
        </w:rPr>
        <w:t>Asimismo, el artículo 285 del Código de Procedimientos Penales del Perú de 194</w:t>
      </w:r>
      <w:r>
        <w:rPr>
          <w:rFonts w:ascii="Verdana" w:hAnsi="Verdana" w:cs="Vijaya"/>
          <w:sz w:val="20"/>
          <w:szCs w:val="20"/>
          <w:lang w:val="es-CR"/>
        </w:rPr>
        <w:t>0</w:t>
      </w:r>
      <w:r w:rsidRPr="00281A05">
        <w:rPr>
          <w:rFonts w:ascii="Verdana" w:hAnsi="Verdana" w:cs="Vijaya"/>
          <w:sz w:val="20"/>
          <w:szCs w:val="20"/>
          <w:lang w:val="es-CR"/>
        </w:rPr>
        <w:t xml:space="preserve"> establece que l</w:t>
      </w:r>
      <w:r w:rsidRPr="00281A05">
        <w:rPr>
          <w:rFonts w:ascii="Verdana" w:hAnsi="Verdana"/>
          <w:sz w:val="20"/>
          <w:szCs w:val="20"/>
          <w:lang w:val="es-CR"/>
        </w:rPr>
        <w:t xml:space="preserve">a sentencia condenatoria deberá contener la exposición del hecho delictuoso, </w:t>
      </w:r>
      <w:r w:rsidRPr="00744BEF">
        <w:rPr>
          <w:rFonts w:ascii="Verdana" w:hAnsi="Verdana"/>
          <w:sz w:val="20"/>
          <w:szCs w:val="20"/>
          <w:lang w:val="es-CR"/>
        </w:rPr>
        <w:t xml:space="preserve">así como </w:t>
      </w:r>
      <w:r w:rsidRPr="009C7422">
        <w:rPr>
          <w:rFonts w:ascii="Verdana" w:hAnsi="Verdana"/>
          <w:sz w:val="20"/>
          <w:szCs w:val="20"/>
          <w:lang w:val="es-CR"/>
        </w:rPr>
        <w:t>la apreciación de las declaraciones de los testigos o de las otras pruebas en que se funda la culpabilidad y las circunstancias del delito.</w:t>
      </w:r>
      <w:r w:rsidRPr="00AB72AE">
        <w:rPr>
          <w:rFonts w:ascii="Verdana" w:hAnsi="Verdana"/>
          <w:sz w:val="20"/>
          <w:szCs w:val="20"/>
          <w:lang w:val="es-CR"/>
        </w:rPr>
        <w:t xml:space="preserve"> </w:t>
      </w:r>
      <w:r>
        <w:rPr>
          <w:rFonts w:ascii="Verdana" w:hAnsi="Verdana"/>
          <w:sz w:val="20"/>
          <w:szCs w:val="20"/>
          <w:lang w:val="es-CR"/>
        </w:rPr>
        <w:t>De igual forma</w:t>
      </w:r>
      <w:r w:rsidRPr="00AB72AE">
        <w:rPr>
          <w:rFonts w:ascii="Verdana" w:hAnsi="Verdana"/>
          <w:sz w:val="20"/>
          <w:szCs w:val="20"/>
          <w:lang w:val="es-CR"/>
        </w:rPr>
        <w:t>, la Corte hace notar que el Nuevo Código Procesal Penal ampl</w:t>
      </w:r>
      <w:r>
        <w:rPr>
          <w:rFonts w:ascii="Verdana" w:hAnsi="Verdana"/>
          <w:sz w:val="20"/>
          <w:szCs w:val="20"/>
          <w:lang w:val="es-CR"/>
        </w:rPr>
        <w:t>í</w:t>
      </w:r>
      <w:r w:rsidRPr="00AB72AE">
        <w:rPr>
          <w:rFonts w:ascii="Verdana" w:hAnsi="Verdana"/>
          <w:sz w:val="20"/>
          <w:szCs w:val="20"/>
          <w:lang w:val="es-CR"/>
        </w:rPr>
        <w:t>a los requisitos de la motivación de las sentencias</w:t>
      </w:r>
      <w:r w:rsidRPr="00281A05">
        <w:rPr>
          <w:rStyle w:val="FootnoteReference"/>
          <w:szCs w:val="20"/>
          <w:lang w:val="es-CR"/>
        </w:rPr>
        <w:footnoteReference w:id="152"/>
      </w:r>
      <w:r w:rsidRPr="00281A05">
        <w:rPr>
          <w:rFonts w:ascii="Verdana" w:hAnsi="Verdana"/>
          <w:sz w:val="20"/>
          <w:szCs w:val="20"/>
          <w:lang w:val="es-CR"/>
        </w:rPr>
        <w:t xml:space="preserve">, así como el </w:t>
      </w:r>
      <w:r w:rsidRPr="00281A05">
        <w:rPr>
          <w:rFonts w:ascii="Verdana" w:hAnsi="Verdana"/>
          <w:sz w:val="20"/>
          <w:szCs w:val="20"/>
          <w:lang w:val="es-MX"/>
        </w:rPr>
        <w:t>Acuerdo Plenario No. 2-2005/CJ-116</w:t>
      </w:r>
      <w:r w:rsidRPr="00281A05">
        <w:rPr>
          <w:rFonts w:ascii="Verdana" w:hAnsi="Verdana"/>
          <w:sz w:val="20"/>
          <w:szCs w:val="20"/>
          <w:lang w:val="es-CR"/>
        </w:rPr>
        <w:t xml:space="preserve">, exige que las pruebas sean </w:t>
      </w:r>
      <w:r w:rsidRPr="00AB72AE">
        <w:rPr>
          <w:rFonts w:ascii="Verdana" w:hAnsi="Verdana"/>
          <w:sz w:val="20"/>
          <w:szCs w:val="20"/>
          <w:lang w:val="es-CR"/>
        </w:rPr>
        <w:t>determinadas desde parámetros objetivos o de la sana crítica, razonándola debidamente (</w:t>
      </w:r>
      <w:r w:rsidRPr="0058104A">
        <w:rPr>
          <w:rFonts w:ascii="Verdana" w:hAnsi="Verdana"/>
          <w:i/>
          <w:sz w:val="20"/>
          <w:szCs w:val="20"/>
          <w:lang w:val="es-CR"/>
        </w:rPr>
        <w:t>supra</w:t>
      </w:r>
      <w:r w:rsidRPr="00AB72AE">
        <w:rPr>
          <w:rFonts w:ascii="Verdana" w:hAnsi="Verdana"/>
          <w:sz w:val="20"/>
          <w:szCs w:val="20"/>
          <w:lang w:val="es-CR"/>
        </w:rPr>
        <w:t xml:space="preserve"> párr. </w:t>
      </w:r>
      <w:r w:rsidR="00D61986">
        <w:rPr>
          <w:rFonts w:ascii="Verdana" w:hAnsi="Verdana"/>
          <w:sz w:val="20"/>
          <w:szCs w:val="20"/>
          <w:lang w:val="es-CR"/>
        </w:rPr>
        <w:t>134</w:t>
      </w:r>
      <w:r w:rsidRPr="00AB72AE">
        <w:rPr>
          <w:rFonts w:ascii="Verdana" w:hAnsi="Verdana"/>
          <w:sz w:val="20"/>
          <w:szCs w:val="20"/>
          <w:lang w:val="es-CR"/>
        </w:rPr>
        <w:t>).</w:t>
      </w:r>
    </w:p>
    <w:p w14:paraId="6D172CD4" w14:textId="77777777" w:rsidR="00FB723A" w:rsidRPr="00281A05" w:rsidRDefault="00FB723A" w:rsidP="00761CF6">
      <w:pPr>
        <w:pStyle w:val="FootnoteText"/>
      </w:pPr>
    </w:p>
    <w:p w14:paraId="6D172CD5" w14:textId="47C54737" w:rsidR="00FB723A" w:rsidRPr="00D253CC" w:rsidRDefault="00FB723A" w:rsidP="00FB723A">
      <w:pPr>
        <w:pStyle w:val="ListParagraph"/>
        <w:numPr>
          <w:ilvl w:val="0"/>
          <w:numId w:val="2"/>
        </w:numPr>
        <w:ind w:left="0" w:hanging="11"/>
        <w:jc w:val="both"/>
        <w:rPr>
          <w:rFonts w:ascii="Verdana" w:hAnsi="Verdana"/>
          <w:kern w:val="1"/>
          <w:sz w:val="20"/>
          <w:lang w:val="es-CR"/>
        </w:rPr>
      </w:pPr>
      <w:r w:rsidRPr="00281A05">
        <w:rPr>
          <w:rFonts w:ascii="Verdana" w:hAnsi="Verdana"/>
          <w:kern w:val="1"/>
          <w:sz w:val="20"/>
          <w:lang w:val="es-CR"/>
        </w:rPr>
        <w:t>En primer lugar, la Corte constató en el presente caso que la sentencia en comento</w:t>
      </w:r>
      <w:r w:rsidRPr="00AB72AE">
        <w:rPr>
          <w:rFonts w:ascii="Verdana" w:hAnsi="Verdana"/>
          <w:kern w:val="1"/>
          <w:sz w:val="20"/>
          <w:lang w:val="es-CR"/>
        </w:rPr>
        <w:t xml:space="preserve"> careció</w:t>
      </w:r>
      <w:r w:rsidRPr="000602E6">
        <w:rPr>
          <w:rFonts w:ascii="Verdana" w:hAnsi="Verdana"/>
          <w:kern w:val="1"/>
          <w:sz w:val="20"/>
          <w:lang w:val="es-CR"/>
        </w:rPr>
        <w:t xml:space="preserve"> de una debida motivación, </w:t>
      </w:r>
      <w:r>
        <w:rPr>
          <w:rFonts w:ascii="Verdana" w:hAnsi="Verdana"/>
          <w:kern w:val="1"/>
          <w:sz w:val="20"/>
          <w:lang w:val="es-CR"/>
        </w:rPr>
        <w:t xml:space="preserve">ya que </w:t>
      </w:r>
      <w:r w:rsidRPr="00817EFB">
        <w:rPr>
          <w:rFonts w:ascii="Verdana" w:hAnsi="Verdana"/>
          <w:kern w:val="1"/>
          <w:sz w:val="20"/>
          <w:lang w:val="es-CR"/>
        </w:rPr>
        <w:t>las pruebas de descargo y de</w:t>
      </w:r>
      <w:r>
        <w:rPr>
          <w:rFonts w:ascii="Verdana" w:hAnsi="Verdana"/>
          <w:kern w:val="1"/>
          <w:sz w:val="20"/>
          <w:lang w:val="es-CR"/>
        </w:rPr>
        <w:t xml:space="preserve"> oficio sólo fueron </w:t>
      </w:r>
      <w:r w:rsidRPr="00503225">
        <w:rPr>
          <w:rFonts w:ascii="Verdana" w:hAnsi="Verdana"/>
          <w:kern w:val="1"/>
          <w:sz w:val="20"/>
          <w:lang w:val="es-CR"/>
        </w:rPr>
        <w:t>enunciadas sin haberse realizado un análisis de las mismas (</w:t>
      </w:r>
      <w:r w:rsidRPr="0058104A">
        <w:rPr>
          <w:rFonts w:ascii="Verdana" w:hAnsi="Verdana"/>
          <w:i/>
          <w:kern w:val="1"/>
          <w:sz w:val="20"/>
          <w:lang w:val="es-CR"/>
        </w:rPr>
        <w:t>supra</w:t>
      </w:r>
      <w:r w:rsidRPr="00503225">
        <w:rPr>
          <w:rFonts w:ascii="Verdana" w:hAnsi="Verdana"/>
          <w:kern w:val="1"/>
          <w:sz w:val="20"/>
          <w:lang w:val="es-CR"/>
        </w:rPr>
        <w:t xml:space="preserve"> párr. </w:t>
      </w:r>
      <w:r w:rsidR="00D61986">
        <w:rPr>
          <w:rFonts w:ascii="Verdana" w:hAnsi="Verdana"/>
          <w:kern w:val="1"/>
          <w:sz w:val="20"/>
          <w:lang w:val="es-CR"/>
        </w:rPr>
        <w:t>93</w:t>
      </w:r>
      <w:r w:rsidRPr="00503225">
        <w:rPr>
          <w:rFonts w:ascii="Verdana" w:hAnsi="Verdana"/>
          <w:kern w:val="1"/>
          <w:sz w:val="20"/>
          <w:lang w:val="es-CR"/>
        </w:rPr>
        <w:t>). Tampoco se señaló la apreciación de las pruebas en l</w:t>
      </w:r>
      <w:r w:rsidRPr="00703F50">
        <w:rPr>
          <w:rFonts w:ascii="Verdana" w:hAnsi="Verdana"/>
          <w:kern w:val="1"/>
          <w:sz w:val="20"/>
          <w:lang w:val="es-CR"/>
        </w:rPr>
        <w:t xml:space="preserve">as que se fundó la culpabilidad ni las circunstancias del delito, lo </w:t>
      </w:r>
      <w:r w:rsidRPr="00A24DB0">
        <w:rPr>
          <w:rFonts w:ascii="Verdana" w:hAnsi="Verdana"/>
          <w:kern w:val="1"/>
          <w:sz w:val="20"/>
          <w:lang w:val="es-CR"/>
        </w:rPr>
        <w:t>cual</w:t>
      </w:r>
      <w:r w:rsidRPr="00C804E5">
        <w:rPr>
          <w:rFonts w:ascii="Verdana" w:hAnsi="Verdana"/>
          <w:kern w:val="1"/>
          <w:sz w:val="20"/>
          <w:lang w:val="es-CR"/>
        </w:rPr>
        <w:t xml:space="preserve"> era un requisito establecido en la propia legislación interna al momento de los hechos (</w:t>
      </w:r>
      <w:r w:rsidRPr="0058104A">
        <w:rPr>
          <w:rFonts w:ascii="Verdana" w:hAnsi="Verdana"/>
          <w:i/>
          <w:kern w:val="1"/>
          <w:sz w:val="20"/>
          <w:lang w:val="es-CR"/>
        </w:rPr>
        <w:t>supra</w:t>
      </w:r>
      <w:r w:rsidRPr="00C804E5">
        <w:rPr>
          <w:rFonts w:ascii="Verdana" w:hAnsi="Verdana"/>
          <w:kern w:val="1"/>
          <w:sz w:val="20"/>
          <w:lang w:val="es-CR"/>
        </w:rPr>
        <w:t xml:space="preserve"> párr. </w:t>
      </w:r>
      <w:r w:rsidR="00D61986">
        <w:rPr>
          <w:rFonts w:ascii="Verdana" w:hAnsi="Verdana"/>
          <w:kern w:val="1"/>
          <w:sz w:val="20"/>
          <w:lang w:val="es-CR"/>
        </w:rPr>
        <w:t>150</w:t>
      </w:r>
      <w:r w:rsidRPr="00C804E5">
        <w:rPr>
          <w:rFonts w:ascii="Verdana" w:hAnsi="Verdana"/>
          <w:kern w:val="1"/>
          <w:sz w:val="20"/>
          <w:lang w:val="es-CR"/>
        </w:rPr>
        <w:t>)</w:t>
      </w:r>
      <w:r w:rsidRPr="00D253CC">
        <w:rPr>
          <w:rStyle w:val="FootnoteReference"/>
          <w:szCs w:val="20"/>
          <w:lang w:val="es-CR"/>
        </w:rPr>
        <w:footnoteReference w:id="153"/>
      </w:r>
      <w:r w:rsidRPr="00D253CC">
        <w:rPr>
          <w:rFonts w:ascii="Verdana" w:hAnsi="Verdana"/>
          <w:sz w:val="20"/>
          <w:szCs w:val="20"/>
          <w:lang w:val="es-CR"/>
        </w:rPr>
        <w:t>.</w:t>
      </w:r>
      <w:r w:rsidRPr="00D253CC">
        <w:rPr>
          <w:rFonts w:ascii="Verdana" w:hAnsi="Verdana"/>
          <w:kern w:val="1"/>
          <w:sz w:val="20"/>
          <w:lang w:val="es-CR"/>
        </w:rPr>
        <w:t xml:space="preserve"> </w:t>
      </w:r>
    </w:p>
    <w:p w14:paraId="6D172CD6" w14:textId="77777777" w:rsidR="00FB723A" w:rsidRPr="00D253CC" w:rsidRDefault="00FB723A" w:rsidP="00FB723A">
      <w:pPr>
        <w:jc w:val="both"/>
        <w:rPr>
          <w:rFonts w:ascii="Verdana" w:hAnsi="Verdana"/>
          <w:sz w:val="20"/>
          <w:szCs w:val="20"/>
          <w:lang w:val="es-ES"/>
        </w:rPr>
      </w:pPr>
    </w:p>
    <w:p w14:paraId="6D172CD7" w14:textId="732D7E84" w:rsidR="00FB723A" w:rsidRPr="00A659C5" w:rsidRDefault="00FB723A" w:rsidP="00FB723A">
      <w:pPr>
        <w:pStyle w:val="ListParagraph"/>
        <w:numPr>
          <w:ilvl w:val="0"/>
          <w:numId w:val="2"/>
        </w:numPr>
        <w:tabs>
          <w:tab w:val="left" w:pos="284"/>
        </w:tabs>
        <w:ind w:left="0" w:hanging="11"/>
        <w:jc w:val="both"/>
        <w:rPr>
          <w:rFonts w:ascii="Verdana" w:hAnsi="Verdana"/>
          <w:color w:val="E36C0A"/>
          <w:lang w:val="es-CR"/>
        </w:rPr>
      </w:pPr>
      <w:r w:rsidRPr="007B49CB">
        <w:rPr>
          <w:rFonts w:ascii="Verdana" w:hAnsi="Verdana"/>
          <w:sz w:val="20"/>
          <w:szCs w:val="20"/>
          <w:lang w:val="es-CR"/>
        </w:rPr>
        <w:t xml:space="preserve">En segundo lugar, </w:t>
      </w:r>
      <w:r w:rsidRPr="00C16A82">
        <w:rPr>
          <w:rFonts w:ascii="Verdana" w:hAnsi="Verdana"/>
          <w:sz w:val="20"/>
          <w:szCs w:val="20"/>
          <w:lang w:val="es-ES"/>
        </w:rPr>
        <w:t>al señor Zegarra Marín</w:t>
      </w:r>
      <w:r w:rsidRPr="00C16A82" w:rsidDel="000E0C34">
        <w:rPr>
          <w:rFonts w:ascii="Verdana" w:hAnsi="Verdana"/>
          <w:sz w:val="20"/>
          <w:szCs w:val="20"/>
          <w:lang w:val="es-CR"/>
        </w:rPr>
        <w:t xml:space="preserve"> </w:t>
      </w:r>
      <w:r w:rsidRPr="00C16A82">
        <w:rPr>
          <w:rFonts w:ascii="Verdana" w:hAnsi="Verdana"/>
          <w:sz w:val="20"/>
          <w:szCs w:val="20"/>
          <w:lang w:val="es-CR"/>
        </w:rPr>
        <w:t xml:space="preserve">se le imputaron delitos </w:t>
      </w:r>
      <w:r w:rsidRPr="008760C3">
        <w:rPr>
          <w:rFonts w:ascii="Verdana" w:hAnsi="Verdana"/>
          <w:sz w:val="20"/>
          <w:szCs w:val="20"/>
          <w:lang w:val="es-ES"/>
        </w:rPr>
        <w:t>contra la administración de justicia (encubrimiento personal), contra la fe pública (falsificación de documentos) y corrupción de funcionarios</w:t>
      </w:r>
      <w:r>
        <w:rPr>
          <w:rFonts w:ascii="Verdana" w:hAnsi="Verdana"/>
          <w:sz w:val="20"/>
          <w:szCs w:val="20"/>
          <w:lang w:val="es-ES"/>
        </w:rPr>
        <w:t xml:space="preserve"> (</w:t>
      </w:r>
      <w:r w:rsidRPr="009C7422">
        <w:rPr>
          <w:rFonts w:ascii="Verdana" w:hAnsi="Verdana"/>
          <w:i/>
          <w:sz w:val="20"/>
          <w:szCs w:val="20"/>
          <w:lang w:val="es-ES"/>
        </w:rPr>
        <w:t>supra</w:t>
      </w:r>
      <w:r>
        <w:rPr>
          <w:rFonts w:ascii="Verdana" w:hAnsi="Verdana"/>
          <w:sz w:val="20"/>
          <w:szCs w:val="20"/>
          <w:lang w:val="es-ES"/>
        </w:rPr>
        <w:t xml:space="preserve"> párr. </w:t>
      </w:r>
      <w:r w:rsidR="00D61986">
        <w:rPr>
          <w:rFonts w:ascii="Verdana" w:hAnsi="Verdana"/>
          <w:sz w:val="20"/>
          <w:szCs w:val="20"/>
          <w:lang w:val="es-ES"/>
        </w:rPr>
        <w:t>85</w:t>
      </w:r>
      <w:r>
        <w:rPr>
          <w:rFonts w:ascii="Verdana" w:hAnsi="Verdana"/>
          <w:sz w:val="20"/>
          <w:szCs w:val="20"/>
          <w:lang w:val="es-ES"/>
        </w:rPr>
        <w:t>)</w:t>
      </w:r>
      <w:r w:rsidRPr="008760C3">
        <w:rPr>
          <w:rFonts w:ascii="Verdana" w:hAnsi="Verdana"/>
          <w:sz w:val="20"/>
          <w:szCs w:val="20"/>
          <w:lang w:val="es-ES"/>
        </w:rPr>
        <w:t>, todos ellos delitos dolosos</w:t>
      </w:r>
      <w:r>
        <w:rPr>
          <w:rFonts w:ascii="Verdana" w:hAnsi="Verdana"/>
          <w:sz w:val="20"/>
          <w:szCs w:val="20"/>
          <w:lang w:val="es-ES"/>
        </w:rPr>
        <w:t xml:space="preserve">, sin que se haya hecho en la sentencia un desglose de la calificación jurídica imputada. </w:t>
      </w:r>
    </w:p>
    <w:p w14:paraId="6D172CD8" w14:textId="77777777" w:rsidR="00FB723A" w:rsidRPr="00503225" w:rsidRDefault="00FB723A" w:rsidP="00FB723A">
      <w:pPr>
        <w:pStyle w:val="ListParagraph"/>
        <w:tabs>
          <w:tab w:val="left" w:pos="284"/>
        </w:tabs>
        <w:ind w:left="0"/>
        <w:jc w:val="both"/>
        <w:rPr>
          <w:rFonts w:ascii="Verdana" w:hAnsi="Verdana"/>
          <w:color w:val="E36C0A"/>
          <w:lang w:val="es-CR"/>
        </w:rPr>
      </w:pPr>
      <w:r w:rsidRPr="00503225">
        <w:rPr>
          <w:rFonts w:ascii="Verdana" w:hAnsi="Verdana"/>
          <w:sz w:val="20"/>
          <w:szCs w:val="20"/>
          <w:lang w:val="es-ES"/>
        </w:rPr>
        <w:t xml:space="preserve"> </w:t>
      </w:r>
    </w:p>
    <w:p w14:paraId="6D172CD9" w14:textId="77777777" w:rsidR="00FB723A" w:rsidRPr="009C7422" w:rsidRDefault="00FB723A" w:rsidP="00FB723A">
      <w:pPr>
        <w:pStyle w:val="ListParagraph"/>
        <w:numPr>
          <w:ilvl w:val="0"/>
          <w:numId w:val="2"/>
        </w:numPr>
        <w:tabs>
          <w:tab w:val="left" w:pos="284"/>
        </w:tabs>
        <w:ind w:left="0" w:hanging="11"/>
        <w:jc w:val="both"/>
        <w:rPr>
          <w:rFonts w:ascii="Verdana" w:hAnsi="Verdana" w:cs="Arial"/>
          <w:snapToGrid w:val="0"/>
          <w:sz w:val="20"/>
          <w:szCs w:val="20"/>
          <w:lang w:val="es-CR" w:eastAsia="es-ES"/>
        </w:rPr>
      </w:pPr>
      <w:r w:rsidRPr="00503225">
        <w:rPr>
          <w:rFonts w:ascii="Verdana" w:hAnsi="Verdana"/>
          <w:kern w:val="1"/>
          <w:sz w:val="20"/>
          <w:lang w:val="es-CR"/>
        </w:rPr>
        <w:t>Al</w:t>
      </w:r>
      <w:r w:rsidRPr="00503225">
        <w:rPr>
          <w:rFonts w:ascii="Verdana" w:hAnsi="Verdana" w:cs="Arial"/>
          <w:snapToGrid w:val="0"/>
          <w:sz w:val="20"/>
          <w:szCs w:val="20"/>
          <w:lang w:val="es-AR" w:eastAsia="es-ES"/>
        </w:rPr>
        <w:t xml:space="preserve"> respecto, este Tribunal ya ha señalado que el deber de motivar abarca “establecer las razones por las cuales [un] hecho se subsum[e] o no en una norma penal, y en su caso, analizar las responsabilidades correspondientes</w:t>
      </w:r>
      <w:r w:rsidRPr="00A24DB0">
        <w:rPr>
          <w:rFonts w:ascii="Verdana" w:hAnsi="Verdana" w:cs="Arial"/>
          <w:snapToGrid w:val="0"/>
          <w:sz w:val="20"/>
          <w:szCs w:val="20"/>
          <w:lang w:val="es-AR" w:eastAsia="es-ES"/>
        </w:rPr>
        <w:t>”</w:t>
      </w:r>
      <w:r w:rsidRPr="00A24DB0">
        <w:rPr>
          <w:rStyle w:val="FootnoteReference"/>
          <w:snapToGrid w:val="0"/>
          <w:szCs w:val="20"/>
          <w:lang w:val="es-AR" w:eastAsia="es-ES"/>
        </w:rPr>
        <w:footnoteReference w:id="154"/>
      </w:r>
      <w:r>
        <w:rPr>
          <w:rFonts w:ascii="Verdana" w:hAnsi="Verdana" w:cs="Arial"/>
          <w:snapToGrid w:val="0"/>
          <w:sz w:val="20"/>
          <w:szCs w:val="20"/>
          <w:lang w:val="es-AR" w:eastAsia="es-ES"/>
        </w:rPr>
        <w:t>, l</w:t>
      </w:r>
      <w:r w:rsidRPr="009C7422">
        <w:rPr>
          <w:rFonts w:ascii="Verdana" w:hAnsi="Verdana" w:cs="Arial"/>
          <w:snapToGrid w:val="0"/>
          <w:sz w:val="20"/>
          <w:szCs w:val="20"/>
          <w:lang w:val="es-CR" w:eastAsia="es-ES"/>
        </w:rPr>
        <w:t>o cual también garantiza la tutela judicial efectiva</w:t>
      </w:r>
      <w:r>
        <w:rPr>
          <w:rStyle w:val="FootnoteReference"/>
          <w:snapToGrid w:val="0"/>
          <w:szCs w:val="20"/>
          <w:lang w:val="en-US" w:eastAsia="es-ES"/>
        </w:rPr>
        <w:footnoteReference w:id="155"/>
      </w:r>
      <w:r w:rsidRPr="009C7422">
        <w:rPr>
          <w:rFonts w:ascii="Verdana" w:hAnsi="Verdana" w:cs="Arial"/>
          <w:snapToGrid w:val="0"/>
          <w:sz w:val="20"/>
          <w:szCs w:val="20"/>
          <w:lang w:val="es-CR" w:eastAsia="es-ES"/>
        </w:rPr>
        <w:t>.</w:t>
      </w:r>
    </w:p>
    <w:p w14:paraId="6D172CDA" w14:textId="77777777" w:rsidR="00FB723A" w:rsidRPr="009C7422" w:rsidRDefault="00FB723A" w:rsidP="00FB723A">
      <w:pPr>
        <w:pStyle w:val="ListParagraph"/>
        <w:tabs>
          <w:tab w:val="left" w:pos="284"/>
        </w:tabs>
        <w:ind w:left="0"/>
        <w:jc w:val="both"/>
        <w:rPr>
          <w:rFonts w:ascii="Verdana" w:hAnsi="Verdana"/>
          <w:color w:val="E36C0A"/>
          <w:lang w:val="es-CR"/>
        </w:rPr>
      </w:pPr>
      <w:r w:rsidRPr="009C7422">
        <w:rPr>
          <w:rFonts w:ascii="Verdana" w:hAnsi="Verdana" w:cs="Arial"/>
          <w:snapToGrid w:val="0"/>
          <w:sz w:val="20"/>
          <w:szCs w:val="20"/>
          <w:lang w:val="es-CR" w:eastAsia="es-ES"/>
        </w:rPr>
        <w:t xml:space="preserve"> </w:t>
      </w:r>
    </w:p>
    <w:p w14:paraId="6D172CDB" w14:textId="66C01E06" w:rsidR="00FB723A" w:rsidRPr="00BA5177" w:rsidRDefault="00FB723A" w:rsidP="00FB723A">
      <w:pPr>
        <w:pStyle w:val="ListParagraph"/>
        <w:numPr>
          <w:ilvl w:val="0"/>
          <w:numId w:val="2"/>
        </w:numPr>
        <w:ind w:left="0" w:hanging="11"/>
        <w:jc w:val="both"/>
        <w:rPr>
          <w:rFonts w:ascii="Verdana" w:hAnsi="Verdana"/>
          <w:color w:val="E36C0A"/>
          <w:lang w:val="es-CR"/>
        </w:rPr>
      </w:pPr>
      <w:r>
        <w:rPr>
          <w:rFonts w:ascii="Verdana" w:hAnsi="Verdana"/>
          <w:sz w:val="20"/>
          <w:szCs w:val="20"/>
          <w:lang w:val="es-CR"/>
        </w:rPr>
        <w:t>D</w:t>
      </w:r>
      <w:r w:rsidRPr="00AB72AE">
        <w:rPr>
          <w:rFonts w:ascii="Verdana" w:hAnsi="Verdana"/>
          <w:sz w:val="20"/>
          <w:szCs w:val="20"/>
          <w:lang w:val="es-CR"/>
        </w:rPr>
        <w:t xml:space="preserve">e la sentencia no se desprenden </w:t>
      </w:r>
      <w:r w:rsidRPr="00BA5177">
        <w:rPr>
          <w:rFonts w:ascii="Verdana" w:hAnsi="Verdana" w:cs="Arial"/>
          <w:snapToGrid w:val="0"/>
          <w:sz w:val="20"/>
          <w:szCs w:val="20"/>
          <w:lang w:val="es-AR" w:eastAsia="es-ES"/>
        </w:rPr>
        <w:t>las razones por las cu</w:t>
      </w:r>
      <w:r>
        <w:rPr>
          <w:rFonts w:ascii="Verdana" w:hAnsi="Verdana" w:cs="Arial"/>
          <w:snapToGrid w:val="0"/>
          <w:sz w:val="20"/>
          <w:szCs w:val="20"/>
          <w:lang w:val="es-AR" w:eastAsia="es-ES"/>
        </w:rPr>
        <w:t>a</w:t>
      </w:r>
      <w:r w:rsidRPr="00BA5177">
        <w:rPr>
          <w:rFonts w:ascii="Verdana" w:hAnsi="Verdana" w:cs="Arial"/>
          <w:snapToGrid w:val="0"/>
          <w:sz w:val="20"/>
          <w:szCs w:val="20"/>
          <w:lang w:val="es-AR" w:eastAsia="es-ES"/>
        </w:rPr>
        <w:t xml:space="preserve">les los jueces consideraron que los hechos atribuidos </w:t>
      </w:r>
      <w:r>
        <w:rPr>
          <w:rFonts w:ascii="Verdana" w:hAnsi="Verdana"/>
          <w:sz w:val="20"/>
          <w:szCs w:val="20"/>
          <w:lang w:val="es-ES"/>
        </w:rPr>
        <w:t>al</w:t>
      </w:r>
      <w:r w:rsidRPr="0007798A">
        <w:rPr>
          <w:rFonts w:ascii="Verdana" w:hAnsi="Verdana"/>
          <w:sz w:val="20"/>
          <w:szCs w:val="20"/>
          <w:lang w:val="es-ES"/>
        </w:rPr>
        <w:t xml:space="preserve"> señor Zegarra Marín</w:t>
      </w:r>
      <w:r w:rsidRPr="00BA5177" w:rsidDel="000E0C34">
        <w:rPr>
          <w:rFonts w:ascii="Verdana" w:hAnsi="Verdana" w:cs="Arial"/>
          <w:snapToGrid w:val="0"/>
          <w:sz w:val="20"/>
          <w:szCs w:val="20"/>
          <w:lang w:val="es-AR" w:eastAsia="es-ES"/>
        </w:rPr>
        <w:t xml:space="preserve"> </w:t>
      </w:r>
      <w:r w:rsidRPr="00BA5177">
        <w:rPr>
          <w:rFonts w:ascii="Verdana" w:hAnsi="Verdana" w:cs="Arial"/>
          <w:snapToGrid w:val="0"/>
          <w:sz w:val="20"/>
          <w:szCs w:val="20"/>
          <w:lang w:val="es-AR" w:eastAsia="es-ES"/>
        </w:rPr>
        <w:t>se subsumían en las normas penales.</w:t>
      </w:r>
      <w:r w:rsidRPr="00BA5177" w:rsidDel="00B51AFF">
        <w:rPr>
          <w:rFonts w:ascii="Verdana" w:hAnsi="Verdana"/>
          <w:sz w:val="20"/>
          <w:szCs w:val="20"/>
          <w:lang w:val="es-CR"/>
        </w:rPr>
        <w:t xml:space="preserve"> </w:t>
      </w:r>
      <w:r w:rsidRPr="00BA5177">
        <w:rPr>
          <w:rFonts w:ascii="Verdana" w:hAnsi="Verdana"/>
          <w:sz w:val="20"/>
          <w:szCs w:val="20"/>
          <w:lang w:val="es-CR"/>
        </w:rPr>
        <w:t>En este sentido, del fallo no se derivan las circunstancias de tiempo, modo y lugar de la comisión de cada uno de dichos delitos</w:t>
      </w:r>
      <w:r w:rsidR="00D61986">
        <w:rPr>
          <w:rFonts w:ascii="Verdana" w:hAnsi="Verdana"/>
          <w:sz w:val="20"/>
          <w:szCs w:val="20"/>
          <w:lang w:val="es-CR"/>
        </w:rPr>
        <w:t>,</w:t>
      </w:r>
      <w:r w:rsidRPr="00FB1DE6">
        <w:rPr>
          <w:rFonts w:ascii="Verdana" w:hAnsi="Verdana"/>
          <w:sz w:val="20"/>
          <w:szCs w:val="20"/>
          <w:lang w:val="es-CR"/>
        </w:rPr>
        <w:t xml:space="preserve"> ni </w:t>
      </w:r>
      <w:r w:rsidRPr="00BA5177">
        <w:rPr>
          <w:rFonts w:ascii="Verdana" w:hAnsi="Verdana"/>
          <w:sz w:val="20"/>
          <w:szCs w:val="20"/>
          <w:lang w:val="es-CR"/>
        </w:rPr>
        <w:t xml:space="preserve">se reflejan </w:t>
      </w:r>
      <w:r w:rsidRPr="00FB1DE6">
        <w:rPr>
          <w:rFonts w:ascii="Verdana" w:hAnsi="Verdana"/>
          <w:sz w:val="20"/>
          <w:szCs w:val="20"/>
          <w:lang w:val="es-CR"/>
        </w:rPr>
        <w:t xml:space="preserve">las razones de derecho que </w:t>
      </w:r>
      <w:r w:rsidRPr="00BA5177">
        <w:rPr>
          <w:rFonts w:ascii="Verdana" w:hAnsi="Verdana"/>
          <w:sz w:val="20"/>
          <w:szCs w:val="20"/>
          <w:lang w:val="es-CR"/>
        </w:rPr>
        <w:t xml:space="preserve">habrían </w:t>
      </w:r>
      <w:r w:rsidRPr="00FB1DE6">
        <w:rPr>
          <w:rFonts w:ascii="Verdana" w:hAnsi="Verdana"/>
          <w:sz w:val="20"/>
          <w:szCs w:val="20"/>
          <w:lang w:val="es-CR"/>
        </w:rPr>
        <w:t>sustenta</w:t>
      </w:r>
      <w:r w:rsidRPr="00BA5177">
        <w:rPr>
          <w:rFonts w:ascii="Verdana" w:hAnsi="Verdana"/>
          <w:sz w:val="20"/>
          <w:szCs w:val="20"/>
          <w:lang w:val="es-CR"/>
        </w:rPr>
        <w:t>do</w:t>
      </w:r>
      <w:r w:rsidRPr="00FB1DE6">
        <w:rPr>
          <w:rFonts w:ascii="Verdana" w:hAnsi="Verdana"/>
          <w:sz w:val="20"/>
          <w:szCs w:val="20"/>
          <w:lang w:val="es-CR"/>
        </w:rPr>
        <w:t xml:space="preserve"> la calificación jurídica de los mismos</w:t>
      </w:r>
      <w:r w:rsidRPr="00BA5177">
        <w:rPr>
          <w:rFonts w:ascii="Verdana" w:hAnsi="Verdana"/>
          <w:sz w:val="20"/>
          <w:szCs w:val="20"/>
          <w:lang w:val="es-CR"/>
        </w:rPr>
        <w:t xml:space="preserve"> y si, en su caso, habría alguna evidencia que pudiera desvirtuar dicha calificación</w:t>
      </w:r>
      <w:r w:rsidRPr="00BA5177">
        <w:rPr>
          <w:rStyle w:val="FootnoteReference"/>
          <w:szCs w:val="20"/>
          <w:lang w:val="es-CR"/>
        </w:rPr>
        <w:footnoteReference w:id="156"/>
      </w:r>
      <w:r w:rsidRPr="00BA5177">
        <w:rPr>
          <w:rFonts w:ascii="Verdana" w:hAnsi="Verdana"/>
          <w:sz w:val="20"/>
          <w:szCs w:val="20"/>
          <w:lang w:val="es-CR"/>
        </w:rPr>
        <w:t xml:space="preserve">. </w:t>
      </w:r>
      <w:r w:rsidRPr="00AB72AE">
        <w:rPr>
          <w:rFonts w:ascii="Verdana" w:hAnsi="Verdana"/>
          <w:sz w:val="20"/>
          <w:lang w:val="es-CR"/>
        </w:rPr>
        <w:t xml:space="preserve">En suma, </w:t>
      </w:r>
      <w:r w:rsidRPr="00BA5177">
        <w:rPr>
          <w:rFonts w:ascii="Verdana" w:hAnsi="Verdana"/>
          <w:sz w:val="20"/>
          <w:szCs w:val="20"/>
          <w:lang w:val="es-CR"/>
        </w:rPr>
        <w:t>n</w:t>
      </w:r>
      <w:r w:rsidRPr="00FB1DE6">
        <w:rPr>
          <w:rFonts w:ascii="Verdana" w:hAnsi="Verdana"/>
          <w:sz w:val="20"/>
          <w:szCs w:val="20"/>
          <w:lang w:val="es-CR"/>
        </w:rPr>
        <w:t>o se</w:t>
      </w:r>
      <w:r w:rsidRPr="00BA5177">
        <w:rPr>
          <w:rFonts w:ascii="Verdana" w:hAnsi="Verdana"/>
          <w:sz w:val="20"/>
          <w:szCs w:val="20"/>
          <w:lang w:val="es-CR"/>
        </w:rPr>
        <w:t xml:space="preserve"> desprende motivación</w:t>
      </w:r>
      <w:r w:rsidR="00D61986">
        <w:rPr>
          <w:rFonts w:ascii="Verdana" w:hAnsi="Verdana"/>
          <w:sz w:val="20"/>
          <w:szCs w:val="20"/>
          <w:lang w:val="es-CR"/>
        </w:rPr>
        <w:t xml:space="preserve"> alguna</w:t>
      </w:r>
      <w:r w:rsidRPr="00FB1DE6">
        <w:rPr>
          <w:rFonts w:ascii="Verdana" w:hAnsi="Verdana"/>
          <w:sz w:val="20"/>
          <w:szCs w:val="20"/>
          <w:lang w:val="es-CR"/>
        </w:rPr>
        <w:t xml:space="preserve"> </w:t>
      </w:r>
      <w:r w:rsidRPr="00BA5177">
        <w:rPr>
          <w:rFonts w:ascii="Verdana" w:hAnsi="Verdana"/>
          <w:sz w:val="20"/>
          <w:szCs w:val="20"/>
          <w:lang w:val="es-CR"/>
        </w:rPr>
        <w:lastRenderedPageBreak/>
        <w:t>respecto de</w:t>
      </w:r>
      <w:r w:rsidRPr="00FB1DE6">
        <w:rPr>
          <w:rFonts w:ascii="Verdana" w:hAnsi="Verdana"/>
          <w:sz w:val="20"/>
          <w:szCs w:val="20"/>
          <w:lang w:val="es-CR"/>
        </w:rPr>
        <w:t xml:space="preserve"> las consideraciones jurídicas sobre </w:t>
      </w:r>
      <w:r w:rsidRPr="00BA5177">
        <w:rPr>
          <w:rFonts w:ascii="Verdana" w:hAnsi="Verdana"/>
          <w:sz w:val="20"/>
          <w:szCs w:val="20"/>
          <w:lang w:val="es-CR"/>
        </w:rPr>
        <w:t xml:space="preserve">la </w:t>
      </w:r>
      <w:r w:rsidRPr="00FB1DE6">
        <w:rPr>
          <w:rFonts w:ascii="Verdana" w:hAnsi="Verdana"/>
          <w:sz w:val="20"/>
          <w:szCs w:val="20"/>
          <w:lang w:val="es-CR"/>
        </w:rPr>
        <w:t>tipicidad</w:t>
      </w:r>
      <w:r w:rsidRPr="00BA5177">
        <w:rPr>
          <w:rFonts w:ascii="Verdana" w:hAnsi="Verdana"/>
          <w:sz w:val="20"/>
          <w:szCs w:val="20"/>
          <w:lang w:val="es-CR"/>
        </w:rPr>
        <w:t xml:space="preserve">, su relación con las </w:t>
      </w:r>
      <w:r w:rsidRPr="00FB1DE6">
        <w:rPr>
          <w:rFonts w:ascii="Verdana" w:hAnsi="Verdana"/>
          <w:sz w:val="20"/>
          <w:szCs w:val="20"/>
          <w:lang w:val="es-CR"/>
        </w:rPr>
        <w:t xml:space="preserve">pruebas </w:t>
      </w:r>
      <w:r w:rsidRPr="00BA5177">
        <w:rPr>
          <w:rFonts w:ascii="Verdana" w:hAnsi="Verdana"/>
          <w:sz w:val="20"/>
          <w:szCs w:val="20"/>
          <w:lang w:val="es-CR"/>
        </w:rPr>
        <w:t>y su apreciación</w:t>
      </w:r>
      <w:r w:rsidRPr="00FB1DE6">
        <w:rPr>
          <w:rStyle w:val="FootnoteReference"/>
          <w:szCs w:val="20"/>
          <w:lang w:val="es-CR"/>
        </w:rPr>
        <w:footnoteReference w:id="157"/>
      </w:r>
      <w:r w:rsidRPr="00BA5177">
        <w:rPr>
          <w:rFonts w:ascii="Verdana" w:hAnsi="Verdana"/>
          <w:sz w:val="20"/>
          <w:szCs w:val="20"/>
          <w:lang w:val="es-CR"/>
        </w:rPr>
        <w:t>.</w:t>
      </w:r>
    </w:p>
    <w:p w14:paraId="6D172CDC" w14:textId="77777777" w:rsidR="00FB723A" w:rsidRPr="00FB1DE6" w:rsidRDefault="00FB723A" w:rsidP="00FB723A">
      <w:pPr>
        <w:tabs>
          <w:tab w:val="left" w:pos="284"/>
        </w:tabs>
        <w:jc w:val="both"/>
        <w:rPr>
          <w:rFonts w:ascii="Verdana" w:hAnsi="Verdana" w:cs="Arial"/>
          <w:snapToGrid w:val="0"/>
          <w:sz w:val="20"/>
          <w:szCs w:val="20"/>
          <w:lang w:val="es-CR" w:eastAsia="es-ES"/>
        </w:rPr>
      </w:pPr>
    </w:p>
    <w:p w14:paraId="6D172CDD" w14:textId="4348C24C" w:rsidR="00FB723A" w:rsidRPr="001634BF" w:rsidRDefault="00FB723A" w:rsidP="00FB723A">
      <w:pPr>
        <w:pStyle w:val="ListParagraph"/>
        <w:numPr>
          <w:ilvl w:val="0"/>
          <w:numId w:val="2"/>
        </w:numPr>
        <w:ind w:left="0" w:hanging="11"/>
        <w:jc w:val="both"/>
        <w:rPr>
          <w:rFonts w:ascii="Verdana" w:hAnsi="Verdana" w:cs="Arial"/>
          <w:snapToGrid w:val="0"/>
          <w:sz w:val="20"/>
          <w:szCs w:val="20"/>
          <w:lang w:val="es-AR" w:eastAsia="es-ES"/>
        </w:rPr>
      </w:pPr>
      <w:r w:rsidRPr="001634BF">
        <w:rPr>
          <w:rFonts w:ascii="Verdana" w:hAnsi="Verdana" w:cs="Arial"/>
          <w:snapToGrid w:val="0"/>
          <w:sz w:val="20"/>
          <w:szCs w:val="20"/>
          <w:lang w:val="es-AR" w:eastAsia="es-ES"/>
        </w:rPr>
        <w:t xml:space="preserve">En tercer lugar, respecto de la relevancia de la motivación con la posibilidad de recurrir el fallo, </w:t>
      </w:r>
      <w:r w:rsidRPr="001634BF">
        <w:rPr>
          <w:rFonts w:ascii="Verdana" w:hAnsi="Verdana"/>
          <w:sz w:val="20"/>
          <w:szCs w:val="20"/>
          <w:lang w:val="es-CR"/>
        </w:rPr>
        <w:t>la Corte ya ha señalado que “la motivación de la decisión judicial es condición de posibilidad para garantizar el derecho de defensa”</w:t>
      </w:r>
      <w:r w:rsidRPr="001634BF">
        <w:rPr>
          <w:rStyle w:val="FootnoteReference"/>
          <w:szCs w:val="20"/>
          <w:lang w:val="es-CR"/>
        </w:rPr>
        <w:footnoteReference w:id="158"/>
      </w:r>
      <w:r w:rsidR="00006095">
        <w:rPr>
          <w:rFonts w:ascii="Verdana" w:hAnsi="Verdana"/>
          <w:sz w:val="20"/>
          <w:szCs w:val="20"/>
          <w:lang w:val="es-CR"/>
        </w:rPr>
        <w:t>,</w:t>
      </w:r>
      <w:r w:rsidRPr="001634BF">
        <w:rPr>
          <w:rFonts w:ascii="Verdana" w:hAnsi="Verdana"/>
          <w:sz w:val="20"/>
          <w:szCs w:val="20"/>
          <w:lang w:val="es-CR"/>
        </w:rPr>
        <w:t xml:space="preserve"> demuestra a las partes que éstas han sido oídas</w:t>
      </w:r>
      <w:r w:rsidR="00D61986">
        <w:rPr>
          <w:rFonts w:ascii="Verdana" w:hAnsi="Verdana"/>
          <w:sz w:val="20"/>
          <w:szCs w:val="20"/>
          <w:lang w:val="es-CR"/>
        </w:rPr>
        <w:t>,</w:t>
      </w:r>
      <w:r w:rsidRPr="001634BF">
        <w:rPr>
          <w:rFonts w:ascii="Verdana" w:hAnsi="Verdana"/>
          <w:sz w:val="20"/>
          <w:szCs w:val="20"/>
          <w:lang w:val="es-CR"/>
        </w:rPr>
        <w:t xml:space="preserve"> y</w:t>
      </w:r>
      <w:r w:rsidR="00006095">
        <w:rPr>
          <w:rFonts w:ascii="Verdana" w:hAnsi="Verdana"/>
          <w:sz w:val="20"/>
          <w:szCs w:val="20"/>
          <w:lang w:val="es-CR"/>
        </w:rPr>
        <w:t>,</w:t>
      </w:r>
      <w:r w:rsidRPr="001634BF">
        <w:rPr>
          <w:rFonts w:ascii="Verdana" w:hAnsi="Verdana"/>
          <w:sz w:val="20"/>
          <w:szCs w:val="20"/>
          <w:lang w:val="es-CR"/>
        </w:rPr>
        <w:t xml:space="preserve"> en aquellos casos en que las decisiones son recurribles, les proporciona la posibilidad de criticar la resolución y lograr un nuevo examen de la cuestión ante las instancias superiores</w:t>
      </w:r>
      <w:r w:rsidRPr="001634BF">
        <w:rPr>
          <w:rStyle w:val="FootnoteReference"/>
          <w:lang w:val="es-CR"/>
        </w:rPr>
        <w:footnoteReference w:id="159"/>
      </w:r>
      <w:r w:rsidRPr="008B5048">
        <w:rPr>
          <w:rFonts w:ascii="Verdana" w:hAnsi="Verdana"/>
          <w:sz w:val="20"/>
          <w:lang w:val="es-CR"/>
        </w:rPr>
        <w:t>.</w:t>
      </w:r>
      <w:r w:rsidRPr="001634BF">
        <w:rPr>
          <w:rFonts w:ascii="Verdana" w:hAnsi="Verdana"/>
          <w:lang w:val="es-CR"/>
        </w:rPr>
        <w:t xml:space="preserve"> </w:t>
      </w:r>
    </w:p>
    <w:p w14:paraId="6D172CDE" w14:textId="77777777" w:rsidR="00FB723A" w:rsidRPr="00BA5177" w:rsidRDefault="00FB723A" w:rsidP="00FB723A">
      <w:pPr>
        <w:autoSpaceDE w:val="0"/>
        <w:autoSpaceDN w:val="0"/>
        <w:adjustRightInd w:val="0"/>
        <w:jc w:val="both"/>
        <w:rPr>
          <w:rFonts w:ascii="Verdana" w:hAnsi="Verdana"/>
          <w:lang w:val="es-CR"/>
        </w:rPr>
      </w:pPr>
    </w:p>
    <w:p w14:paraId="6D172CDF" w14:textId="0949249B" w:rsidR="00FB723A" w:rsidRPr="00BA5177" w:rsidRDefault="00FB723A" w:rsidP="00FB723A">
      <w:pPr>
        <w:pStyle w:val="ListParagraph"/>
        <w:numPr>
          <w:ilvl w:val="0"/>
          <w:numId w:val="2"/>
        </w:numPr>
        <w:ind w:left="0" w:hanging="11"/>
        <w:jc w:val="both"/>
        <w:rPr>
          <w:rFonts w:ascii="Verdana" w:hAnsi="Verdana"/>
          <w:kern w:val="1"/>
          <w:sz w:val="20"/>
          <w:lang w:val="es-ES"/>
        </w:rPr>
      </w:pPr>
      <w:r w:rsidRPr="00BA5177">
        <w:rPr>
          <w:rFonts w:ascii="Verdana" w:hAnsi="Verdana"/>
          <w:sz w:val="20"/>
          <w:lang w:val="es-CR"/>
        </w:rPr>
        <w:t xml:space="preserve">En este mismo sentido, </w:t>
      </w:r>
      <w:r w:rsidR="00264939">
        <w:rPr>
          <w:rFonts w:ascii="Verdana" w:hAnsi="Verdana"/>
          <w:sz w:val="20"/>
          <w:lang w:val="es-CR"/>
        </w:rPr>
        <w:t>el Tribunal Europeo</w:t>
      </w:r>
      <w:r w:rsidRPr="00BA5177">
        <w:rPr>
          <w:rFonts w:ascii="Verdana" w:hAnsi="Verdana"/>
          <w:sz w:val="20"/>
          <w:lang w:val="es-CR"/>
        </w:rPr>
        <w:t xml:space="preserve"> de Derechos Humanos ha sostenido que un tribunal tiene la obligación de realizar un examen adecuado de las alegaciones, argumentos y pruebas presentados por las partes</w:t>
      </w:r>
      <w:r w:rsidRPr="00BA5177">
        <w:rPr>
          <w:rStyle w:val="FootnoteReference"/>
          <w:lang w:val="es-ES"/>
        </w:rPr>
        <w:footnoteReference w:id="160"/>
      </w:r>
      <w:r w:rsidRPr="00BA5177">
        <w:rPr>
          <w:rFonts w:ascii="Verdana" w:hAnsi="Verdana"/>
          <w:sz w:val="20"/>
          <w:lang w:val="es-ES"/>
        </w:rPr>
        <w:t xml:space="preserve">. </w:t>
      </w:r>
      <w:r w:rsidRPr="00BA5177">
        <w:rPr>
          <w:rFonts w:ascii="Verdana" w:hAnsi="Verdana"/>
          <w:sz w:val="20"/>
          <w:lang w:val="es-CR"/>
        </w:rPr>
        <w:t xml:space="preserve">Asimismo, </w:t>
      </w:r>
      <w:r w:rsidRPr="00BA5177">
        <w:rPr>
          <w:rFonts w:ascii="Verdana" w:hAnsi="Verdana"/>
          <w:kern w:val="1"/>
          <w:sz w:val="20"/>
          <w:lang w:val="es-ES"/>
        </w:rPr>
        <w:t xml:space="preserve">las sentencias deben exponer </w:t>
      </w:r>
      <w:r w:rsidRPr="00BA5177">
        <w:rPr>
          <w:rFonts w:ascii="Verdana" w:hAnsi="Verdana"/>
          <w:sz w:val="20"/>
          <w:lang w:val="es-CR"/>
        </w:rPr>
        <w:t xml:space="preserve">con suficiente claridad y de manera adecuada las razones a partir de las cuales toman sus decisiones, </w:t>
      </w:r>
      <w:r w:rsidRPr="00BA5177">
        <w:rPr>
          <w:rFonts w:ascii="Verdana" w:hAnsi="Verdana"/>
          <w:kern w:val="1"/>
          <w:sz w:val="20"/>
          <w:lang w:val="es-ES"/>
        </w:rPr>
        <w:t xml:space="preserve">en reflejo de un principio relativo a la correcta administración de justicia y </w:t>
      </w:r>
      <w:r w:rsidRPr="00BA5177">
        <w:rPr>
          <w:rFonts w:ascii="Verdana" w:hAnsi="Verdana"/>
          <w:sz w:val="20"/>
          <w:lang w:val="es-ES"/>
        </w:rPr>
        <w:t xml:space="preserve">para permitir que la determinación sea susceptible de una revisión posterior por un </w:t>
      </w:r>
      <w:r w:rsidRPr="00B72842">
        <w:rPr>
          <w:rFonts w:ascii="Verdana" w:hAnsi="Verdana"/>
          <w:sz w:val="20"/>
          <w:lang w:val="es-ES"/>
        </w:rPr>
        <w:t>T</w:t>
      </w:r>
      <w:r w:rsidRPr="00BA5177">
        <w:rPr>
          <w:rFonts w:ascii="Verdana" w:hAnsi="Verdana"/>
          <w:sz w:val="20"/>
          <w:lang w:val="es-ES"/>
        </w:rPr>
        <w:t xml:space="preserve">ribunal </w:t>
      </w:r>
      <w:r w:rsidRPr="0058104A">
        <w:rPr>
          <w:rFonts w:ascii="Verdana" w:hAnsi="Verdana"/>
          <w:sz w:val="20"/>
          <w:lang w:val="es-ES"/>
        </w:rPr>
        <w:t xml:space="preserve">de </w:t>
      </w:r>
      <w:r>
        <w:rPr>
          <w:rFonts w:ascii="Verdana" w:hAnsi="Verdana"/>
          <w:sz w:val="20"/>
          <w:lang w:val="es-ES"/>
        </w:rPr>
        <w:t>alzada</w:t>
      </w:r>
      <w:r w:rsidRPr="00BA5177">
        <w:rPr>
          <w:rStyle w:val="FootnoteReference"/>
          <w:kern w:val="1"/>
          <w:szCs w:val="20"/>
          <w:lang w:val="es-ES"/>
        </w:rPr>
        <w:footnoteReference w:id="161"/>
      </w:r>
      <w:r w:rsidRPr="00BA5177">
        <w:rPr>
          <w:rFonts w:ascii="Verdana" w:hAnsi="Verdana"/>
          <w:kern w:val="1"/>
          <w:sz w:val="20"/>
          <w:szCs w:val="20"/>
          <w:lang w:val="es-ES"/>
        </w:rPr>
        <w:t xml:space="preserve">. </w:t>
      </w:r>
      <w:r w:rsidRPr="00FB1DE6">
        <w:rPr>
          <w:rFonts w:ascii="Verdana" w:hAnsi="Verdana"/>
          <w:kern w:val="1"/>
          <w:sz w:val="20"/>
          <w:szCs w:val="20"/>
          <w:lang w:val="es-ES"/>
        </w:rPr>
        <w:t xml:space="preserve"> </w:t>
      </w:r>
      <w:r>
        <w:rPr>
          <w:rFonts w:ascii="Verdana" w:hAnsi="Verdana"/>
          <w:kern w:val="1"/>
          <w:sz w:val="20"/>
          <w:szCs w:val="20"/>
          <w:lang w:val="es-ES"/>
        </w:rPr>
        <w:t>Asimismo</w:t>
      </w:r>
      <w:r w:rsidRPr="00BA5177">
        <w:rPr>
          <w:rFonts w:ascii="Verdana" w:hAnsi="Verdana"/>
          <w:kern w:val="1"/>
          <w:sz w:val="20"/>
          <w:szCs w:val="20"/>
          <w:lang w:val="es-ES"/>
        </w:rPr>
        <w:t>, el Comité de Derechos Humanos ha señalado</w:t>
      </w:r>
      <w:r w:rsidR="00A9720E">
        <w:rPr>
          <w:rFonts w:ascii="Verdana" w:hAnsi="Verdana"/>
          <w:kern w:val="1"/>
          <w:sz w:val="20"/>
          <w:szCs w:val="20"/>
          <w:lang w:val="es-ES"/>
        </w:rPr>
        <w:t xml:space="preserve"> que,</w:t>
      </w:r>
      <w:r w:rsidRPr="00BA5177">
        <w:rPr>
          <w:rFonts w:ascii="Verdana" w:hAnsi="Verdana"/>
          <w:kern w:val="1"/>
          <w:sz w:val="20"/>
          <w:szCs w:val="20"/>
          <w:lang w:val="es-ES"/>
        </w:rPr>
        <w:t xml:space="preserve"> </w:t>
      </w:r>
      <w:r w:rsidRPr="00BA5177">
        <w:rPr>
          <w:rFonts w:ascii="Verdana" w:hAnsi="Verdana"/>
          <w:sz w:val="20"/>
          <w:szCs w:val="20"/>
          <w:lang w:val="es-ES"/>
        </w:rPr>
        <w:t xml:space="preserve">respecto a la eficacia de un recurso </w:t>
      </w:r>
      <w:r w:rsidR="00264939">
        <w:rPr>
          <w:rFonts w:ascii="Verdana" w:hAnsi="Verdana"/>
          <w:sz w:val="20"/>
          <w:szCs w:val="20"/>
          <w:lang w:val="es-ES"/>
        </w:rPr>
        <w:t>de</w:t>
      </w:r>
      <w:r w:rsidRPr="00BA5177">
        <w:rPr>
          <w:rFonts w:ascii="Verdana" w:hAnsi="Verdana"/>
          <w:sz w:val="20"/>
          <w:szCs w:val="20"/>
          <w:lang w:val="es-CR"/>
        </w:rPr>
        <w:t xml:space="preserve"> apelación en cuanto al fondo requeriría necesariamente un fallo por escrito</w:t>
      </w:r>
      <w:r w:rsidR="00264939">
        <w:rPr>
          <w:rFonts w:ascii="Verdana" w:hAnsi="Verdana"/>
          <w:sz w:val="20"/>
          <w:szCs w:val="20"/>
          <w:lang w:val="es-CR"/>
        </w:rPr>
        <w:t>,</w:t>
      </w:r>
      <w:r w:rsidRPr="00BA5177">
        <w:rPr>
          <w:rFonts w:ascii="Verdana" w:hAnsi="Verdana"/>
          <w:sz w:val="20"/>
          <w:szCs w:val="20"/>
          <w:lang w:val="es-CR"/>
        </w:rPr>
        <w:t xml:space="preserve"> </w:t>
      </w:r>
      <w:r w:rsidR="00A9720E">
        <w:rPr>
          <w:rFonts w:ascii="Verdana" w:hAnsi="Verdana"/>
          <w:sz w:val="20"/>
          <w:szCs w:val="20"/>
          <w:lang w:val="es-CR"/>
        </w:rPr>
        <w:t>a fin de</w:t>
      </w:r>
      <w:r w:rsidR="00A9720E" w:rsidRPr="00BA5177">
        <w:rPr>
          <w:rFonts w:ascii="Verdana" w:hAnsi="Verdana"/>
          <w:sz w:val="20"/>
          <w:szCs w:val="20"/>
          <w:lang w:val="es-CR"/>
        </w:rPr>
        <w:t xml:space="preserve"> </w:t>
      </w:r>
      <w:r w:rsidRPr="00BA5177">
        <w:rPr>
          <w:rFonts w:ascii="Verdana" w:hAnsi="Verdana"/>
          <w:sz w:val="20"/>
          <w:szCs w:val="20"/>
          <w:lang w:val="es-CR"/>
        </w:rPr>
        <w:t>no eliminar la posibilidad de presentar un recurso ulterior</w:t>
      </w:r>
      <w:r>
        <w:rPr>
          <w:rStyle w:val="FootnoteReference"/>
          <w:szCs w:val="20"/>
          <w:lang w:val="es-CR"/>
        </w:rPr>
        <w:footnoteReference w:id="162"/>
      </w:r>
      <w:r w:rsidRPr="00BA5177">
        <w:rPr>
          <w:rFonts w:ascii="Verdana" w:hAnsi="Verdana"/>
          <w:sz w:val="20"/>
          <w:szCs w:val="20"/>
          <w:lang w:val="es-CR"/>
        </w:rPr>
        <w:t>.</w:t>
      </w:r>
    </w:p>
    <w:p w14:paraId="6D172CE0" w14:textId="77777777" w:rsidR="00FB723A" w:rsidRPr="00BA5177" w:rsidRDefault="00FB723A" w:rsidP="00FB723A">
      <w:pPr>
        <w:tabs>
          <w:tab w:val="left" w:pos="284"/>
        </w:tabs>
        <w:jc w:val="both"/>
        <w:rPr>
          <w:rFonts w:ascii="Verdana" w:hAnsi="Verdana"/>
          <w:kern w:val="1"/>
          <w:sz w:val="20"/>
          <w:lang w:val="es-ES"/>
        </w:rPr>
      </w:pPr>
    </w:p>
    <w:p w14:paraId="6D172CE1" w14:textId="73B16AD3" w:rsidR="00FB723A" w:rsidRPr="009C7422" w:rsidRDefault="00264939" w:rsidP="00FB723A">
      <w:pPr>
        <w:pStyle w:val="ListParagraph"/>
        <w:numPr>
          <w:ilvl w:val="0"/>
          <w:numId w:val="2"/>
        </w:numPr>
        <w:ind w:left="0" w:hanging="11"/>
        <w:jc w:val="both"/>
        <w:rPr>
          <w:rFonts w:ascii="Verdana" w:hAnsi="Verdana"/>
          <w:sz w:val="20"/>
          <w:szCs w:val="20"/>
          <w:lang w:val="es-ES"/>
        </w:rPr>
      </w:pPr>
      <w:r>
        <w:rPr>
          <w:rFonts w:ascii="Verdana" w:hAnsi="Verdana"/>
          <w:sz w:val="20"/>
          <w:szCs w:val="20"/>
          <w:lang w:val="es-CR"/>
        </w:rPr>
        <w:t>L</w:t>
      </w:r>
      <w:r w:rsidR="00FB723A">
        <w:rPr>
          <w:rFonts w:ascii="Verdana" w:hAnsi="Verdana"/>
          <w:sz w:val="20"/>
          <w:szCs w:val="20"/>
          <w:lang w:val="es-CR"/>
        </w:rPr>
        <w:t>a Corte estima que la omisión en la motivación</w:t>
      </w:r>
      <w:r w:rsidR="00FB723A" w:rsidRPr="00662EED">
        <w:rPr>
          <w:rFonts w:ascii="Verdana" w:hAnsi="Verdana"/>
          <w:sz w:val="20"/>
          <w:szCs w:val="20"/>
          <w:lang w:val="es-CR"/>
        </w:rPr>
        <w:t xml:space="preserve"> </w:t>
      </w:r>
      <w:r w:rsidR="00FB723A">
        <w:rPr>
          <w:rFonts w:ascii="Verdana" w:hAnsi="Verdana"/>
          <w:sz w:val="20"/>
          <w:szCs w:val="20"/>
          <w:lang w:val="es-CR"/>
        </w:rPr>
        <w:t xml:space="preserve">del fallo </w:t>
      </w:r>
      <w:r w:rsidR="00FB723A" w:rsidRPr="00662EED">
        <w:rPr>
          <w:rFonts w:ascii="Verdana" w:hAnsi="Verdana"/>
          <w:sz w:val="20"/>
          <w:szCs w:val="20"/>
          <w:lang w:val="es-CR"/>
        </w:rPr>
        <w:t>tuv</w:t>
      </w:r>
      <w:r w:rsidR="00FB723A">
        <w:rPr>
          <w:rFonts w:ascii="Verdana" w:hAnsi="Verdana"/>
          <w:sz w:val="20"/>
          <w:szCs w:val="20"/>
          <w:lang w:val="es-CR"/>
        </w:rPr>
        <w:t>o</w:t>
      </w:r>
      <w:r w:rsidR="00FB723A" w:rsidRPr="00662EED">
        <w:rPr>
          <w:rFonts w:ascii="Verdana" w:hAnsi="Verdana"/>
          <w:sz w:val="20"/>
          <w:szCs w:val="20"/>
          <w:lang w:val="es-CR"/>
        </w:rPr>
        <w:t xml:space="preserve"> un impacto </w:t>
      </w:r>
      <w:r w:rsidR="00FB723A">
        <w:rPr>
          <w:rFonts w:ascii="Verdana" w:hAnsi="Verdana"/>
          <w:sz w:val="20"/>
          <w:szCs w:val="20"/>
          <w:lang w:val="es-CR"/>
        </w:rPr>
        <w:t xml:space="preserve">directo </w:t>
      </w:r>
      <w:r w:rsidR="00FB723A" w:rsidRPr="00662EED">
        <w:rPr>
          <w:rFonts w:ascii="Verdana" w:hAnsi="Verdana"/>
          <w:sz w:val="20"/>
          <w:szCs w:val="20"/>
          <w:lang w:val="es-CR"/>
        </w:rPr>
        <w:t xml:space="preserve">en el ejercicio de los derechos a la defensa y a recurrir el fallo, ya que dificultó realizar un </w:t>
      </w:r>
      <w:r w:rsidR="00FB723A">
        <w:rPr>
          <w:rFonts w:ascii="Verdana" w:hAnsi="Verdana"/>
          <w:sz w:val="20"/>
          <w:szCs w:val="20"/>
          <w:lang w:val="es-CR"/>
        </w:rPr>
        <w:t>análisis</w:t>
      </w:r>
      <w:r w:rsidR="00FB723A" w:rsidRPr="00662EED">
        <w:rPr>
          <w:rFonts w:ascii="Verdana" w:hAnsi="Verdana"/>
          <w:sz w:val="20"/>
          <w:szCs w:val="20"/>
          <w:lang w:val="es-CR"/>
        </w:rPr>
        <w:t xml:space="preserve"> a profundidad sobre la </w:t>
      </w:r>
      <w:r w:rsidR="00FB723A" w:rsidRPr="00662EED">
        <w:rPr>
          <w:rFonts w:ascii="Verdana" w:hAnsi="Verdana"/>
          <w:bCs/>
          <w:iCs/>
          <w:sz w:val="20"/>
          <w:szCs w:val="20"/>
          <w:lang w:val="es-CO"/>
        </w:rPr>
        <w:t>argumentación o evidencia</w:t>
      </w:r>
      <w:r w:rsidR="00A9720E">
        <w:rPr>
          <w:rFonts w:ascii="Verdana" w:hAnsi="Verdana"/>
          <w:bCs/>
          <w:iCs/>
          <w:sz w:val="20"/>
          <w:szCs w:val="20"/>
          <w:lang w:val="es-CO"/>
        </w:rPr>
        <w:t>s</w:t>
      </w:r>
      <w:r w:rsidR="00FB723A" w:rsidRPr="00662EED">
        <w:rPr>
          <w:rStyle w:val="FootnoteReference"/>
          <w:bCs/>
          <w:iCs/>
          <w:szCs w:val="20"/>
          <w:lang w:val="es-CO"/>
        </w:rPr>
        <w:footnoteReference w:id="163"/>
      </w:r>
      <w:r w:rsidR="00FB723A" w:rsidRPr="00662EED">
        <w:rPr>
          <w:rFonts w:ascii="Verdana" w:hAnsi="Verdana"/>
          <w:bCs/>
          <w:iCs/>
          <w:sz w:val="20"/>
          <w:szCs w:val="20"/>
          <w:lang w:val="es-CO"/>
        </w:rPr>
        <w:t xml:space="preserve"> directamente relacionada</w:t>
      </w:r>
      <w:r w:rsidR="00A9720E">
        <w:rPr>
          <w:rFonts w:ascii="Verdana" w:hAnsi="Verdana"/>
          <w:bCs/>
          <w:iCs/>
          <w:sz w:val="20"/>
          <w:szCs w:val="20"/>
          <w:lang w:val="es-CO"/>
        </w:rPr>
        <w:t>s</w:t>
      </w:r>
      <w:r w:rsidR="00FB723A" w:rsidRPr="00662EED">
        <w:rPr>
          <w:rFonts w:ascii="Verdana" w:hAnsi="Verdana"/>
          <w:bCs/>
          <w:iCs/>
          <w:sz w:val="20"/>
          <w:szCs w:val="20"/>
          <w:lang w:val="es-CO"/>
        </w:rPr>
        <w:t xml:space="preserve"> con la acreditación del delito y la </w:t>
      </w:r>
      <w:r w:rsidR="00FB723A">
        <w:rPr>
          <w:rFonts w:ascii="Verdana" w:hAnsi="Verdana"/>
          <w:bCs/>
          <w:iCs/>
          <w:sz w:val="20"/>
          <w:szCs w:val="20"/>
          <w:lang w:val="es-CO"/>
        </w:rPr>
        <w:t xml:space="preserve">supuesta </w:t>
      </w:r>
      <w:r w:rsidR="00FB723A" w:rsidRPr="00662EED">
        <w:rPr>
          <w:rFonts w:ascii="Verdana" w:hAnsi="Verdana"/>
          <w:bCs/>
          <w:iCs/>
          <w:sz w:val="20"/>
          <w:szCs w:val="20"/>
          <w:lang w:val="es-CO"/>
        </w:rPr>
        <w:t xml:space="preserve">responsabilidad penal </w:t>
      </w:r>
      <w:r w:rsidR="00FB723A" w:rsidRPr="0007798A">
        <w:rPr>
          <w:rFonts w:ascii="Verdana" w:hAnsi="Verdana"/>
          <w:sz w:val="20"/>
          <w:szCs w:val="20"/>
          <w:lang w:val="es-ES"/>
        </w:rPr>
        <w:t>del señor Zegarra Marín</w:t>
      </w:r>
      <w:r w:rsidR="00A9720E">
        <w:rPr>
          <w:rFonts w:ascii="Verdana" w:hAnsi="Verdana"/>
          <w:sz w:val="20"/>
          <w:szCs w:val="20"/>
          <w:lang w:val="es-ES"/>
        </w:rPr>
        <w:t>.</w:t>
      </w:r>
    </w:p>
    <w:p w14:paraId="6D172CE2" w14:textId="77777777" w:rsidR="00FB723A" w:rsidRPr="00662EED" w:rsidRDefault="00FB723A" w:rsidP="000A0953">
      <w:pPr>
        <w:pStyle w:val="ListParagraph"/>
        <w:ind w:left="0"/>
        <w:rPr>
          <w:rFonts w:ascii="Verdana" w:hAnsi="Verdana"/>
          <w:sz w:val="20"/>
          <w:szCs w:val="20"/>
          <w:lang w:val="es-ES"/>
        </w:rPr>
      </w:pPr>
    </w:p>
    <w:p w14:paraId="08CB528C" w14:textId="045AA4C7" w:rsidR="003B1AE3" w:rsidRPr="000A0953" w:rsidRDefault="00FB723A" w:rsidP="00FB723A">
      <w:pPr>
        <w:pStyle w:val="ListParagraph"/>
        <w:numPr>
          <w:ilvl w:val="0"/>
          <w:numId w:val="2"/>
        </w:numPr>
        <w:ind w:left="0" w:hanging="11"/>
        <w:jc w:val="both"/>
        <w:rPr>
          <w:rFonts w:ascii="Verdana" w:hAnsi="Verdana" w:cs="Arial"/>
          <w:snapToGrid w:val="0"/>
          <w:sz w:val="20"/>
          <w:szCs w:val="20"/>
          <w:lang w:val="es-ES" w:eastAsia="es-ES"/>
        </w:rPr>
      </w:pPr>
      <w:r>
        <w:rPr>
          <w:rFonts w:ascii="Verdana" w:hAnsi="Verdana" w:cs="Arial"/>
          <w:snapToGrid w:val="0"/>
          <w:sz w:val="20"/>
          <w:szCs w:val="20"/>
          <w:lang w:val="es-ES" w:eastAsia="es-ES"/>
        </w:rPr>
        <w:t xml:space="preserve">Por otra parte, </w:t>
      </w:r>
      <w:r w:rsidR="008F4974" w:rsidRPr="000A0953">
        <w:rPr>
          <w:rFonts w:ascii="Verdana" w:hAnsi="Verdana" w:cs="Arial"/>
          <w:snapToGrid w:val="0"/>
          <w:sz w:val="20"/>
          <w:szCs w:val="20"/>
          <w:lang w:val="es-ES" w:eastAsia="es-ES"/>
        </w:rPr>
        <w:t>no pasa inadvertido para</w:t>
      </w:r>
      <w:r w:rsidR="008F4974">
        <w:rPr>
          <w:rFonts w:ascii="Verdana" w:hAnsi="Verdana" w:cs="Arial"/>
          <w:snapToGrid w:val="0"/>
          <w:sz w:val="20"/>
          <w:szCs w:val="20"/>
          <w:lang w:val="es-ES" w:eastAsia="es-ES"/>
        </w:rPr>
        <w:t xml:space="preserve"> </w:t>
      </w:r>
      <w:r>
        <w:rPr>
          <w:rFonts w:ascii="Verdana" w:hAnsi="Verdana" w:cs="Arial"/>
          <w:snapToGrid w:val="0"/>
          <w:sz w:val="20"/>
          <w:szCs w:val="20"/>
          <w:lang w:val="es-ES" w:eastAsia="es-ES"/>
        </w:rPr>
        <w:t>l</w:t>
      </w:r>
      <w:r w:rsidRPr="00FB1DE6">
        <w:rPr>
          <w:rFonts w:ascii="Verdana" w:hAnsi="Verdana" w:cs="Arial"/>
          <w:snapToGrid w:val="0"/>
          <w:sz w:val="20"/>
          <w:szCs w:val="20"/>
          <w:lang w:val="es-ES" w:eastAsia="es-ES"/>
        </w:rPr>
        <w:t>a Corte que</w:t>
      </w:r>
      <w:r w:rsidR="008F4974">
        <w:rPr>
          <w:rFonts w:ascii="Verdana" w:hAnsi="Verdana" w:cs="Arial"/>
          <w:snapToGrid w:val="0"/>
          <w:sz w:val="20"/>
          <w:szCs w:val="20"/>
          <w:lang w:val="es-ES" w:eastAsia="es-ES"/>
        </w:rPr>
        <w:t>,</w:t>
      </w:r>
      <w:r w:rsidRPr="00FB1DE6">
        <w:rPr>
          <w:rFonts w:ascii="Verdana" w:hAnsi="Verdana" w:cs="Arial"/>
          <w:snapToGrid w:val="0"/>
          <w:sz w:val="20"/>
          <w:szCs w:val="20"/>
          <w:lang w:val="es-ES" w:eastAsia="es-ES"/>
        </w:rPr>
        <w:t xml:space="preserve"> </w:t>
      </w:r>
      <w:r w:rsidRPr="00BA5177">
        <w:rPr>
          <w:rFonts w:ascii="Verdana" w:hAnsi="Verdana"/>
          <w:sz w:val="20"/>
          <w:szCs w:val="20"/>
          <w:lang w:val="es-MX"/>
        </w:rPr>
        <w:t>derivado del recurso de revisión interpuesto por el señor Zegarra Marín, los dos Vocales Supremos de la Corte Suprema de Justicia de la República</w:t>
      </w:r>
      <w:r w:rsidR="003B1AE3">
        <w:rPr>
          <w:rFonts w:ascii="Verdana" w:hAnsi="Verdana"/>
          <w:sz w:val="20"/>
          <w:szCs w:val="20"/>
          <w:lang w:val="es-MX"/>
        </w:rPr>
        <w:t>,</w:t>
      </w:r>
      <w:r w:rsidRPr="00BA5177">
        <w:rPr>
          <w:rFonts w:ascii="Verdana" w:hAnsi="Verdana"/>
          <w:sz w:val="20"/>
          <w:szCs w:val="20"/>
          <w:lang w:val="es-MX"/>
        </w:rPr>
        <w:t xml:space="preserve"> </w:t>
      </w:r>
      <w:r w:rsidRPr="00262BDF">
        <w:rPr>
          <w:rFonts w:ascii="Verdana" w:hAnsi="Verdana"/>
          <w:sz w:val="20"/>
          <w:szCs w:val="20"/>
          <w:lang w:val="es-MX"/>
        </w:rPr>
        <w:t xml:space="preserve">en su informe </w:t>
      </w:r>
      <w:r w:rsidRPr="00435C3A">
        <w:rPr>
          <w:rFonts w:ascii="Verdana" w:hAnsi="Verdana"/>
          <w:sz w:val="20"/>
          <w:szCs w:val="20"/>
          <w:lang w:val="es-MX"/>
        </w:rPr>
        <w:t>presentado al pleno de es</w:t>
      </w:r>
      <w:r w:rsidR="00A9720E">
        <w:rPr>
          <w:rFonts w:ascii="Verdana" w:hAnsi="Verdana"/>
          <w:sz w:val="20"/>
          <w:szCs w:val="20"/>
          <w:lang w:val="es-MX"/>
        </w:rPr>
        <w:t xml:space="preserve">a Corte Suprema, </w:t>
      </w:r>
      <w:r w:rsidRPr="00BA5177">
        <w:rPr>
          <w:rFonts w:ascii="Verdana" w:hAnsi="Verdana"/>
          <w:sz w:val="20"/>
          <w:szCs w:val="20"/>
          <w:lang w:val="es-MX"/>
        </w:rPr>
        <w:t xml:space="preserve">verificaron </w:t>
      </w:r>
      <w:r>
        <w:rPr>
          <w:rFonts w:ascii="Verdana" w:hAnsi="Verdana"/>
          <w:sz w:val="20"/>
          <w:szCs w:val="20"/>
          <w:lang w:val="es-MX"/>
        </w:rPr>
        <w:t>las siguientes irregularidades</w:t>
      </w:r>
      <w:r w:rsidRPr="00631B7B">
        <w:rPr>
          <w:rFonts w:ascii="Verdana" w:hAnsi="Verdana"/>
          <w:sz w:val="20"/>
          <w:szCs w:val="20"/>
          <w:lang w:val="es-CR"/>
        </w:rPr>
        <w:t xml:space="preserve"> </w:t>
      </w:r>
      <w:r>
        <w:rPr>
          <w:rFonts w:ascii="Verdana" w:hAnsi="Verdana"/>
          <w:sz w:val="20"/>
          <w:szCs w:val="20"/>
          <w:lang w:val="es-CR"/>
        </w:rPr>
        <w:t>en el caso concreto, a la luz de la legislación interna</w:t>
      </w:r>
      <w:r>
        <w:rPr>
          <w:rFonts w:ascii="Verdana" w:hAnsi="Verdana"/>
          <w:sz w:val="20"/>
          <w:szCs w:val="20"/>
          <w:lang w:val="es-MX"/>
        </w:rPr>
        <w:t>: no se valoró toda la prueba; la sentencia se sustentó en la sindicación de los co-acusados, sin que hubiesen sido corroboradas con otras pruebas</w:t>
      </w:r>
      <w:r>
        <w:rPr>
          <w:rFonts w:ascii="Verdana" w:hAnsi="Verdana"/>
          <w:sz w:val="20"/>
          <w:szCs w:val="20"/>
          <w:lang w:val="es-CR"/>
        </w:rPr>
        <w:t>; habría falta de motivación de la resolución</w:t>
      </w:r>
      <w:r w:rsidR="00264939">
        <w:rPr>
          <w:rFonts w:ascii="Verdana" w:hAnsi="Verdana"/>
          <w:sz w:val="20"/>
          <w:szCs w:val="20"/>
          <w:lang w:val="es-CR"/>
        </w:rPr>
        <w:t>; y</w:t>
      </w:r>
      <w:r>
        <w:rPr>
          <w:rFonts w:ascii="Verdana" w:hAnsi="Verdana"/>
          <w:sz w:val="20"/>
          <w:szCs w:val="20"/>
          <w:lang w:val="es-CR"/>
        </w:rPr>
        <w:t xml:space="preserve"> se habría invertido y violado el principio de presunción de inocencia (</w:t>
      </w:r>
      <w:r w:rsidRPr="0058104A">
        <w:rPr>
          <w:rFonts w:ascii="Verdana" w:hAnsi="Verdana"/>
          <w:i/>
          <w:sz w:val="20"/>
          <w:szCs w:val="20"/>
          <w:lang w:val="es-CR"/>
        </w:rPr>
        <w:t>supra</w:t>
      </w:r>
      <w:r>
        <w:rPr>
          <w:rFonts w:ascii="Verdana" w:hAnsi="Verdana"/>
          <w:sz w:val="20"/>
          <w:szCs w:val="20"/>
          <w:lang w:val="es-CR"/>
        </w:rPr>
        <w:t xml:space="preserve"> párr. </w:t>
      </w:r>
      <w:r w:rsidR="00264939">
        <w:rPr>
          <w:rFonts w:ascii="Verdana" w:hAnsi="Verdana"/>
          <w:sz w:val="20"/>
          <w:szCs w:val="20"/>
          <w:lang w:val="es-CR"/>
        </w:rPr>
        <w:t>104</w:t>
      </w:r>
      <w:r>
        <w:rPr>
          <w:rFonts w:ascii="Verdana" w:hAnsi="Verdana"/>
          <w:sz w:val="20"/>
          <w:szCs w:val="20"/>
          <w:lang w:val="es-CR"/>
        </w:rPr>
        <w:t xml:space="preserve">). </w:t>
      </w:r>
      <w:r w:rsidR="00264939">
        <w:rPr>
          <w:rFonts w:ascii="Verdana" w:hAnsi="Verdana"/>
          <w:sz w:val="20"/>
          <w:szCs w:val="20"/>
          <w:lang w:val="es-CR"/>
        </w:rPr>
        <w:t>A la misma conclusión habría llegado el</w:t>
      </w:r>
      <w:r>
        <w:rPr>
          <w:rFonts w:ascii="Verdana" w:hAnsi="Verdana"/>
          <w:sz w:val="20"/>
          <w:szCs w:val="20"/>
          <w:lang w:val="es-CR"/>
        </w:rPr>
        <w:t xml:space="preserve"> Fiscal Supremo de Control Interno </w:t>
      </w:r>
      <w:r w:rsidR="003B1AE3">
        <w:rPr>
          <w:rFonts w:ascii="Verdana" w:hAnsi="Verdana"/>
          <w:sz w:val="20"/>
          <w:szCs w:val="20"/>
          <w:lang w:val="es-CR"/>
        </w:rPr>
        <w:t xml:space="preserve">del Ministerio Público </w:t>
      </w:r>
      <w:r>
        <w:rPr>
          <w:rFonts w:ascii="Verdana" w:hAnsi="Verdana"/>
          <w:sz w:val="20"/>
          <w:szCs w:val="20"/>
          <w:lang w:val="es-CR"/>
        </w:rPr>
        <w:t>en 2003 (</w:t>
      </w:r>
      <w:r w:rsidRPr="0058104A">
        <w:rPr>
          <w:rFonts w:ascii="Verdana" w:hAnsi="Verdana"/>
          <w:i/>
          <w:sz w:val="20"/>
          <w:szCs w:val="20"/>
          <w:lang w:val="es-CR"/>
        </w:rPr>
        <w:t>supra</w:t>
      </w:r>
      <w:r>
        <w:rPr>
          <w:rFonts w:ascii="Verdana" w:hAnsi="Verdana"/>
          <w:sz w:val="20"/>
          <w:szCs w:val="20"/>
          <w:lang w:val="es-CR"/>
        </w:rPr>
        <w:t xml:space="preserve"> párr. 1</w:t>
      </w:r>
      <w:r w:rsidR="003B1AE3">
        <w:rPr>
          <w:rFonts w:ascii="Verdana" w:hAnsi="Verdana"/>
          <w:sz w:val="20"/>
          <w:szCs w:val="20"/>
          <w:lang w:val="es-CR"/>
        </w:rPr>
        <w:t>08</w:t>
      </w:r>
      <w:r>
        <w:rPr>
          <w:rFonts w:ascii="Verdana" w:hAnsi="Verdana"/>
          <w:sz w:val="20"/>
          <w:szCs w:val="20"/>
          <w:lang w:val="es-CR"/>
        </w:rPr>
        <w:t>).</w:t>
      </w:r>
    </w:p>
    <w:p w14:paraId="6D172CE4" w14:textId="77777777" w:rsidR="00FB723A" w:rsidRDefault="00FB723A" w:rsidP="00FB723A">
      <w:pPr>
        <w:tabs>
          <w:tab w:val="left" w:pos="284"/>
        </w:tabs>
        <w:jc w:val="both"/>
        <w:rPr>
          <w:rFonts w:ascii="Verdana" w:hAnsi="Verdana" w:cs="Arial"/>
          <w:snapToGrid w:val="0"/>
          <w:sz w:val="20"/>
          <w:szCs w:val="20"/>
          <w:lang w:val="es-ES" w:eastAsia="es-ES"/>
        </w:rPr>
      </w:pPr>
    </w:p>
    <w:p w14:paraId="6D172CE5" w14:textId="0E8608B8" w:rsidR="00FB723A" w:rsidRPr="000A0953" w:rsidRDefault="00FB723A" w:rsidP="000A0953">
      <w:pPr>
        <w:pStyle w:val="Heading3"/>
        <w:numPr>
          <w:ilvl w:val="0"/>
          <w:numId w:val="26"/>
        </w:numPr>
        <w:rPr>
          <w:rFonts w:ascii="Verdana" w:hAnsi="Verdana"/>
          <w:i/>
          <w:color w:val="auto"/>
          <w:sz w:val="20"/>
          <w:szCs w:val="20"/>
        </w:rPr>
      </w:pPr>
      <w:bookmarkStart w:id="64" w:name="_Toc482093058"/>
      <w:r w:rsidRPr="00E114CC">
        <w:rPr>
          <w:rFonts w:ascii="Verdana" w:hAnsi="Verdana"/>
          <w:i/>
          <w:color w:val="auto"/>
          <w:sz w:val="20"/>
          <w:szCs w:val="20"/>
        </w:rPr>
        <w:t>Conclusi</w:t>
      </w:r>
      <w:r w:rsidR="00A9720E">
        <w:rPr>
          <w:rFonts w:ascii="Verdana" w:hAnsi="Verdana"/>
          <w:i/>
          <w:color w:val="auto"/>
          <w:sz w:val="20"/>
          <w:szCs w:val="20"/>
        </w:rPr>
        <w:t>ón</w:t>
      </w:r>
      <w:bookmarkEnd w:id="64"/>
      <w:r w:rsidRPr="00E114CC">
        <w:rPr>
          <w:rFonts w:ascii="Verdana" w:hAnsi="Verdana"/>
          <w:i/>
          <w:color w:val="auto"/>
          <w:sz w:val="20"/>
          <w:szCs w:val="20"/>
        </w:rPr>
        <w:t xml:space="preserve"> </w:t>
      </w:r>
    </w:p>
    <w:p w14:paraId="6D172CE6" w14:textId="77777777" w:rsidR="00FB723A" w:rsidRDefault="00FB723A" w:rsidP="00FB723A">
      <w:pPr>
        <w:tabs>
          <w:tab w:val="left" w:pos="284"/>
        </w:tabs>
        <w:jc w:val="both"/>
        <w:rPr>
          <w:rFonts w:ascii="Verdana" w:hAnsi="Verdana" w:cs="Arial"/>
          <w:snapToGrid w:val="0"/>
          <w:sz w:val="20"/>
          <w:szCs w:val="20"/>
          <w:lang w:val="es-ES" w:eastAsia="es-ES"/>
        </w:rPr>
      </w:pPr>
    </w:p>
    <w:p w14:paraId="6D172CE7" w14:textId="427941B4" w:rsidR="00FB723A" w:rsidRPr="00AB72AE" w:rsidRDefault="00FB723A" w:rsidP="00FB723A">
      <w:pPr>
        <w:pStyle w:val="ListParagraph"/>
        <w:numPr>
          <w:ilvl w:val="0"/>
          <w:numId w:val="2"/>
        </w:numPr>
        <w:ind w:left="0" w:hanging="11"/>
        <w:jc w:val="both"/>
        <w:rPr>
          <w:rFonts w:ascii="Verdana" w:hAnsi="Verdana"/>
          <w:sz w:val="20"/>
          <w:szCs w:val="20"/>
          <w:lang w:val="es-CR"/>
        </w:rPr>
      </w:pPr>
      <w:r w:rsidRPr="00542AB9">
        <w:rPr>
          <w:rFonts w:ascii="Verdana" w:hAnsi="Verdana" w:cs="Arial"/>
          <w:snapToGrid w:val="0"/>
          <w:sz w:val="20"/>
          <w:szCs w:val="20"/>
          <w:lang w:val="es-ES" w:eastAsia="es-ES"/>
        </w:rPr>
        <w:lastRenderedPageBreak/>
        <w:t>En</w:t>
      </w:r>
      <w:r w:rsidRPr="00AB72AE">
        <w:rPr>
          <w:rFonts w:ascii="Verdana" w:hAnsi="Verdana"/>
          <w:sz w:val="20"/>
          <w:szCs w:val="20"/>
          <w:lang w:val="es-CR"/>
        </w:rPr>
        <w:t xml:space="preserve"> vista de todo lo anterior</w:t>
      </w:r>
      <w:r>
        <w:rPr>
          <w:rFonts w:ascii="Verdana" w:hAnsi="Verdana"/>
          <w:sz w:val="20"/>
          <w:szCs w:val="20"/>
          <w:lang w:val="es-CR"/>
        </w:rPr>
        <w:t>,</w:t>
      </w:r>
      <w:r w:rsidRPr="00AB72AE">
        <w:rPr>
          <w:rFonts w:ascii="Verdana" w:hAnsi="Verdana"/>
          <w:sz w:val="20"/>
          <w:szCs w:val="20"/>
          <w:lang w:val="es-CR"/>
        </w:rPr>
        <w:t xml:space="preserve"> la Corte concluye que, para efectos del presente caso, el Estado violó el principio de presunción de inocencia del señor Zegarra Marín</w:t>
      </w:r>
      <w:r w:rsidR="008F4974">
        <w:rPr>
          <w:rFonts w:ascii="Verdana" w:hAnsi="Verdana"/>
          <w:sz w:val="20"/>
          <w:szCs w:val="20"/>
          <w:lang w:val="es-CR"/>
        </w:rPr>
        <w:t xml:space="preserve"> </w:t>
      </w:r>
      <w:r w:rsidR="008F4974" w:rsidRPr="000A0953">
        <w:rPr>
          <w:rFonts w:ascii="Verdana" w:hAnsi="Verdana"/>
          <w:sz w:val="20"/>
          <w:szCs w:val="20"/>
          <w:lang w:val="es-CR"/>
        </w:rPr>
        <w:t>y no garantizó la motivación del fallo. En particular,</w:t>
      </w:r>
      <w:r w:rsidRPr="00AB72AE">
        <w:rPr>
          <w:rFonts w:ascii="Verdana" w:hAnsi="Verdana"/>
          <w:sz w:val="20"/>
          <w:szCs w:val="20"/>
          <w:lang w:val="es-CR"/>
        </w:rPr>
        <w:t xml:space="preserve"> se invirtió la carga probatoria, las declaraciones de lo</w:t>
      </w:r>
      <w:r w:rsidR="00260B4F">
        <w:rPr>
          <w:rFonts w:ascii="Verdana" w:hAnsi="Verdana"/>
          <w:sz w:val="20"/>
          <w:szCs w:val="20"/>
          <w:lang w:val="es-CR"/>
        </w:rPr>
        <w:t>s</w:t>
      </w:r>
      <w:r w:rsidRPr="00AB72AE">
        <w:rPr>
          <w:rFonts w:ascii="Verdana" w:hAnsi="Verdana"/>
          <w:sz w:val="20"/>
          <w:szCs w:val="20"/>
          <w:lang w:val="es-CR"/>
        </w:rPr>
        <w:t xml:space="preserve"> coimputados no fueron corroboradas ni </w:t>
      </w:r>
      <w:r>
        <w:rPr>
          <w:rFonts w:ascii="Verdana" w:hAnsi="Verdana"/>
          <w:sz w:val="20"/>
          <w:szCs w:val="20"/>
          <w:lang w:val="es-CR"/>
        </w:rPr>
        <w:t>analizadas</w:t>
      </w:r>
      <w:r w:rsidRPr="00AB72AE">
        <w:rPr>
          <w:rFonts w:ascii="Verdana" w:hAnsi="Verdana"/>
          <w:sz w:val="20"/>
          <w:szCs w:val="20"/>
          <w:lang w:val="es-CR"/>
        </w:rPr>
        <w:t xml:space="preserve"> con la prueba en su conjunto, </w:t>
      </w:r>
      <w:r>
        <w:rPr>
          <w:rFonts w:ascii="Verdana" w:hAnsi="Verdana"/>
          <w:sz w:val="20"/>
          <w:szCs w:val="20"/>
          <w:lang w:val="es-CR"/>
        </w:rPr>
        <w:t xml:space="preserve">a fin de determinar la responsabilidad penal más allá de toda duda razonable, </w:t>
      </w:r>
      <w:r w:rsidRPr="00AB72AE">
        <w:rPr>
          <w:rFonts w:ascii="Verdana" w:hAnsi="Verdana"/>
          <w:sz w:val="20"/>
          <w:szCs w:val="20"/>
          <w:lang w:val="es-CR"/>
        </w:rPr>
        <w:t xml:space="preserve">lo cual además quedó </w:t>
      </w:r>
      <w:r>
        <w:rPr>
          <w:rFonts w:ascii="Verdana" w:hAnsi="Verdana"/>
          <w:sz w:val="20"/>
          <w:szCs w:val="20"/>
          <w:lang w:val="es-CR"/>
        </w:rPr>
        <w:t>evidenciado con</w:t>
      </w:r>
      <w:r w:rsidRPr="00AB72AE">
        <w:rPr>
          <w:rFonts w:ascii="Verdana" w:hAnsi="Verdana"/>
          <w:sz w:val="20"/>
          <w:szCs w:val="20"/>
          <w:lang w:val="es-CR"/>
        </w:rPr>
        <w:t xml:space="preserve"> la falta de motivación de la decisión judicial</w:t>
      </w:r>
      <w:r>
        <w:rPr>
          <w:rFonts w:ascii="Verdana" w:hAnsi="Verdana"/>
          <w:sz w:val="20"/>
          <w:szCs w:val="20"/>
          <w:lang w:val="es-CR"/>
        </w:rPr>
        <w:t>, vulnerando la obtención de una fallo debidamente razonado, el cual garantizara la posibilidad de su impugnación.</w:t>
      </w:r>
      <w:r w:rsidRPr="00AB72AE">
        <w:rPr>
          <w:rFonts w:ascii="Verdana" w:hAnsi="Verdana"/>
          <w:sz w:val="20"/>
          <w:szCs w:val="20"/>
          <w:lang w:val="es-CR"/>
        </w:rPr>
        <w:t xml:space="preserve"> Por tanto, el Estado es internacionalmente responsable de la violación de los artículos 8.1 y 8.2 de la Convención Americana, en perjuicio del señor Zegarra Marín. </w:t>
      </w:r>
    </w:p>
    <w:p w14:paraId="6D172CE8" w14:textId="77777777" w:rsidR="00FB723A" w:rsidRDefault="00FB723A" w:rsidP="00FB723A">
      <w:pPr>
        <w:jc w:val="both"/>
        <w:rPr>
          <w:rFonts w:ascii="Verdana" w:hAnsi="Verdana"/>
          <w:sz w:val="20"/>
          <w:szCs w:val="20"/>
          <w:lang w:val="es-CR"/>
        </w:rPr>
      </w:pPr>
    </w:p>
    <w:p w14:paraId="6D172CE9" w14:textId="77777777" w:rsidR="00FB723A" w:rsidRDefault="00FB723A" w:rsidP="00FB723A">
      <w:pPr>
        <w:pStyle w:val="Heading1"/>
        <w:tabs>
          <w:tab w:val="left" w:pos="851"/>
        </w:tabs>
        <w:spacing w:before="0"/>
        <w:jc w:val="center"/>
        <w:rPr>
          <w:rFonts w:ascii="Verdana" w:hAnsi="Verdana" w:cs="Verdana"/>
          <w:caps/>
          <w:snapToGrid w:val="0"/>
          <w:color w:val="auto"/>
          <w:sz w:val="20"/>
          <w:szCs w:val="20"/>
        </w:rPr>
      </w:pPr>
      <w:bookmarkStart w:id="65" w:name="_Toc462239163"/>
      <w:bookmarkStart w:id="66" w:name="_Toc336811059"/>
      <w:bookmarkStart w:id="67" w:name="_Toc482093059"/>
      <w:r>
        <w:rPr>
          <w:rFonts w:ascii="Verdana" w:hAnsi="Verdana" w:cs="Verdana"/>
          <w:caps/>
          <w:snapToGrid w:val="0"/>
          <w:color w:val="auto"/>
          <w:sz w:val="20"/>
          <w:szCs w:val="20"/>
        </w:rPr>
        <w:t>VII</w:t>
      </w:r>
      <w:r w:rsidR="006274F9">
        <w:rPr>
          <w:rFonts w:ascii="Verdana" w:hAnsi="Verdana" w:cs="Verdana"/>
          <w:caps/>
          <w:snapToGrid w:val="0"/>
          <w:color w:val="auto"/>
          <w:sz w:val="20"/>
          <w:szCs w:val="20"/>
        </w:rPr>
        <w:t>I</w:t>
      </w:r>
      <w:r>
        <w:rPr>
          <w:rFonts w:ascii="Verdana" w:hAnsi="Verdana" w:cs="Verdana"/>
          <w:caps/>
          <w:snapToGrid w:val="0"/>
          <w:color w:val="auto"/>
          <w:sz w:val="20"/>
          <w:szCs w:val="20"/>
        </w:rPr>
        <w:t>-2</w:t>
      </w:r>
      <w:bookmarkEnd w:id="65"/>
      <w:bookmarkEnd w:id="66"/>
      <w:bookmarkEnd w:id="67"/>
    </w:p>
    <w:p w14:paraId="6D172CEA" w14:textId="77777777" w:rsidR="00FB723A" w:rsidRDefault="00FB723A" w:rsidP="00FB723A">
      <w:pPr>
        <w:pStyle w:val="Heading1"/>
        <w:tabs>
          <w:tab w:val="left" w:pos="851"/>
        </w:tabs>
        <w:spacing w:before="0"/>
        <w:jc w:val="center"/>
        <w:rPr>
          <w:rFonts w:ascii="Verdana" w:hAnsi="Verdana" w:cs="Verdana"/>
          <w:caps/>
          <w:snapToGrid w:val="0"/>
          <w:color w:val="auto"/>
          <w:sz w:val="20"/>
          <w:szCs w:val="20"/>
        </w:rPr>
      </w:pPr>
      <w:bookmarkStart w:id="68" w:name="_Toc482093060"/>
      <w:r w:rsidRPr="003A2E91">
        <w:rPr>
          <w:rFonts w:ascii="Verdana" w:hAnsi="Verdana" w:cs="Verdana"/>
          <w:caps/>
          <w:snapToGrid w:val="0"/>
          <w:color w:val="auto"/>
          <w:sz w:val="20"/>
          <w:szCs w:val="20"/>
        </w:rPr>
        <w:t xml:space="preserve">DERECHO A LAS GARANTÍAS JUDICIALES </w:t>
      </w:r>
      <w:r w:rsidRPr="00542AB9">
        <w:rPr>
          <w:rFonts w:ascii="Verdana" w:hAnsi="Verdana" w:cs="Verdana"/>
          <w:caps/>
          <w:snapToGrid w:val="0"/>
          <w:color w:val="auto"/>
          <w:sz w:val="20"/>
          <w:szCs w:val="20"/>
        </w:rPr>
        <w:t xml:space="preserve">y LA </w:t>
      </w:r>
      <w:r w:rsidRPr="00013E42">
        <w:rPr>
          <w:rFonts w:ascii="Verdana" w:hAnsi="Verdana" w:cs="Verdana"/>
          <w:caps/>
          <w:snapToGrid w:val="0"/>
          <w:color w:val="auto"/>
          <w:sz w:val="20"/>
          <w:szCs w:val="20"/>
        </w:rPr>
        <w:t>PROTECCIÓN JUDICIAL</w:t>
      </w:r>
      <w:bookmarkEnd w:id="68"/>
    </w:p>
    <w:p w14:paraId="6D172CEB" w14:textId="77777777" w:rsidR="00FB723A" w:rsidRPr="008A301C" w:rsidRDefault="00FB723A" w:rsidP="00FB723A">
      <w:pPr>
        <w:pStyle w:val="Heading1"/>
        <w:tabs>
          <w:tab w:val="left" w:pos="851"/>
        </w:tabs>
        <w:spacing w:before="0"/>
        <w:jc w:val="center"/>
        <w:rPr>
          <w:rFonts w:ascii="Verdana" w:hAnsi="Verdana" w:cs="Verdana"/>
          <w:caps/>
          <w:snapToGrid w:val="0"/>
          <w:color w:val="auto"/>
          <w:sz w:val="20"/>
          <w:szCs w:val="20"/>
        </w:rPr>
      </w:pPr>
      <w:bookmarkStart w:id="69" w:name="_Toc462239165"/>
      <w:bookmarkStart w:id="70" w:name="_Toc482093061"/>
      <w:r w:rsidRPr="00113C25">
        <w:rPr>
          <w:rFonts w:ascii="Verdana" w:hAnsi="Verdana" w:cs="Verdana"/>
          <w:snapToGrid w:val="0"/>
          <w:color w:val="auto"/>
          <w:sz w:val="20"/>
          <w:szCs w:val="20"/>
        </w:rPr>
        <w:t>(</w:t>
      </w:r>
      <w:r w:rsidRPr="00113C25">
        <w:rPr>
          <w:rFonts w:ascii="Verdana" w:hAnsi="Verdana"/>
          <w:color w:val="auto"/>
          <w:sz w:val="20"/>
          <w:szCs w:val="20"/>
        </w:rPr>
        <w:t>DERECHO A RECURRIR EL FALLO Y A LA PROTECCIÓN JUDICIAL)</w:t>
      </w:r>
      <w:bookmarkEnd w:id="69"/>
      <w:bookmarkEnd w:id="70"/>
    </w:p>
    <w:p w14:paraId="6D172CEC" w14:textId="77777777" w:rsidR="00FB723A" w:rsidRPr="003E2B77" w:rsidRDefault="00FB723A" w:rsidP="00FB723A">
      <w:pPr>
        <w:contextualSpacing/>
        <w:jc w:val="both"/>
        <w:rPr>
          <w:rFonts w:ascii="Verdana" w:hAnsi="Verdana"/>
          <w:b/>
          <w:sz w:val="20"/>
          <w:szCs w:val="20"/>
          <w:lang w:val="es-MX"/>
        </w:rPr>
      </w:pPr>
    </w:p>
    <w:p w14:paraId="6D172CED" w14:textId="77777777" w:rsidR="00FB723A" w:rsidRPr="00113C25" w:rsidRDefault="00FB723A" w:rsidP="00D83DC8">
      <w:pPr>
        <w:pStyle w:val="Heading2"/>
        <w:numPr>
          <w:ilvl w:val="0"/>
          <w:numId w:val="14"/>
        </w:numPr>
        <w:spacing w:before="0"/>
        <w:jc w:val="both"/>
        <w:rPr>
          <w:rFonts w:ascii="Verdana" w:hAnsi="Verdana"/>
          <w:bCs w:val="0"/>
          <w:i/>
          <w:color w:val="auto"/>
          <w:sz w:val="20"/>
          <w:szCs w:val="20"/>
        </w:rPr>
      </w:pPr>
      <w:bookmarkStart w:id="71" w:name="_Toc482093062"/>
      <w:r w:rsidRPr="00113C25">
        <w:rPr>
          <w:rFonts w:ascii="Verdana" w:hAnsi="Verdana"/>
          <w:bCs w:val="0"/>
          <w:i/>
          <w:color w:val="auto"/>
          <w:sz w:val="20"/>
          <w:szCs w:val="20"/>
        </w:rPr>
        <w:t>Argumentos de las partes y de la Comisión</w:t>
      </w:r>
      <w:bookmarkEnd w:id="71"/>
    </w:p>
    <w:p w14:paraId="6D172CEE" w14:textId="77777777" w:rsidR="00FB723A" w:rsidRPr="003E2B77" w:rsidRDefault="00FB723A" w:rsidP="00FB723A">
      <w:pPr>
        <w:contextualSpacing/>
        <w:jc w:val="both"/>
        <w:rPr>
          <w:rFonts w:ascii="Verdana" w:hAnsi="Verdana"/>
          <w:b/>
          <w:sz w:val="20"/>
          <w:szCs w:val="20"/>
          <w:lang w:val="es-MX"/>
        </w:rPr>
      </w:pPr>
    </w:p>
    <w:p w14:paraId="6D172CEF" w14:textId="2ADDD0E1" w:rsidR="00FB723A" w:rsidRPr="003E2B77" w:rsidRDefault="00FB723A" w:rsidP="00FB723A">
      <w:pPr>
        <w:pStyle w:val="ListParagraph"/>
        <w:numPr>
          <w:ilvl w:val="0"/>
          <w:numId w:val="2"/>
        </w:numPr>
        <w:ind w:left="0" w:hanging="11"/>
        <w:jc w:val="both"/>
        <w:rPr>
          <w:rFonts w:ascii="Verdana" w:hAnsi="Verdana"/>
          <w:sz w:val="20"/>
          <w:szCs w:val="20"/>
          <w:lang w:val="es-CR"/>
        </w:rPr>
      </w:pPr>
      <w:r w:rsidRPr="003E2B77">
        <w:rPr>
          <w:rFonts w:ascii="Verdana" w:eastAsia="MS Mincho" w:hAnsi="Verdana" w:cs="Verdana"/>
          <w:sz w:val="20"/>
          <w:szCs w:val="20"/>
          <w:lang w:val="es-ES" w:eastAsia="es-ES"/>
        </w:rPr>
        <w:t xml:space="preserve">La </w:t>
      </w:r>
      <w:r w:rsidRPr="003E2B77">
        <w:rPr>
          <w:rFonts w:ascii="Verdana" w:eastAsia="MS Mincho" w:hAnsi="Verdana" w:cs="Verdana"/>
          <w:b/>
          <w:bCs/>
          <w:i/>
          <w:iCs/>
          <w:sz w:val="20"/>
          <w:szCs w:val="20"/>
          <w:lang w:val="es-ES" w:eastAsia="es-ES"/>
        </w:rPr>
        <w:t xml:space="preserve">Comisión </w:t>
      </w:r>
      <w:r w:rsidRPr="003E2B77">
        <w:rPr>
          <w:rFonts w:ascii="Verdana" w:eastAsia="MS Mincho" w:hAnsi="Verdana" w:cs="Verdana"/>
          <w:sz w:val="20"/>
          <w:szCs w:val="20"/>
          <w:lang w:val="es-ES" w:eastAsia="es-ES"/>
        </w:rPr>
        <w:t>en su Informe de Fondo concluyó que el Estado violó el derecho a recurrir el fallo y el derecho a la protección judicial establecidos en los artículos 8.2</w:t>
      </w:r>
      <w:r w:rsidR="00374910">
        <w:rPr>
          <w:rFonts w:ascii="Verdana" w:eastAsia="MS Mincho" w:hAnsi="Verdana" w:cs="Verdana"/>
          <w:sz w:val="20"/>
          <w:szCs w:val="20"/>
          <w:lang w:val="es-ES" w:eastAsia="es-ES"/>
        </w:rPr>
        <w:t xml:space="preserve"> </w:t>
      </w:r>
      <w:r w:rsidRPr="003E2B77">
        <w:rPr>
          <w:rFonts w:ascii="Verdana" w:eastAsia="MS Mincho" w:hAnsi="Verdana" w:cs="Verdana"/>
          <w:sz w:val="20"/>
          <w:szCs w:val="20"/>
          <w:lang w:val="es-ES" w:eastAsia="es-ES"/>
        </w:rPr>
        <w:t>(h) y 25 de la Convención Americana en relación con las obligaciones establecidas en el artículo 1.1 del mismo instrumento</w:t>
      </w:r>
      <w:r w:rsidRPr="000A0953">
        <w:rPr>
          <w:rFonts w:ascii="Verdana" w:eastAsia="MS Mincho" w:hAnsi="Verdana"/>
          <w:sz w:val="20"/>
          <w:lang w:val="es-ES" w:eastAsia="es-ES"/>
        </w:rPr>
        <w:t>.</w:t>
      </w:r>
      <w:r w:rsidRPr="003E2B77">
        <w:rPr>
          <w:rFonts w:ascii="Verdana" w:eastAsia="MS Mincho" w:hAnsi="Verdana" w:cs="Verdana"/>
          <w:b/>
          <w:bCs/>
          <w:sz w:val="20"/>
          <w:szCs w:val="20"/>
          <w:lang w:val="es-ES" w:eastAsia="es-ES"/>
        </w:rPr>
        <w:t xml:space="preserve"> </w:t>
      </w:r>
      <w:r w:rsidRPr="003E2B77">
        <w:rPr>
          <w:rFonts w:ascii="Verdana" w:eastAsia="MS Mincho" w:hAnsi="Verdana" w:cs="Verdana"/>
          <w:sz w:val="20"/>
          <w:szCs w:val="20"/>
          <w:lang w:val="es-ES" w:eastAsia="es-ES"/>
        </w:rPr>
        <w:t>Al respecto, la Comisión encontró que el señor Zegarra Marín interpuso dos recursos contra la sentencia condenatoria, a saber</w:t>
      </w:r>
      <w:r>
        <w:rPr>
          <w:rFonts w:ascii="Verdana" w:eastAsia="MS Mincho" w:hAnsi="Verdana" w:cs="Verdana"/>
          <w:sz w:val="20"/>
          <w:szCs w:val="20"/>
          <w:lang w:val="es-ES" w:eastAsia="es-ES"/>
        </w:rPr>
        <w:t>:</w:t>
      </w:r>
      <w:r w:rsidRPr="003E2B77">
        <w:rPr>
          <w:rFonts w:ascii="Verdana" w:eastAsia="MS Mincho" w:hAnsi="Verdana" w:cs="Verdana"/>
          <w:sz w:val="20"/>
          <w:szCs w:val="20"/>
          <w:lang w:val="es-ES" w:eastAsia="es-ES"/>
        </w:rPr>
        <w:t xml:space="preserve"> un recurso de nulidad y uno de revisión. La Comisión señaló que las causales contempladas en </w:t>
      </w:r>
      <w:r w:rsidR="00823340">
        <w:rPr>
          <w:rFonts w:ascii="Verdana" w:eastAsia="MS Mincho" w:hAnsi="Verdana" w:cs="Verdana"/>
          <w:sz w:val="20"/>
          <w:szCs w:val="20"/>
          <w:lang w:val="es-ES" w:eastAsia="es-ES"/>
        </w:rPr>
        <w:t xml:space="preserve">el </w:t>
      </w:r>
      <w:r w:rsidRPr="003E2B77">
        <w:rPr>
          <w:rFonts w:ascii="Verdana" w:eastAsia="MS Mincho" w:hAnsi="Verdana" w:cs="Verdana"/>
          <w:sz w:val="20"/>
          <w:szCs w:val="20"/>
          <w:lang w:val="es-ES" w:eastAsia="es-ES"/>
        </w:rPr>
        <w:t xml:space="preserve">artículo 298 del Código Procesal Penal para el </w:t>
      </w:r>
      <w:r w:rsidRPr="000A0953">
        <w:rPr>
          <w:rFonts w:ascii="Verdana" w:eastAsia="MS Mincho" w:hAnsi="Verdana" w:cs="Verdana"/>
          <w:i/>
          <w:sz w:val="20"/>
          <w:szCs w:val="20"/>
          <w:lang w:val="es-ES" w:eastAsia="es-ES"/>
        </w:rPr>
        <w:t>recurso de nulidad</w:t>
      </w:r>
      <w:r w:rsidRPr="003E2B77">
        <w:rPr>
          <w:rFonts w:ascii="Verdana" w:eastAsia="MS Mincho" w:hAnsi="Verdana" w:cs="Verdana"/>
          <w:sz w:val="20"/>
          <w:szCs w:val="20"/>
          <w:lang w:val="es-ES" w:eastAsia="es-ES"/>
        </w:rPr>
        <w:t xml:space="preserve"> no permitían al señor Zegarra Marín solicitar una revisión integral de los hechos y de la prueba</w:t>
      </w:r>
      <w:r w:rsidR="005A4252">
        <w:rPr>
          <w:rFonts w:ascii="Verdana" w:eastAsia="MS Mincho" w:hAnsi="Verdana" w:cs="Verdana"/>
          <w:sz w:val="20"/>
          <w:szCs w:val="20"/>
          <w:lang w:val="es-ES" w:eastAsia="es-ES"/>
        </w:rPr>
        <w:t>,</w:t>
      </w:r>
      <w:r w:rsidRPr="003E2B77">
        <w:rPr>
          <w:rFonts w:ascii="Verdana" w:eastAsia="MS Mincho" w:hAnsi="Verdana" w:cs="Verdana"/>
          <w:sz w:val="20"/>
          <w:szCs w:val="20"/>
          <w:lang w:val="es-ES" w:eastAsia="es-ES"/>
        </w:rPr>
        <w:t xml:space="preserve"> de tal forma que se cumpliera con el doble conforme. Además, la motivación emitida por la Sala Penal Suprema evidenció que no se efectuó una revisión de la sentencia de primera instancia de conformidad con las exigencias del artículo 8.2</w:t>
      </w:r>
      <w:r w:rsidR="00374910">
        <w:rPr>
          <w:rFonts w:ascii="Verdana" w:eastAsia="MS Mincho" w:hAnsi="Verdana" w:cs="Verdana"/>
          <w:sz w:val="20"/>
          <w:szCs w:val="20"/>
          <w:lang w:val="es-ES" w:eastAsia="es-ES"/>
        </w:rPr>
        <w:t xml:space="preserve"> </w:t>
      </w:r>
      <w:r w:rsidRPr="003E2B77">
        <w:rPr>
          <w:rFonts w:ascii="Verdana" w:eastAsia="MS Mincho" w:hAnsi="Verdana" w:cs="Verdana"/>
          <w:sz w:val="20"/>
          <w:szCs w:val="20"/>
          <w:lang w:val="es-ES" w:eastAsia="es-ES"/>
        </w:rPr>
        <w:t xml:space="preserve">(h) de la Convención, pues la autoridad judicial no indicó las razones por las cuales consideró que la responsabilidad continuó estando acreditada ni se refirió de manera individualizada a los distintos procesados y tampoco se pronunció sobre las violaciones procesales, específicamente sobre </w:t>
      </w:r>
      <w:r w:rsidR="00823340">
        <w:rPr>
          <w:rFonts w:ascii="Verdana" w:eastAsia="MS Mincho" w:hAnsi="Verdana" w:cs="Verdana"/>
          <w:sz w:val="20"/>
          <w:szCs w:val="20"/>
          <w:lang w:val="es-ES" w:eastAsia="es-ES"/>
        </w:rPr>
        <w:t xml:space="preserve">la conformidad del fallo con </w:t>
      </w:r>
      <w:r w:rsidRPr="003E2B77">
        <w:rPr>
          <w:rFonts w:ascii="Verdana" w:eastAsia="MS Mincho" w:hAnsi="Verdana" w:cs="Verdana"/>
          <w:sz w:val="20"/>
          <w:szCs w:val="20"/>
          <w:lang w:val="es-ES" w:eastAsia="es-ES"/>
        </w:rPr>
        <w:t>el principio de presunción de inocencia.</w:t>
      </w:r>
    </w:p>
    <w:p w14:paraId="6D172CF0" w14:textId="77777777" w:rsidR="00FB723A" w:rsidRPr="003E2B77" w:rsidRDefault="00FB723A" w:rsidP="00FB723A">
      <w:pPr>
        <w:pStyle w:val="ListParagraph"/>
        <w:ind w:left="0"/>
        <w:jc w:val="both"/>
        <w:rPr>
          <w:rFonts w:ascii="Verdana" w:hAnsi="Verdana"/>
          <w:sz w:val="20"/>
          <w:szCs w:val="20"/>
          <w:lang w:val="es-CR"/>
        </w:rPr>
      </w:pPr>
    </w:p>
    <w:p w14:paraId="6D172CF1" w14:textId="16A39E4B" w:rsidR="00FB723A" w:rsidRPr="003E2B77" w:rsidRDefault="00FB723A" w:rsidP="00FB723A">
      <w:pPr>
        <w:pStyle w:val="ListParagraph"/>
        <w:numPr>
          <w:ilvl w:val="0"/>
          <w:numId w:val="2"/>
        </w:numPr>
        <w:ind w:left="0" w:hanging="11"/>
        <w:jc w:val="both"/>
        <w:rPr>
          <w:rFonts w:ascii="Verdana" w:hAnsi="Verdana"/>
          <w:sz w:val="20"/>
          <w:szCs w:val="20"/>
          <w:lang w:val="es-CR"/>
        </w:rPr>
      </w:pPr>
      <w:r w:rsidRPr="003E2B77">
        <w:rPr>
          <w:rFonts w:ascii="Verdana" w:eastAsia="MS Mincho" w:hAnsi="Verdana" w:cs="Verdana"/>
          <w:sz w:val="20"/>
          <w:szCs w:val="20"/>
          <w:lang w:val="es-ES" w:eastAsia="es-ES"/>
        </w:rPr>
        <w:t xml:space="preserve">Por otra parte, la Comisión verificó que el </w:t>
      </w:r>
      <w:r w:rsidRPr="000A0953">
        <w:rPr>
          <w:rFonts w:ascii="Verdana" w:eastAsia="MS Mincho" w:hAnsi="Verdana" w:cs="Verdana"/>
          <w:i/>
          <w:sz w:val="20"/>
          <w:szCs w:val="20"/>
          <w:lang w:val="es-ES" w:eastAsia="es-ES"/>
        </w:rPr>
        <w:t>recurso de revisión</w:t>
      </w:r>
      <w:r w:rsidRPr="003E2B77">
        <w:rPr>
          <w:rFonts w:ascii="Verdana" w:eastAsia="MS Mincho" w:hAnsi="Verdana" w:cs="Verdana"/>
          <w:sz w:val="20"/>
          <w:szCs w:val="20"/>
          <w:lang w:val="es-ES" w:eastAsia="es-ES"/>
        </w:rPr>
        <w:t xml:space="preserve"> fue declarado improcedente por la Corte Suprema de Justicia con fundamento en que la presunta violación del principio de inocencia no estaba contemplado en el artículo 361 del Código Procesal Penal como causal de procedencia de dicho recurso. Asimismo, la Comisión destacó que los dos Vocales Supremos dejaron constancia de la configuración de la violación al principio de presunción de inocencia y de la inversión de la carga de la prueba. A pesar de ello, indicaron que existía una limitación legal para conceder el recurso y que eran necesarias reformas legislativas. En ese sentido, las autoridades judiciales tomaron nota de una violación de garantías constitucionales y convencionales, y no dispusieron los medios para remediarla, en violación del derecho a la protección judicial</w:t>
      </w:r>
      <w:r w:rsidR="00823340">
        <w:rPr>
          <w:rFonts w:ascii="Verdana" w:eastAsia="MS Mincho" w:hAnsi="Verdana" w:cs="Verdana"/>
          <w:sz w:val="20"/>
          <w:szCs w:val="20"/>
          <w:lang w:val="es-ES" w:eastAsia="es-ES"/>
        </w:rPr>
        <w:t>.</w:t>
      </w:r>
    </w:p>
    <w:p w14:paraId="6D172CF2" w14:textId="77777777" w:rsidR="00FB723A" w:rsidRPr="003E2B77" w:rsidRDefault="00FB723A" w:rsidP="00FB723A">
      <w:pPr>
        <w:pStyle w:val="ListParagraph"/>
        <w:jc w:val="both"/>
        <w:rPr>
          <w:rFonts w:ascii="Verdana" w:eastAsia="MS Mincho" w:hAnsi="Verdana" w:cs="Verdana"/>
          <w:sz w:val="20"/>
          <w:szCs w:val="20"/>
          <w:lang w:val="es-ES" w:eastAsia="es-ES"/>
        </w:rPr>
      </w:pPr>
    </w:p>
    <w:p w14:paraId="6D172CF3" w14:textId="784D8CEF" w:rsidR="00FB723A" w:rsidRPr="00FD2862" w:rsidRDefault="00FB723A" w:rsidP="00FB723A">
      <w:pPr>
        <w:pStyle w:val="ListParagraph"/>
        <w:numPr>
          <w:ilvl w:val="0"/>
          <w:numId w:val="2"/>
        </w:numPr>
        <w:ind w:left="0" w:hanging="11"/>
        <w:jc w:val="both"/>
        <w:rPr>
          <w:rFonts w:ascii="Verdana" w:hAnsi="Verdana"/>
          <w:sz w:val="20"/>
          <w:szCs w:val="20"/>
          <w:lang w:val="es-CR"/>
        </w:rPr>
      </w:pPr>
      <w:r w:rsidRPr="00FD2862">
        <w:rPr>
          <w:rFonts w:ascii="Verdana" w:eastAsia="MS Mincho" w:hAnsi="Verdana" w:cs="Verdana"/>
          <w:sz w:val="20"/>
          <w:szCs w:val="20"/>
          <w:lang w:val="es-ES" w:eastAsia="es-ES"/>
        </w:rPr>
        <w:t xml:space="preserve">Los </w:t>
      </w:r>
      <w:r w:rsidRPr="00FD2862">
        <w:rPr>
          <w:rFonts w:ascii="Verdana" w:eastAsia="MS Mincho" w:hAnsi="Verdana" w:cs="Verdana"/>
          <w:b/>
          <w:bCs/>
          <w:i/>
          <w:iCs/>
          <w:sz w:val="20"/>
          <w:szCs w:val="20"/>
          <w:lang w:val="es-ES" w:eastAsia="es-ES"/>
        </w:rPr>
        <w:t xml:space="preserve">representantes </w:t>
      </w:r>
      <w:r w:rsidRPr="00FD2862">
        <w:rPr>
          <w:rFonts w:ascii="Verdana" w:eastAsia="MS Mincho" w:hAnsi="Verdana" w:cs="Verdana"/>
          <w:sz w:val="20"/>
          <w:szCs w:val="20"/>
          <w:lang w:val="es-ES" w:eastAsia="es-ES"/>
        </w:rPr>
        <w:t xml:space="preserve">coincidieron en líneas generales con la Comisión. Con respecto al </w:t>
      </w:r>
      <w:r w:rsidRPr="000A0953">
        <w:rPr>
          <w:rFonts w:ascii="Verdana" w:eastAsia="MS Mincho" w:hAnsi="Verdana" w:cs="Verdana"/>
          <w:i/>
          <w:sz w:val="20"/>
          <w:szCs w:val="20"/>
          <w:lang w:val="es-ES" w:eastAsia="es-ES"/>
        </w:rPr>
        <w:t>recurso de nulidad</w:t>
      </w:r>
      <w:r w:rsidRPr="00FD2862">
        <w:rPr>
          <w:rFonts w:ascii="Verdana" w:eastAsia="MS Mincho" w:hAnsi="Verdana" w:cs="Verdana"/>
          <w:sz w:val="20"/>
          <w:szCs w:val="20"/>
          <w:lang w:val="es-ES" w:eastAsia="es-ES"/>
        </w:rPr>
        <w:t>, argumentaron que la decisión de la Primera Sala Penal</w:t>
      </w:r>
      <w:r>
        <w:rPr>
          <w:rFonts w:ascii="Verdana" w:eastAsia="MS Mincho" w:hAnsi="Verdana" w:cs="Verdana"/>
          <w:sz w:val="20"/>
          <w:szCs w:val="20"/>
          <w:lang w:val="es-ES" w:eastAsia="es-ES"/>
        </w:rPr>
        <w:t xml:space="preserve">: i) </w:t>
      </w:r>
      <w:r w:rsidRPr="00FD2862">
        <w:rPr>
          <w:rFonts w:ascii="Verdana" w:eastAsia="MS Mincho" w:hAnsi="Verdana" w:cs="Verdana"/>
          <w:sz w:val="20"/>
          <w:szCs w:val="20"/>
          <w:lang w:val="es-ES" w:eastAsia="es-ES"/>
        </w:rPr>
        <w:t xml:space="preserve"> no dio cuenta de las razones por las cuales entendió que la sent</w:t>
      </w:r>
      <w:r>
        <w:rPr>
          <w:rFonts w:ascii="Verdana" w:eastAsia="MS Mincho" w:hAnsi="Verdana" w:cs="Verdana"/>
          <w:sz w:val="20"/>
          <w:szCs w:val="20"/>
          <w:lang w:val="es-ES" w:eastAsia="es-ES"/>
        </w:rPr>
        <w:t>encia que revisaba era correcta; ii)</w:t>
      </w:r>
      <w:r w:rsidRPr="00FD2862">
        <w:rPr>
          <w:rFonts w:ascii="Verdana" w:eastAsia="MS Mincho" w:hAnsi="Verdana" w:cs="Verdana"/>
          <w:sz w:val="20"/>
          <w:szCs w:val="20"/>
          <w:lang w:val="es-ES" w:eastAsia="es-ES"/>
        </w:rPr>
        <w:t xml:space="preserve"> </w:t>
      </w:r>
      <w:r>
        <w:rPr>
          <w:rFonts w:ascii="Verdana" w:eastAsia="MS Mincho" w:hAnsi="Verdana" w:cs="Verdana"/>
          <w:sz w:val="20"/>
          <w:szCs w:val="20"/>
          <w:lang w:val="es-ES" w:eastAsia="es-ES"/>
        </w:rPr>
        <w:t>no</w:t>
      </w:r>
      <w:r w:rsidRPr="00FD2862">
        <w:rPr>
          <w:rFonts w:ascii="Verdana" w:eastAsia="MS Mincho" w:hAnsi="Verdana" w:cs="Verdana"/>
          <w:sz w:val="20"/>
          <w:szCs w:val="20"/>
          <w:lang w:val="es-ES" w:eastAsia="es-ES"/>
        </w:rPr>
        <w:t xml:space="preserve"> explicó por qué eran atendibles los agravios de la parte recurrente</w:t>
      </w:r>
      <w:r>
        <w:rPr>
          <w:rFonts w:ascii="Verdana" w:eastAsia="MS Mincho" w:hAnsi="Verdana" w:cs="Verdana"/>
          <w:sz w:val="20"/>
          <w:szCs w:val="20"/>
          <w:lang w:val="es-ES" w:eastAsia="es-ES"/>
        </w:rPr>
        <w:t xml:space="preserve">; iii) no realizó ninguna valoración probatoria; iv) no se refirió a la alegada </w:t>
      </w:r>
      <w:r w:rsidRPr="00FD2862">
        <w:rPr>
          <w:rFonts w:ascii="Verdana" w:eastAsia="MS Mincho" w:hAnsi="Verdana" w:cs="Verdana"/>
          <w:sz w:val="20"/>
          <w:szCs w:val="20"/>
          <w:lang w:val="es-ES" w:eastAsia="es-ES"/>
        </w:rPr>
        <w:t>violación al principio de inocencia y la inversión de la carga de la prueba</w:t>
      </w:r>
      <w:r>
        <w:rPr>
          <w:rFonts w:ascii="Verdana" w:eastAsia="MS Mincho" w:hAnsi="Verdana" w:cs="Verdana"/>
          <w:sz w:val="20"/>
          <w:szCs w:val="20"/>
          <w:lang w:val="es-ES" w:eastAsia="es-ES"/>
        </w:rPr>
        <w:t xml:space="preserve">, y v) no </w:t>
      </w:r>
      <w:r w:rsidRPr="00FD2862">
        <w:rPr>
          <w:rFonts w:ascii="Verdana" w:eastAsia="MS Mincho" w:hAnsi="Verdana" w:cs="Verdana"/>
          <w:sz w:val="20"/>
          <w:szCs w:val="20"/>
          <w:lang w:val="es-ES" w:eastAsia="es-ES"/>
        </w:rPr>
        <w:t xml:space="preserve">explicó en forma separada la situación de cada uno de los condenados. De esta forma, los representantes señalaron que la </w:t>
      </w:r>
      <w:r w:rsidRPr="000A0953">
        <w:rPr>
          <w:rFonts w:ascii="Verdana" w:eastAsia="MS Mincho" w:hAnsi="Verdana"/>
          <w:sz w:val="20"/>
          <w:lang w:val="es-ES" w:eastAsia="es-ES"/>
        </w:rPr>
        <w:t>infra</w:t>
      </w:r>
      <w:r w:rsidRPr="00FD2862">
        <w:rPr>
          <w:rFonts w:ascii="Verdana" w:eastAsia="MS Mincho" w:hAnsi="Verdana" w:cs="Verdana"/>
          <w:sz w:val="20"/>
          <w:szCs w:val="20"/>
          <w:lang w:val="es-ES" w:eastAsia="es-ES"/>
        </w:rPr>
        <w:t>cción al deber de motivación observada en el fallo del recurso de nulidad puso de manifiesto que la Sala no efectuó una revisión integral del caso, en violación del su derecho al recurso y a la protección judicial.</w:t>
      </w:r>
    </w:p>
    <w:p w14:paraId="6D172CF4" w14:textId="77777777" w:rsidR="00FB723A" w:rsidRPr="003E2B77" w:rsidRDefault="00FB723A" w:rsidP="00FB723A">
      <w:pPr>
        <w:pStyle w:val="ListParagraph"/>
        <w:jc w:val="both"/>
        <w:rPr>
          <w:rFonts w:ascii="Verdana" w:eastAsia="MS Mincho" w:hAnsi="Verdana" w:cs="Verdana"/>
          <w:sz w:val="20"/>
          <w:szCs w:val="20"/>
          <w:lang w:val="es-ES" w:eastAsia="es-ES"/>
        </w:rPr>
      </w:pPr>
    </w:p>
    <w:p w14:paraId="6D172CF5" w14:textId="62038ED3" w:rsidR="00FB723A" w:rsidRPr="003E2B77" w:rsidRDefault="00FB723A" w:rsidP="00FB723A">
      <w:pPr>
        <w:pStyle w:val="ListParagraph"/>
        <w:numPr>
          <w:ilvl w:val="0"/>
          <w:numId w:val="2"/>
        </w:numPr>
        <w:ind w:left="0" w:hanging="11"/>
        <w:jc w:val="both"/>
        <w:rPr>
          <w:rFonts w:ascii="Verdana" w:hAnsi="Verdana"/>
          <w:sz w:val="20"/>
          <w:szCs w:val="20"/>
          <w:lang w:val="es-CR"/>
        </w:rPr>
      </w:pPr>
      <w:r w:rsidRPr="003E2B77">
        <w:rPr>
          <w:rFonts w:ascii="Verdana" w:eastAsia="MS Mincho" w:hAnsi="Verdana" w:cs="Verdana"/>
          <w:sz w:val="20"/>
          <w:szCs w:val="20"/>
          <w:lang w:val="es-ES" w:eastAsia="es-ES"/>
        </w:rPr>
        <w:t xml:space="preserve">En cuanto al </w:t>
      </w:r>
      <w:r w:rsidRPr="000A0953">
        <w:rPr>
          <w:rFonts w:ascii="Verdana" w:eastAsia="MS Mincho" w:hAnsi="Verdana" w:cs="Verdana"/>
          <w:i/>
          <w:sz w:val="20"/>
          <w:szCs w:val="20"/>
          <w:lang w:val="es-ES" w:eastAsia="es-ES"/>
        </w:rPr>
        <w:t>recurso de revisión</w:t>
      </w:r>
      <w:r w:rsidRPr="003E2B77">
        <w:rPr>
          <w:rFonts w:ascii="Verdana" w:eastAsia="MS Mincho" w:hAnsi="Verdana" w:cs="Verdana"/>
          <w:sz w:val="20"/>
          <w:szCs w:val="20"/>
          <w:lang w:val="es-ES" w:eastAsia="es-ES"/>
        </w:rPr>
        <w:t>, los representantes manifestaron que el Poder Judicial tomó debido conocimiento de la violación a los derechos del señor Zegarra Marín y sin embargo nada hicieron por reparar la violación. El argumento de que la vía procesal intentada no era adecuada para resolver el punto y reparar la violación, cuando no existía otra vía disponible, resulta insuficiente e inatendible, configurándose nuevamente una violación al derecho a un recurso sencillo y eficaz que constituya un medio adecuado para procurar la corrección de una condena errónea, y como consecuencia de ello, se vulneró su derecho a la protección judicial efectiva.</w:t>
      </w:r>
    </w:p>
    <w:p w14:paraId="6D172CF6" w14:textId="77777777" w:rsidR="00FB723A" w:rsidRPr="003E2B77" w:rsidRDefault="00FB723A" w:rsidP="00FB723A">
      <w:pPr>
        <w:pStyle w:val="ListParagraph"/>
        <w:jc w:val="both"/>
        <w:rPr>
          <w:rFonts w:ascii="Verdana" w:eastAsia="MS Mincho" w:hAnsi="Verdana" w:cs="Verdana"/>
          <w:sz w:val="20"/>
          <w:szCs w:val="20"/>
          <w:lang w:val="es-ES" w:eastAsia="es-ES"/>
        </w:rPr>
      </w:pPr>
    </w:p>
    <w:p w14:paraId="6D172CF8" w14:textId="28C75822" w:rsidR="00FB723A" w:rsidRPr="001D6CE2" w:rsidRDefault="00E74425" w:rsidP="000A0953">
      <w:pPr>
        <w:pStyle w:val="ListParagraph"/>
        <w:numPr>
          <w:ilvl w:val="0"/>
          <w:numId w:val="2"/>
        </w:numPr>
        <w:ind w:left="0" w:firstLine="0"/>
        <w:jc w:val="both"/>
        <w:rPr>
          <w:rFonts w:ascii="Verdana" w:hAnsi="Verdana"/>
          <w:strike/>
          <w:sz w:val="20"/>
          <w:lang w:val="es-CR"/>
        </w:rPr>
      </w:pPr>
      <w:r w:rsidRPr="000A0953">
        <w:rPr>
          <w:rFonts w:ascii="Verdana" w:hAnsi="Verdana"/>
          <w:sz w:val="20"/>
        </w:rPr>
        <w:t>Adicionalmente, los representantes alegaron que las autoridades nacionales que dictaminaron el trámite respecto al recurso de revisión</w:t>
      </w:r>
      <w:r w:rsidR="00FE0C2E" w:rsidRPr="000A0953">
        <w:rPr>
          <w:rFonts w:ascii="Verdana" w:hAnsi="Verdana"/>
          <w:sz w:val="20"/>
        </w:rPr>
        <w:t>,</w:t>
      </w:r>
      <w:r w:rsidRPr="000A0953">
        <w:rPr>
          <w:rFonts w:ascii="Verdana" w:hAnsi="Verdana"/>
          <w:sz w:val="20"/>
        </w:rPr>
        <w:t xml:space="preserve"> tenían un deber de realizar</w:t>
      </w:r>
      <w:r w:rsidR="00FE0C2E" w:rsidRPr="000A0953">
        <w:rPr>
          <w:rFonts w:ascii="Verdana" w:hAnsi="Verdana"/>
          <w:sz w:val="20"/>
        </w:rPr>
        <w:t>, conforme al artículo 2</w:t>
      </w:r>
      <w:r w:rsidR="00AF535B" w:rsidRPr="000A0953">
        <w:rPr>
          <w:rFonts w:ascii="Verdana" w:hAnsi="Verdana"/>
          <w:sz w:val="20"/>
        </w:rPr>
        <w:t xml:space="preserve"> </w:t>
      </w:r>
      <w:r w:rsidR="007F0852" w:rsidRPr="000A0953">
        <w:rPr>
          <w:rFonts w:ascii="Verdana" w:hAnsi="Verdana"/>
          <w:sz w:val="20"/>
        </w:rPr>
        <w:t xml:space="preserve">de la Convención, </w:t>
      </w:r>
      <w:r w:rsidR="00AF535B" w:rsidRPr="000A0953">
        <w:rPr>
          <w:rFonts w:ascii="Verdana" w:hAnsi="Verdana"/>
          <w:sz w:val="20"/>
        </w:rPr>
        <w:t>un control de</w:t>
      </w:r>
      <w:r w:rsidRPr="000A0953">
        <w:rPr>
          <w:rFonts w:ascii="Verdana" w:hAnsi="Verdana"/>
          <w:sz w:val="20"/>
        </w:rPr>
        <w:t xml:space="preserve"> convencionalidad, de forma tal que correspondía adoptar una “disposición de derecho interno” que </w:t>
      </w:r>
      <w:r w:rsidR="00F636EB" w:rsidRPr="000A0953">
        <w:rPr>
          <w:rFonts w:ascii="Verdana" w:hAnsi="Verdana"/>
          <w:sz w:val="20"/>
        </w:rPr>
        <w:t xml:space="preserve">requeriría </w:t>
      </w:r>
      <w:r w:rsidRPr="000A0953">
        <w:rPr>
          <w:rFonts w:ascii="Verdana" w:hAnsi="Verdana"/>
          <w:sz w:val="20"/>
        </w:rPr>
        <w:t xml:space="preserve">en apartarse de la ley que no permitía conocer sobre las violaciones ocurridas en el curso del proceso. En consecuencia, al no realizar este control de convencionalidad, el Estado violó </w:t>
      </w:r>
      <w:r w:rsidR="00752C87" w:rsidRPr="000A0953">
        <w:rPr>
          <w:rFonts w:ascii="Verdana" w:hAnsi="Verdana"/>
          <w:sz w:val="20"/>
        </w:rPr>
        <w:t xml:space="preserve">también el </w:t>
      </w:r>
      <w:r w:rsidRPr="000A0953">
        <w:rPr>
          <w:rFonts w:ascii="Verdana" w:hAnsi="Verdana"/>
          <w:sz w:val="20"/>
        </w:rPr>
        <w:t>artículo</w:t>
      </w:r>
      <w:r w:rsidR="00752C87" w:rsidRPr="000A0953">
        <w:rPr>
          <w:rFonts w:ascii="Verdana" w:hAnsi="Verdana"/>
          <w:sz w:val="20"/>
        </w:rPr>
        <w:t xml:space="preserve"> </w:t>
      </w:r>
      <w:r w:rsidRPr="000A0953">
        <w:rPr>
          <w:rFonts w:ascii="Verdana" w:hAnsi="Verdana"/>
          <w:sz w:val="20"/>
        </w:rPr>
        <w:t>2 de la Convención</w:t>
      </w:r>
      <w:r w:rsidR="00AF535B" w:rsidRPr="000A0953">
        <w:rPr>
          <w:rFonts w:ascii="Verdana" w:hAnsi="Verdana"/>
          <w:sz w:val="20"/>
        </w:rPr>
        <w:t>.</w:t>
      </w:r>
    </w:p>
    <w:p w14:paraId="6D172CF9" w14:textId="77777777" w:rsidR="00FB723A" w:rsidRPr="003E2B77" w:rsidRDefault="00FB723A" w:rsidP="00FB723A">
      <w:pPr>
        <w:pStyle w:val="ListParagraph"/>
        <w:jc w:val="both"/>
        <w:rPr>
          <w:rFonts w:ascii="Verdana" w:eastAsia="MS Mincho" w:hAnsi="Verdana" w:cs="Verdana"/>
          <w:sz w:val="20"/>
          <w:szCs w:val="20"/>
          <w:lang w:val="es-ES" w:eastAsia="es-ES"/>
        </w:rPr>
      </w:pPr>
    </w:p>
    <w:p w14:paraId="6D172CFA" w14:textId="20B10F0D" w:rsidR="00FB723A" w:rsidRPr="003E2B77" w:rsidRDefault="00FB723A" w:rsidP="006231F4">
      <w:pPr>
        <w:pStyle w:val="ListParagraph"/>
        <w:numPr>
          <w:ilvl w:val="0"/>
          <w:numId w:val="2"/>
        </w:numPr>
        <w:ind w:left="0" w:firstLine="0"/>
        <w:jc w:val="both"/>
        <w:rPr>
          <w:rFonts w:ascii="Verdana" w:hAnsi="Verdana"/>
          <w:sz w:val="20"/>
          <w:szCs w:val="20"/>
          <w:lang w:val="es-CR"/>
        </w:rPr>
      </w:pPr>
      <w:r w:rsidRPr="003E2B77">
        <w:rPr>
          <w:rFonts w:ascii="Verdana" w:eastAsia="MS Mincho" w:hAnsi="Verdana" w:cs="Verdana"/>
          <w:sz w:val="20"/>
          <w:szCs w:val="20"/>
          <w:lang w:val="es-ES" w:eastAsia="es-ES"/>
        </w:rPr>
        <w:t xml:space="preserve">El </w:t>
      </w:r>
      <w:r w:rsidRPr="003E2B77">
        <w:rPr>
          <w:rFonts w:ascii="Verdana" w:eastAsia="MS Mincho" w:hAnsi="Verdana" w:cs="Verdana"/>
          <w:b/>
          <w:bCs/>
          <w:i/>
          <w:iCs/>
          <w:sz w:val="20"/>
          <w:szCs w:val="20"/>
          <w:lang w:val="es-ES" w:eastAsia="es-ES"/>
        </w:rPr>
        <w:t xml:space="preserve">Estado </w:t>
      </w:r>
      <w:r w:rsidRPr="003E2B77">
        <w:rPr>
          <w:rFonts w:ascii="Verdana" w:eastAsia="MS Mincho" w:hAnsi="Verdana" w:cs="Verdana"/>
          <w:sz w:val="20"/>
          <w:szCs w:val="20"/>
          <w:lang w:val="es-ES" w:eastAsia="es-ES"/>
        </w:rPr>
        <w:t>alegó</w:t>
      </w:r>
      <w:r>
        <w:rPr>
          <w:rFonts w:ascii="Verdana" w:eastAsia="MS Mincho" w:hAnsi="Verdana" w:cs="Verdana"/>
          <w:sz w:val="20"/>
          <w:szCs w:val="20"/>
          <w:lang w:val="es-ES" w:eastAsia="es-ES"/>
        </w:rPr>
        <w:t xml:space="preserve">, </w:t>
      </w:r>
      <w:r w:rsidRPr="003E2B77">
        <w:rPr>
          <w:rFonts w:ascii="Verdana" w:eastAsia="MS Mincho" w:hAnsi="Verdana" w:cs="Verdana"/>
          <w:sz w:val="20"/>
          <w:szCs w:val="20"/>
          <w:lang w:val="es-ES" w:eastAsia="es-ES"/>
        </w:rPr>
        <w:t xml:space="preserve"> en relación con el derecho a recurrir el fallo que, más allá de la denominación interna, las hipótesis previstas por la ley procesal penal peruana son amplias y permiten evaluar la aplicación de la ley, revisar la determinación de los hechos y de los criterios de valoración probatoria, además de ser un medio adecuado para la corrección de la condena y respetar las garantías procesales respectivas para resolver los agravios presentados por el recurrente. Además, argumentó que siendo la revisión un nuevo proceso y un mecanismo extraordinario, no se encontraría contemplada dentro de los alcances del artículo 8.2</w:t>
      </w:r>
      <w:r w:rsidR="004F4222">
        <w:rPr>
          <w:rFonts w:ascii="Verdana" w:eastAsia="MS Mincho" w:hAnsi="Verdana" w:cs="Verdana"/>
          <w:sz w:val="20"/>
          <w:szCs w:val="20"/>
          <w:lang w:val="es-ES" w:eastAsia="es-ES"/>
        </w:rPr>
        <w:t xml:space="preserve"> </w:t>
      </w:r>
      <w:r w:rsidRPr="003E2B77">
        <w:rPr>
          <w:rFonts w:ascii="Verdana" w:eastAsia="MS Mincho" w:hAnsi="Verdana" w:cs="Verdana"/>
          <w:sz w:val="20"/>
          <w:szCs w:val="20"/>
          <w:lang w:val="es-ES" w:eastAsia="es-ES"/>
        </w:rPr>
        <w:t>(h).</w:t>
      </w:r>
    </w:p>
    <w:p w14:paraId="6D172CFB" w14:textId="77777777" w:rsidR="00FB723A" w:rsidRPr="003E2B77" w:rsidRDefault="00FB723A" w:rsidP="00FB723A">
      <w:pPr>
        <w:pStyle w:val="ListParagraph"/>
        <w:jc w:val="both"/>
        <w:rPr>
          <w:rFonts w:ascii="Verdana" w:eastAsia="MS Mincho" w:hAnsi="Verdana" w:cs="Verdana"/>
          <w:sz w:val="20"/>
          <w:szCs w:val="20"/>
          <w:lang w:val="es-ES" w:eastAsia="es-ES"/>
        </w:rPr>
      </w:pPr>
    </w:p>
    <w:p w14:paraId="6D172CFC" w14:textId="0A7BA75F" w:rsidR="004E4BBD" w:rsidRPr="000A0953" w:rsidRDefault="00FB723A" w:rsidP="006231F4">
      <w:pPr>
        <w:pStyle w:val="ListParagraph"/>
        <w:numPr>
          <w:ilvl w:val="0"/>
          <w:numId w:val="2"/>
        </w:numPr>
        <w:ind w:left="0" w:firstLine="0"/>
        <w:jc w:val="both"/>
        <w:rPr>
          <w:rFonts w:ascii="Verdana" w:hAnsi="Verdana"/>
          <w:sz w:val="20"/>
          <w:lang w:val="es-CR"/>
        </w:rPr>
      </w:pPr>
      <w:r w:rsidRPr="006231F4">
        <w:rPr>
          <w:rFonts w:ascii="Verdana" w:eastAsia="MS Mincho" w:hAnsi="Verdana" w:cs="Verdana"/>
          <w:sz w:val="20"/>
          <w:szCs w:val="20"/>
          <w:lang w:val="es-ES" w:eastAsia="es-ES"/>
        </w:rPr>
        <w:t>Respecto de la presunta violación del derecho a la protección judicial, el Estado consideró importante tratar por separado los argumentos sobre el recurso de nulidad y el de revisión.</w:t>
      </w:r>
      <w:r w:rsidR="00FC6E62" w:rsidRPr="006231F4">
        <w:rPr>
          <w:rFonts w:ascii="Verdana" w:eastAsia="MS Mincho" w:hAnsi="Verdana" w:cs="Verdana"/>
          <w:sz w:val="20"/>
          <w:szCs w:val="20"/>
          <w:lang w:val="es-ES" w:eastAsia="es-ES"/>
        </w:rPr>
        <w:t xml:space="preserve"> </w:t>
      </w:r>
      <w:r w:rsidRPr="006231F4">
        <w:rPr>
          <w:rFonts w:ascii="Verdana" w:eastAsia="MS Mincho" w:hAnsi="Verdana" w:cs="Verdana"/>
          <w:sz w:val="20"/>
          <w:szCs w:val="20"/>
          <w:lang w:val="es-ES" w:eastAsia="es-ES"/>
        </w:rPr>
        <w:t xml:space="preserve">En primer lugar, en cuanto al </w:t>
      </w:r>
      <w:r w:rsidRPr="000A0953">
        <w:rPr>
          <w:rFonts w:ascii="Verdana" w:eastAsia="MS Mincho" w:hAnsi="Verdana" w:cs="Verdana"/>
          <w:i/>
          <w:sz w:val="20"/>
          <w:szCs w:val="20"/>
          <w:lang w:val="es-ES" w:eastAsia="es-ES"/>
        </w:rPr>
        <w:t>recurso de nulidad</w:t>
      </w:r>
      <w:r w:rsidRPr="006231F4">
        <w:rPr>
          <w:rFonts w:ascii="Verdana" w:eastAsia="MS Mincho" w:hAnsi="Verdana" w:cs="Verdana"/>
          <w:sz w:val="20"/>
          <w:szCs w:val="20"/>
          <w:lang w:val="es-ES" w:eastAsia="es-ES"/>
        </w:rPr>
        <w:t>, el Estado argumentó que era válido que la resolución que denegó el recurso de nulidad se haya remitido a la sentencia condenatoria y al dictamen fiscal como fuentes en las cuales se encontraba la motivación que sirvió de sustento para tomar la decisión. Además, el Estado argumentó que en el proceso interno la presunta víctima no exigió expresamente la protección de su derecho de presunción de inocencia. Asimismo, al considerar lo establecido en la sentencia condenatoria y el dictamen fiscal, el recurso de nulidad también realizó una valoración de las pruebas del proceso y le aplicó un tratamiento diferenciado a cada uno de los implicados en el proceso</w:t>
      </w:r>
      <w:r w:rsidR="004E4BBD" w:rsidRPr="006231F4">
        <w:rPr>
          <w:rFonts w:ascii="Verdana" w:eastAsia="MS Mincho" w:hAnsi="Verdana" w:cs="Verdana"/>
          <w:sz w:val="20"/>
          <w:szCs w:val="20"/>
          <w:lang w:val="es-ES" w:eastAsia="es-ES"/>
        </w:rPr>
        <w:t xml:space="preserve">. </w:t>
      </w:r>
      <w:r w:rsidRPr="006231F4">
        <w:rPr>
          <w:rFonts w:ascii="Verdana" w:eastAsia="MS Mincho" w:hAnsi="Verdana" w:cs="Verdana"/>
          <w:sz w:val="20"/>
          <w:szCs w:val="20"/>
          <w:lang w:val="es-ES" w:eastAsia="es-ES"/>
        </w:rPr>
        <w:t xml:space="preserve"> </w:t>
      </w:r>
      <w:r w:rsidR="004E4BBD" w:rsidRPr="000A0953">
        <w:rPr>
          <w:rFonts w:ascii="Verdana" w:hAnsi="Verdana"/>
          <w:sz w:val="20"/>
        </w:rPr>
        <w:t>Adicionalmente, en sus alegatos finales el Estado señ</w:t>
      </w:r>
      <w:r w:rsidR="00631B30" w:rsidRPr="000A0953">
        <w:rPr>
          <w:rFonts w:ascii="Verdana" w:hAnsi="Verdana"/>
          <w:sz w:val="20"/>
        </w:rPr>
        <w:t>aló que el recurso de nulidad era</w:t>
      </w:r>
      <w:r w:rsidR="004E4BBD" w:rsidRPr="000A0953">
        <w:rPr>
          <w:rFonts w:ascii="Verdana" w:hAnsi="Verdana"/>
          <w:sz w:val="20"/>
        </w:rPr>
        <w:t xml:space="preserve"> el medio impugnatorio a través del cual se puede declarar la nulidad de una decisión penal, y puede extenderse a aspectos de fondo como son la condena o absolución, o bien a etapas procesales. </w:t>
      </w:r>
    </w:p>
    <w:p w14:paraId="6D172CFD" w14:textId="77777777" w:rsidR="004E4BBD" w:rsidRPr="000A0953" w:rsidRDefault="004E4BBD" w:rsidP="006231F4">
      <w:pPr>
        <w:rPr>
          <w:rFonts w:ascii="Verdana" w:eastAsia="MS Mincho" w:hAnsi="Verdana"/>
          <w:sz w:val="20"/>
          <w:lang w:eastAsia="es-ES"/>
        </w:rPr>
      </w:pPr>
    </w:p>
    <w:p w14:paraId="6D172CFE" w14:textId="6B5154B2" w:rsidR="00FB723A" w:rsidRPr="006231F4" w:rsidRDefault="00FB723A" w:rsidP="00B446C7">
      <w:pPr>
        <w:pStyle w:val="ListParagraph"/>
        <w:numPr>
          <w:ilvl w:val="0"/>
          <w:numId w:val="2"/>
        </w:numPr>
        <w:ind w:left="0" w:firstLine="0"/>
        <w:jc w:val="both"/>
        <w:rPr>
          <w:rFonts w:ascii="Verdana" w:hAnsi="Verdana"/>
          <w:sz w:val="20"/>
          <w:szCs w:val="20"/>
          <w:lang w:val="es-CR"/>
        </w:rPr>
      </w:pPr>
      <w:r w:rsidRPr="006231F4">
        <w:rPr>
          <w:rFonts w:ascii="Verdana" w:eastAsia="MS Mincho" w:hAnsi="Verdana" w:cs="Verdana"/>
          <w:sz w:val="20"/>
          <w:szCs w:val="20"/>
          <w:lang w:val="es-ES" w:eastAsia="es-ES"/>
        </w:rPr>
        <w:t xml:space="preserve">En segundo lugar, sobre el </w:t>
      </w:r>
      <w:r w:rsidRPr="000A0953">
        <w:rPr>
          <w:rFonts w:ascii="Verdana" w:eastAsia="MS Mincho" w:hAnsi="Verdana" w:cs="Verdana"/>
          <w:i/>
          <w:sz w:val="20"/>
          <w:szCs w:val="20"/>
          <w:lang w:val="es-ES" w:eastAsia="es-ES"/>
        </w:rPr>
        <w:t>recurso de revisión</w:t>
      </w:r>
      <w:r w:rsidRPr="006231F4">
        <w:rPr>
          <w:rFonts w:ascii="Verdana" w:eastAsia="MS Mincho" w:hAnsi="Verdana" w:cs="Verdana"/>
          <w:sz w:val="20"/>
          <w:szCs w:val="20"/>
          <w:lang w:val="es-ES" w:eastAsia="es-ES"/>
        </w:rPr>
        <w:t>, el Estado argumentó que dicha institución no es un recurso en sentido estricto, sino que constituye un proceso autónomo y un medio extraordinario o excepcional de impugnación contra sentencias firmes de condena, que solo procede por causas tasadas. Por ello, no es el recurso rápido, sencillo e idóneo al cual hace referencia el artículo 25 de la Convención, no siendo atendible entonces el cuestionamiento referido a que el recurso de revisión fue contrario al derecho a la protección judicial.</w:t>
      </w:r>
    </w:p>
    <w:p w14:paraId="6D172CFF" w14:textId="77777777" w:rsidR="00FB723A" w:rsidRPr="003E2B77" w:rsidRDefault="00FB723A" w:rsidP="001634BF">
      <w:pPr>
        <w:contextualSpacing/>
        <w:jc w:val="both"/>
        <w:rPr>
          <w:rFonts w:ascii="Verdana" w:hAnsi="Verdana"/>
          <w:b/>
          <w:sz w:val="20"/>
          <w:szCs w:val="20"/>
          <w:lang w:val="es-MX"/>
        </w:rPr>
      </w:pPr>
    </w:p>
    <w:p w14:paraId="6D172D00" w14:textId="77777777" w:rsidR="00FB723A" w:rsidRPr="00113C25" w:rsidRDefault="00FB723A">
      <w:pPr>
        <w:pStyle w:val="Heading2"/>
        <w:numPr>
          <w:ilvl w:val="0"/>
          <w:numId w:val="14"/>
        </w:numPr>
        <w:spacing w:before="0"/>
        <w:jc w:val="both"/>
        <w:rPr>
          <w:rFonts w:ascii="Verdana" w:hAnsi="Verdana"/>
          <w:bCs w:val="0"/>
          <w:i/>
          <w:color w:val="auto"/>
          <w:sz w:val="20"/>
          <w:szCs w:val="20"/>
        </w:rPr>
      </w:pPr>
      <w:bookmarkStart w:id="72" w:name="_Toc482093063"/>
      <w:r w:rsidRPr="00113C25">
        <w:rPr>
          <w:rFonts w:ascii="Verdana" w:hAnsi="Verdana"/>
          <w:bCs w:val="0"/>
          <w:i/>
          <w:color w:val="auto"/>
          <w:sz w:val="20"/>
          <w:szCs w:val="20"/>
        </w:rPr>
        <w:t>Consideraciones de la Corte</w:t>
      </w:r>
      <w:bookmarkEnd w:id="72"/>
    </w:p>
    <w:p w14:paraId="6D172D01" w14:textId="77777777" w:rsidR="00FB723A" w:rsidRPr="003E2B77" w:rsidRDefault="00FB723A" w:rsidP="001634BF">
      <w:pPr>
        <w:contextualSpacing/>
        <w:jc w:val="both"/>
        <w:rPr>
          <w:rFonts w:ascii="Verdana" w:hAnsi="Verdana"/>
          <w:sz w:val="20"/>
          <w:szCs w:val="20"/>
          <w:lang w:val="es-MX"/>
        </w:rPr>
      </w:pPr>
    </w:p>
    <w:p w14:paraId="6D172D02" w14:textId="1AA313F1" w:rsidR="00FB723A" w:rsidRPr="009C7422" w:rsidRDefault="00FB723A" w:rsidP="006231F4">
      <w:pPr>
        <w:pStyle w:val="ListParagraph"/>
        <w:numPr>
          <w:ilvl w:val="0"/>
          <w:numId w:val="2"/>
        </w:numPr>
        <w:ind w:left="0" w:firstLine="0"/>
        <w:jc w:val="both"/>
        <w:rPr>
          <w:rFonts w:ascii="Verdana" w:hAnsi="Verdana"/>
          <w:sz w:val="20"/>
          <w:szCs w:val="20"/>
          <w:lang w:val="es-CR"/>
        </w:rPr>
      </w:pPr>
      <w:r w:rsidRPr="003E2B77">
        <w:rPr>
          <w:rFonts w:ascii="Verdana" w:hAnsi="Verdana"/>
          <w:sz w:val="20"/>
          <w:szCs w:val="20"/>
          <w:lang w:val="es-MX"/>
        </w:rPr>
        <w:lastRenderedPageBreak/>
        <w:t>Sobre la base de lo expuesto, a continuación la Corte analizará la alegada violación de los artículos 8.2</w:t>
      </w:r>
      <w:r w:rsidR="00374910">
        <w:rPr>
          <w:rFonts w:ascii="Verdana" w:hAnsi="Verdana"/>
          <w:sz w:val="20"/>
          <w:szCs w:val="20"/>
          <w:lang w:val="es-MX"/>
        </w:rPr>
        <w:t xml:space="preserve"> </w:t>
      </w:r>
      <w:r w:rsidRPr="003E2B77">
        <w:rPr>
          <w:rFonts w:ascii="Verdana" w:hAnsi="Verdana"/>
          <w:sz w:val="20"/>
          <w:szCs w:val="20"/>
          <w:lang w:val="es-MX"/>
        </w:rPr>
        <w:t xml:space="preserve">(h) y 25 de la Convención Americana, para lo cual </w:t>
      </w:r>
      <w:r>
        <w:rPr>
          <w:rFonts w:ascii="Verdana" w:hAnsi="Verdana"/>
          <w:sz w:val="20"/>
          <w:szCs w:val="20"/>
          <w:lang w:val="es-MX"/>
        </w:rPr>
        <w:t>realizará su análisis en los siguientes apartados</w:t>
      </w:r>
      <w:r w:rsidRPr="003E2B77">
        <w:rPr>
          <w:rFonts w:ascii="Verdana" w:hAnsi="Verdana"/>
          <w:sz w:val="20"/>
          <w:szCs w:val="20"/>
          <w:lang w:val="es-MX"/>
        </w:rPr>
        <w:t xml:space="preserve">: i) el derecho a recurrir el fallo a través del </w:t>
      </w:r>
      <w:r w:rsidRPr="000A0953">
        <w:rPr>
          <w:rFonts w:ascii="Verdana" w:hAnsi="Verdana"/>
          <w:i/>
          <w:sz w:val="20"/>
          <w:szCs w:val="20"/>
          <w:lang w:val="es-MX"/>
        </w:rPr>
        <w:t>recurso de nulidad</w:t>
      </w:r>
      <w:r w:rsidRPr="003E2B77">
        <w:rPr>
          <w:rFonts w:ascii="Verdana" w:hAnsi="Verdana"/>
          <w:sz w:val="20"/>
          <w:szCs w:val="20"/>
          <w:lang w:val="es-MX"/>
        </w:rPr>
        <w:t xml:space="preserve">, y ii) la idoneidad del </w:t>
      </w:r>
      <w:r w:rsidRPr="000A0953">
        <w:rPr>
          <w:rFonts w:ascii="Verdana" w:hAnsi="Verdana"/>
          <w:i/>
          <w:sz w:val="20"/>
          <w:szCs w:val="20"/>
          <w:lang w:val="es-MX"/>
        </w:rPr>
        <w:t>recurso de revisión</w:t>
      </w:r>
      <w:r w:rsidRPr="003E2B77">
        <w:rPr>
          <w:rFonts w:ascii="Verdana" w:hAnsi="Verdana"/>
          <w:sz w:val="20"/>
          <w:szCs w:val="20"/>
          <w:lang w:val="es-MX"/>
        </w:rPr>
        <w:t>.</w:t>
      </w:r>
      <w:r>
        <w:rPr>
          <w:rFonts w:ascii="Verdana" w:hAnsi="Verdana"/>
          <w:sz w:val="20"/>
          <w:szCs w:val="20"/>
          <w:lang w:val="es-MX"/>
        </w:rPr>
        <w:t xml:space="preserve"> </w:t>
      </w:r>
    </w:p>
    <w:p w14:paraId="6D172D03" w14:textId="77777777" w:rsidR="00FB723A" w:rsidRPr="009C7422" w:rsidRDefault="00FB723A" w:rsidP="001634BF">
      <w:pPr>
        <w:pStyle w:val="ListParagraph"/>
        <w:ind w:left="0"/>
        <w:jc w:val="both"/>
        <w:rPr>
          <w:rFonts w:ascii="Verdana" w:hAnsi="Verdana"/>
          <w:sz w:val="20"/>
          <w:szCs w:val="20"/>
          <w:lang w:val="es-CR"/>
        </w:rPr>
      </w:pPr>
    </w:p>
    <w:p w14:paraId="6D172D04" w14:textId="71614389" w:rsidR="00FB723A" w:rsidRPr="006231F4" w:rsidRDefault="009A4334" w:rsidP="006231F4">
      <w:pPr>
        <w:pStyle w:val="ListParagraph"/>
        <w:numPr>
          <w:ilvl w:val="0"/>
          <w:numId w:val="2"/>
        </w:numPr>
        <w:ind w:left="0" w:firstLine="0"/>
        <w:jc w:val="both"/>
        <w:rPr>
          <w:rFonts w:ascii="Verdana" w:hAnsi="Verdana"/>
          <w:sz w:val="20"/>
          <w:szCs w:val="20"/>
          <w:lang w:val="es-CR"/>
        </w:rPr>
      </w:pPr>
      <w:r>
        <w:rPr>
          <w:rFonts w:ascii="Verdana" w:hAnsi="Verdana"/>
          <w:sz w:val="20"/>
          <w:szCs w:val="20"/>
          <w:lang w:val="es-MX"/>
        </w:rPr>
        <w:t>En referencia a</w:t>
      </w:r>
      <w:r w:rsidR="00FB723A" w:rsidRPr="00E74425">
        <w:rPr>
          <w:rFonts w:ascii="Verdana" w:hAnsi="Verdana"/>
          <w:sz w:val="20"/>
          <w:szCs w:val="20"/>
          <w:lang w:val="es-MX"/>
        </w:rPr>
        <w:t xml:space="preserve"> la alegada violación del artículo 2 de la Convención Americana, </w:t>
      </w:r>
      <w:r w:rsidR="00FB723A" w:rsidRPr="00E74425">
        <w:rPr>
          <w:rFonts w:ascii="Verdana" w:hAnsi="Verdana"/>
          <w:sz w:val="20"/>
          <w:szCs w:val="20"/>
          <w:lang w:val="es-CR"/>
        </w:rPr>
        <w:t xml:space="preserve">en relación con los recursos en análisis, </w:t>
      </w:r>
      <w:r w:rsidR="00BB6899" w:rsidRPr="000A0953">
        <w:rPr>
          <w:rFonts w:ascii="Verdana" w:hAnsi="Verdana"/>
          <w:sz w:val="20"/>
          <w:lang w:val="es-CR"/>
        </w:rPr>
        <w:t>la Corte verificó que los representantes</w:t>
      </w:r>
      <w:r w:rsidR="00BB6899">
        <w:rPr>
          <w:rFonts w:ascii="Verdana" w:hAnsi="Verdana"/>
          <w:sz w:val="20"/>
          <w:szCs w:val="20"/>
          <w:lang w:val="es-CR"/>
        </w:rPr>
        <w:t xml:space="preserve"> </w:t>
      </w:r>
      <w:r w:rsidRPr="000A0953">
        <w:rPr>
          <w:rFonts w:ascii="Verdana" w:hAnsi="Verdana"/>
          <w:sz w:val="20"/>
        </w:rPr>
        <w:t xml:space="preserve">se limitaron a mencionar en </w:t>
      </w:r>
      <w:r w:rsidR="00BB6899" w:rsidRPr="000A0953">
        <w:rPr>
          <w:rFonts w:ascii="Verdana" w:hAnsi="Verdana"/>
          <w:sz w:val="20"/>
        </w:rPr>
        <w:t>su petitorio</w:t>
      </w:r>
      <w:r w:rsidR="001055C6" w:rsidRPr="000A0953">
        <w:rPr>
          <w:rFonts w:ascii="Verdana" w:hAnsi="Verdana"/>
          <w:sz w:val="20"/>
          <w:lang w:val="es-CR"/>
        </w:rPr>
        <w:t xml:space="preserve"> del escrito de solicitudes y pruebas</w:t>
      </w:r>
      <w:r w:rsidR="00BB6899" w:rsidRPr="000A0953">
        <w:rPr>
          <w:rFonts w:ascii="Verdana" w:hAnsi="Verdana"/>
          <w:sz w:val="20"/>
        </w:rPr>
        <w:t xml:space="preserve">, </w:t>
      </w:r>
      <w:r w:rsidR="009975E5" w:rsidRPr="000A0953">
        <w:rPr>
          <w:rFonts w:ascii="Verdana" w:hAnsi="Verdana"/>
          <w:sz w:val="20"/>
        </w:rPr>
        <w:t>el numeral del</w:t>
      </w:r>
      <w:r w:rsidR="00BB6899" w:rsidRPr="000A0953">
        <w:rPr>
          <w:rFonts w:ascii="Verdana" w:hAnsi="Verdana"/>
          <w:sz w:val="20"/>
        </w:rPr>
        <w:t xml:space="preserve"> </w:t>
      </w:r>
      <w:r w:rsidR="001E0665" w:rsidRPr="000A0953">
        <w:rPr>
          <w:rFonts w:ascii="Verdana" w:hAnsi="Verdana"/>
          <w:sz w:val="20"/>
        </w:rPr>
        <w:t>artículo</w:t>
      </w:r>
      <w:r w:rsidR="00BB6899" w:rsidRPr="000A0953">
        <w:rPr>
          <w:rFonts w:ascii="Verdana" w:hAnsi="Verdana"/>
          <w:sz w:val="20"/>
        </w:rPr>
        <w:t xml:space="preserve"> 2, sin </w:t>
      </w:r>
      <w:r w:rsidR="00DB4FE5" w:rsidRPr="000A0953">
        <w:rPr>
          <w:rFonts w:ascii="Verdana" w:hAnsi="Verdana"/>
          <w:sz w:val="20"/>
        </w:rPr>
        <w:t>ninguna fundamentación</w:t>
      </w:r>
      <w:r w:rsidR="00BB6899" w:rsidRPr="000A0953">
        <w:rPr>
          <w:rFonts w:ascii="Verdana" w:hAnsi="Verdana"/>
          <w:sz w:val="20"/>
        </w:rPr>
        <w:t xml:space="preserve"> particular al respecto. Posteriormente, en sus alegatos finales escritos</w:t>
      </w:r>
      <w:r w:rsidRPr="000A0953">
        <w:rPr>
          <w:rFonts w:ascii="Verdana" w:hAnsi="Verdana"/>
          <w:sz w:val="20"/>
        </w:rPr>
        <w:t>,</w:t>
      </w:r>
      <w:r w:rsidR="00BB6899" w:rsidRPr="000A0953">
        <w:rPr>
          <w:rFonts w:ascii="Verdana" w:hAnsi="Verdana"/>
          <w:sz w:val="20"/>
        </w:rPr>
        <w:t xml:space="preserve"> </w:t>
      </w:r>
      <w:r w:rsidR="00631B30" w:rsidRPr="000A0953">
        <w:rPr>
          <w:rFonts w:ascii="Verdana" w:hAnsi="Verdana"/>
          <w:sz w:val="20"/>
        </w:rPr>
        <w:t xml:space="preserve">los representantes </w:t>
      </w:r>
      <w:r w:rsidRPr="000A0953">
        <w:rPr>
          <w:rFonts w:ascii="Verdana" w:hAnsi="Verdana"/>
          <w:sz w:val="20"/>
        </w:rPr>
        <w:t>expusieron por primera vez</w:t>
      </w:r>
      <w:r w:rsidR="00BB6899" w:rsidRPr="000A0953">
        <w:rPr>
          <w:rFonts w:ascii="Verdana" w:hAnsi="Verdana"/>
          <w:sz w:val="20"/>
        </w:rPr>
        <w:t xml:space="preserve"> los argumentos </w:t>
      </w:r>
      <w:r w:rsidR="00631B30" w:rsidRPr="000A0953">
        <w:rPr>
          <w:rFonts w:ascii="Verdana" w:hAnsi="Verdana"/>
          <w:sz w:val="20"/>
        </w:rPr>
        <w:t xml:space="preserve">relacionados con </w:t>
      </w:r>
      <w:r w:rsidR="00BB6899" w:rsidRPr="000A0953">
        <w:rPr>
          <w:rFonts w:ascii="Verdana" w:hAnsi="Verdana"/>
          <w:sz w:val="20"/>
        </w:rPr>
        <w:t>el artículo 2 de la Convención (</w:t>
      </w:r>
      <w:r w:rsidR="00BB6899" w:rsidRPr="000A0953">
        <w:rPr>
          <w:rFonts w:ascii="Verdana" w:hAnsi="Verdana"/>
          <w:i/>
          <w:sz w:val="20"/>
        </w:rPr>
        <w:t>supra</w:t>
      </w:r>
      <w:r w:rsidR="00BB6899" w:rsidRPr="000A0953">
        <w:rPr>
          <w:rFonts w:ascii="Verdana" w:hAnsi="Verdana"/>
          <w:sz w:val="20"/>
        </w:rPr>
        <w:t xml:space="preserve"> párr. </w:t>
      </w:r>
      <w:r w:rsidR="005B5DE0">
        <w:rPr>
          <w:rFonts w:ascii="Verdana" w:hAnsi="Verdana"/>
          <w:sz w:val="20"/>
          <w:szCs w:val="20"/>
        </w:rPr>
        <w:t>164</w:t>
      </w:r>
      <w:r w:rsidR="005B5DE0" w:rsidRPr="000A0953">
        <w:rPr>
          <w:rFonts w:ascii="Verdana" w:hAnsi="Verdana"/>
          <w:sz w:val="20"/>
          <w:szCs w:val="20"/>
        </w:rPr>
        <w:t>),</w:t>
      </w:r>
      <w:r w:rsidRPr="000A0953">
        <w:rPr>
          <w:rFonts w:ascii="Verdana" w:hAnsi="Verdana"/>
          <w:sz w:val="20"/>
        </w:rPr>
        <w:t xml:space="preserve"> impidiendo que el Estado pudiera controvertir oportunamente sus alegatos</w:t>
      </w:r>
      <w:r w:rsidR="00BB6899" w:rsidRPr="000A0953">
        <w:rPr>
          <w:rFonts w:ascii="Verdana" w:hAnsi="Verdana"/>
          <w:sz w:val="20"/>
        </w:rPr>
        <w:t xml:space="preserve">. En vista de lo anterior, </w:t>
      </w:r>
      <w:r w:rsidR="00FB723A" w:rsidRPr="006231F4">
        <w:rPr>
          <w:rFonts w:ascii="Verdana" w:hAnsi="Verdana"/>
          <w:sz w:val="20"/>
          <w:szCs w:val="20"/>
          <w:lang w:val="es-CR"/>
        </w:rPr>
        <w:t xml:space="preserve">la Corte estima que </w:t>
      </w:r>
      <w:r w:rsidR="00BB6899" w:rsidRPr="000A0953">
        <w:rPr>
          <w:rFonts w:ascii="Verdana" w:hAnsi="Verdana"/>
          <w:sz w:val="20"/>
          <w:lang w:val="es-CR"/>
        </w:rPr>
        <w:t xml:space="preserve">dicho </w:t>
      </w:r>
      <w:r w:rsidR="00FB723A" w:rsidRPr="006231F4">
        <w:rPr>
          <w:rFonts w:ascii="Verdana" w:hAnsi="Verdana"/>
          <w:sz w:val="20"/>
          <w:szCs w:val="20"/>
          <w:lang w:val="es-CR"/>
        </w:rPr>
        <w:t>alegato de los representantes fue elaborado de manera extemporánea</w:t>
      </w:r>
      <w:r w:rsidR="00BB6899">
        <w:rPr>
          <w:rFonts w:ascii="Verdana" w:hAnsi="Verdana"/>
          <w:sz w:val="20"/>
          <w:szCs w:val="20"/>
          <w:lang w:val="es-CR"/>
        </w:rPr>
        <w:t>,</w:t>
      </w:r>
      <w:r w:rsidR="009975E5">
        <w:rPr>
          <w:rFonts w:ascii="Verdana" w:hAnsi="Verdana"/>
          <w:sz w:val="20"/>
          <w:szCs w:val="20"/>
          <w:lang w:val="es-CR"/>
        </w:rPr>
        <w:t xml:space="preserve"> </w:t>
      </w:r>
      <w:r w:rsidR="00BB6899" w:rsidRPr="000A0953">
        <w:rPr>
          <w:rFonts w:ascii="Verdana" w:hAnsi="Verdana"/>
          <w:sz w:val="20"/>
          <w:lang w:val="es-CR"/>
        </w:rPr>
        <w:t>por lo que no se pronunciará al respecto.</w:t>
      </w:r>
      <w:r w:rsidR="00BB6899">
        <w:rPr>
          <w:rFonts w:ascii="Verdana" w:hAnsi="Verdana"/>
          <w:sz w:val="20"/>
          <w:szCs w:val="20"/>
          <w:lang w:val="es-CR"/>
        </w:rPr>
        <w:t xml:space="preserve"> </w:t>
      </w:r>
    </w:p>
    <w:p w14:paraId="6D172D05" w14:textId="77777777" w:rsidR="00FB723A" w:rsidRDefault="00FB723A" w:rsidP="001634BF">
      <w:pPr>
        <w:pStyle w:val="ListParagraph"/>
        <w:ind w:left="0"/>
        <w:jc w:val="both"/>
        <w:rPr>
          <w:rFonts w:ascii="Verdana" w:hAnsi="Verdana"/>
          <w:sz w:val="20"/>
          <w:szCs w:val="20"/>
          <w:lang w:val="es-CR"/>
        </w:rPr>
      </w:pPr>
    </w:p>
    <w:p w14:paraId="6D172D06" w14:textId="14C9C3AD" w:rsidR="00FB723A" w:rsidRPr="008A301C" w:rsidRDefault="00FB723A" w:rsidP="000A0953">
      <w:pPr>
        <w:pStyle w:val="Heading3"/>
        <w:numPr>
          <w:ilvl w:val="0"/>
          <w:numId w:val="25"/>
        </w:numPr>
        <w:spacing w:before="0"/>
        <w:jc w:val="both"/>
        <w:rPr>
          <w:rFonts w:ascii="Verdana" w:hAnsi="Verdana"/>
          <w:b w:val="0"/>
          <w:i/>
          <w:sz w:val="20"/>
          <w:szCs w:val="20"/>
        </w:rPr>
      </w:pPr>
      <w:bookmarkStart w:id="73" w:name="_Toc482093064"/>
      <w:r w:rsidRPr="008A301C">
        <w:rPr>
          <w:rFonts w:ascii="Verdana" w:hAnsi="Verdana"/>
          <w:i/>
          <w:color w:val="auto"/>
          <w:sz w:val="20"/>
          <w:szCs w:val="20"/>
        </w:rPr>
        <w:t>El derecho a recurrir el fallo a través del recurso de nulidad</w:t>
      </w:r>
      <w:bookmarkEnd w:id="73"/>
    </w:p>
    <w:p w14:paraId="6D172D07" w14:textId="77777777" w:rsidR="00FB723A" w:rsidRPr="00F75B3A" w:rsidRDefault="00FB723A" w:rsidP="001634BF">
      <w:pPr>
        <w:pStyle w:val="ListParagraph"/>
        <w:ind w:left="0"/>
        <w:jc w:val="both"/>
        <w:rPr>
          <w:rFonts w:ascii="Verdana" w:hAnsi="Verdana"/>
          <w:sz w:val="20"/>
          <w:szCs w:val="20"/>
          <w:lang w:val="es-MX"/>
        </w:rPr>
      </w:pPr>
    </w:p>
    <w:p w14:paraId="6D172D08" w14:textId="7D40D3F9" w:rsidR="00FB723A" w:rsidRPr="00F75B3A" w:rsidRDefault="00FB723A" w:rsidP="006231F4">
      <w:pPr>
        <w:pStyle w:val="ListParagraph"/>
        <w:numPr>
          <w:ilvl w:val="0"/>
          <w:numId w:val="2"/>
        </w:numPr>
        <w:ind w:left="0" w:firstLine="0"/>
        <w:jc w:val="both"/>
        <w:rPr>
          <w:rFonts w:ascii="Verdana" w:hAnsi="Verdana"/>
          <w:sz w:val="20"/>
          <w:szCs w:val="20"/>
          <w:lang w:val="es-CR"/>
        </w:rPr>
      </w:pPr>
      <w:r w:rsidRPr="00F75B3A">
        <w:rPr>
          <w:rFonts w:ascii="Verdana" w:hAnsi="Verdana"/>
          <w:sz w:val="20"/>
          <w:szCs w:val="20"/>
        </w:rPr>
        <w:t>La Corte se ha referido en su jurisprudencia constante sobre el alcance y contenido del artículo 8.2</w:t>
      </w:r>
      <w:r w:rsidR="00374910">
        <w:rPr>
          <w:rFonts w:ascii="Verdana" w:hAnsi="Verdana"/>
          <w:sz w:val="20"/>
          <w:szCs w:val="20"/>
        </w:rPr>
        <w:t xml:space="preserve"> </w:t>
      </w:r>
      <w:r w:rsidRPr="00F75B3A">
        <w:rPr>
          <w:rFonts w:ascii="Verdana" w:hAnsi="Verdana"/>
          <w:sz w:val="20"/>
          <w:szCs w:val="20"/>
        </w:rPr>
        <w:t>(h) de la Convención, así como a los estándares que deben ser observados para asegurar la garantía del derecho a recurrir el fallo ante juez o tribunal superior</w:t>
      </w:r>
      <w:r w:rsidRPr="00F75B3A">
        <w:rPr>
          <w:rStyle w:val="FootnoteReference"/>
          <w:szCs w:val="20"/>
        </w:rPr>
        <w:footnoteReference w:id="164"/>
      </w:r>
      <w:r w:rsidRPr="00F75B3A">
        <w:rPr>
          <w:rFonts w:ascii="Verdana" w:hAnsi="Verdana"/>
          <w:sz w:val="20"/>
          <w:szCs w:val="20"/>
        </w:rPr>
        <w:t>. En este sentido, el Tribunal ha entendido que dicho derecho consiste en una garantía mínima y primordial que “se debe respetar en el marco del debido proceso legal, en aras de permitir que una sentencia adversa pueda ser revisada por un juez o tribunal distinto y de superior jerarquía […]”</w:t>
      </w:r>
      <w:r w:rsidRPr="00F75B3A">
        <w:rPr>
          <w:rStyle w:val="FootnoteReference"/>
          <w:szCs w:val="20"/>
        </w:rPr>
        <w:footnoteReference w:id="165"/>
      </w:r>
      <w:r w:rsidRPr="00F75B3A">
        <w:rPr>
          <w:rFonts w:ascii="Verdana" w:hAnsi="Verdana"/>
          <w:sz w:val="20"/>
          <w:szCs w:val="20"/>
        </w:rPr>
        <w:t>. Teniendo en cuenta que las garantías judiciales buscan que quien esté incurso en un proceso no sea sometido a decisiones arbitrarias, la Corte interpreta que el derecho a recurrir el fallo no podría ser efectivo si no se garantiza respecto de todo aquél que es condenado</w:t>
      </w:r>
      <w:r w:rsidRPr="00F75B3A">
        <w:rPr>
          <w:rStyle w:val="FootnoteReference"/>
          <w:szCs w:val="20"/>
        </w:rPr>
        <w:footnoteReference w:id="166"/>
      </w:r>
      <w:r w:rsidRPr="00F75B3A">
        <w:rPr>
          <w:rFonts w:ascii="Verdana" w:hAnsi="Verdana"/>
          <w:sz w:val="20"/>
          <w:szCs w:val="20"/>
        </w:rPr>
        <w:t>, ya que la condena es la manifestación del ejercicio del poder punitivo del Estado</w:t>
      </w:r>
      <w:r w:rsidRPr="00F75B3A">
        <w:rPr>
          <w:rStyle w:val="FootnoteReference"/>
          <w:szCs w:val="20"/>
        </w:rPr>
        <w:footnoteReference w:id="167"/>
      </w:r>
      <w:r w:rsidRPr="00F75B3A">
        <w:rPr>
          <w:rFonts w:ascii="Verdana" w:hAnsi="Verdana"/>
          <w:sz w:val="20"/>
          <w:szCs w:val="20"/>
        </w:rPr>
        <w:t xml:space="preserve">. </w:t>
      </w:r>
    </w:p>
    <w:p w14:paraId="6D172D09" w14:textId="77777777" w:rsidR="00FB723A" w:rsidRPr="009F219C" w:rsidRDefault="00FB723A" w:rsidP="001634BF">
      <w:pPr>
        <w:rPr>
          <w:rFonts w:ascii="Verdana" w:hAnsi="Verdana"/>
          <w:sz w:val="20"/>
          <w:szCs w:val="20"/>
        </w:rPr>
      </w:pPr>
    </w:p>
    <w:p w14:paraId="6D172D0A" w14:textId="77777777" w:rsidR="00FB723A" w:rsidRPr="006231F4" w:rsidRDefault="00FB723A" w:rsidP="006231F4">
      <w:pPr>
        <w:pStyle w:val="ListParagraph"/>
        <w:numPr>
          <w:ilvl w:val="0"/>
          <w:numId w:val="2"/>
        </w:numPr>
        <w:ind w:left="0" w:firstLine="0"/>
        <w:jc w:val="both"/>
        <w:rPr>
          <w:rFonts w:ascii="Verdana" w:hAnsi="Verdana"/>
          <w:strike/>
          <w:sz w:val="20"/>
          <w:lang w:val="es-CR"/>
        </w:rPr>
      </w:pPr>
      <w:r w:rsidRPr="00F75B3A">
        <w:rPr>
          <w:rFonts w:ascii="Verdana" w:hAnsi="Verdana"/>
          <w:sz w:val="20"/>
          <w:szCs w:val="20"/>
        </w:rPr>
        <w:t>La Corte ha considerado el derecho a recurrir el fallo como una de las garantías mínimas que tiene toda persona que es sometida a una investigación y proceso penal</w:t>
      </w:r>
      <w:r w:rsidRPr="00F75B3A">
        <w:rPr>
          <w:rStyle w:val="FootnoteReference"/>
          <w:szCs w:val="20"/>
        </w:rPr>
        <w:footnoteReference w:id="168"/>
      </w:r>
      <w:r w:rsidRPr="00F75B3A">
        <w:rPr>
          <w:rFonts w:ascii="Verdana" w:hAnsi="Verdana"/>
          <w:sz w:val="20"/>
          <w:szCs w:val="20"/>
        </w:rPr>
        <w:t xml:space="preserve">. En razón de lo anterior, la Corte ha sido enfática al señalar que el </w:t>
      </w:r>
      <w:r w:rsidRPr="00F75B3A">
        <w:rPr>
          <w:rFonts w:ascii="Verdana" w:hAnsi="Verdana"/>
          <w:bCs/>
          <w:iCs/>
          <w:sz w:val="20"/>
          <w:szCs w:val="20"/>
        </w:rPr>
        <w:t>derecho</w:t>
      </w:r>
      <w:r w:rsidRPr="00F75B3A">
        <w:rPr>
          <w:rFonts w:ascii="Verdana" w:hAnsi="Verdana"/>
          <w:sz w:val="20"/>
          <w:szCs w:val="20"/>
        </w:rPr>
        <w:t xml:space="preserve"> a impugnar el </w:t>
      </w:r>
      <w:r w:rsidRPr="00F75B3A">
        <w:rPr>
          <w:rFonts w:ascii="Verdana" w:hAnsi="Verdana"/>
          <w:bCs/>
          <w:iCs/>
          <w:sz w:val="20"/>
          <w:szCs w:val="20"/>
        </w:rPr>
        <w:t>fallo</w:t>
      </w:r>
      <w:r w:rsidRPr="00F75B3A">
        <w:rPr>
          <w:rFonts w:ascii="Verdana" w:hAnsi="Verdana"/>
          <w:sz w:val="20"/>
          <w:szCs w:val="20"/>
        </w:rPr>
        <w:t xml:space="preserve"> tiene como objetivo principal proteger el </w:t>
      </w:r>
      <w:r w:rsidRPr="00F75B3A">
        <w:rPr>
          <w:rFonts w:ascii="Verdana" w:hAnsi="Verdana"/>
          <w:bCs/>
          <w:iCs/>
          <w:sz w:val="20"/>
          <w:szCs w:val="20"/>
        </w:rPr>
        <w:t>derecho</w:t>
      </w:r>
      <w:r w:rsidRPr="00F75B3A">
        <w:rPr>
          <w:rFonts w:ascii="Verdana" w:hAnsi="Verdana"/>
          <w:sz w:val="20"/>
          <w:szCs w:val="20"/>
        </w:rPr>
        <w:t xml:space="preserve"> de defensa, puesto que otorga la oportunidad de interponer un recurso para evitar que quede firme una decisión judicial en el </w:t>
      </w:r>
      <w:r w:rsidRPr="00F75B3A">
        <w:rPr>
          <w:rFonts w:ascii="Verdana" w:hAnsi="Verdana"/>
          <w:sz w:val="20"/>
          <w:szCs w:val="20"/>
        </w:rPr>
        <w:lastRenderedPageBreak/>
        <w:t xml:space="preserve">evento que haya sido adoptada en un procedimiento viciado y que contenga errores o malas interpretaciones que ocasionarían un perjuicio indebido a los intereses del justiciable, lo que supone que el recurso deba ser garantizado antes de que la sentencia adquiera calidad de cosa juzgada. Este derecho permite corregir errores o injusticias que puedan haberse cometido en las decisiones de primera instancia, por lo que genera una doble conformidad judicial, otorga mayor credibilidad al acto jurisdiccional del Estado y brinda mayor seguridad y tutela a los derechos del condenado. En concordancia con lo anterior, a efectos que exista una doble conformidad judicial, </w:t>
      </w:r>
      <w:r w:rsidRPr="00F75B3A">
        <w:rPr>
          <w:rFonts w:ascii="Verdana" w:hAnsi="Verdana"/>
          <w:sz w:val="20"/>
          <w:szCs w:val="20"/>
          <w:lang w:val="es-EC"/>
        </w:rPr>
        <w:t>la Corte ha indicado que lo importante es que el recurso garantice la posibilidad de un examen integral de la sentencia recurrida</w:t>
      </w:r>
      <w:r w:rsidRPr="00F75B3A">
        <w:rPr>
          <w:rStyle w:val="FootnoteReference"/>
          <w:szCs w:val="20"/>
          <w:lang w:val="es-EC"/>
        </w:rPr>
        <w:footnoteReference w:id="169"/>
      </w:r>
      <w:r w:rsidRPr="00F75B3A">
        <w:rPr>
          <w:rFonts w:ascii="Verdana" w:hAnsi="Verdana"/>
          <w:sz w:val="20"/>
          <w:szCs w:val="20"/>
          <w:lang w:val="es-EC"/>
        </w:rPr>
        <w:t>.</w:t>
      </w:r>
      <w:r w:rsidRPr="00F75B3A">
        <w:rPr>
          <w:rFonts w:ascii="Verdana" w:hAnsi="Verdana"/>
          <w:sz w:val="20"/>
          <w:szCs w:val="20"/>
        </w:rPr>
        <w:t xml:space="preserve"> </w:t>
      </w:r>
    </w:p>
    <w:p w14:paraId="6D172D0B" w14:textId="77777777" w:rsidR="00FB723A" w:rsidRPr="006231F4" w:rsidRDefault="00FB723A" w:rsidP="001634BF">
      <w:pPr>
        <w:pStyle w:val="ListParagraph"/>
        <w:ind w:left="0"/>
        <w:jc w:val="both"/>
        <w:rPr>
          <w:rFonts w:ascii="Verdana" w:hAnsi="Verdana"/>
          <w:strike/>
          <w:sz w:val="20"/>
          <w:lang w:val="es-CR"/>
        </w:rPr>
      </w:pPr>
    </w:p>
    <w:p w14:paraId="6D172D0C" w14:textId="12537EAA" w:rsidR="00FB723A" w:rsidRPr="00F75B3A" w:rsidRDefault="00FB723A" w:rsidP="006231F4">
      <w:pPr>
        <w:pStyle w:val="ListParagraph"/>
        <w:numPr>
          <w:ilvl w:val="0"/>
          <w:numId w:val="2"/>
        </w:numPr>
        <w:ind w:left="0" w:firstLine="0"/>
        <w:jc w:val="both"/>
        <w:rPr>
          <w:rFonts w:ascii="Verdana" w:hAnsi="Verdana"/>
          <w:sz w:val="20"/>
          <w:szCs w:val="20"/>
          <w:lang w:val="es-CR"/>
        </w:rPr>
      </w:pPr>
      <w:r w:rsidRPr="00F75B3A">
        <w:rPr>
          <w:rFonts w:ascii="Verdana" w:hAnsi="Verdana"/>
          <w:sz w:val="20"/>
          <w:szCs w:val="20"/>
        </w:rPr>
        <w:t>Además, el Tribunal ha sostenido que el artículo 8.</w:t>
      </w:r>
      <w:r w:rsidR="00374910">
        <w:rPr>
          <w:rFonts w:ascii="Verdana" w:hAnsi="Verdana"/>
          <w:sz w:val="20"/>
          <w:szCs w:val="20"/>
        </w:rPr>
        <w:t>2 (h)</w:t>
      </w:r>
      <w:r w:rsidRPr="00F75B3A">
        <w:rPr>
          <w:rFonts w:ascii="Verdana" w:hAnsi="Verdana"/>
          <w:sz w:val="20"/>
          <w:szCs w:val="20"/>
        </w:rPr>
        <w:t xml:space="preserve"> de la Convención se refiere a un </w:t>
      </w:r>
      <w:r w:rsidRPr="00B446C7">
        <w:rPr>
          <w:rFonts w:ascii="Verdana" w:hAnsi="Verdana"/>
          <w:sz w:val="20"/>
          <w:szCs w:val="20"/>
        </w:rPr>
        <w:t>recurso ordinario accesible y eficaz</w:t>
      </w:r>
      <w:r w:rsidRPr="00F75B3A">
        <w:rPr>
          <w:rFonts w:ascii="Verdana" w:hAnsi="Verdana"/>
          <w:sz w:val="20"/>
          <w:szCs w:val="20"/>
        </w:rPr>
        <w:t>, es decir que no debe requerir mayores complejidades que tornen ilusorio este derecho. En ese sentido, las formalidades requeridas para que el recurso sea admitido deben ser mínimas y no deben constituir un obstáculo para que el recurso cumpla con su fin de examinar y resolver los agravios sustentados por el recurrente, es decir que debe procurar resultados o respuestas al fin para el cual fue concebido. “Debe entenderse que, independientemente del régimen o sistema recursivo que adopten los Estados Partes y de la denominación que den al medio de impugnación de la sentencia condenatoria, para que éste sea eficaz debe constituir un medio adecuado para procurar la corrección de una condena errónea […]. Consecuentemente, las causales de procedencia del recurso deben posibilitar un control amplio de los aspectos impugnados de la sentencia condenatoria”</w:t>
      </w:r>
      <w:r w:rsidRPr="00F75B3A">
        <w:rPr>
          <w:rStyle w:val="FootnoteReference"/>
          <w:szCs w:val="20"/>
        </w:rPr>
        <w:footnoteReference w:id="170"/>
      </w:r>
      <w:r w:rsidRPr="00F75B3A">
        <w:rPr>
          <w:rFonts w:ascii="Verdana" w:hAnsi="Verdana"/>
          <w:sz w:val="20"/>
          <w:szCs w:val="20"/>
        </w:rPr>
        <w:t xml:space="preserve">. </w:t>
      </w:r>
    </w:p>
    <w:p w14:paraId="6D172D0D" w14:textId="77777777" w:rsidR="00FB723A" w:rsidRPr="00F75B3A" w:rsidRDefault="00FB723A" w:rsidP="001634BF">
      <w:pPr>
        <w:pStyle w:val="ListParagraph"/>
        <w:ind w:left="0"/>
        <w:rPr>
          <w:rFonts w:ascii="Verdana" w:hAnsi="Verdana"/>
          <w:sz w:val="20"/>
          <w:szCs w:val="20"/>
        </w:rPr>
      </w:pPr>
    </w:p>
    <w:p w14:paraId="6D172D0E" w14:textId="77777777" w:rsidR="00FB723A" w:rsidRPr="00BB6899" w:rsidRDefault="00FB723A" w:rsidP="006231F4">
      <w:pPr>
        <w:pStyle w:val="ListParagraph"/>
        <w:numPr>
          <w:ilvl w:val="0"/>
          <w:numId w:val="2"/>
        </w:numPr>
        <w:ind w:left="0" w:firstLine="0"/>
        <w:jc w:val="both"/>
        <w:rPr>
          <w:rFonts w:ascii="Verdana" w:hAnsi="Verdana"/>
          <w:sz w:val="20"/>
          <w:lang w:val="es-CR"/>
        </w:rPr>
      </w:pPr>
      <w:r w:rsidRPr="00BB6899">
        <w:rPr>
          <w:rFonts w:ascii="Verdana" w:hAnsi="Verdana"/>
          <w:sz w:val="20"/>
        </w:rPr>
        <w:t>Además “en la regulación que los Estados desarrollen en sus respectivos regímenes recursivos, deben asegurar que dicho recurso contra la sentencia condenatoria respete las garantías procesales mínimas que, bajo el artículo 8 de la Convención, resulten relevantes y necesarias para resolver los agravios planteados por el recurrente […]”</w:t>
      </w:r>
      <w:r w:rsidRPr="00BB6899">
        <w:rPr>
          <w:rStyle w:val="FootnoteReference"/>
        </w:rPr>
        <w:footnoteReference w:id="171"/>
      </w:r>
      <w:r w:rsidRPr="00BB6899">
        <w:rPr>
          <w:rFonts w:ascii="Verdana" w:hAnsi="Verdana"/>
          <w:sz w:val="20"/>
        </w:rPr>
        <w:t xml:space="preserve">. </w:t>
      </w:r>
      <w:r w:rsidRPr="00BB6899">
        <w:rPr>
          <w:rFonts w:ascii="Verdana" w:hAnsi="Verdana"/>
          <w:sz w:val="20"/>
          <w:lang w:val="es-CR"/>
        </w:rPr>
        <w:t xml:space="preserve"> </w:t>
      </w:r>
    </w:p>
    <w:p w14:paraId="6D172D11" w14:textId="77777777" w:rsidR="00FB723A" w:rsidRPr="006231F4" w:rsidRDefault="00FB723A" w:rsidP="001634BF">
      <w:pPr>
        <w:rPr>
          <w:rFonts w:ascii="Verdana" w:hAnsi="Verdana"/>
          <w:strike/>
          <w:sz w:val="20"/>
        </w:rPr>
      </w:pPr>
    </w:p>
    <w:p w14:paraId="6D172D12" w14:textId="5B4F5BEE" w:rsidR="00FB723A" w:rsidRPr="00ED7DC6" w:rsidRDefault="00FB723A" w:rsidP="006231F4">
      <w:pPr>
        <w:pStyle w:val="ListParagraph"/>
        <w:numPr>
          <w:ilvl w:val="0"/>
          <w:numId w:val="2"/>
        </w:numPr>
        <w:ind w:left="0" w:firstLine="0"/>
        <w:jc w:val="both"/>
        <w:rPr>
          <w:rFonts w:ascii="Verdana" w:hAnsi="Verdana"/>
          <w:sz w:val="20"/>
          <w:lang w:val="es-CR"/>
        </w:rPr>
      </w:pPr>
      <w:r w:rsidRPr="00ED7DC6">
        <w:rPr>
          <w:rFonts w:ascii="Verdana" w:hAnsi="Verdana"/>
          <w:sz w:val="20"/>
        </w:rPr>
        <w:t xml:space="preserve">La Corte </w:t>
      </w:r>
      <w:r w:rsidR="004E4BBD">
        <w:rPr>
          <w:rFonts w:ascii="Verdana" w:hAnsi="Verdana"/>
          <w:sz w:val="20"/>
        </w:rPr>
        <w:t>observa</w:t>
      </w:r>
      <w:r w:rsidRPr="00ED7DC6">
        <w:rPr>
          <w:rFonts w:ascii="Verdana" w:hAnsi="Verdana"/>
          <w:sz w:val="20"/>
        </w:rPr>
        <w:t xml:space="preserve"> que los artículos 292 y 298 del Código de Procedimientos Penales de Perú</w:t>
      </w:r>
      <w:r w:rsidRPr="00573EE4">
        <w:rPr>
          <w:rFonts w:ascii="Verdana" w:hAnsi="Verdana"/>
          <w:sz w:val="20"/>
        </w:rPr>
        <w:t xml:space="preserve">, establecían la procedencia de este recurso en los procesos ordinarios y contra resoluciones definitivas que pongan fin al procedimiento. Así, la Corte Suprema podía declarar la nulidad </w:t>
      </w:r>
      <w:r w:rsidRPr="00F57863">
        <w:rPr>
          <w:rFonts w:ascii="Verdana" w:hAnsi="Verdana"/>
          <w:sz w:val="20"/>
          <w:lang w:val="es-CR" w:eastAsia="es-CR"/>
        </w:rPr>
        <w:t>en la sustanciación de la instrucción, o en la del proceso de juzgamiento cuando se hubiera incurrido en graves irregularidades u omisiones de trámites o garantías establecidas por l</w:t>
      </w:r>
      <w:r w:rsidRPr="001634BF">
        <w:rPr>
          <w:rFonts w:ascii="Verdana" w:hAnsi="Verdana"/>
          <w:sz w:val="20"/>
          <w:lang w:val="es-CR" w:eastAsia="es-CR"/>
        </w:rPr>
        <w:t xml:space="preserve">a Ley Procesal Penal. </w:t>
      </w:r>
      <w:r w:rsidRPr="001634BF">
        <w:rPr>
          <w:rFonts w:ascii="Verdana" w:hAnsi="Verdana"/>
          <w:sz w:val="20"/>
        </w:rPr>
        <w:t xml:space="preserve">Además, establecía que no era procedente </w:t>
      </w:r>
      <w:r w:rsidRPr="001634BF">
        <w:rPr>
          <w:rFonts w:ascii="Verdana" w:hAnsi="Verdana"/>
          <w:sz w:val="20"/>
          <w:lang w:val="es-CR" w:eastAsia="es-CR"/>
        </w:rPr>
        <w:t xml:space="preserve">declarar la nulidad cuando se observaren vicios procesales susceptibles de ser subsanados o que no afecten el sentido de la resolución impugnada </w:t>
      </w:r>
      <w:r w:rsidRPr="001634BF">
        <w:rPr>
          <w:rFonts w:ascii="Verdana" w:hAnsi="Verdana"/>
          <w:sz w:val="20"/>
        </w:rPr>
        <w:t>(</w:t>
      </w:r>
      <w:r w:rsidRPr="001634BF">
        <w:rPr>
          <w:rFonts w:ascii="Verdana" w:hAnsi="Verdana"/>
          <w:i/>
          <w:sz w:val="20"/>
        </w:rPr>
        <w:t>supra</w:t>
      </w:r>
      <w:r w:rsidRPr="001634BF">
        <w:rPr>
          <w:rFonts w:ascii="Verdana" w:hAnsi="Verdana"/>
          <w:sz w:val="20"/>
        </w:rPr>
        <w:t xml:space="preserve"> párr. </w:t>
      </w:r>
      <w:r w:rsidR="005B5DE0">
        <w:rPr>
          <w:rFonts w:ascii="Verdana" w:hAnsi="Verdana"/>
          <w:sz w:val="20"/>
        </w:rPr>
        <w:t>96</w:t>
      </w:r>
      <w:r w:rsidR="00260B4F">
        <w:rPr>
          <w:rFonts w:ascii="Verdana" w:hAnsi="Verdana"/>
          <w:strike/>
          <w:sz w:val="20"/>
        </w:rPr>
        <w:t>).</w:t>
      </w:r>
      <w:r w:rsidR="005B5DE0" w:rsidRPr="00ED7DC6">
        <w:rPr>
          <w:rFonts w:ascii="Verdana" w:hAnsi="Verdana"/>
          <w:sz w:val="20"/>
        </w:rPr>
        <w:t xml:space="preserve"> </w:t>
      </w:r>
    </w:p>
    <w:p w14:paraId="6D172D13" w14:textId="77777777" w:rsidR="00FB723A" w:rsidRPr="006231F4" w:rsidRDefault="00FB723A" w:rsidP="001634BF">
      <w:pPr>
        <w:pStyle w:val="ListParagraph"/>
        <w:ind w:left="0"/>
        <w:jc w:val="both"/>
        <w:rPr>
          <w:rFonts w:ascii="Verdana" w:hAnsi="Verdana"/>
          <w:strike/>
          <w:sz w:val="20"/>
          <w:lang w:val="es-CR"/>
        </w:rPr>
      </w:pPr>
    </w:p>
    <w:p w14:paraId="42BE9BF4" w14:textId="49EF2D6D" w:rsidR="009975E5" w:rsidRPr="00B446C7" w:rsidRDefault="001E0665" w:rsidP="00B446C7">
      <w:pPr>
        <w:pStyle w:val="ListParagraph"/>
        <w:numPr>
          <w:ilvl w:val="0"/>
          <w:numId w:val="2"/>
        </w:numPr>
        <w:ind w:left="0" w:firstLine="0"/>
        <w:jc w:val="both"/>
        <w:rPr>
          <w:rFonts w:ascii="Verdana" w:hAnsi="Verdana"/>
          <w:sz w:val="20"/>
          <w:szCs w:val="20"/>
          <w:lang w:val="es-CR"/>
        </w:rPr>
      </w:pPr>
      <w:r w:rsidRPr="000A0953">
        <w:rPr>
          <w:rFonts w:ascii="Verdana" w:hAnsi="Verdana"/>
          <w:sz w:val="20"/>
          <w:lang w:val="es-CR"/>
        </w:rPr>
        <w:t xml:space="preserve">Tomando en </w:t>
      </w:r>
      <w:r w:rsidR="004E4BBD" w:rsidRPr="000A0953">
        <w:rPr>
          <w:rFonts w:ascii="Verdana" w:hAnsi="Verdana"/>
          <w:sz w:val="20"/>
          <w:lang w:val="es-CR"/>
        </w:rPr>
        <w:t>cuenta</w:t>
      </w:r>
      <w:r w:rsidRPr="000A0953">
        <w:rPr>
          <w:rFonts w:ascii="Verdana" w:hAnsi="Verdana"/>
          <w:sz w:val="20"/>
          <w:lang w:val="es-CR"/>
        </w:rPr>
        <w:t xml:space="preserve"> lo anterior, a</w:t>
      </w:r>
      <w:r w:rsidR="00260B4F">
        <w:rPr>
          <w:rFonts w:ascii="Verdana" w:hAnsi="Verdana"/>
          <w:sz w:val="20"/>
          <w:lang w:val="es-CR"/>
        </w:rPr>
        <w:t xml:space="preserve"> continuación</w:t>
      </w:r>
      <w:r w:rsidR="00ED7DC6" w:rsidRPr="000A0953">
        <w:rPr>
          <w:rFonts w:ascii="Verdana" w:hAnsi="Verdana"/>
          <w:sz w:val="20"/>
          <w:lang w:val="es-CR"/>
        </w:rPr>
        <w:t xml:space="preserve"> la Corte analizará  la efectividad del recurso de nulidad para el caso concreto.</w:t>
      </w:r>
    </w:p>
    <w:p w14:paraId="6D172D15" w14:textId="77777777" w:rsidR="00FB723A" w:rsidRPr="009975E5" w:rsidRDefault="00FB723A" w:rsidP="00B446C7">
      <w:pPr>
        <w:pStyle w:val="ListParagraph"/>
        <w:ind w:left="0"/>
        <w:jc w:val="both"/>
        <w:rPr>
          <w:rFonts w:ascii="Verdana" w:hAnsi="Verdana"/>
          <w:sz w:val="20"/>
          <w:szCs w:val="20"/>
          <w:lang w:val="es-CR"/>
        </w:rPr>
      </w:pPr>
    </w:p>
    <w:p w14:paraId="6D172D16" w14:textId="6B5838F6" w:rsidR="00FB723A" w:rsidRDefault="00ED7DC6" w:rsidP="006231F4">
      <w:pPr>
        <w:pStyle w:val="ListParagraph"/>
        <w:numPr>
          <w:ilvl w:val="0"/>
          <w:numId w:val="2"/>
        </w:numPr>
        <w:ind w:left="0" w:firstLine="0"/>
        <w:jc w:val="both"/>
        <w:rPr>
          <w:rFonts w:ascii="Verdana" w:hAnsi="Verdana"/>
          <w:sz w:val="20"/>
          <w:szCs w:val="20"/>
          <w:lang w:val="es-CR"/>
        </w:rPr>
      </w:pPr>
      <w:r w:rsidRPr="006231F4">
        <w:rPr>
          <w:rFonts w:ascii="Verdana" w:hAnsi="Verdana"/>
          <w:sz w:val="20"/>
        </w:rPr>
        <w:t>E</w:t>
      </w:r>
      <w:r w:rsidR="00FB723A" w:rsidRPr="00573EE4">
        <w:rPr>
          <w:rFonts w:ascii="Verdana" w:hAnsi="Verdana"/>
          <w:sz w:val="20"/>
        </w:rPr>
        <w:t>l</w:t>
      </w:r>
      <w:r w:rsidR="00FB723A" w:rsidRPr="00573EE4">
        <w:rPr>
          <w:rFonts w:ascii="Verdana" w:hAnsi="Verdana"/>
          <w:sz w:val="20"/>
          <w:szCs w:val="20"/>
        </w:rPr>
        <w:t xml:space="preserve"> </w:t>
      </w:r>
      <w:r w:rsidR="00FB723A">
        <w:rPr>
          <w:rFonts w:ascii="Verdana" w:hAnsi="Verdana"/>
          <w:sz w:val="20"/>
          <w:szCs w:val="20"/>
        </w:rPr>
        <w:t xml:space="preserve">Tribunal </w:t>
      </w:r>
      <w:r w:rsidR="001E0665" w:rsidRPr="000A0953">
        <w:rPr>
          <w:rFonts w:ascii="Verdana" w:hAnsi="Verdana"/>
          <w:sz w:val="20"/>
        </w:rPr>
        <w:t>constató</w:t>
      </w:r>
      <w:r w:rsidR="001E0665">
        <w:rPr>
          <w:rFonts w:ascii="Verdana" w:hAnsi="Verdana"/>
          <w:sz w:val="20"/>
          <w:szCs w:val="20"/>
        </w:rPr>
        <w:t xml:space="preserve"> </w:t>
      </w:r>
      <w:r w:rsidR="00FB723A">
        <w:rPr>
          <w:rFonts w:ascii="Verdana" w:hAnsi="Verdana"/>
          <w:sz w:val="20"/>
          <w:szCs w:val="20"/>
        </w:rPr>
        <w:t>que el señor Zegarra Marín</w:t>
      </w:r>
      <w:r w:rsidR="00FB723A" w:rsidRPr="00AF3D8F">
        <w:rPr>
          <w:rFonts w:ascii="Verdana" w:hAnsi="Verdana"/>
          <w:sz w:val="20"/>
          <w:szCs w:val="20"/>
          <w:lang w:val="es-CR"/>
        </w:rPr>
        <w:t xml:space="preserve"> </w:t>
      </w:r>
      <w:r w:rsidR="00FB723A" w:rsidRPr="003E2B77">
        <w:rPr>
          <w:rFonts w:ascii="Verdana" w:hAnsi="Verdana"/>
          <w:sz w:val="20"/>
          <w:szCs w:val="20"/>
          <w:lang w:val="es-CR"/>
        </w:rPr>
        <w:t>interpuso verbalmente un recurso de nulidad</w:t>
      </w:r>
      <w:r w:rsidR="00FB723A">
        <w:rPr>
          <w:rFonts w:ascii="Verdana" w:hAnsi="Verdana"/>
          <w:sz w:val="20"/>
          <w:szCs w:val="20"/>
          <w:lang w:val="es-CR"/>
        </w:rPr>
        <w:t xml:space="preserve"> </w:t>
      </w:r>
      <w:r w:rsidR="00FB723A" w:rsidRPr="003E2B77">
        <w:rPr>
          <w:rFonts w:ascii="Verdana" w:hAnsi="Verdana"/>
          <w:sz w:val="20"/>
          <w:szCs w:val="20"/>
          <w:lang w:val="es-ES"/>
        </w:rPr>
        <w:t xml:space="preserve">durante la audiencia celebrada el </w:t>
      </w:r>
      <w:r w:rsidR="00FB723A" w:rsidRPr="003E2B77">
        <w:rPr>
          <w:rFonts w:ascii="Verdana" w:hAnsi="Verdana"/>
          <w:sz w:val="20"/>
          <w:szCs w:val="20"/>
          <w:lang w:val="es-CR"/>
        </w:rPr>
        <w:t>8 de noviembre de 1996 ante la Quinta Sala Pena</w:t>
      </w:r>
      <w:r w:rsidR="00FB723A">
        <w:rPr>
          <w:rFonts w:ascii="Verdana" w:hAnsi="Verdana"/>
          <w:sz w:val="20"/>
          <w:szCs w:val="20"/>
          <w:lang w:val="es-CR"/>
        </w:rPr>
        <w:t xml:space="preserve">l </w:t>
      </w:r>
      <w:r w:rsidR="00FB723A" w:rsidRPr="003E2B77">
        <w:rPr>
          <w:rFonts w:ascii="Verdana" w:hAnsi="Verdana"/>
          <w:sz w:val="20"/>
          <w:szCs w:val="20"/>
          <w:lang w:val="es-CR"/>
        </w:rPr>
        <w:t>por encontrarse en disconformidad con la sentencia condenatoria.</w:t>
      </w:r>
      <w:r w:rsidR="00FB723A">
        <w:rPr>
          <w:rFonts w:ascii="Verdana" w:hAnsi="Verdana"/>
          <w:sz w:val="20"/>
          <w:szCs w:val="20"/>
          <w:lang w:val="es-CR"/>
        </w:rPr>
        <w:t xml:space="preserve"> Posteriormente, e</w:t>
      </w:r>
      <w:r w:rsidR="00FB723A" w:rsidRPr="003E2B77">
        <w:rPr>
          <w:rFonts w:ascii="Verdana" w:hAnsi="Verdana"/>
          <w:sz w:val="20"/>
          <w:szCs w:val="20"/>
          <w:lang w:val="es-CR"/>
        </w:rPr>
        <w:t>l 10 de julio de 1997 el señor Zegarra Marín presentó por escrito dicho recurso</w:t>
      </w:r>
      <w:r w:rsidR="00FB723A">
        <w:rPr>
          <w:rFonts w:ascii="Verdana" w:hAnsi="Verdana"/>
          <w:sz w:val="20"/>
          <w:szCs w:val="20"/>
          <w:lang w:val="es-CR"/>
        </w:rPr>
        <w:t xml:space="preserve"> (</w:t>
      </w:r>
      <w:r w:rsidR="00FB723A" w:rsidRPr="0058104A">
        <w:rPr>
          <w:rFonts w:ascii="Verdana" w:hAnsi="Verdana"/>
          <w:i/>
          <w:sz w:val="20"/>
          <w:szCs w:val="20"/>
          <w:lang w:val="es-CR"/>
        </w:rPr>
        <w:t>supra</w:t>
      </w:r>
      <w:r w:rsidR="00374910">
        <w:rPr>
          <w:rFonts w:ascii="Verdana" w:hAnsi="Verdana"/>
          <w:sz w:val="20"/>
          <w:szCs w:val="20"/>
          <w:lang w:val="es-CR"/>
        </w:rPr>
        <w:t xml:space="preserve"> párr</w:t>
      </w:r>
      <w:r w:rsidR="00FB723A">
        <w:rPr>
          <w:rFonts w:ascii="Verdana" w:hAnsi="Verdana"/>
          <w:sz w:val="20"/>
          <w:szCs w:val="20"/>
          <w:lang w:val="es-CR"/>
        </w:rPr>
        <w:t xml:space="preserve">. </w:t>
      </w:r>
      <w:r w:rsidR="00FE4BD3">
        <w:rPr>
          <w:rFonts w:ascii="Verdana" w:hAnsi="Verdana"/>
          <w:sz w:val="20"/>
          <w:szCs w:val="20"/>
          <w:lang w:val="es-CR"/>
        </w:rPr>
        <w:t>98).</w:t>
      </w:r>
    </w:p>
    <w:p w14:paraId="6D172D17" w14:textId="77777777" w:rsidR="00FB723A" w:rsidRPr="003E2B77" w:rsidRDefault="00FB723A" w:rsidP="001634BF">
      <w:pPr>
        <w:pStyle w:val="ListParagraph"/>
        <w:ind w:left="0"/>
        <w:jc w:val="both"/>
        <w:rPr>
          <w:rFonts w:ascii="Verdana" w:hAnsi="Verdana"/>
          <w:sz w:val="20"/>
          <w:szCs w:val="20"/>
          <w:lang w:val="es-CR"/>
        </w:rPr>
      </w:pPr>
    </w:p>
    <w:p w14:paraId="6D172D18" w14:textId="399B4F95" w:rsidR="00FB723A" w:rsidRPr="00D41B50" w:rsidRDefault="00FB723A" w:rsidP="006231F4">
      <w:pPr>
        <w:pStyle w:val="ListParagraph"/>
        <w:numPr>
          <w:ilvl w:val="0"/>
          <w:numId w:val="2"/>
        </w:numPr>
        <w:ind w:left="0" w:firstLine="0"/>
        <w:jc w:val="both"/>
        <w:rPr>
          <w:rFonts w:ascii="Verdana" w:hAnsi="Verdana"/>
          <w:sz w:val="20"/>
          <w:szCs w:val="20"/>
          <w:lang w:val="es-CR"/>
        </w:rPr>
      </w:pPr>
      <w:r>
        <w:rPr>
          <w:rFonts w:ascii="Verdana" w:hAnsi="Verdana"/>
          <w:sz w:val="20"/>
          <w:szCs w:val="20"/>
          <w:lang w:val="es-MX"/>
        </w:rPr>
        <w:t>A</w:t>
      </w:r>
      <w:r w:rsidRPr="00574AE4">
        <w:rPr>
          <w:rFonts w:ascii="Verdana" w:hAnsi="Verdana"/>
          <w:sz w:val="20"/>
          <w:szCs w:val="20"/>
          <w:lang w:val="es-MX"/>
        </w:rPr>
        <w:t xml:space="preserve">l impugnar el contenido de las declaraciones del señor </w:t>
      </w:r>
      <w:r w:rsidR="0014732F">
        <w:rPr>
          <w:rFonts w:ascii="Verdana" w:hAnsi="Verdana"/>
          <w:sz w:val="20"/>
          <w:szCs w:val="20"/>
          <w:lang w:val="es-MX"/>
        </w:rPr>
        <w:t>CH</w:t>
      </w:r>
      <w:r w:rsidRPr="00574AE4">
        <w:rPr>
          <w:rFonts w:ascii="Verdana" w:hAnsi="Verdana"/>
          <w:sz w:val="20"/>
          <w:szCs w:val="20"/>
          <w:lang w:val="es-MX"/>
        </w:rPr>
        <w:t xml:space="preserve"> y referirse </w:t>
      </w:r>
      <w:r>
        <w:rPr>
          <w:rFonts w:ascii="Verdana" w:hAnsi="Verdana"/>
          <w:sz w:val="20"/>
          <w:szCs w:val="20"/>
          <w:lang w:val="es-MX"/>
        </w:rPr>
        <w:t xml:space="preserve">expresamente </w:t>
      </w:r>
      <w:r w:rsidRPr="00574AE4">
        <w:rPr>
          <w:rFonts w:ascii="Verdana" w:hAnsi="Verdana"/>
          <w:sz w:val="20"/>
          <w:szCs w:val="20"/>
          <w:lang w:val="es-MX"/>
        </w:rPr>
        <w:t xml:space="preserve">a los resultados del examen de grafotecnia, el señor Zegarra Marín solicitó el análisis de </w:t>
      </w:r>
      <w:r w:rsidRPr="00574AE4">
        <w:rPr>
          <w:rFonts w:ascii="Verdana" w:hAnsi="Verdana"/>
          <w:sz w:val="20"/>
          <w:szCs w:val="20"/>
        </w:rPr>
        <w:lastRenderedPageBreak/>
        <w:t xml:space="preserve">cuestiones tanto fácticas como probatorias. Por otro lado, al referirse a las suposiciones o sospechas sobre la factibilidad de un hecho en el razonamiento de la Quinta Sala Penal, </w:t>
      </w:r>
      <w:r>
        <w:rPr>
          <w:rFonts w:ascii="Verdana" w:hAnsi="Verdana"/>
          <w:sz w:val="20"/>
          <w:szCs w:val="20"/>
        </w:rPr>
        <w:t>así como</w:t>
      </w:r>
      <w:r w:rsidRPr="00574AE4">
        <w:rPr>
          <w:rFonts w:ascii="Verdana" w:hAnsi="Verdana"/>
          <w:sz w:val="20"/>
          <w:szCs w:val="20"/>
        </w:rPr>
        <w:t xml:space="preserve"> a la alegada inversión de la carga probatoria y la transgresión del principio de presunción de inocencia, el señor Zegarra Marín se encontraba a su vez argumentando</w:t>
      </w:r>
      <w:r>
        <w:rPr>
          <w:rFonts w:ascii="Verdana" w:hAnsi="Verdana"/>
          <w:sz w:val="20"/>
          <w:szCs w:val="20"/>
        </w:rPr>
        <w:t xml:space="preserve"> cuestiones jurídicas. </w:t>
      </w:r>
    </w:p>
    <w:p w14:paraId="6D172D19" w14:textId="77777777" w:rsidR="00FB723A" w:rsidRPr="000A0953" w:rsidRDefault="00FB723A" w:rsidP="001634BF">
      <w:pPr>
        <w:pStyle w:val="ListParagraph"/>
        <w:ind w:left="0"/>
        <w:rPr>
          <w:rFonts w:ascii="Verdana" w:hAnsi="Verdana"/>
          <w:sz w:val="20"/>
          <w:szCs w:val="20"/>
        </w:rPr>
      </w:pPr>
    </w:p>
    <w:p w14:paraId="6D172D1A" w14:textId="7BA88496" w:rsidR="00FB723A" w:rsidRPr="00B74C6C" w:rsidRDefault="00FB723A" w:rsidP="006231F4">
      <w:pPr>
        <w:pStyle w:val="ListParagraph"/>
        <w:numPr>
          <w:ilvl w:val="0"/>
          <w:numId w:val="2"/>
        </w:numPr>
        <w:ind w:left="0" w:firstLine="0"/>
        <w:jc w:val="both"/>
        <w:rPr>
          <w:rFonts w:ascii="Verdana" w:hAnsi="Verdana"/>
          <w:sz w:val="20"/>
          <w:szCs w:val="20"/>
          <w:lang w:val="es-CR"/>
        </w:rPr>
      </w:pPr>
      <w:r w:rsidRPr="00B74C6C">
        <w:rPr>
          <w:rFonts w:ascii="Verdana" w:hAnsi="Verdana"/>
          <w:sz w:val="20"/>
          <w:szCs w:val="20"/>
          <w:lang w:val="es-MX"/>
        </w:rPr>
        <w:t>No</w:t>
      </w:r>
      <w:r w:rsidRPr="00B74C6C">
        <w:rPr>
          <w:rFonts w:ascii="Verdana" w:hAnsi="Verdana"/>
          <w:sz w:val="20"/>
          <w:szCs w:val="20"/>
          <w:lang w:val="es-CR"/>
        </w:rPr>
        <w:t xml:space="preserve"> obstante, esta Corte ha señalado que el deber de motivar no exige una respuesta detallada a todo argumento de las partes, sino que puede variar según la naturaleza de la decisión,</w:t>
      </w:r>
      <w:r w:rsidRPr="00B74C6C">
        <w:rPr>
          <w:rFonts w:ascii="Verdana" w:hAnsi="Verdana"/>
          <w:sz w:val="20"/>
          <w:szCs w:val="20"/>
          <w:lang w:val="es-ES"/>
        </w:rPr>
        <w:t xml:space="preserve"> debe determinarse a la luz de las circunstancias del caso, </w:t>
      </w:r>
      <w:r w:rsidRPr="00B74C6C">
        <w:rPr>
          <w:rFonts w:ascii="Verdana" w:hAnsi="Verdana"/>
          <w:sz w:val="20"/>
          <w:szCs w:val="20"/>
          <w:lang w:val="es-CR"/>
        </w:rPr>
        <w:t>por lo que corresponde analizar en cada caso si dicha garantía ha sido satisfecha</w:t>
      </w:r>
      <w:r w:rsidR="00B74C6C" w:rsidRPr="000A0953">
        <w:rPr>
          <w:rStyle w:val="FootnoteReference"/>
          <w:szCs w:val="20"/>
          <w:lang w:val="es-CR"/>
        </w:rPr>
        <w:t xml:space="preserve"> </w:t>
      </w:r>
      <w:r w:rsidR="00B74C6C" w:rsidRPr="000A0953">
        <w:rPr>
          <w:rStyle w:val="FootnoteReference"/>
          <w:szCs w:val="20"/>
          <w:lang w:val="es-CR"/>
        </w:rPr>
        <w:footnoteReference w:id="172"/>
      </w:r>
      <w:r w:rsidR="00B74C6C" w:rsidRPr="000A0953" w:rsidDel="00B74C6C">
        <w:rPr>
          <w:rStyle w:val="FootnoteReference"/>
          <w:szCs w:val="20"/>
          <w:lang w:val="es-CR"/>
        </w:rPr>
        <w:t xml:space="preserve"> </w:t>
      </w:r>
      <w:bookmarkStart w:id="74" w:name="_ftnref70"/>
      <w:r w:rsidR="000737AC" w:rsidRPr="00B74C6C">
        <w:rPr>
          <w:rFonts w:ascii="Verdana" w:hAnsi="Verdana"/>
          <w:sz w:val="20"/>
          <w:szCs w:val="20"/>
          <w:lang w:val="es-CR"/>
        </w:rPr>
        <w:fldChar w:fldCharType="begin"/>
      </w:r>
      <w:r w:rsidRPr="00B74C6C">
        <w:rPr>
          <w:rFonts w:ascii="Verdana" w:hAnsi="Verdana"/>
          <w:sz w:val="20"/>
          <w:szCs w:val="20"/>
          <w:lang w:val="es-CR"/>
        </w:rPr>
        <w:instrText xml:space="preserve"> HYPERLINK "http://www.corteidh.or.cr/cf/themis/digesto/digesto.cfm" \l "_ftn70" \o "" </w:instrText>
      </w:r>
      <w:r w:rsidR="000737AC" w:rsidRPr="00B74C6C">
        <w:rPr>
          <w:rFonts w:ascii="Verdana" w:hAnsi="Verdana"/>
          <w:sz w:val="20"/>
          <w:szCs w:val="20"/>
          <w:lang w:val="es-CR"/>
        </w:rPr>
        <w:fldChar w:fldCharType="end"/>
      </w:r>
      <w:bookmarkEnd w:id="74"/>
      <w:r w:rsidRPr="00B74C6C">
        <w:rPr>
          <w:rFonts w:ascii="Verdana" w:hAnsi="Verdana"/>
          <w:sz w:val="20"/>
          <w:szCs w:val="20"/>
          <w:lang w:val="es-CR"/>
        </w:rPr>
        <w:t>.</w:t>
      </w:r>
    </w:p>
    <w:p w14:paraId="6D172D1B" w14:textId="77777777" w:rsidR="00FB723A" w:rsidRPr="009C7422" w:rsidRDefault="00FB723A" w:rsidP="001634BF">
      <w:pPr>
        <w:pStyle w:val="ListParagraph"/>
        <w:ind w:left="0"/>
        <w:rPr>
          <w:rFonts w:ascii="Verdana" w:hAnsi="Verdana"/>
          <w:sz w:val="20"/>
          <w:szCs w:val="20"/>
          <w:highlight w:val="yellow"/>
          <w:lang w:val="es-CR"/>
        </w:rPr>
      </w:pPr>
    </w:p>
    <w:p w14:paraId="6D172D1C" w14:textId="73814C20" w:rsidR="00FB723A" w:rsidRPr="000071A4" w:rsidRDefault="00FB723A" w:rsidP="006231F4">
      <w:pPr>
        <w:pStyle w:val="ListParagraph"/>
        <w:numPr>
          <w:ilvl w:val="0"/>
          <w:numId w:val="2"/>
        </w:numPr>
        <w:ind w:left="0" w:firstLine="0"/>
        <w:jc w:val="both"/>
        <w:rPr>
          <w:rFonts w:ascii="Verdana" w:hAnsi="Verdana"/>
          <w:sz w:val="20"/>
          <w:szCs w:val="20"/>
          <w:lang w:val="es-CR"/>
        </w:rPr>
      </w:pPr>
      <w:r w:rsidRPr="00DD48FB">
        <w:rPr>
          <w:rFonts w:ascii="Verdana" w:hAnsi="Verdana"/>
          <w:sz w:val="20"/>
          <w:szCs w:val="20"/>
        </w:rPr>
        <w:t xml:space="preserve">En este sentido, en aras de resolver las cuestiones </w:t>
      </w:r>
      <w:r w:rsidRPr="00D41B50">
        <w:rPr>
          <w:rFonts w:ascii="Verdana" w:hAnsi="Verdana"/>
          <w:sz w:val="20"/>
          <w:szCs w:val="20"/>
        </w:rPr>
        <w:t>planteadas por el recurrente</w:t>
      </w:r>
      <w:r w:rsidRPr="00DD48FB">
        <w:rPr>
          <w:rFonts w:ascii="Verdana" w:hAnsi="Verdana"/>
          <w:sz w:val="20"/>
          <w:szCs w:val="20"/>
        </w:rPr>
        <w:t xml:space="preserve">, resultaba necesario que la </w:t>
      </w:r>
      <w:r w:rsidR="00CB5D89">
        <w:rPr>
          <w:rFonts w:ascii="Verdana" w:hAnsi="Verdana"/>
          <w:sz w:val="20"/>
          <w:szCs w:val="20"/>
        </w:rPr>
        <w:t xml:space="preserve">Primera </w:t>
      </w:r>
      <w:r>
        <w:rPr>
          <w:rFonts w:ascii="Verdana" w:hAnsi="Verdana"/>
          <w:sz w:val="20"/>
          <w:szCs w:val="20"/>
        </w:rPr>
        <w:t xml:space="preserve">Sala de la Corte Suprema </w:t>
      </w:r>
      <w:r w:rsidRPr="00D41B50">
        <w:rPr>
          <w:rFonts w:ascii="Verdana" w:hAnsi="Verdana"/>
          <w:sz w:val="20"/>
          <w:szCs w:val="20"/>
        </w:rPr>
        <w:t xml:space="preserve">hiciera referencia a las </w:t>
      </w:r>
      <w:r w:rsidRPr="00DD48FB">
        <w:rPr>
          <w:rFonts w:ascii="Verdana" w:hAnsi="Verdana"/>
          <w:sz w:val="20"/>
          <w:szCs w:val="20"/>
        </w:rPr>
        <w:t>impugnaciones del señor Zegarra Marín</w:t>
      </w:r>
      <w:r w:rsidRPr="00D41B50">
        <w:rPr>
          <w:rFonts w:ascii="Verdana" w:hAnsi="Verdana"/>
          <w:sz w:val="20"/>
          <w:szCs w:val="20"/>
        </w:rPr>
        <w:t xml:space="preserve">, y se pronunciara sobre </w:t>
      </w:r>
      <w:r>
        <w:rPr>
          <w:rFonts w:ascii="Verdana" w:hAnsi="Verdana"/>
          <w:sz w:val="20"/>
          <w:szCs w:val="20"/>
        </w:rPr>
        <w:t>las principales cuestiones planteadas</w:t>
      </w:r>
      <w:r w:rsidRPr="00D41B50">
        <w:rPr>
          <w:rFonts w:ascii="Verdana" w:hAnsi="Verdana"/>
          <w:sz w:val="20"/>
          <w:szCs w:val="20"/>
        </w:rPr>
        <w:t xml:space="preserve">. Lo anterior a fin de </w:t>
      </w:r>
      <w:r w:rsidRPr="00DD48FB">
        <w:rPr>
          <w:rFonts w:ascii="Verdana" w:hAnsi="Verdana"/>
          <w:sz w:val="20"/>
          <w:szCs w:val="20"/>
          <w:lang w:val="es-EC"/>
        </w:rPr>
        <w:t xml:space="preserve">garantizar la posibilidad de un examen integral de la sentencia recurrida, a la luz de las </w:t>
      </w:r>
      <w:r w:rsidRPr="00DA58FE">
        <w:rPr>
          <w:rFonts w:ascii="Verdana" w:hAnsi="Verdana"/>
          <w:sz w:val="20"/>
          <w:szCs w:val="20"/>
          <w:lang w:val="es-EC"/>
        </w:rPr>
        <w:t>características de la doble conformidad (</w:t>
      </w:r>
      <w:r w:rsidRPr="00DA58FE">
        <w:rPr>
          <w:rFonts w:ascii="Verdana" w:hAnsi="Verdana"/>
          <w:i/>
          <w:sz w:val="20"/>
          <w:szCs w:val="20"/>
          <w:lang w:val="es-EC"/>
        </w:rPr>
        <w:t>supra</w:t>
      </w:r>
      <w:r w:rsidRPr="00DA58FE">
        <w:rPr>
          <w:rFonts w:ascii="Verdana" w:hAnsi="Verdana"/>
          <w:sz w:val="20"/>
          <w:szCs w:val="20"/>
          <w:lang w:val="es-EC"/>
        </w:rPr>
        <w:t xml:space="preserve">, párr. </w:t>
      </w:r>
      <w:r w:rsidR="00945C15">
        <w:rPr>
          <w:rFonts w:ascii="Verdana" w:hAnsi="Verdana"/>
          <w:sz w:val="20"/>
          <w:szCs w:val="20"/>
          <w:lang w:val="es-EC"/>
        </w:rPr>
        <w:t>171</w:t>
      </w:r>
      <w:r w:rsidR="00945C15" w:rsidRPr="00DA58FE">
        <w:rPr>
          <w:rFonts w:ascii="Verdana" w:hAnsi="Verdana"/>
          <w:sz w:val="20"/>
          <w:szCs w:val="20"/>
          <w:lang w:val="es-EC"/>
        </w:rPr>
        <w:t>)</w:t>
      </w:r>
      <w:r w:rsidR="00945C15" w:rsidRPr="00DA58FE">
        <w:rPr>
          <w:rFonts w:ascii="Verdana" w:hAnsi="Verdana"/>
          <w:sz w:val="20"/>
          <w:szCs w:val="20"/>
        </w:rPr>
        <w:t xml:space="preserve">. </w:t>
      </w:r>
      <w:r w:rsidRPr="00DA58FE">
        <w:rPr>
          <w:rFonts w:ascii="Verdana" w:hAnsi="Verdana"/>
          <w:sz w:val="20"/>
          <w:szCs w:val="20"/>
        </w:rPr>
        <w:t xml:space="preserve">Al respecto, la Corte recuerda que </w:t>
      </w:r>
      <w:r w:rsidRPr="000071A4">
        <w:rPr>
          <w:rFonts w:ascii="Verdana" w:hAnsi="Verdana"/>
          <w:sz w:val="20"/>
          <w:szCs w:val="20"/>
        </w:rPr>
        <w:t xml:space="preserve">el </w:t>
      </w:r>
      <w:r w:rsidRPr="004F7529">
        <w:rPr>
          <w:rFonts w:ascii="Verdana" w:hAnsi="Verdana"/>
          <w:sz w:val="20"/>
          <w:szCs w:val="20"/>
          <w:lang w:val="es-CR"/>
        </w:rPr>
        <w:t>recurso efectivo implica que el análisis por la autoridad competente d</w:t>
      </w:r>
      <w:r w:rsidRPr="00DA58FE">
        <w:rPr>
          <w:rFonts w:ascii="Verdana" w:hAnsi="Verdana"/>
          <w:sz w:val="20"/>
          <w:szCs w:val="20"/>
          <w:lang w:val="es-CR"/>
        </w:rPr>
        <w:t>e un recurso judicial no puede reducirse a una mera formalidad, sino que debe examinar las razones invocadas por el demandante y manifestarse expresamente sobre ellas</w:t>
      </w:r>
      <w:r w:rsidRPr="000071A4">
        <w:rPr>
          <w:rStyle w:val="FootnoteReference"/>
          <w:szCs w:val="20"/>
        </w:rPr>
        <w:footnoteReference w:id="173"/>
      </w:r>
      <w:r w:rsidRPr="000071A4">
        <w:rPr>
          <w:rFonts w:ascii="Verdana" w:hAnsi="Verdana"/>
          <w:sz w:val="20"/>
          <w:szCs w:val="20"/>
          <w:lang w:val="es-CR"/>
        </w:rPr>
        <w:t>.</w:t>
      </w:r>
    </w:p>
    <w:p w14:paraId="6D172D1D" w14:textId="77777777" w:rsidR="00FB723A" w:rsidRPr="00DA58FE" w:rsidRDefault="00FB723A" w:rsidP="001634BF">
      <w:pPr>
        <w:pStyle w:val="ListParagraph"/>
        <w:ind w:left="0"/>
        <w:jc w:val="both"/>
        <w:rPr>
          <w:rFonts w:ascii="Verdana" w:hAnsi="Verdana"/>
          <w:sz w:val="20"/>
          <w:szCs w:val="20"/>
          <w:lang w:val="es-CR"/>
        </w:rPr>
      </w:pPr>
    </w:p>
    <w:p w14:paraId="6D172D1E" w14:textId="0B9E534B" w:rsidR="00FB723A" w:rsidRPr="009C7422" w:rsidRDefault="00FB723A" w:rsidP="006231F4">
      <w:pPr>
        <w:pStyle w:val="ListParagraph"/>
        <w:numPr>
          <w:ilvl w:val="0"/>
          <w:numId w:val="2"/>
        </w:numPr>
        <w:ind w:left="0" w:firstLine="0"/>
        <w:jc w:val="both"/>
        <w:rPr>
          <w:rFonts w:ascii="Verdana" w:hAnsi="Verdana"/>
          <w:sz w:val="20"/>
          <w:szCs w:val="20"/>
          <w:lang w:val="es-CR"/>
        </w:rPr>
      </w:pPr>
      <w:r w:rsidRPr="00DA58FE">
        <w:rPr>
          <w:rFonts w:ascii="Verdana" w:hAnsi="Verdana"/>
          <w:sz w:val="20"/>
          <w:szCs w:val="20"/>
          <w:lang w:val="es-CR"/>
        </w:rPr>
        <w:t xml:space="preserve">A pesar de lo anterior, el 17 de diciembre de 1997 la Primera Sala Penal Transitoria </w:t>
      </w:r>
      <w:r w:rsidR="00FD2D0F">
        <w:rPr>
          <w:rFonts w:ascii="Verdana" w:hAnsi="Verdana"/>
          <w:sz w:val="20"/>
          <w:szCs w:val="20"/>
          <w:lang w:val="es-CR"/>
        </w:rPr>
        <w:t xml:space="preserve">de la Corte Suprema de Justicia </w:t>
      </w:r>
      <w:r w:rsidRPr="00DA58FE">
        <w:rPr>
          <w:rFonts w:ascii="Verdana" w:hAnsi="Verdana"/>
          <w:sz w:val="20"/>
          <w:szCs w:val="20"/>
          <w:lang w:val="es-CR"/>
        </w:rPr>
        <w:t xml:space="preserve">emitió su pronunciamiento declarando sin lugar el recurso de nulidad interpuesto, al señalar que: </w:t>
      </w:r>
      <w:r w:rsidRPr="00ED116F">
        <w:rPr>
          <w:rFonts w:ascii="Verdana" w:hAnsi="Verdana"/>
          <w:sz w:val="20"/>
          <w:szCs w:val="20"/>
          <w:lang w:val="es-CR"/>
        </w:rPr>
        <w:t xml:space="preserve">“[…] de conformidad en parte con lo dictaminado por el señor Fiscal; por los fundamentos de la sentencia </w:t>
      </w:r>
      <w:r w:rsidR="00605F70">
        <w:rPr>
          <w:rFonts w:ascii="Verdana" w:hAnsi="Verdana"/>
          <w:sz w:val="20"/>
          <w:szCs w:val="20"/>
          <w:lang w:val="es-CR"/>
        </w:rPr>
        <w:t xml:space="preserve">en </w:t>
      </w:r>
      <w:r w:rsidRPr="00ED116F">
        <w:rPr>
          <w:rFonts w:ascii="Verdana" w:hAnsi="Verdana"/>
          <w:sz w:val="20"/>
          <w:szCs w:val="20"/>
          <w:lang w:val="es-CR"/>
        </w:rPr>
        <w:t>materia de grado; y [considerando</w:t>
      </w:r>
      <w:r w:rsidR="008E0352" w:rsidRPr="00ED116F">
        <w:rPr>
          <w:rFonts w:ascii="Verdana" w:hAnsi="Verdana"/>
          <w:sz w:val="20"/>
          <w:szCs w:val="20"/>
          <w:lang w:val="es-CR"/>
        </w:rPr>
        <w:t>]</w:t>
      </w:r>
      <w:r w:rsidRPr="00ED116F">
        <w:rPr>
          <w:rFonts w:ascii="Verdana" w:hAnsi="Verdana"/>
          <w:sz w:val="20"/>
          <w:szCs w:val="20"/>
          <w:lang w:val="es-CR"/>
        </w:rPr>
        <w:t xml:space="preserve"> que habiéndose acreditado la responsabilidad penal de los encausados así como la comisión de delitos materia de la instrucción, la pena impuesta a estos se encuentra arreglada a la ley”</w:t>
      </w:r>
      <w:r w:rsidRPr="00DA58FE">
        <w:rPr>
          <w:rFonts w:ascii="Verdana" w:hAnsi="Verdana"/>
          <w:i/>
          <w:sz w:val="20"/>
          <w:szCs w:val="20"/>
          <w:lang w:val="es-CR"/>
        </w:rPr>
        <w:t xml:space="preserve"> </w:t>
      </w:r>
      <w:r w:rsidRPr="00DA58FE">
        <w:rPr>
          <w:rFonts w:ascii="Verdana" w:hAnsi="Verdana"/>
          <w:sz w:val="20"/>
          <w:szCs w:val="20"/>
          <w:lang w:val="es-CR"/>
        </w:rPr>
        <w:t>(</w:t>
      </w:r>
      <w:r w:rsidRPr="00DA58FE">
        <w:rPr>
          <w:rFonts w:ascii="Verdana" w:hAnsi="Verdana"/>
          <w:i/>
          <w:sz w:val="20"/>
          <w:szCs w:val="20"/>
          <w:lang w:val="es-CR"/>
        </w:rPr>
        <w:t>supra</w:t>
      </w:r>
      <w:r w:rsidRPr="00DA58FE">
        <w:rPr>
          <w:rFonts w:ascii="Verdana" w:hAnsi="Verdana"/>
          <w:sz w:val="20"/>
          <w:szCs w:val="20"/>
          <w:lang w:val="es-CR"/>
        </w:rPr>
        <w:t xml:space="preserve"> párr. </w:t>
      </w:r>
      <w:r w:rsidR="00CB5D89">
        <w:rPr>
          <w:rFonts w:ascii="Verdana" w:hAnsi="Verdana"/>
          <w:sz w:val="20"/>
          <w:szCs w:val="20"/>
          <w:lang w:val="es-CR"/>
        </w:rPr>
        <w:t>100</w:t>
      </w:r>
      <w:r w:rsidR="00CB5D89" w:rsidRPr="00DA58FE">
        <w:rPr>
          <w:rFonts w:ascii="Verdana" w:hAnsi="Verdana"/>
          <w:sz w:val="20"/>
          <w:szCs w:val="20"/>
          <w:lang w:val="es-CR"/>
        </w:rPr>
        <w:t>)</w:t>
      </w:r>
      <w:r w:rsidR="00CB5D89">
        <w:rPr>
          <w:rFonts w:ascii="Verdana" w:hAnsi="Verdana"/>
          <w:sz w:val="20"/>
          <w:szCs w:val="20"/>
          <w:lang w:val="es-CR"/>
        </w:rPr>
        <w:t>.</w:t>
      </w:r>
      <w:r w:rsidR="00CB5D89" w:rsidRPr="00DA58FE">
        <w:rPr>
          <w:rFonts w:ascii="Verdana" w:hAnsi="Verdana"/>
          <w:sz w:val="20"/>
          <w:szCs w:val="20"/>
          <w:lang w:val="es-CR"/>
        </w:rPr>
        <w:t xml:space="preserve"> </w:t>
      </w:r>
    </w:p>
    <w:p w14:paraId="6D172D1F" w14:textId="77777777" w:rsidR="00FB723A" w:rsidRPr="00DA58FE" w:rsidRDefault="00FB723A" w:rsidP="001634BF">
      <w:pPr>
        <w:pStyle w:val="ListParagraph"/>
        <w:ind w:left="0"/>
        <w:jc w:val="both"/>
        <w:rPr>
          <w:rFonts w:ascii="Verdana" w:hAnsi="Verdana"/>
          <w:sz w:val="20"/>
          <w:szCs w:val="20"/>
        </w:rPr>
      </w:pPr>
    </w:p>
    <w:p w14:paraId="6D172D20" w14:textId="609FFE93" w:rsidR="00FB723A" w:rsidRPr="00086F1B" w:rsidRDefault="00FB723A" w:rsidP="006231F4">
      <w:pPr>
        <w:pStyle w:val="ListParagraph"/>
        <w:numPr>
          <w:ilvl w:val="0"/>
          <w:numId w:val="2"/>
        </w:numPr>
        <w:ind w:left="0" w:firstLine="0"/>
        <w:jc w:val="both"/>
        <w:rPr>
          <w:rFonts w:ascii="Verdana" w:hAnsi="Verdana"/>
          <w:sz w:val="20"/>
          <w:szCs w:val="20"/>
          <w:lang w:val="es-CR"/>
        </w:rPr>
      </w:pPr>
      <w:r w:rsidRPr="000071A4">
        <w:rPr>
          <w:rFonts w:ascii="Verdana" w:hAnsi="Verdana"/>
          <w:sz w:val="20"/>
          <w:szCs w:val="20"/>
        </w:rPr>
        <w:t xml:space="preserve">En virtud de ello, esta Corte </w:t>
      </w:r>
      <w:r w:rsidRPr="004F7529">
        <w:rPr>
          <w:rFonts w:ascii="Verdana" w:hAnsi="Verdana"/>
          <w:sz w:val="20"/>
          <w:szCs w:val="20"/>
        </w:rPr>
        <w:t>nota</w:t>
      </w:r>
      <w:r w:rsidRPr="00DA58FE">
        <w:rPr>
          <w:rFonts w:ascii="Verdana" w:hAnsi="Verdana"/>
          <w:sz w:val="20"/>
          <w:szCs w:val="20"/>
        </w:rPr>
        <w:t xml:space="preserve"> que la Primera Sala Penal Transitoria de la Corte Suprema de Justicia se limitó a confirmar las consideraciones de la sentencia condenatoria sin pronunciarse sobre los argumentos principales presentados por el recurrente. En particular, los relativos, </w:t>
      </w:r>
      <w:r w:rsidRPr="00DA58FE">
        <w:rPr>
          <w:rFonts w:ascii="Verdana" w:hAnsi="Verdana"/>
          <w:i/>
          <w:sz w:val="20"/>
          <w:szCs w:val="20"/>
        </w:rPr>
        <w:t xml:space="preserve">inter alia, </w:t>
      </w:r>
      <w:r w:rsidRPr="00DA58FE">
        <w:rPr>
          <w:rFonts w:ascii="Verdana" w:hAnsi="Verdana"/>
          <w:sz w:val="20"/>
          <w:szCs w:val="20"/>
        </w:rPr>
        <w:t>a que: i) se le exigió que presentara pruebas de descargo contundentes</w:t>
      </w:r>
      <w:r w:rsidRPr="00086F1B">
        <w:rPr>
          <w:rFonts w:ascii="Verdana" w:hAnsi="Verdana"/>
          <w:sz w:val="20"/>
          <w:szCs w:val="20"/>
        </w:rPr>
        <w:t xml:space="preserve">, cuando era el órgano judicial el que tenía la obligación de demostrar su culpabilidad con pruebas admitidas en el proceso e idóneas; ii) no se valoró el peritaje de grafotecnia de la </w:t>
      </w:r>
      <w:r w:rsidRPr="00086F1B">
        <w:rPr>
          <w:rFonts w:ascii="Verdana" w:hAnsi="Verdana"/>
          <w:sz w:val="20"/>
          <w:szCs w:val="20"/>
          <w:lang w:val="es-MX"/>
        </w:rPr>
        <w:t>División de Criminalística de la Policía Nacional que demostraba que él no había firmado los pasaportes expedidos fraudulentamente</w:t>
      </w:r>
      <w:r w:rsidRPr="00086F1B">
        <w:rPr>
          <w:rFonts w:ascii="Verdana" w:hAnsi="Verdana"/>
          <w:sz w:val="20"/>
          <w:szCs w:val="20"/>
        </w:rPr>
        <w:t>, y iii) no se fundamentó el valor probatorio de las declaraciones de su coimputado, tomando en cuenta las contradicciones reiteradas durante el proceso penal.</w:t>
      </w:r>
    </w:p>
    <w:p w14:paraId="6D172D21" w14:textId="77777777" w:rsidR="00FB723A" w:rsidRPr="003E2B77" w:rsidRDefault="00FB723A" w:rsidP="001634BF">
      <w:pPr>
        <w:pStyle w:val="ListParagraph"/>
        <w:ind w:left="0"/>
        <w:jc w:val="both"/>
        <w:rPr>
          <w:rFonts w:ascii="Verdana" w:hAnsi="Verdana"/>
          <w:sz w:val="20"/>
          <w:szCs w:val="20"/>
        </w:rPr>
      </w:pPr>
    </w:p>
    <w:p w14:paraId="6D172D22" w14:textId="439B2663" w:rsidR="00FB723A" w:rsidRPr="003E2B77" w:rsidRDefault="00FB723A" w:rsidP="006231F4">
      <w:pPr>
        <w:pStyle w:val="ListParagraph"/>
        <w:numPr>
          <w:ilvl w:val="0"/>
          <w:numId w:val="2"/>
        </w:numPr>
        <w:ind w:left="0" w:firstLine="0"/>
        <w:jc w:val="both"/>
        <w:rPr>
          <w:rFonts w:ascii="Verdana" w:hAnsi="Verdana"/>
          <w:sz w:val="20"/>
          <w:szCs w:val="20"/>
          <w:lang w:val="es-CR"/>
        </w:rPr>
      </w:pPr>
      <w:r>
        <w:rPr>
          <w:rFonts w:ascii="Verdana" w:hAnsi="Verdana"/>
          <w:sz w:val="20"/>
          <w:szCs w:val="20"/>
        </w:rPr>
        <w:t xml:space="preserve">La Corte estima que, en vista que la instancia recursiva </w:t>
      </w:r>
      <w:r w:rsidRPr="003E2B77">
        <w:rPr>
          <w:rFonts w:ascii="Verdana" w:hAnsi="Verdana"/>
          <w:sz w:val="20"/>
          <w:szCs w:val="20"/>
        </w:rPr>
        <w:t xml:space="preserve">no garantizó </w:t>
      </w:r>
      <w:r w:rsidR="007B77B3" w:rsidRPr="000A0953">
        <w:rPr>
          <w:rFonts w:ascii="Verdana" w:hAnsi="Verdana"/>
          <w:sz w:val="20"/>
        </w:rPr>
        <w:t>en la práctica</w:t>
      </w:r>
      <w:r w:rsidRPr="003E2B77">
        <w:rPr>
          <w:rFonts w:ascii="Verdana" w:hAnsi="Verdana"/>
          <w:sz w:val="20"/>
          <w:szCs w:val="20"/>
        </w:rPr>
        <w:t xml:space="preserve"> </w:t>
      </w:r>
      <w:r w:rsidRPr="003E2B77">
        <w:rPr>
          <w:rFonts w:ascii="Verdana" w:hAnsi="Verdana"/>
          <w:sz w:val="20"/>
          <w:szCs w:val="20"/>
          <w:lang w:val="es-CR"/>
        </w:rPr>
        <w:t>una revisión integral de</w:t>
      </w:r>
      <w:r>
        <w:rPr>
          <w:rFonts w:ascii="Verdana" w:hAnsi="Verdana"/>
          <w:sz w:val="20"/>
          <w:szCs w:val="20"/>
          <w:lang w:val="es-CR"/>
        </w:rPr>
        <w:t xml:space="preserve"> la sentencia condenatoria</w:t>
      </w:r>
      <w:r w:rsidRPr="003E2B77">
        <w:rPr>
          <w:rFonts w:ascii="Verdana" w:hAnsi="Verdana"/>
          <w:sz w:val="20"/>
          <w:szCs w:val="20"/>
          <w:lang w:val="es-CR"/>
        </w:rPr>
        <w:t>,</w:t>
      </w:r>
      <w:r>
        <w:rPr>
          <w:rFonts w:ascii="Verdana" w:hAnsi="Verdana"/>
          <w:sz w:val="20"/>
          <w:szCs w:val="20"/>
          <w:lang w:val="es-CR"/>
        </w:rPr>
        <w:t xml:space="preserve"> a la luz de los estándares descritos </w:t>
      </w:r>
      <w:r>
        <w:rPr>
          <w:rFonts w:ascii="Verdana" w:hAnsi="Verdana"/>
          <w:sz w:val="20"/>
          <w:szCs w:val="20"/>
          <w:lang w:val="es-CR"/>
        </w:rPr>
        <w:lastRenderedPageBreak/>
        <w:t>(</w:t>
      </w:r>
      <w:r w:rsidRPr="0058104A">
        <w:rPr>
          <w:rFonts w:ascii="Verdana" w:hAnsi="Verdana"/>
          <w:i/>
          <w:sz w:val="20"/>
          <w:szCs w:val="20"/>
          <w:lang w:val="es-CR"/>
        </w:rPr>
        <w:t>supra</w:t>
      </w:r>
      <w:r>
        <w:rPr>
          <w:rFonts w:ascii="Verdana" w:hAnsi="Verdana"/>
          <w:sz w:val="20"/>
          <w:szCs w:val="20"/>
          <w:lang w:val="es-CR"/>
        </w:rPr>
        <w:t>, párr</w:t>
      </w:r>
      <w:r w:rsidR="00094751">
        <w:rPr>
          <w:rFonts w:ascii="Verdana" w:hAnsi="Verdana"/>
          <w:sz w:val="20"/>
          <w:szCs w:val="20"/>
          <w:lang w:val="es-CR"/>
        </w:rPr>
        <w:t>s</w:t>
      </w:r>
      <w:r>
        <w:rPr>
          <w:rFonts w:ascii="Verdana" w:hAnsi="Verdana"/>
          <w:sz w:val="20"/>
          <w:szCs w:val="20"/>
          <w:lang w:val="es-CR"/>
        </w:rPr>
        <w:t xml:space="preserve">. </w:t>
      </w:r>
      <w:r w:rsidR="007D7164">
        <w:rPr>
          <w:rFonts w:ascii="Verdana" w:hAnsi="Verdana"/>
          <w:sz w:val="20"/>
          <w:szCs w:val="20"/>
          <w:lang w:val="es-CR"/>
        </w:rPr>
        <w:t>17</w:t>
      </w:r>
      <w:r w:rsidR="00094751">
        <w:rPr>
          <w:rFonts w:ascii="Verdana" w:hAnsi="Verdana"/>
          <w:sz w:val="20"/>
          <w:szCs w:val="20"/>
          <w:lang w:val="es-CR"/>
        </w:rPr>
        <w:t>0 a 173</w:t>
      </w:r>
      <w:r w:rsidR="007D7164">
        <w:rPr>
          <w:rFonts w:ascii="Verdana" w:hAnsi="Verdana"/>
          <w:sz w:val="20"/>
          <w:szCs w:val="20"/>
          <w:lang w:val="es-CR"/>
        </w:rPr>
        <w:t>),</w:t>
      </w:r>
      <w:r w:rsidR="007B77B3">
        <w:rPr>
          <w:rFonts w:ascii="Verdana" w:hAnsi="Verdana"/>
          <w:sz w:val="20"/>
          <w:szCs w:val="20"/>
          <w:lang w:val="es-CR"/>
        </w:rPr>
        <w:t xml:space="preserve"> </w:t>
      </w:r>
      <w:r w:rsidR="007B77B3" w:rsidRPr="000A0953">
        <w:rPr>
          <w:rFonts w:ascii="Verdana" w:hAnsi="Verdana"/>
          <w:sz w:val="20"/>
          <w:lang w:val="es-CR"/>
        </w:rPr>
        <w:t>en el caso concreto</w:t>
      </w:r>
      <w:r w:rsidRPr="006231F4">
        <w:rPr>
          <w:rFonts w:ascii="Verdana" w:hAnsi="Verdana"/>
          <w:b/>
          <w:sz w:val="20"/>
          <w:lang w:val="es-CR"/>
        </w:rPr>
        <w:t xml:space="preserve"> </w:t>
      </w:r>
      <w:r>
        <w:rPr>
          <w:rFonts w:ascii="Verdana" w:hAnsi="Verdana"/>
          <w:sz w:val="20"/>
          <w:szCs w:val="20"/>
        </w:rPr>
        <w:t xml:space="preserve">este recurso careció de </w:t>
      </w:r>
      <w:r w:rsidR="00ED7DC6" w:rsidRPr="000A0953">
        <w:rPr>
          <w:rFonts w:ascii="Verdana" w:hAnsi="Verdana"/>
          <w:sz w:val="20"/>
        </w:rPr>
        <w:t>eficacia</w:t>
      </w:r>
      <w:r>
        <w:rPr>
          <w:rFonts w:ascii="Verdana" w:hAnsi="Verdana"/>
          <w:sz w:val="20"/>
          <w:szCs w:val="20"/>
        </w:rPr>
        <w:t>.</w:t>
      </w:r>
      <w:r w:rsidRPr="003E2B77">
        <w:rPr>
          <w:rFonts w:ascii="Verdana" w:hAnsi="Verdana"/>
          <w:sz w:val="20"/>
          <w:szCs w:val="20"/>
        </w:rPr>
        <w:t xml:space="preserve"> Por lo tanto,</w:t>
      </w:r>
      <w:r>
        <w:rPr>
          <w:rFonts w:ascii="Verdana" w:hAnsi="Verdana"/>
          <w:sz w:val="20"/>
          <w:szCs w:val="20"/>
        </w:rPr>
        <w:t xml:space="preserve"> </w:t>
      </w:r>
      <w:r w:rsidRPr="003E2B77">
        <w:rPr>
          <w:rFonts w:ascii="Verdana" w:hAnsi="Verdana"/>
          <w:sz w:val="20"/>
          <w:szCs w:val="20"/>
        </w:rPr>
        <w:t xml:space="preserve">concluye </w:t>
      </w:r>
      <w:r>
        <w:rPr>
          <w:rFonts w:ascii="Verdana" w:hAnsi="Verdana"/>
          <w:sz w:val="20"/>
          <w:szCs w:val="20"/>
        </w:rPr>
        <w:t xml:space="preserve">que </w:t>
      </w:r>
      <w:r w:rsidRPr="003E2B77">
        <w:rPr>
          <w:rFonts w:ascii="Verdana" w:hAnsi="Verdana"/>
          <w:sz w:val="20"/>
          <w:szCs w:val="20"/>
        </w:rPr>
        <w:t xml:space="preserve">el Estado violó el derecho a recurrir el fallo ante </w:t>
      </w:r>
      <w:r w:rsidR="00605F70">
        <w:rPr>
          <w:rFonts w:ascii="Verdana" w:hAnsi="Verdana"/>
          <w:sz w:val="20"/>
          <w:szCs w:val="20"/>
        </w:rPr>
        <w:t>el</w:t>
      </w:r>
      <w:r w:rsidRPr="003E2B77">
        <w:rPr>
          <w:rFonts w:ascii="Verdana" w:hAnsi="Verdana"/>
          <w:sz w:val="20"/>
          <w:szCs w:val="20"/>
        </w:rPr>
        <w:t xml:space="preserve"> juez o tribunal superior, </w:t>
      </w:r>
      <w:r>
        <w:rPr>
          <w:rFonts w:ascii="Verdana" w:hAnsi="Verdana"/>
          <w:sz w:val="20"/>
          <w:szCs w:val="20"/>
        </w:rPr>
        <w:t>dispuesto</w:t>
      </w:r>
      <w:r w:rsidRPr="003E2B77">
        <w:rPr>
          <w:rFonts w:ascii="Verdana" w:hAnsi="Verdana"/>
          <w:sz w:val="20"/>
          <w:szCs w:val="20"/>
        </w:rPr>
        <w:t xml:space="preserve"> en el artículo 8.2</w:t>
      </w:r>
      <w:r w:rsidR="004F4222">
        <w:rPr>
          <w:rFonts w:ascii="Verdana" w:hAnsi="Verdana"/>
          <w:sz w:val="20"/>
          <w:szCs w:val="20"/>
        </w:rPr>
        <w:t xml:space="preserve"> </w:t>
      </w:r>
      <w:r w:rsidRPr="003E2B77">
        <w:rPr>
          <w:rFonts w:ascii="Verdana" w:hAnsi="Verdana"/>
          <w:sz w:val="20"/>
          <w:szCs w:val="20"/>
        </w:rPr>
        <w:t>(h) de la Convención Americana, en perjuicio del señor Zegarra Marín</w:t>
      </w:r>
      <w:r w:rsidR="00BB0F78">
        <w:rPr>
          <w:rFonts w:ascii="Verdana" w:hAnsi="Verdana"/>
          <w:sz w:val="20"/>
          <w:szCs w:val="20"/>
        </w:rPr>
        <w:t>, así como del artículo 25 de la misma, en tanto que no contó con un recurso efectivo que tutelara los derechos vulnerados</w:t>
      </w:r>
      <w:r w:rsidR="00263932">
        <w:rPr>
          <w:rFonts w:ascii="Verdana" w:hAnsi="Verdana"/>
          <w:sz w:val="20"/>
          <w:szCs w:val="20"/>
        </w:rPr>
        <w:t xml:space="preserve"> (</w:t>
      </w:r>
      <w:r w:rsidR="00263932" w:rsidRPr="00DA360D">
        <w:rPr>
          <w:rFonts w:ascii="Verdana" w:hAnsi="Verdana"/>
          <w:i/>
          <w:sz w:val="20"/>
          <w:szCs w:val="20"/>
        </w:rPr>
        <w:t>infra</w:t>
      </w:r>
      <w:r w:rsidR="00263932">
        <w:rPr>
          <w:rFonts w:ascii="Verdana" w:hAnsi="Verdana"/>
          <w:sz w:val="20"/>
          <w:szCs w:val="20"/>
        </w:rPr>
        <w:t xml:space="preserve"> párr</w:t>
      </w:r>
      <w:r w:rsidR="003300FB">
        <w:rPr>
          <w:rFonts w:ascii="Verdana" w:hAnsi="Verdana"/>
          <w:sz w:val="20"/>
          <w:szCs w:val="20"/>
        </w:rPr>
        <w:t>s</w:t>
      </w:r>
      <w:r w:rsidR="00263932">
        <w:rPr>
          <w:rFonts w:ascii="Verdana" w:hAnsi="Verdana"/>
          <w:sz w:val="20"/>
          <w:szCs w:val="20"/>
        </w:rPr>
        <w:t xml:space="preserve">. </w:t>
      </w:r>
      <w:r w:rsidR="00A63CE8">
        <w:rPr>
          <w:rFonts w:ascii="Verdana" w:hAnsi="Verdana"/>
          <w:sz w:val="20"/>
          <w:szCs w:val="20"/>
        </w:rPr>
        <w:t>18</w:t>
      </w:r>
      <w:r w:rsidR="007D7164">
        <w:rPr>
          <w:rFonts w:ascii="Verdana" w:hAnsi="Verdana"/>
          <w:sz w:val="20"/>
          <w:szCs w:val="20"/>
        </w:rPr>
        <w:t>8</w:t>
      </w:r>
      <w:r w:rsidR="003300FB">
        <w:rPr>
          <w:rFonts w:ascii="Verdana" w:hAnsi="Verdana"/>
          <w:sz w:val="20"/>
          <w:szCs w:val="20"/>
        </w:rPr>
        <w:t xml:space="preserve"> y </w:t>
      </w:r>
      <w:r w:rsidR="007D7164">
        <w:rPr>
          <w:rFonts w:ascii="Verdana" w:hAnsi="Verdana"/>
          <w:sz w:val="20"/>
          <w:szCs w:val="20"/>
        </w:rPr>
        <w:t>189</w:t>
      </w:r>
      <w:r w:rsidR="00263932">
        <w:rPr>
          <w:rFonts w:ascii="Verdana" w:hAnsi="Verdana"/>
          <w:sz w:val="20"/>
          <w:szCs w:val="20"/>
        </w:rPr>
        <w:t>)</w:t>
      </w:r>
      <w:r w:rsidR="00BB0F78">
        <w:rPr>
          <w:rFonts w:ascii="Verdana" w:hAnsi="Verdana"/>
          <w:sz w:val="20"/>
          <w:szCs w:val="20"/>
        </w:rPr>
        <w:t xml:space="preserve">. </w:t>
      </w:r>
    </w:p>
    <w:p w14:paraId="6D172D23" w14:textId="77777777" w:rsidR="00BE730A" w:rsidRPr="003E2B77" w:rsidRDefault="00BE730A" w:rsidP="001634BF">
      <w:pPr>
        <w:jc w:val="both"/>
        <w:rPr>
          <w:rFonts w:ascii="Verdana" w:hAnsi="Verdana"/>
          <w:sz w:val="20"/>
          <w:szCs w:val="20"/>
          <w:lang w:val="es-CR"/>
        </w:rPr>
      </w:pPr>
    </w:p>
    <w:p w14:paraId="6D172D24" w14:textId="22455DD7" w:rsidR="00FB723A" w:rsidRPr="008A301C" w:rsidRDefault="00FB723A" w:rsidP="000A0953">
      <w:pPr>
        <w:pStyle w:val="Heading3"/>
        <w:numPr>
          <w:ilvl w:val="0"/>
          <w:numId w:val="25"/>
        </w:numPr>
        <w:spacing w:before="0"/>
        <w:jc w:val="both"/>
        <w:rPr>
          <w:rFonts w:ascii="Verdana" w:hAnsi="Verdana"/>
          <w:b w:val="0"/>
          <w:i/>
          <w:sz w:val="20"/>
          <w:szCs w:val="20"/>
        </w:rPr>
      </w:pPr>
      <w:bookmarkStart w:id="75" w:name="_Toc482093065"/>
      <w:r w:rsidRPr="008A301C">
        <w:rPr>
          <w:rFonts w:ascii="Verdana" w:hAnsi="Verdana"/>
          <w:i/>
          <w:color w:val="auto"/>
          <w:sz w:val="20"/>
          <w:szCs w:val="20"/>
        </w:rPr>
        <w:t>La idoneidad del recurso de revisión</w:t>
      </w:r>
      <w:bookmarkEnd w:id="75"/>
    </w:p>
    <w:p w14:paraId="6D172D25" w14:textId="77777777" w:rsidR="00FB723A" w:rsidRPr="003E2B77" w:rsidRDefault="00FB723A" w:rsidP="001634BF">
      <w:pPr>
        <w:jc w:val="both"/>
        <w:rPr>
          <w:rFonts w:ascii="Verdana" w:hAnsi="Verdana"/>
          <w:sz w:val="20"/>
          <w:szCs w:val="20"/>
          <w:lang w:val="es-MX"/>
        </w:rPr>
      </w:pPr>
    </w:p>
    <w:p w14:paraId="6D172D26" w14:textId="5A2DCCEF" w:rsidR="00FB723A" w:rsidRPr="00D562BE" w:rsidRDefault="00FB723A" w:rsidP="006231F4">
      <w:pPr>
        <w:pStyle w:val="ListParagraph"/>
        <w:numPr>
          <w:ilvl w:val="0"/>
          <w:numId w:val="2"/>
        </w:numPr>
        <w:ind w:left="0" w:firstLine="0"/>
        <w:jc w:val="both"/>
        <w:rPr>
          <w:rFonts w:ascii="Verdana" w:hAnsi="Verdana"/>
          <w:sz w:val="20"/>
          <w:szCs w:val="20"/>
          <w:lang w:val="es-CR"/>
        </w:rPr>
      </w:pPr>
      <w:r w:rsidRPr="00D24B4F">
        <w:rPr>
          <w:rFonts w:ascii="Verdana" w:hAnsi="Verdana"/>
          <w:sz w:val="20"/>
          <w:szCs w:val="20"/>
          <w:lang w:val="es-ES"/>
        </w:rPr>
        <w:t>De</w:t>
      </w:r>
      <w:r w:rsidRPr="00D24B4F">
        <w:rPr>
          <w:rFonts w:ascii="Verdana" w:hAnsi="Verdana"/>
          <w:sz w:val="20"/>
          <w:szCs w:val="20"/>
        </w:rPr>
        <w:t xml:space="preserve"> lo anterior, </w:t>
      </w:r>
      <w:r>
        <w:rPr>
          <w:rFonts w:ascii="Verdana" w:hAnsi="Verdana"/>
          <w:sz w:val="20"/>
          <w:szCs w:val="20"/>
        </w:rPr>
        <w:t xml:space="preserve">la Corte estima que </w:t>
      </w:r>
      <w:r w:rsidRPr="00D24B4F">
        <w:rPr>
          <w:rFonts w:ascii="Verdana" w:hAnsi="Verdana"/>
          <w:sz w:val="20"/>
          <w:szCs w:val="20"/>
        </w:rPr>
        <w:t xml:space="preserve">la presente </w:t>
      </w:r>
      <w:r w:rsidRPr="00DA360D">
        <w:rPr>
          <w:rFonts w:ascii="Verdana" w:hAnsi="Verdana"/>
          <w:sz w:val="20"/>
          <w:szCs w:val="20"/>
        </w:rPr>
        <w:t>controversia</w:t>
      </w:r>
      <w:r w:rsidRPr="00370036">
        <w:rPr>
          <w:rFonts w:ascii="Verdana" w:hAnsi="Verdana"/>
          <w:sz w:val="20"/>
          <w:szCs w:val="20"/>
        </w:rPr>
        <w:t xml:space="preserve"> </w:t>
      </w:r>
      <w:r w:rsidRPr="00D24B4F">
        <w:rPr>
          <w:rFonts w:ascii="Verdana" w:hAnsi="Verdana"/>
          <w:sz w:val="20"/>
          <w:szCs w:val="20"/>
        </w:rPr>
        <w:t xml:space="preserve">consiste en determinar </w:t>
      </w:r>
      <w:r w:rsidR="00BE730A">
        <w:rPr>
          <w:rFonts w:ascii="Verdana" w:hAnsi="Verdana"/>
          <w:sz w:val="20"/>
          <w:szCs w:val="20"/>
        </w:rPr>
        <w:t xml:space="preserve">primeramente </w:t>
      </w:r>
      <w:r w:rsidRPr="00D24B4F">
        <w:rPr>
          <w:rFonts w:ascii="Verdana" w:hAnsi="Verdana"/>
          <w:sz w:val="20"/>
          <w:szCs w:val="20"/>
        </w:rPr>
        <w:t xml:space="preserve">si el recurso de revisión resultaba el </w:t>
      </w:r>
      <w:r w:rsidRPr="00B446C7">
        <w:rPr>
          <w:rFonts w:ascii="Verdana" w:hAnsi="Verdana"/>
          <w:sz w:val="20"/>
          <w:szCs w:val="20"/>
        </w:rPr>
        <w:t>adecuado</w:t>
      </w:r>
      <w:r w:rsidRPr="009975E5">
        <w:rPr>
          <w:rFonts w:ascii="Verdana" w:hAnsi="Verdana"/>
          <w:sz w:val="20"/>
          <w:szCs w:val="20"/>
        </w:rPr>
        <w:t xml:space="preserve"> para tutelar los derechos alegados por el señor Zegarra Marín</w:t>
      </w:r>
      <w:r w:rsidRPr="00B446C7">
        <w:rPr>
          <w:rFonts w:ascii="Verdana" w:hAnsi="Verdana"/>
          <w:sz w:val="20"/>
          <w:szCs w:val="20"/>
        </w:rPr>
        <w:t xml:space="preserve"> en esta etapa del proceso</w:t>
      </w:r>
      <w:r w:rsidR="00516BC5" w:rsidRPr="00B446C7">
        <w:rPr>
          <w:rFonts w:ascii="Verdana" w:hAnsi="Verdana"/>
          <w:sz w:val="20"/>
          <w:szCs w:val="20"/>
        </w:rPr>
        <w:t>, y en su caso su efectividad</w:t>
      </w:r>
      <w:r w:rsidRPr="00393F79">
        <w:rPr>
          <w:rFonts w:ascii="Verdana" w:hAnsi="Verdana"/>
          <w:sz w:val="20"/>
          <w:szCs w:val="20"/>
        </w:rPr>
        <w:t>.</w:t>
      </w:r>
    </w:p>
    <w:p w14:paraId="6D172D27" w14:textId="77777777" w:rsidR="00FB723A" w:rsidRDefault="00FB723A" w:rsidP="001634BF">
      <w:pPr>
        <w:pStyle w:val="ListParagraph"/>
        <w:ind w:left="0"/>
        <w:jc w:val="both"/>
        <w:rPr>
          <w:rFonts w:ascii="Verdana" w:hAnsi="Verdana"/>
          <w:sz w:val="20"/>
          <w:szCs w:val="20"/>
          <w:lang w:val="es-CR"/>
        </w:rPr>
      </w:pPr>
    </w:p>
    <w:p w14:paraId="6D172D28" w14:textId="5CC58FF2" w:rsidR="00FB723A" w:rsidRPr="00094751" w:rsidRDefault="00260B4F" w:rsidP="006231F4">
      <w:pPr>
        <w:pStyle w:val="ListParagraph"/>
        <w:numPr>
          <w:ilvl w:val="0"/>
          <w:numId w:val="2"/>
        </w:numPr>
        <w:ind w:left="0" w:firstLine="0"/>
        <w:jc w:val="both"/>
        <w:rPr>
          <w:rFonts w:ascii="Verdana" w:hAnsi="Verdana"/>
          <w:sz w:val="20"/>
          <w:szCs w:val="20"/>
          <w:lang w:val="es-CR"/>
        </w:rPr>
      </w:pPr>
      <w:r>
        <w:rPr>
          <w:rFonts w:ascii="Verdana" w:hAnsi="Verdana"/>
          <w:sz w:val="20"/>
          <w:szCs w:val="20"/>
          <w:lang w:val="es-CR"/>
        </w:rPr>
        <w:t>E</w:t>
      </w:r>
      <w:r w:rsidR="00FB723A" w:rsidRPr="00094751">
        <w:rPr>
          <w:rFonts w:ascii="Verdana" w:hAnsi="Verdana"/>
          <w:sz w:val="20"/>
          <w:szCs w:val="20"/>
          <w:lang w:val="es-CR"/>
        </w:rPr>
        <w:t xml:space="preserve">l 14 de septiembre de 1998 el señor Zegarra Marín interpuso </w:t>
      </w:r>
      <w:r w:rsidR="00BE730A" w:rsidRPr="00094751">
        <w:rPr>
          <w:rFonts w:ascii="Verdana" w:hAnsi="Verdana"/>
          <w:sz w:val="20"/>
          <w:szCs w:val="20"/>
          <w:lang w:val="es-CR"/>
        </w:rPr>
        <w:t xml:space="preserve">un </w:t>
      </w:r>
      <w:r w:rsidR="00FB723A" w:rsidRPr="00094751">
        <w:rPr>
          <w:rFonts w:ascii="Verdana" w:hAnsi="Verdana"/>
          <w:sz w:val="20"/>
          <w:szCs w:val="20"/>
          <w:lang w:val="es-CR"/>
        </w:rPr>
        <w:t xml:space="preserve">recurso de revisión, ante la Corte Suprema de Justicia, por estimar, entre otros, que: </w:t>
      </w:r>
      <w:r w:rsidR="00FB723A" w:rsidRPr="00094751">
        <w:rPr>
          <w:rFonts w:ascii="Verdana" w:hAnsi="Verdana"/>
          <w:sz w:val="20"/>
          <w:szCs w:val="20"/>
          <w:lang w:val="es-ES"/>
        </w:rPr>
        <w:t xml:space="preserve">i) </w:t>
      </w:r>
      <w:r w:rsidR="00FB723A" w:rsidRPr="00094751">
        <w:rPr>
          <w:rFonts w:ascii="Verdana" w:hAnsi="Verdana"/>
          <w:sz w:val="20"/>
          <w:szCs w:val="20"/>
          <w:lang w:val="es-CR"/>
        </w:rPr>
        <w:t>la sentencia se sustentó en hechos erróneos e inexactos; i</w:t>
      </w:r>
      <w:r w:rsidR="00FB723A" w:rsidRPr="00094751">
        <w:rPr>
          <w:rFonts w:ascii="Verdana" w:hAnsi="Verdana"/>
          <w:sz w:val="20"/>
          <w:szCs w:val="20"/>
          <w:lang w:val="es-ES"/>
        </w:rPr>
        <w:t xml:space="preserve">i) </w:t>
      </w:r>
      <w:r w:rsidR="00FB723A" w:rsidRPr="00094751">
        <w:rPr>
          <w:rFonts w:ascii="Verdana" w:hAnsi="Verdana"/>
          <w:sz w:val="20"/>
          <w:szCs w:val="20"/>
          <w:lang w:val="es-CR"/>
        </w:rPr>
        <w:t>la condena se basó únicamente en las imputaciones de sus co-procesados sin haber sido corroboradas con pruebas adicionales; i</w:t>
      </w:r>
      <w:r w:rsidR="00FB723A" w:rsidRPr="00094751">
        <w:rPr>
          <w:rFonts w:ascii="Verdana" w:hAnsi="Verdana"/>
          <w:sz w:val="20"/>
          <w:szCs w:val="20"/>
          <w:lang w:val="es-ES"/>
        </w:rPr>
        <w:t xml:space="preserve">ii) </w:t>
      </w:r>
      <w:r w:rsidR="00FB723A" w:rsidRPr="00094751">
        <w:rPr>
          <w:rFonts w:ascii="Verdana" w:hAnsi="Verdana"/>
          <w:sz w:val="20"/>
          <w:szCs w:val="20"/>
          <w:lang w:val="es-CR"/>
        </w:rPr>
        <w:t xml:space="preserve">la sentencia no tomó en cuenta las pruebas de descargo presentadas y </w:t>
      </w:r>
      <w:r w:rsidR="00FB723A" w:rsidRPr="00094751">
        <w:rPr>
          <w:rFonts w:ascii="Verdana" w:hAnsi="Verdana"/>
          <w:sz w:val="20"/>
          <w:szCs w:val="20"/>
          <w:lang w:val="es-ES"/>
        </w:rPr>
        <w:t>omitió tomar en cuenta las pruebas periciales que demostraban que tanto su sello como su firma fueron falsificados; iv) el colegiado fue inexacto al señalar que no se habían desvirtuado en su totalidad las imputaciones que le habían hecho; v) la sentencia condenatoria partía de suposiciones y subjetividades</w:t>
      </w:r>
      <w:r w:rsidR="00FB723A" w:rsidRPr="00094751">
        <w:rPr>
          <w:rFonts w:ascii="Verdana" w:hAnsi="Verdana"/>
          <w:sz w:val="20"/>
          <w:szCs w:val="20"/>
          <w:vertAlign w:val="superscript"/>
          <w:lang w:val="es-CR"/>
        </w:rPr>
        <w:t xml:space="preserve"> </w:t>
      </w:r>
      <w:r w:rsidR="00FB723A" w:rsidRPr="00094751">
        <w:rPr>
          <w:rFonts w:ascii="Verdana" w:hAnsi="Verdana"/>
          <w:sz w:val="20"/>
          <w:szCs w:val="20"/>
          <w:lang w:val="es-ES"/>
        </w:rPr>
        <w:t xml:space="preserve">al señalar que fue “factible” que hubiese actuado en connivencia para expedir pasaportes de manera irregular y obtener ilícitamente beneficios económicos; vi) el órgano colegiado en la sentencia le exigió que probara su inocencia al sostener que no surgieron pruebas de descargo que lo hicieran totalmente inocente; vii) la sentencia condenatoria concluyó que obtuvo utilidades sin que precisara en qué consistían o la cantidad de las mismas y, viii) la sentencia carecía de objetividad y equidad ya que lo condenó con base en afirmaciones del procesado </w:t>
      </w:r>
      <w:r w:rsidR="0014732F" w:rsidRPr="00094751">
        <w:rPr>
          <w:rFonts w:ascii="Verdana" w:hAnsi="Verdana"/>
          <w:sz w:val="20"/>
          <w:szCs w:val="20"/>
          <w:lang w:val="es-ES"/>
        </w:rPr>
        <w:t>CH</w:t>
      </w:r>
      <w:r w:rsidR="00094751" w:rsidRPr="000A0953">
        <w:rPr>
          <w:rFonts w:ascii="Verdana" w:hAnsi="Verdana"/>
          <w:sz w:val="20"/>
          <w:szCs w:val="20"/>
          <w:lang w:val="es-ES"/>
        </w:rPr>
        <w:t xml:space="preserve"> (</w:t>
      </w:r>
      <w:r w:rsidR="00094751" w:rsidRPr="000A0953">
        <w:rPr>
          <w:rFonts w:ascii="Verdana" w:hAnsi="Verdana"/>
          <w:i/>
          <w:sz w:val="20"/>
          <w:szCs w:val="20"/>
          <w:lang w:val="es-ES"/>
        </w:rPr>
        <w:t>supra</w:t>
      </w:r>
      <w:r w:rsidR="00094751" w:rsidRPr="000A0953">
        <w:rPr>
          <w:rFonts w:ascii="Verdana" w:hAnsi="Verdana"/>
          <w:sz w:val="20"/>
          <w:szCs w:val="20"/>
          <w:lang w:val="es-ES"/>
        </w:rPr>
        <w:t>, párr. 103)</w:t>
      </w:r>
      <w:r w:rsidR="00FB5B7C" w:rsidRPr="00094751">
        <w:rPr>
          <w:rFonts w:ascii="Verdana" w:hAnsi="Verdana"/>
          <w:sz w:val="20"/>
          <w:szCs w:val="20"/>
          <w:lang w:val="es-ES"/>
        </w:rPr>
        <w:t>.</w:t>
      </w:r>
    </w:p>
    <w:p w14:paraId="6D172D29" w14:textId="77777777" w:rsidR="00FB723A" w:rsidRPr="003E2B77" w:rsidRDefault="00FB723A" w:rsidP="001634BF">
      <w:pPr>
        <w:pStyle w:val="ListParagraph"/>
        <w:ind w:left="0"/>
        <w:jc w:val="both"/>
        <w:rPr>
          <w:rFonts w:ascii="Verdana" w:hAnsi="Verdana"/>
          <w:sz w:val="20"/>
          <w:szCs w:val="20"/>
          <w:lang w:val="es-CR"/>
        </w:rPr>
      </w:pPr>
    </w:p>
    <w:p w14:paraId="6D172D2A" w14:textId="2A94E704" w:rsidR="00FB723A" w:rsidRPr="008A301C" w:rsidRDefault="00260B4F" w:rsidP="006231F4">
      <w:pPr>
        <w:pStyle w:val="ListParagraph"/>
        <w:numPr>
          <w:ilvl w:val="0"/>
          <w:numId w:val="2"/>
        </w:numPr>
        <w:ind w:left="0" w:firstLine="0"/>
        <w:jc w:val="both"/>
        <w:rPr>
          <w:rFonts w:ascii="Verdana" w:hAnsi="Verdana"/>
          <w:sz w:val="20"/>
          <w:szCs w:val="20"/>
          <w:lang w:val="es-CR"/>
        </w:rPr>
      </w:pPr>
      <w:r>
        <w:rPr>
          <w:rFonts w:ascii="Verdana" w:hAnsi="Verdana"/>
          <w:sz w:val="20"/>
          <w:szCs w:val="20"/>
          <w:lang w:val="es-ES"/>
        </w:rPr>
        <w:t>E</w:t>
      </w:r>
      <w:r w:rsidR="00FB723A" w:rsidRPr="003E2B77">
        <w:rPr>
          <w:rFonts w:ascii="Verdana" w:hAnsi="Verdana"/>
          <w:sz w:val="20"/>
          <w:szCs w:val="20"/>
          <w:lang w:val="es-ES"/>
        </w:rPr>
        <w:t xml:space="preserve">l artículo 361 del Código Procesal Penal </w:t>
      </w:r>
      <w:r w:rsidR="00FB723A">
        <w:rPr>
          <w:rFonts w:ascii="Verdana" w:hAnsi="Verdana"/>
          <w:sz w:val="20"/>
          <w:szCs w:val="20"/>
          <w:lang w:val="es-ES"/>
        </w:rPr>
        <w:t>(</w:t>
      </w:r>
      <w:r w:rsidR="00FB723A" w:rsidRPr="0058104A">
        <w:rPr>
          <w:rFonts w:ascii="Verdana" w:hAnsi="Verdana"/>
          <w:i/>
          <w:sz w:val="20"/>
          <w:szCs w:val="20"/>
          <w:lang w:val="es-ES"/>
        </w:rPr>
        <w:t>supra</w:t>
      </w:r>
      <w:r w:rsidR="00FB723A">
        <w:rPr>
          <w:rFonts w:ascii="Verdana" w:hAnsi="Verdana"/>
          <w:sz w:val="20"/>
          <w:szCs w:val="20"/>
          <w:lang w:val="es-ES"/>
        </w:rPr>
        <w:t xml:space="preserve"> párr. </w:t>
      </w:r>
      <w:r w:rsidR="00FD2D0F">
        <w:rPr>
          <w:rFonts w:ascii="Verdana" w:hAnsi="Verdana"/>
          <w:sz w:val="20"/>
          <w:szCs w:val="20"/>
          <w:lang w:val="es-ES"/>
        </w:rPr>
        <w:t>10</w:t>
      </w:r>
      <w:r w:rsidR="00094751">
        <w:rPr>
          <w:rFonts w:ascii="Verdana" w:hAnsi="Verdana"/>
          <w:sz w:val="20"/>
          <w:szCs w:val="20"/>
          <w:lang w:val="es-ES"/>
        </w:rPr>
        <w:t>2</w:t>
      </w:r>
      <w:r w:rsidR="00FD2D0F">
        <w:rPr>
          <w:rFonts w:ascii="Verdana" w:hAnsi="Verdana"/>
          <w:sz w:val="20"/>
          <w:szCs w:val="20"/>
          <w:lang w:val="es-ES"/>
        </w:rPr>
        <w:t>),</w:t>
      </w:r>
      <w:r w:rsidR="00FB723A">
        <w:rPr>
          <w:rFonts w:ascii="Verdana" w:hAnsi="Verdana"/>
          <w:sz w:val="20"/>
          <w:szCs w:val="20"/>
          <w:lang w:val="es-ES"/>
        </w:rPr>
        <w:t xml:space="preserve"> </w:t>
      </w:r>
      <w:r w:rsidR="00FB723A" w:rsidRPr="003E2B77">
        <w:rPr>
          <w:rFonts w:ascii="Verdana" w:hAnsi="Verdana"/>
          <w:sz w:val="20"/>
          <w:szCs w:val="20"/>
          <w:lang w:val="es-ES"/>
        </w:rPr>
        <w:t>establecía que las causales para la interposición del recurso de revisión se relacionaban con condenas de homicidio, falso testimonio, condena a otra persona por el mismo delito; sentencias contradictorias entre sí,</w:t>
      </w:r>
      <w:r w:rsidR="00FB723A" w:rsidRPr="003E2B77">
        <w:rPr>
          <w:rFonts w:ascii="Verdana" w:hAnsi="Verdana"/>
          <w:sz w:val="20"/>
          <w:szCs w:val="20"/>
          <w:lang w:val="es-CR"/>
        </w:rPr>
        <w:t xml:space="preserve"> y cuando con posterioridad a la sentencia se </w:t>
      </w:r>
      <w:r w:rsidR="00FB723A">
        <w:rPr>
          <w:rFonts w:ascii="Verdana" w:hAnsi="Verdana"/>
          <w:sz w:val="20"/>
          <w:szCs w:val="20"/>
          <w:lang w:val="es-CR"/>
        </w:rPr>
        <w:t>acreditaban</w:t>
      </w:r>
      <w:r w:rsidR="00FB723A" w:rsidRPr="003E2B77">
        <w:rPr>
          <w:rFonts w:ascii="Verdana" w:hAnsi="Verdana"/>
          <w:sz w:val="20"/>
          <w:szCs w:val="20"/>
          <w:lang w:val="es-CR"/>
        </w:rPr>
        <w:t xml:space="preserve"> hechos que sean capaces de establecer la inocencia del condenado. Asimismo, el artículo 364 del mismo instrumento</w:t>
      </w:r>
      <w:r w:rsidR="00FB723A">
        <w:rPr>
          <w:rFonts w:ascii="Verdana" w:hAnsi="Verdana"/>
          <w:sz w:val="20"/>
          <w:szCs w:val="20"/>
          <w:lang w:val="es-CR"/>
        </w:rPr>
        <w:t xml:space="preserve"> establecía que</w:t>
      </w:r>
      <w:r w:rsidR="00FB723A" w:rsidRPr="003E2B77">
        <w:rPr>
          <w:rFonts w:ascii="Verdana" w:hAnsi="Verdana"/>
          <w:sz w:val="20"/>
          <w:szCs w:val="20"/>
          <w:lang w:val="es-CR"/>
        </w:rPr>
        <w:t xml:space="preserve"> </w:t>
      </w:r>
      <w:r w:rsidR="00FB723A" w:rsidRPr="003E2B77">
        <w:rPr>
          <w:rFonts w:ascii="Verdana" w:hAnsi="Verdana"/>
          <w:iCs/>
          <w:sz w:val="20"/>
          <w:szCs w:val="20"/>
          <w:lang w:val="es-CR"/>
        </w:rPr>
        <w:t xml:space="preserve">la Corte Suprema </w:t>
      </w:r>
      <w:r w:rsidR="00FB723A">
        <w:rPr>
          <w:rFonts w:ascii="Verdana" w:hAnsi="Verdana"/>
          <w:iCs/>
          <w:sz w:val="20"/>
          <w:szCs w:val="20"/>
          <w:lang w:val="es-CR"/>
        </w:rPr>
        <w:t>encomendaba</w:t>
      </w:r>
      <w:r w:rsidR="00FB723A" w:rsidRPr="003E2B77">
        <w:rPr>
          <w:rFonts w:ascii="Verdana" w:hAnsi="Verdana"/>
          <w:iCs/>
          <w:sz w:val="20"/>
          <w:szCs w:val="20"/>
          <w:lang w:val="es-CR"/>
        </w:rPr>
        <w:t xml:space="preserve"> a dos de sus Vocales </w:t>
      </w:r>
      <w:r w:rsidR="00FB723A">
        <w:rPr>
          <w:rFonts w:ascii="Verdana" w:hAnsi="Verdana"/>
          <w:iCs/>
          <w:sz w:val="20"/>
          <w:szCs w:val="20"/>
          <w:lang w:val="es-CR"/>
        </w:rPr>
        <w:t xml:space="preserve">para que </w:t>
      </w:r>
      <w:r w:rsidR="00FB723A" w:rsidRPr="003E2B77">
        <w:rPr>
          <w:rFonts w:ascii="Verdana" w:hAnsi="Verdana"/>
          <w:iCs/>
          <w:sz w:val="20"/>
          <w:szCs w:val="20"/>
          <w:lang w:val="es-CR"/>
        </w:rPr>
        <w:t xml:space="preserve">se </w:t>
      </w:r>
      <w:r w:rsidR="00FB723A">
        <w:rPr>
          <w:rFonts w:ascii="Verdana" w:hAnsi="Verdana"/>
          <w:iCs/>
          <w:sz w:val="20"/>
          <w:szCs w:val="20"/>
          <w:lang w:val="es-CR"/>
        </w:rPr>
        <w:t>informaren</w:t>
      </w:r>
      <w:r w:rsidR="00FB723A" w:rsidRPr="003E2B77">
        <w:rPr>
          <w:rFonts w:ascii="Verdana" w:hAnsi="Verdana"/>
          <w:iCs/>
          <w:sz w:val="20"/>
          <w:szCs w:val="20"/>
          <w:lang w:val="es-CR"/>
        </w:rPr>
        <w:t xml:space="preserve"> de los hechos alegados y </w:t>
      </w:r>
      <w:r w:rsidR="00FB723A">
        <w:rPr>
          <w:rFonts w:ascii="Verdana" w:hAnsi="Verdana"/>
          <w:iCs/>
          <w:sz w:val="20"/>
          <w:szCs w:val="20"/>
          <w:lang w:val="es-CR"/>
        </w:rPr>
        <w:t xml:space="preserve">dictaminaren sobre la solicitud. Posteriormente, la Sala Penal </w:t>
      </w:r>
      <w:r w:rsidR="00073769">
        <w:rPr>
          <w:rFonts w:ascii="Verdana" w:hAnsi="Verdana"/>
          <w:iCs/>
          <w:sz w:val="20"/>
          <w:szCs w:val="20"/>
          <w:lang w:val="es-CR"/>
        </w:rPr>
        <w:t>resolvería</w:t>
      </w:r>
      <w:r w:rsidR="00FB723A">
        <w:rPr>
          <w:rFonts w:ascii="Verdana" w:hAnsi="Verdana"/>
          <w:iCs/>
          <w:sz w:val="20"/>
          <w:szCs w:val="20"/>
          <w:lang w:val="es-CR"/>
        </w:rPr>
        <w:t xml:space="preserve"> </w:t>
      </w:r>
      <w:r w:rsidR="00FB723A" w:rsidRPr="003E2B77">
        <w:rPr>
          <w:rFonts w:ascii="Verdana" w:hAnsi="Verdana"/>
          <w:iCs/>
          <w:sz w:val="20"/>
          <w:szCs w:val="20"/>
          <w:lang w:val="es-CR"/>
        </w:rPr>
        <w:t xml:space="preserve">si </w:t>
      </w:r>
      <w:r w:rsidR="00FB723A">
        <w:rPr>
          <w:rFonts w:ascii="Verdana" w:hAnsi="Verdana"/>
          <w:iCs/>
          <w:sz w:val="20"/>
          <w:szCs w:val="20"/>
          <w:lang w:val="es-CR"/>
        </w:rPr>
        <w:t>había</w:t>
      </w:r>
      <w:r w:rsidR="00FB723A" w:rsidRPr="003E2B77">
        <w:rPr>
          <w:rFonts w:ascii="Verdana" w:hAnsi="Verdana"/>
          <w:iCs/>
          <w:sz w:val="20"/>
          <w:szCs w:val="20"/>
          <w:lang w:val="es-CR"/>
        </w:rPr>
        <w:t xml:space="preserve"> lugar </w:t>
      </w:r>
      <w:r w:rsidR="00FB723A">
        <w:rPr>
          <w:rFonts w:ascii="Verdana" w:hAnsi="Verdana"/>
          <w:iCs/>
          <w:sz w:val="20"/>
          <w:szCs w:val="20"/>
          <w:lang w:val="es-CR"/>
        </w:rPr>
        <w:t>para</w:t>
      </w:r>
      <w:r w:rsidR="00FB723A" w:rsidRPr="003E2B77">
        <w:rPr>
          <w:rFonts w:ascii="Verdana" w:hAnsi="Verdana"/>
          <w:iCs/>
          <w:sz w:val="20"/>
          <w:szCs w:val="20"/>
          <w:lang w:val="es-CR"/>
        </w:rPr>
        <w:t xml:space="preserve"> anular la sentencia y que se </w:t>
      </w:r>
      <w:r w:rsidR="00FB723A">
        <w:rPr>
          <w:rFonts w:ascii="Verdana" w:hAnsi="Verdana"/>
          <w:iCs/>
          <w:sz w:val="20"/>
          <w:szCs w:val="20"/>
          <w:lang w:val="es-CR"/>
        </w:rPr>
        <w:t>renovara</w:t>
      </w:r>
      <w:r w:rsidR="00FB723A" w:rsidRPr="003E2B77">
        <w:rPr>
          <w:rFonts w:ascii="Verdana" w:hAnsi="Verdana"/>
          <w:iCs/>
          <w:sz w:val="20"/>
          <w:szCs w:val="20"/>
          <w:lang w:val="es-CR"/>
        </w:rPr>
        <w:t xml:space="preserve"> el proceso</w:t>
      </w:r>
      <w:r w:rsidR="00FB723A">
        <w:rPr>
          <w:rFonts w:ascii="Verdana" w:hAnsi="Verdana"/>
          <w:iCs/>
          <w:sz w:val="20"/>
          <w:szCs w:val="20"/>
          <w:lang w:val="es-CR"/>
        </w:rPr>
        <w:t>. En</w:t>
      </w:r>
      <w:r w:rsidR="00FB723A" w:rsidRPr="003E2B77">
        <w:rPr>
          <w:rFonts w:ascii="Verdana" w:hAnsi="Verdana"/>
          <w:iCs/>
          <w:sz w:val="20"/>
          <w:szCs w:val="20"/>
          <w:lang w:val="es-CR"/>
        </w:rPr>
        <w:t xml:space="preserve"> dicha audiencia </w:t>
      </w:r>
      <w:r w:rsidR="00FB723A">
        <w:rPr>
          <w:rFonts w:ascii="Verdana" w:hAnsi="Verdana"/>
          <w:iCs/>
          <w:sz w:val="20"/>
          <w:szCs w:val="20"/>
          <w:lang w:val="es-CR"/>
        </w:rPr>
        <w:t xml:space="preserve">no podían votar los Vocales </w:t>
      </w:r>
      <w:r w:rsidR="00FB723A" w:rsidRPr="008A301C">
        <w:rPr>
          <w:rFonts w:ascii="Verdana" w:hAnsi="Verdana"/>
          <w:iCs/>
          <w:sz w:val="20"/>
          <w:szCs w:val="20"/>
          <w:lang w:val="es-CR"/>
        </w:rPr>
        <w:t>informantes (</w:t>
      </w:r>
      <w:r w:rsidR="00FB723A" w:rsidRPr="0058104A">
        <w:rPr>
          <w:rFonts w:ascii="Verdana" w:hAnsi="Verdana"/>
          <w:i/>
          <w:iCs/>
          <w:sz w:val="20"/>
          <w:szCs w:val="20"/>
          <w:lang w:val="es-CR"/>
        </w:rPr>
        <w:t>supra</w:t>
      </w:r>
      <w:r w:rsidR="00374910">
        <w:rPr>
          <w:rFonts w:ascii="Verdana" w:hAnsi="Verdana"/>
          <w:iCs/>
          <w:sz w:val="20"/>
          <w:szCs w:val="20"/>
          <w:lang w:val="es-CR"/>
        </w:rPr>
        <w:t xml:space="preserve"> párr</w:t>
      </w:r>
      <w:r w:rsidR="00FB723A" w:rsidRPr="008A301C">
        <w:rPr>
          <w:rFonts w:ascii="Verdana" w:hAnsi="Verdana"/>
          <w:iCs/>
          <w:sz w:val="20"/>
          <w:szCs w:val="20"/>
          <w:lang w:val="es-CR"/>
        </w:rPr>
        <w:t xml:space="preserve">. </w:t>
      </w:r>
      <w:r w:rsidR="00FD2D0F">
        <w:rPr>
          <w:rFonts w:ascii="Verdana" w:hAnsi="Verdana"/>
          <w:iCs/>
          <w:sz w:val="20"/>
          <w:szCs w:val="20"/>
          <w:lang w:val="es-CR"/>
        </w:rPr>
        <w:t>10</w:t>
      </w:r>
      <w:r w:rsidR="00094751">
        <w:rPr>
          <w:rFonts w:ascii="Verdana" w:hAnsi="Verdana"/>
          <w:iCs/>
          <w:sz w:val="20"/>
          <w:szCs w:val="20"/>
          <w:lang w:val="es-CR"/>
        </w:rPr>
        <w:t>4</w:t>
      </w:r>
      <w:r w:rsidR="00FD2D0F" w:rsidRPr="008A301C">
        <w:rPr>
          <w:rFonts w:ascii="Verdana" w:hAnsi="Verdana"/>
          <w:iCs/>
          <w:sz w:val="20"/>
          <w:szCs w:val="20"/>
          <w:lang w:val="es-CR"/>
        </w:rPr>
        <w:t>).</w:t>
      </w:r>
    </w:p>
    <w:p w14:paraId="6D172D2B" w14:textId="77777777" w:rsidR="00FB723A" w:rsidRPr="00D24B4F" w:rsidRDefault="00FB723A" w:rsidP="001634BF">
      <w:pPr>
        <w:pStyle w:val="ListParagraph"/>
        <w:ind w:left="0"/>
        <w:jc w:val="both"/>
        <w:rPr>
          <w:rFonts w:ascii="Verdana" w:hAnsi="Verdana"/>
          <w:sz w:val="20"/>
          <w:szCs w:val="20"/>
          <w:lang w:val="es-CR"/>
        </w:rPr>
      </w:pPr>
    </w:p>
    <w:p w14:paraId="6D172D2C" w14:textId="66C9F326" w:rsidR="00FB723A" w:rsidRDefault="00FB723A" w:rsidP="006231F4">
      <w:pPr>
        <w:pStyle w:val="ListParagraph"/>
        <w:numPr>
          <w:ilvl w:val="0"/>
          <w:numId w:val="2"/>
        </w:numPr>
        <w:ind w:left="0" w:firstLine="0"/>
        <w:jc w:val="both"/>
        <w:rPr>
          <w:rFonts w:ascii="Verdana" w:hAnsi="Verdana"/>
          <w:sz w:val="20"/>
          <w:szCs w:val="20"/>
          <w:lang w:val="es-CR"/>
        </w:rPr>
      </w:pPr>
      <w:r>
        <w:rPr>
          <w:rFonts w:ascii="Verdana" w:hAnsi="Verdana"/>
          <w:sz w:val="20"/>
          <w:szCs w:val="20"/>
          <w:lang w:val="es-CR"/>
        </w:rPr>
        <w:t>Al respecto, l</w:t>
      </w:r>
      <w:r w:rsidRPr="00545051">
        <w:rPr>
          <w:rFonts w:ascii="Verdana" w:hAnsi="Verdana"/>
          <w:sz w:val="20"/>
          <w:szCs w:val="20"/>
          <w:lang w:val="es-CR"/>
        </w:rPr>
        <w:t xml:space="preserve">a Corte </w:t>
      </w:r>
      <w:r>
        <w:rPr>
          <w:rFonts w:ascii="Verdana" w:hAnsi="Verdana"/>
          <w:sz w:val="20"/>
          <w:szCs w:val="20"/>
          <w:lang w:val="es-CR"/>
        </w:rPr>
        <w:t>resalta</w:t>
      </w:r>
      <w:r w:rsidRPr="00545051">
        <w:rPr>
          <w:rFonts w:ascii="Verdana" w:hAnsi="Verdana"/>
          <w:sz w:val="20"/>
          <w:szCs w:val="20"/>
          <w:lang w:val="es-CR"/>
        </w:rPr>
        <w:t xml:space="preserve"> que, </w:t>
      </w:r>
      <w:r>
        <w:rPr>
          <w:rFonts w:ascii="Verdana" w:hAnsi="Verdana"/>
          <w:sz w:val="20"/>
          <w:szCs w:val="20"/>
          <w:lang w:val="es-CR"/>
        </w:rPr>
        <w:t>conforme</w:t>
      </w:r>
      <w:r w:rsidRPr="00545051">
        <w:rPr>
          <w:rFonts w:ascii="Verdana" w:hAnsi="Verdana"/>
          <w:sz w:val="20"/>
          <w:szCs w:val="20"/>
          <w:lang w:val="es-CR"/>
        </w:rPr>
        <w:t xml:space="preserve"> a la regulación del recurso de revisión</w:t>
      </w:r>
      <w:r>
        <w:rPr>
          <w:rFonts w:ascii="Verdana" w:hAnsi="Verdana"/>
          <w:sz w:val="20"/>
          <w:szCs w:val="20"/>
          <w:lang w:val="es-CR"/>
        </w:rPr>
        <w:t xml:space="preserve"> de la época</w:t>
      </w:r>
      <w:r w:rsidRPr="00545051">
        <w:rPr>
          <w:rFonts w:ascii="Verdana" w:hAnsi="Verdana"/>
          <w:sz w:val="20"/>
          <w:szCs w:val="20"/>
          <w:lang w:val="es-CR"/>
        </w:rPr>
        <w:t xml:space="preserve">, </w:t>
      </w:r>
      <w:r>
        <w:rPr>
          <w:rFonts w:ascii="Verdana" w:hAnsi="Verdana"/>
          <w:sz w:val="20"/>
          <w:szCs w:val="20"/>
          <w:lang w:val="es-CR"/>
        </w:rPr>
        <w:t xml:space="preserve">éste consistía en un medio extraordinario, el cual </w:t>
      </w:r>
      <w:r w:rsidRPr="00545051">
        <w:rPr>
          <w:rFonts w:ascii="Verdana" w:hAnsi="Verdana"/>
          <w:sz w:val="20"/>
          <w:szCs w:val="20"/>
          <w:lang w:val="es-CR"/>
        </w:rPr>
        <w:t xml:space="preserve">estaba condicionado por </w:t>
      </w:r>
      <w:r>
        <w:rPr>
          <w:rFonts w:ascii="Verdana" w:hAnsi="Verdana"/>
          <w:sz w:val="20"/>
          <w:szCs w:val="20"/>
          <w:lang w:val="es-CR"/>
        </w:rPr>
        <w:t xml:space="preserve">ciertas </w:t>
      </w:r>
      <w:r w:rsidRPr="00545051">
        <w:rPr>
          <w:rFonts w:ascii="Verdana" w:hAnsi="Verdana"/>
          <w:sz w:val="20"/>
          <w:szCs w:val="20"/>
          <w:lang w:val="es-CR"/>
        </w:rPr>
        <w:t>causales de procedencia.</w:t>
      </w:r>
      <w:r w:rsidR="00516BC5">
        <w:rPr>
          <w:rFonts w:ascii="Verdana" w:hAnsi="Verdana"/>
          <w:sz w:val="20"/>
          <w:szCs w:val="20"/>
          <w:lang w:val="es-CR"/>
        </w:rPr>
        <w:t xml:space="preserve"> </w:t>
      </w:r>
      <w:r w:rsidRPr="003E2B77">
        <w:rPr>
          <w:rFonts w:ascii="Verdana" w:hAnsi="Verdana"/>
          <w:sz w:val="20"/>
          <w:szCs w:val="20"/>
          <w:lang w:val="es-CR"/>
        </w:rPr>
        <w:t xml:space="preserve">En este sentido, los </w:t>
      </w:r>
      <w:r>
        <w:rPr>
          <w:rFonts w:ascii="Verdana" w:hAnsi="Verdana"/>
          <w:sz w:val="20"/>
          <w:szCs w:val="20"/>
          <w:lang w:val="es-CR"/>
        </w:rPr>
        <w:t xml:space="preserve">propios </w:t>
      </w:r>
      <w:r w:rsidRPr="003E2B77">
        <w:rPr>
          <w:rFonts w:ascii="Verdana" w:eastAsia="MS Mincho" w:hAnsi="Verdana" w:cs="Verdana"/>
          <w:sz w:val="20"/>
          <w:szCs w:val="20"/>
          <w:lang w:val="es-ES" w:eastAsia="es-ES"/>
        </w:rPr>
        <w:t>Vocales</w:t>
      </w:r>
      <w:r>
        <w:rPr>
          <w:rFonts w:ascii="Verdana" w:eastAsia="MS Mincho" w:hAnsi="Verdana" w:cs="Verdana"/>
          <w:sz w:val="20"/>
          <w:szCs w:val="20"/>
          <w:lang w:val="es-ES" w:eastAsia="es-ES"/>
        </w:rPr>
        <w:t xml:space="preserve"> de la Suprema Corte</w:t>
      </w:r>
      <w:r w:rsidR="00254DEF">
        <w:rPr>
          <w:rFonts w:ascii="Verdana" w:eastAsia="MS Mincho" w:hAnsi="Verdana" w:cs="Verdana"/>
          <w:sz w:val="20"/>
          <w:szCs w:val="20"/>
          <w:lang w:val="es-ES" w:eastAsia="es-ES"/>
        </w:rPr>
        <w:t xml:space="preserve"> </w:t>
      </w:r>
      <w:r w:rsidRPr="003E2B77">
        <w:rPr>
          <w:rFonts w:ascii="Verdana" w:eastAsia="MS Mincho" w:hAnsi="Verdana" w:cs="Verdana"/>
          <w:sz w:val="20"/>
          <w:szCs w:val="20"/>
          <w:lang w:val="es-ES" w:eastAsia="es-ES"/>
        </w:rPr>
        <w:t xml:space="preserve">manifestaron </w:t>
      </w:r>
      <w:r>
        <w:rPr>
          <w:rFonts w:ascii="Verdana" w:eastAsia="MS Mincho" w:hAnsi="Verdana" w:cs="Verdana"/>
          <w:sz w:val="20"/>
          <w:szCs w:val="20"/>
          <w:lang w:val="es-ES" w:eastAsia="es-ES"/>
        </w:rPr>
        <w:t xml:space="preserve">en su informe </w:t>
      </w:r>
      <w:r w:rsidRPr="003E2B77">
        <w:rPr>
          <w:rFonts w:ascii="Verdana" w:eastAsia="MS Mincho" w:hAnsi="Verdana" w:cs="Verdana"/>
          <w:sz w:val="20"/>
          <w:szCs w:val="20"/>
          <w:lang w:val="es-ES" w:eastAsia="es-ES"/>
        </w:rPr>
        <w:t xml:space="preserve">que </w:t>
      </w:r>
      <w:r w:rsidRPr="003E2B77">
        <w:rPr>
          <w:rFonts w:ascii="Verdana" w:hAnsi="Verdana"/>
          <w:sz w:val="20"/>
          <w:szCs w:val="20"/>
          <w:lang w:val="es-CR"/>
        </w:rPr>
        <w:t xml:space="preserve">el artículo 361 del Código de Procedimientos Penales señalaba taxativamente los casos en que procedía el recurso de revisión, y que la causal que invocó </w:t>
      </w:r>
      <w:r w:rsidRPr="0007798A">
        <w:rPr>
          <w:rFonts w:ascii="Verdana" w:hAnsi="Verdana"/>
          <w:sz w:val="20"/>
          <w:szCs w:val="20"/>
          <w:lang w:val="es-ES"/>
        </w:rPr>
        <w:t>el señor Zegarra Marín</w:t>
      </w:r>
      <w:r w:rsidRPr="003E2B77" w:rsidDel="000E0C34">
        <w:rPr>
          <w:rFonts w:ascii="Verdana" w:hAnsi="Verdana"/>
          <w:sz w:val="20"/>
          <w:szCs w:val="20"/>
          <w:lang w:val="es-CR"/>
        </w:rPr>
        <w:t xml:space="preserve"> </w:t>
      </w:r>
      <w:r w:rsidRPr="003E2B77">
        <w:rPr>
          <w:rFonts w:ascii="Verdana" w:hAnsi="Verdana"/>
          <w:sz w:val="20"/>
          <w:szCs w:val="20"/>
          <w:lang w:val="es-CR"/>
        </w:rPr>
        <w:t>no estaba prevista en tal dispositivo.</w:t>
      </w:r>
      <w:r>
        <w:rPr>
          <w:rFonts w:ascii="Verdana" w:hAnsi="Verdana"/>
          <w:sz w:val="20"/>
          <w:szCs w:val="20"/>
          <w:lang w:val="es-CR"/>
        </w:rPr>
        <w:t xml:space="preserve"> De esta forma, </w:t>
      </w:r>
      <w:r w:rsidRPr="00545051">
        <w:rPr>
          <w:rFonts w:ascii="Verdana" w:hAnsi="Verdana"/>
          <w:sz w:val="20"/>
          <w:szCs w:val="20"/>
          <w:lang w:val="es-CR"/>
        </w:rPr>
        <w:t xml:space="preserve">con motivo de </w:t>
      </w:r>
      <w:r>
        <w:rPr>
          <w:rFonts w:ascii="Verdana" w:hAnsi="Verdana"/>
          <w:sz w:val="20"/>
          <w:szCs w:val="20"/>
          <w:lang w:val="es-CR"/>
        </w:rPr>
        <w:t>ello</w:t>
      </w:r>
      <w:r w:rsidRPr="00545051">
        <w:rPr>
          <w:rFonts w:ascii="Verdana" w:hAnsi="Verdana"/>
          <w:sz w:val="20"/>
          <w:szCs w:val="20"/>
          <w:lang w:val="es-CR"/>
        </w:rPr>
        <w:t>, concluyeron que el recurso resultaba improcedente</w:t>
      </w:r>
      <w:r w:rsidR="00094751">
        <w:rPr>
          <w:rFonts w:ascii="Verdana" w:hAnsi="Verdana"/>
          <w:sz w:val="20"/>
          <w:szCs w:val="20"/>
          <w:lang w:val="es-CR"/>
        </w:rPr>
        <w:t xml:space="preserve"> (</w:t>
      </w:r>
      <w:r w:rsidR="00094751" w:rsidRPr="000A0953">
        <w:rPr>
          <w:rFonts w:ascii="Verdana" w:hAnsi="Verdana"/>
          <w:i/>
          <w:sz w:val="20"/>
          <w:szCs w:val="20"/>
          <w:lang w:val="es-CR"/>
        </w:rPr>
        <w:t>supra</w:t>
      </w:r>
      <w:r w:rsidR="00094751">
        <w:rPr>
          <w:rFonts w:ascii="Verdana" w:hAnsi="Verdana"/>
          <w:sz w:val="20"/>
          <w:szCs w:val="20"/>
          <w:lang w:val="es-CR"/>
        </w:rPr>
        <w:t>, párrs. 105 y 106)</w:t>
      </w:r>
      <w:r>
        <w:rPr>
          <w:rFonts w:ascii="Verdana" w:hAnsi="Verdana"/>
          <w:sz w:val="20"/>
          <w:szCs w:val="20"/>
          <w:lang w:val="es-CR"/>
        </w:rPr>
        <w:t>.</w:t>
      </w:r>
    </w:p>
    <w:p w14:paraId="6D172D2D" w14:textId="77777777" w:rsidR="00FB723A" w:rsidRDefault="00FB723A" w:rsidP="001634BF">
      <w:pPr>
        <w:rPr>
          <w:rFonts w:ascii="Verdana" w:hAnsi="Verdana"/>
          <w:sz w:val="20"/>
          <w:szCs w:val="20"/>
          <w:lang w:val="es-CR"/>
        </w:rPr>
      </w:pPr>
    </w:p>
    <w:p w14:paraId="6D172D2E" w14:textId="77777777" w:rsidR="00FB723A" w:rsidRDefault="00FB723A" w:rsidP="006231F4">
      <w:pPr>
        <w:pStyle w:val="ListParagraph"/>
        <w:numPr>
          <w:ilvl w:val="0"/>
          <w:numId w:val="2"/>
        </w:numPr>
        <w:ind w:left="0" w:firstLine="0"/>
        <w:jc w:val="both"/>
        <w:rPr>
          <w:rFonts w:ascii="Verdana" w:hAnsi="Verdana"/>
          <w:sz w:val="20"/>
          <w:szCs w:val="20"/>
          <w:lang w:val="es-CR"/>
        </w:rPr>
      </w:pPr>
      <w:r>
        <w:rPr>
          <w:rFonts w:ascii="Verdana" w:hAnsi="Verdana"/>
          <w:color w:val="000000"/>
          <w:sz w:val="20"/>
          <w:szCs w:val="20"/>
          <w:lang w:val="es-MX"/>
        </w:rPr>
        <w:t>La Corte ha establecido que los recursos existentes deben ser adecuados, lo cual significa que “</w:t>
      </w:r>
      <w:r>
        <w:rPr>
          <w:rFonts w:ascii="Verdana" w:hAnsi="Verdana"/>
          <w:sz w:val="20"/>
          <w:szCs w:val="20"/>
          <w:lang w:val="es-MX"/>
        </w:rPr>
        <w:t xml:space="preserve">la función de esos recursos, dentro del sistema del derecho interno, sea </w:t>
      </w:r>
      <w:r>
        <w:rPr>
          <w:rFonts w:ascii="Verdana" w:hAnsi="Verdana"/>
          <w:sz w:val="20"/>
          <w:szCs w:val="20"/>
          <w:lang w:val="es-MX"/>
        </w:rPr>
        <w:lastRenderedPageBreak/>
        <w:t>idónea para proteger la situación jurídica infringida. En todos los ordenamientos internos existen múltiples recursos, pero no todos son aplicables en todas las circunstancias […]”</w:t>
      </w:r>
      <w:r>
        <w:rPr>
          <w:rStyle w:val="FootnoteReference"/>
          <w:szCs w:val="20"/>
          <w:lang w:val="es-MX"/>
        </w:rPr>
        <w:footnoteReference w:id="174"/>
      </w:r>
      <w:r>
        <w:rPr>
          <w:rFonts w:ascii="Verdana" w:hAnsi="Verdana"/>
          <w:sz w:val="20"/>
          <w:szCs w:val="20"/>
          <w:lang w:val="es-MX"/>
        </w:rPr>
        <w:t>.</w:t>
      </w:r>
    </w:p>
    <w:p w14:paraId="6D172D2F" w14:textId="77777777" w:rsidR="00FB723A" w:rsidRPr="00D41B50" w:rsidRDefault="00FB723A" w:rsidP="001634BF">
      <w:pPr>
        <w:rPr>
          <w:rFonts w:ascii="Verdana" w:hAnsi="Verdana"/>
          <w:sz w:val="20"/>
          <w:szCs w:val="20"/>
          <w:lang w:val="es-CR"/>
        </w:rPr>
      </w:pPr>
    </w:p>
    <w:p w14:paraId="6D172D30" w14:textId="77777777" w:rsidR="00FB723A" w:rsidRPr="00516BC5" w:rsidRDefault="00516BC5" w:rsidP="006231F4">
      <w:pPr>
        <w:pStyle w:val="ListParagraph"/>
        <w:numPr>
          <w:ilvl w:val="0"/>
          <w:numId w:val="2"/>
        </w:numPr>
        <w:ind w:left="0" w:firstLine="0"/>
        <w:jc w:val="both"/>
        <w:rPr>
          <w:rFonts w:ascii="Verdana" w:hAnsi="Verdana"/>
          <w:sz w:val="20"/>
          <w:szCs w:val="20"/>
          <w:lang w:val="es-CR"/>
        </w:rPr>
      </w:pPr>
      <w:r>
        <w:rPr>
          <w:rFonts w:ascii="Verdana" w:hAnsi="Verdana"/>
          <w:sz w:val="20"/>
          <w:szCs w:val="20"/>
          <w:lang w:val="es-CR"/>
        </w:rPr>
        <w:t xml:space="preserve">Esta </w:t>
      </w:r>
      <w:r w:rsidR="00FB723A" w:rsidRPr="00B4745B">
        <w:rPr>
          <w:rFonts w:ascii="Verdana" w:hAnsi="Verdana"/>
          <w:sz w:val="20"/>
          <w:szCs w:val="20"/>
          <w:lang w:val="es-CR"/>
        </w:rPr>
        <w:t>Corte considera que</w:t>
      </w:r>
      <w:r>
        <w:rPr>
          <w:rFonts w:ascii="Verdana" w:hAnsi="Verdana"/>
          <w:sz w:val="20"/>
          <w:szCs w:val="20"/>
          <w:lang w:val="es-CR"/>
        </w:rPr>
        <w:t>,</w:t>
      </w:r>
      <w:r w:rsidR="00FB723A" w:rsidRPr="00B4745B">
        <w:rPr>
          <w:rFonts w:ascii="Verdana" w:hAnsi="Verdana"/>
          <w:sz w:val="20"/>
          <w:szCs w:val="20"/>
          <w:lang w:val="es-CR"/>
        </w:rPr>
        <w:t xml:space="preserve"> </w:t>
      </w:r>
      <w:r w:rsidRPr="00B4745B">
        <w:rPr>
          <w:rFonts w:ascii="Verdana" w:hAnsi="Verdana"/>
          <w:sz w:val="20"/>
          <w:szCs w:val="20"/>
          <w:lang w:val="es-CR"/>
        </w:rPr>
        <w:t xml:space="preserve">al momento de los hechos, </w:t>
      </w:r>
      <w:r w:rsidR="005950F4" w:rsidRPr="00B4745B">
        <w:rPr>
          <w:rFonts w:ascii="Verdana" w:hAnsi="Verdana"/>
          <w:sz w:val="20"/>
          <w:szCs w:val="20"/>
          <w:lang w:val="es-CR"/>
        </w:rPr>
        <w:t xml:space="preserve">el recurso de revisión </w:t>
      </w:r>
      <w:r w:rsidR="005950F4" w:rsidRPr="00DA360D">
        <w:rPr>
          <w:rFonts w:ascii="Verdana" w:eastAsia="Times New Roman" w:hAnsi="Verdana" w:cs="Tahoma"/>
          <w:color w:val="000000"/>
          <w:sz w:val="20"/>
          <w:szCs w:val="20"/>
        </w:rPr>
        <w:t xml:space="preserve">no era el mecanismo previsto por el ordenamiento peruano para impugnar </w:t>
      </w:r>
      <w:r w:rsidR="00BB0F78">
        <w:rPr>
          <w:rFonts w:ascii="Verdana" w:eastAsia="Times New Roman" w:hAnsi="Verdana" w:cs="Tahoma"/>
          <w:color w:val="000000"/>
          <w:sz w:val="20"/>
          <w:szCs w:val="20"/>
        </w:rPr>
        <w:t xml:space="preserve">en lo general </w:t>
      </w:r>
      <w:r w:rsidR="005950F4" w:rsidRPr="00DA360D">
        <w:rPr>
          <w:rFonts w:ascii="Verdana" w:eastAsia="Times New Roman" w:hAnsi="Verdana" w:cs="Tahoma"/>
          <w:color w:val="000000"/>
          <w:sz w:val="20"/>
          <w:szCs w:val="20"/>
        </w:rPr>
        <w:t>la sentencia</w:t>
      </w:r>
      <w:r w:rsidR="001556E1">
        <w:rPr>
          <w:rFonts w:ascii="Verdana" w:eastAsia="Times New Roman" w:hAnsi="Verdana" w:cs="Tahoma"/>
          <w:color w:val="000000"/>
          <w:sz w:val="20"/>
          <w:szCs w:val="20"/>
        </w:rPr>
        <w:t xml:space="preserve"> condenatoria</w:t>
      </w:r>
      <w:r w:rsidR="005950F4" w:rsidRPr="00DA360D">
        <w:rPr>
          <w:rFonts w:ascii="Verdana" w:eastAsia="Times New Roman" w:hAnsi="Verdana" w:cs="Tahoma"/>
          <w:color w:val="000000"/>
          <w:sz w:val="20"/>
          <w:szCs w:val="20"/>
        </w:rPr>
        <w:t xml:space="preserve">, pues consistía en un recurso extraordinario </w:t>
      </w:r>
      <w:r w:rsidR="005950F4" w:rsidRPr="00B4745B">
        <w:rPr>
          <w:rFonts w:ascii="Verdana" w:hAnsi="Verdana"/>
          <w:sz w:val="20"/>
          <w:szCs w:val="20"/>
          <w:lang w:val="es-CR"/>
        </w:rPr>
        <w:t>que operaba bajo causales taxativas</w:t>
      </w:r>
      <w:r w:rsidR="005950F4" w:rsidRPr="00DA360D">
        <w:rPr>
          <w:rFonts w:ascii="Verdana" w:eastAsia="Times New Roman" w:hAnsi="Verdana" w:cs="Tahoma"/>
          <w:color w:val="000000"/>
          <w:sz w:val="20"/>
          <w:szCs w:val="20"/>
        </w:rPr>
        <w:t xml:space="preserve">, y el reclamo del señor Zegarra Marín no se ajustaba a las mismas, por lo que </w:t>
      </w:r>
      <w:r w:rsidR="00FB723A" w:rsidRPr="00B4745B">
        <w:rPr>
          <w:rFonts w:ascii="Verdana" w:hAnsi="Verdana"/>
          <w:sz w:val="20"/>
          <w:szCs w:val="20"/>
          <w:lang w:val="es-CR"/>
        </w:rPr>
        <w:t xml:space="preserve">no </w:t>
      </w:r>
      <w:r w:rsidR="00BB0F78">
        <w:rPr>
          <w:rFonts w:ascii="Verdana" w:hAnsi="Verdana"/>
          <w:sz w:val="20"/>
          <w:szCs w:val="20"/>
          <w:lang w:val="es-CR"/>
        </w:rPr>
        <w:t>consistía en el</w:t>
      </w:r>
      <w:r w:rsidR="00FB723A" w:rsidRPr="00B4745B">
        <w:rPr>
          <w:rFonts w:ascii="Verdana" w:hAnsi="Verdana"/>
          <w:sz w:val="20"/>
          <w:szCs w:val="20"/>
          <w:lang w:val="es-CR"/>
        </w:rPr>
        <w:t xml:space="preserve"> </w:t>
      </w:r>
      <w:r w:rsidR="005950F4" w:rsidRPr="00B4745B">
        <w:rPr>
          <w:rFonts w:ascii="Verdana" w:hAnsi="Verdana"/>
          <w:sz w:val="20"/>
          <w:szCs w:val="20"/>
          <w:lang w:val="es-CR"/>
        </w:rPr>
        <w:t xml:space="preserve">recurso adecuado </w:t>
      </w:r>
      <w:r w:rsidR="00FB723A" w:rsidRPr="00516BC5">
        <w:rPr>
          <w:rFonts w:ascii="Verdana" w:hAnsi="Verdana"/>
          <w:sz w:val="20"/>
          <w:szCs w:val="20"/>
          <w:lang w:val="es-CR"/>
        </w:rPr>
        <w:t xml:space="preserve">para </w:t>
      </w:r>
      <w:r w:rsidR="001E5925">
        <w:rPr>
          <w:rFonts w:ascii="Verdana" w:hAnsi="Verdana"/>
          <w:sz w:val="20"/>
          <w:szCs w:val="20"/>
          <w:lang w:val="es-CR"/>
        </w:rPr>
        <w:t xml:space="preserve">el caso en concreto. </w:t>
      </w:r>
      <w:r w:rsidR="00FB723A" w:rsidRPr="00516BC5">
        <w:rPr>
          <w:rFonts w:ascii="Verdana" w:hAnsi="Verdana"/>
          <w:sz w:val="20"/>
          <w:szCs w:val="20"/>
          <w:lang w:val="es-CR"/>
        </w:rPr>
        <w:t xml:space="preserve"> </w:t>
      </w:r>
    </w:p>
    <w:p w14:paraId="6D172D31" w14:textId="77777777" w:rsidR="00FB723A" w:rsidRPr="00E5520C" w:rsidRDefault="00FB723A" w:rsidP="001634BF">
      <w:pPr>
        <w:rPr>
          <w:rFonts w:ascii="Verdana" w:hAnsi="Verdana"/>
          <w:sz w:val="20"/>
          <w:szCs w:val="20"/>
          <w:lang w:val="es-CR"/>
        </w:rPr>
      </w:pPr>
    </w:p>
    <w:p w14:paraId="6D172D32" w14:textId="77777777" w:rsidR="00263932" w:rsidRDefault="005950F4" w:rsidP="006231F4">
      <w:pPr>
        <w:pStyle w:val="ListParagraph"/>
        <w:numPr>
          <w:ilvl w:val="0"/>
          <w:numId w:val="2"/>
        </w:numPr>
        <w:ind w:left="0" w:firstLine="0"/>
        <w:jc w:val="both"/>
        <w:rPr>
          <w:rFonts w:ascii="Verdana" w:hAnsi="Verdana"/>
          <w:sz w:val="20"/>
          <w:szCs w:val="20"/>
          <w:lang w:val="es-CR"/>
        </w:rPr>
      </w:pPr>
      <w:r w:rsidRPr="00263932">
        <w:rPr>
          <w:rFonts w:ascii="Verdana" w:hAnsi="Verdana"/>
          <w:sz w:val="20"/>
          <w:szCs w:val="20"/>
          <w:lang w:val="es-CR"/>
        </w:rPr>
        <w:t>En virtud de lo anterior</w:t>
      </w:r>
      <w:r w:rsidR="00FB723A" w:rsidRPr="00263932">
        <w:rPr>
          <w:rFonts w:ascii="Verdana" w:hAnsi="Verdana"/>
          <w:sz w:val="20"/>
          <w:szCs w:val="20"/>
          <w:lang w:val="es-CR"/>
        </w:rPr>
        <w:t xml:space="preserve">, </w:t>
      </w:r>
      <w:r w:rsidRPr="00DA360D">
        <w:rPr>
          <w:rFonts w:ascii="Verdana" w:eastAsia="Times New Roman" w:hAnsi="Verdana" w:cs="Tahoma"/>
          <w:color w:val="000000"/>
          <w:sz w:val="20"/>
          <w:szCs w:val="20"/>
        </w:rPr>
        <w:t>no resulta procedente analizar la efectividad de</w:t>
      </w:r>
      <w:r w:rsidR="00B4745B">
        <w:rPr>
          <w:rFonts w:ascii="Verdana" w:eastAsia="Times New Roman" w:hAnsi="Verdana" w:cs="Tahoma"/>
          <w:color w:val="000000"/>
          <w:sz w:val="20"/>
          <w:szCs w:val="20"/>
        </w:rPr>
        <w:t>l recurso</w:t>
      </w:r>
      <w:r w:rsidR="00BB0F78">
        <w:rPr>
          <w:rFonts w:ascii="Verdana" w:eastAsia="Times New Roman" w:hAnsi="Verdana" w:cs="Tahoma"/>
          <w:color w:val="000000"/>
          <w:sz w:val="20"/>
          <w:szCs w:val="20"/>
        </w:rPr>
        <w:t xml:space="preserve"> de revisión</w:t>
      </w:r>
      <w:r w:rsidRPr="00DA360D">
        <w:rPr>
          <w:rFonts w:ascii="Verdana" w:eastAsia="Times New Roman" w:hAnsi="Verdana" w:cs="Tahoma"/>
          <w:color w:val="000000"/>
          <w:sz w:val="20"/>
          <w:szCs w:val="20"/>
        </w:rPr>
        <w:t>, por lo que</w:t>
      </w:r>
      <w:r w:rsidRPr="00B4745B">
        <w:rPr>
          <w:rFonts w:ascii="Verdana" w:hAnsi="Verdana"/>
          <w:sz w:val="20"/>
          <w:szCs w:val="20"/>
          <w:lang w:val="es-CR"/>
        </w:rPr>
        <w:t xml:space="preserve"> </w:t>
      </w:r>
      <w:r w:rsidR="00FB723A" w:rsidRPr="00B4745B">
        <w:rPr>
          <w:rFonts w:ascii="Verdana" w:hAnsi="Verdana"/>
          <w:sz w:val="20"/>
          <w:szCs w:val="20"/>
          <w:lang w:val="es-CR"/>
        </w:rPr>
        <w:t>la Corte concluye que el Estado no es responsable por la violación del</w:t>
      </w:r>
      <w:r w:rsidR="00FB723A" w:rsidRPr="00516BC5">
        <w:rPr>
          <w:rFonts w:ascii="Verdana" w:hAnsi="Verdana"/>
          <w:sz w:val="20"/>
          <w:szCs w:val="20"/>
          <w:lang w:val="es-CR"/>
        </w:rPr>
        <w:t xml:space="preserve"> artículo 25.1 de la Convención Americana</w:t>
      </w:r>
      <w:r w:rsidR="00263932">
        <w:rPr>
          <w:rFonts w:ascii="Verdana" w:hAnsi="Verdana"/>
          <w:sz w:val="20"/>
          <w:szCs w:val="20"/>
          <w:lang w:val="es-CR"/>
        </w:rPr>
        <w:t xml:space="preserve">, en relación con el recurso de revisión. </w:t>
      </w:r>
    </w:p>
    <w:p w14:paraId="6D172D33" w14:textId="77777777" w:rsidR="00263932" w:rsidRDefault="00263932" w:rsidP="001634BF">
      <w:pPr>
        <w:pStyle w:val="ListParagraph"/>
        <w:ind w:left="0"/>
        <w:rPr>
          <w:rFonts w:ascii="Verdana" w:hAnsi="Verdana"/>
          <w:sz w:val="20"/>
          <w:szCs w:val="20"/>
          <w:lang w:val="es-CR"/>
        </w:rPr>
      </w:pPr>
    </w:p>
    <w:p w14:paraId="6D172D3F" w14:textId="77777777" w:rsidR="00FB723A" w:rsidRDefault="006274F9" w:rsidP="001634BF">
      <w:pPr>
        <w:pStyle w:val="Heading1"/>
        <w:tabs>
          <w:tab w:val="left" w:pos="851"/>
        </w:tabs>
        <w:spacing w:before="0"/>
        <w:jc w:val="center"/>
        <w:rPr>
          <w:rFonts w:ascii="Verdana" w:hAnsi="Verdana" w:cs="Verdana"/>
          <w:caps/>
          <w:snapToGrid w:val="0"/>
          <w:color w:val="auto"/>
          <w:sz w:val="20"/>
          <w:szCs w:val="20"/>
        </w:rPr>
      </w:pPr>
      <w:bookmarkStart w:id="76" w:name="_Toc482093066"/>
      <w:r>
        <w:rPr>
          <w:rFonts w:ascii="Verdana" w:hAnsi="Verdana" w:cs="Verdana"/>
          <w:caps/>
          <w:snapToGrid w:val="0"/>
          <w:color w:val="auto"/>
          <w:sz w:val="20"/>
          <w:szCs w:val="20"/>
        </w:rPr>
        <w:t>IX</w:t>
      </w:r>
      <w:bookmarkEnd w:id="76"/>
    </w:p>
    <w:p w14:paraId="6D172D40" w14:textId="77777777" w:rsidR="00FB723A" w:rsidRDefault="00FB723A" w:rsidP="001634BF">
      <w:pPr>
        <w:pStyle w:val="Heading1"/>
        <w:tabs>
          <w:tab w:val="left" w:pos="851"/>
        </w:tabs>
        <w:spacing w:before="0"/>
        <w:jc w:val="center"/>
        <w:rPr>
          <w:rFonts w:ascii="Verdana" w:hAnsi="Verdana" w:cs="Verdana"/>
          <w:caps/>
          <w:snapToGrid w:val="0"/>
          <w:color w:val="auto"/>
          <w:sz w:val="20"/>
          <w:szCs w:val="20"/>
        </w:rPr>
      </w:pPr>
      <w:bookmarkStart w:id="77" w:name="_Toc482093067"/>
      <w:r>
        <w:rPr>
          <w:rFonts w:ascii="Verdana" w:hAnsi="Verdana" w:cs="Verdana"/>
          <w:caps/>
          <w:snapToGrid w:val="0"/>
          <w:color w:val="auto"/>
          <w:sz w:val="20"/>
          <w:szCs w:val="20"/>
        </w:rPr>
        <w:t>Reparaciones</w:t>
      </w:r>
      <w:bookmarkEnd w:id="77"/>
    </w:p>
    <w:p w14:paraId="6D172D41" w14:textId="77777777" w:rsidR="00FB723A" w:rsidRPr="00054386" w:rsidRDefault="00FB723A" w:rsidP="00054386">
      <w:pPr>
        <w:pStyle w:val="Heading1"/>
        <w:tabs>
          <w:tab w:val="left" w:pos="851"/>
        </w:tabs>
        <w:spacing w:before="0"/>
        <w:jc w:val="center"/>
        <w:rPr>
          <w:rFonts w:ascii="Verdana" w:hAnsi="Verdana" w:cs="Verdana"/>
          <w:caps/>
          <w:snapToGrid w:val="0"/>
          <w:color w:val="auto"/>
          <w:sz w:val="20"/>
          <w:szCs w:val="20"/>
        </w:rPr>
      </w:pPr>
      <w:bookmarkStart w:id="78" w:name="_Toc482093068"/>
      <w:r w:rsidRPr="00054386">
        <w:rPr>
          <w:rFonts w:ascii="Verdana" w:hAnsi="Verdana" w:cs="Verdana"/>
          <w:caps/>
          <w:snapToGrid w:val="0"/>
          <w:color w:val="auto"/>
          <w:sz w:val="20"/>
          <w:szCs w:val="20"/>
        </w:rPr>
        <w:t>(Aplicación del artículo 63.1 de la Convención Americana)</w:t>
      </w:r>
      <w:bookmarkEnd w:id="78"/>
    </w:p>
    <w:p w14:paraId="6D172D42"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r>
        <w:rPr>
          <w:rFonts w:ascii="Verdana" w:hAnsi="Verdana"/>
          <w:sz w:val="20"/>
          <w:szCs w:val="20"/>
          <w:lang w:val="es-CR"/>
        </w:rPr>
        <w:t xml:space="preserve"> </w:t>
      </w:r>
    </w:p>
    <w:p w14:paraId="6D172D43" w14:textId="4CF364AC"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bidi="en-US"/>
        </w:rPr>
        <w:t>Con base en lo dispuesto en el artículo 63.1 de la Convención Americana</w:t>
      </w:r>
      <w:r w:rsidRPr="00F16BE7">
        <w:rPr>
          <w:rStyle w:val="FootnoteReference"/>
          <w:caps/>
          <w:szCs w:val="20"/>
          <w:lang w:val="es-CR"/>
        </w:rPr>
        <w:footnoteReference w:id="175"/>
      </w:r>
      <w:r w:rsidRPr="00F16BE7">
        <w:rPr>
          <w:rFonts w:ascii="Verdana" w:hAnsi="Verdana"/>
          <w:sz w:val="20"/>
          <w:szCs w:val="20"/>
          <w:lang w:val="es-CR" w:bidi="en-U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005F2F61" w:rsidRPr="005F2F61">
        <w:rPr>
          <w:rStyle w:val="FootnoteReference"/>
          <w:szCs w:val="20"/>
          <w:lang w:val="es-CR" w:bidi="en-US"/>
        </w:rPr>
        <w:t xml:space="preserve"> </w:t>
      </w:r>
      <w:r w:rsidR="005F2F61" w:rsidRPr="00F16BE7">
        <w:rPr>
          <w:rStyle w:val="FootnoteReference"/>
          <w:szCs w:val="20"/>
          <w:lang w:val="es-CR" w:bidi="en-US"/>
        </w:rPr>
        <w:footnoteReference w:id="176"/>
      </w:r>
      <w:r>
        <w:rPr>
          <w:rFonts w:ascii="Verdana" w:hAnsi="Verdana"/>
          <w:sz w:val="20"/>
          <w:szCs w:val="20"/>
          <w:lang w:val="es-CR" w:bidi="en-US"/>
        </w:rPr>
        <w:t xml:space="preserve">. </w:t>
      </w:r>
    </w:p>
    <w:p w14:paraId="6D172D44"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45"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bidi="en-US"/>
        </w:rPr>
        <w:t xml:space="preserve">La reparación del daño ocasionado por la </w:t>
      </w:r>
      <w:r w:rsidRPr="006231F4">
        <w:rPr>
          <w:rFonts w:ascii="Verdana" w:hAnsi="Verdana"/>
          <w:sz w:val="20"/>
          <w:szCs w:val="20"/>
          <w:lang w:val="es-CR" w:bidi="en-US"/>
        </w:rPr>
        <w:t>infra</w:t>
      </w:r>
      <w:r w:rsidRPr="00FB5B7C">
        <w:rPr>
          <w:rFonts w:ascii="Verdana" w:hAnsi="Verdana"/>
          <w:sz w:val="20"/>
          <w:szCs w:val="20"/>
          <w:lang w:val="es-CR" w:bidi="en-US"/>
        </w:rPr>
        <w:t>cció</w:t>
      </w:r>
      <w:r w:rsidRPr="00F16BE7">
        <w:rPr>
          <w:rFonts w:ascii="Verdana" w:hAnsi="Verdana"/>
          <w:sz w:val="20"/>
          <w:szCs w:val="20"/>
          <w:lang w:val="es-CR" w:bidi="en-US"/>
        </w:rPr>
        <w:t>n</w:t>
      </w:r>
      <w:r w:rsidRPr="00F16BE7">
        <w:rPr>
          <w:rFonts w:ascii="Verdana" w:hAnsi="Verdana"/>
          <w:sz w:val="20"/>
          <w:szCs w:val="20"/>
          <w:lang w:val="es-CR"/>
        </w:rPr>
        <w:t xml:space="preserve"> </w:t>
      </w:r>
      <w:r w:rsidRPr="00F16BE7">
        <w:rPr>
          <w:rFonts w:ascii="Verdana" w:hAnsi="Verdana"/>
          <w:sz w:val="20"/>
          <w:szCs w:val="20"/>
          <w:lang w:val="es-CR" w:bidi="en-US"/>
        </w:rPr>
        <w:t>de una obl</w:t>
      </w:r>
      <w:r w:rsidRPr="00F16BE7">
        <w:rPr>
          <w:rFonts w:ascii="Verdana" w:hAnsi="Verdana"/>
          <w:sz w:val="20"/>
          <w:szCs w:val="20"/>
          <w:lang w:val="es-CR"/>
        </w:rPr>
        <w:t xml:space="preserve">igación internacional requiere, siempre que sea posible, la plena restitución, que consiste en el restablecimiento de la situación anterior. De no ser esto factible, el Tribunal determinará </w:t>
      </w:r>
      <w:r w:rsidRPr="00F16BE7">
        <w:rPr>
          <w:rFonts w:ascii="Verdana" w:hAnsi="Verdana"/>
          <w:sz w:val="20"/>
          <w:szCs w:val="20"/>
          <w:lang w:val="es-CR" w:bidi="en-US"/>
        </w:rPr>
        <w:t>medidas</w:t>
      </w:r>
      <w:r w:rsidRPr="00F16BE7">
        <w:rPr>
          <w:rFonts w:ascii="Verdana" w:hAnsi="Verdana"/>
          <w:sz w:val="20"/>
          <w:szCs w:val="20"/>
          <w:lang w:val="es-CR"/>
        </w:rPr>
        <w:t xml:space="preserve"> para garantizar los derechos conculcado</w:t>
      </w:r>
      <w:r w:rsidRPr="00F16BE7">
        <w:rPr>
          <w:rFonts w:ascii="Verdana" w:hAnsi="Verdana"/>
          <w:sz w:val="20"/>
          <w:szCs w:val="20"/>
          <w:lang w:val="es-CR" w:bidi="en-US"/>
        </w:rPr>
        <w:t>s</w:t>
      </w:r>
      <w:r w:rsidRPr="00F16BE7">
        <w:rPr>
          <w:rFonts w:ascii="Verdana" w:hAnsi="Verdana"/>
          <w:sz w:val="20"/>
          <w:szCs w:val="20"/>
          <w:lang w:val="es-CR"/>
        </w:rPr>
        <w:t xml:space="preserve"> y reparar las consecuencias que las </w:t>
      </w:r>
      <w:r w:rsidRPr="006231F4">
        <w:rPr>
          <w:rFonts w:ascii="Verdana" w:hAnsi="Verdana"/>
          <w:sz w:val="20"/>
          <w:szCs w:val="20"/>
          <w:lang w:val="es-CR"/>
        </w:rPr>
        <w:t>infra</w:t>
      </w:r>
      <w:r w:rsidRPr="00FB5B7C">
        <w:rPr>
          <w:rFonts w:ascii="Verdana" w:hAnsi="Verdana"/>
          <w:sz w:val="20"/>
          <w:szCs w:val="20"/>
          <w:lang w:val="es-CR"/>
        </w:rPr>
        <w:t>ccio</w:t>
      </w:r>
      <w:r w:rsidRPr="00F16BE7">
        <w:rPr>
          <w:rFonts w:ascii="Verdana" w:hAnsi="Verdana"/>
          <w:sz w:val="20"/>
          <w:szCs w:val="20"/>
          <w:lang w:val="es-CR"/>
        </w:rPr>
        <w:t>nes produjeron</w:t>
      </w:r>
      <w:r w:rsidRPr="00F16BE7">
        <w:rPr>
          <w:rStyle w:val="FootnoteReference"/>
          <w:rFonts w:eastAsia="MS Mincho"/>
          <w:szCs w:val="20"/>
          <w:lang w:val="es-CR"/>
        </w:rPr>
        <w:footnoteReference w:id="177"/>
      </w:r>
      <w:r>
        <w:rPr>
          <w:rFonts w:ascii="Verdana" w:hAnsi="Verdana"/>
          <w:sz w:val="20"/>
          <w:szCs w:val="20"/>
          <w:lang w:val="es-CR"/>
        </w:rPr>
        <w:t xml:space="preserve">. </w:t>
      </w:r>
    </w:p>
    <w:p w14:paraId="6D172D46" w14:textId="77777777" w:rsidR="00FB723A" w:rsidRPr="00F16BE7" w:rsidRDefault="00FB723A" w:rsidP="001634BF">
      <w:pPr>
        <w:pStyle w:val="ListParagraph"/>
        <w:ind w:left="0"/>
        <w:rPr>
          <w:rFonts w:ascii="Verdana" w:hAnsi="Verdana"/>
          <w:sz w:val="20"/>
          <w:szCs w:val="20"/>
          <w:lang w:val="es-CR" w:bidi="en-US"/>
        </w:rPr>
      </w:pPr>
    </w:p>
    <w:p w14:paraId="6D172D47"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bidi="en-US"/>
        </w:rPr>
        <w:t>La Corte ha establecido que las reparaciones deben tener</w:t>
      </w:r>
      <w:r w:rsidRPr="00F16BE7">
        <w:rPr>
          <w:rFonts w:ascii="Verdana" w:hAnsi="Verdana"/>
          <w:sz w:val="20"/>
          <w:szCs w:val="20"/>
          <w:lang w:val="es-CR"/>
        </w:rPr>
        <w:t xml:space="preserve"> </w:t>
      </w:r>
      <w:r w:rsidRPr="00F16BE7">
        <w:rPr>
          <w:rFonts w:ascii="Verdana" w:hAnsi="Verdana"/>
          <w:sz w:val="20"/>
          <w:szCs w:val="20"/>
          <w:lang w:val="es-CR" w:bidi="en-US"/>
        </w:rPr>
        <w:t>un nexo causal con los hechos del caso, las violaciones declaradas, los daños acreditados, así como con las medidas solicitadas para reparar l</w:t>
      </w:r>
      <w:r w:rsidRPr="00F16BE7">
        <w:rPr>
          <w:rFonts w:ascii="Verdana" w:hAnsi="Verdana"/>
          <w:sz w:val="20"/>
          <w:szCs w:val="20"/>
          <w:lang w:val="es-CR"/>
        </w:rPr>
        <w:t>o</w:t>
      </w:r>
      <w:r w:rsidRPr="00F16BE7">
        <w:rPr>
          <w:rFonts w:ascii="Verdana" w:hAnsi="Verdana"/>
          <w:sz w:val="20"/>
          <w:szCs w:val="20"/>
          <w:lang w:val="es-CR" w:bidi="en-US"/>
        </w:rPr>
        <w:t>s daños respectivos. Por lo tanto, la Corte deberá analizar dicha concurrencia para pronunciarse debidamente y conforme a derecho</w:t>
      </w:r>
      <w:r w:rsidRPr="00F16BE7">
        <w:rPr>
          <w:rFonts w:ascii="Verdana" w:hAnsi="Verdana"/>
          <w:sz w:val="20"/>
          <w:szCs w:val="20"/>
          <w:vertAlign w:val="superscript"/>
          <w:lang w:val="es-CR" w:bidi="en-US"/>
        </w:rPr>
        <w:footnoteReference w:id="178"/>
      </w:r>
      <w:r w:rsidRPr="00F16BE7">
        <w:rPr>
          <w:rFonts w:ascii="Verdana" w:hAnsi="Verdana"/>
          <w:sz w:val="20"/>
          <w:szCs w:val="20"/>
          <w:lang w:val="es-CR" w:bidi="en-US"/>
        </w:rPr>
        <w:t>.</w:t>
      </w:r>
      <w:r>
        <w:rPr>
          <w:rFonts w:ascii="Verdana" w:hAnsi="Verdana"/>
          <w:sz w:val="20"/>
          <w:szCs w:val="20"/>
          <w:lang w:val="es-CR"/>
        </w:rPr>
        <w:t xml:space="preserve"> </w:t>
      </w:r>
    </w:p>
    <w:p w14:paraId="6D172D48" w14:textId="77777777" w:rsidR="00FB723A" w:rsidRPr="00F16BE7" w:rsidRDefault="00FB723A" w:rsidP="001634BF">
      <w:pPr>
        <w:pStyle w:val="ListParagraph"/>
        <w:ind w:left="0"/>
        <w:rPr>
          <w:rFonts w:ascii="Verdana" w:hAnsi="Verdana"/>
          <w:sz w:val="20"/>
          <w:szCs w:val="20"/>
          <w:lang w:val="es-CR" w:bidi="en-US"/>
        </w:rPr>
      </w:pPr>
    </w:p>
    <w:p w14:paraId="6D172D49"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bidi="en-US"/>
        </w:rPr>
        <w:t>En consideración de las violaciones a la Convención declaradas en los capítulos anteriores, la Corte procede a analizar las pretensiones presentadas por la Comisión y los representantes, así como los argumentos del Estado, a la luz de los criterios fijados en su jurisprudencia en relación con la naturaleza y alcance de la obligación de reparar</w:t>
      </w:r>
      <w:r w:rsidRPr="00F16BE7">
        <w:rPr>
          <w:rFonts w:ascii="Verdana" w:hAnsi="Verdana"/>
          <w:sz w:val="20"/>
          <w:szCs w:val="20"/>
          <w:vertAlign w:val="superscript"/>
          <w:lang w:val="es-CR" w:bidi="en-US"/>
        </w:rPr>
        <w:footnoteReference w:id="179"/>
      </w:r>
      <w:r w:rsidRPr="00F16BE7">
        <w:rPr>
          <w:rFonts w:ascii="Verdana" w:hAnsi="Verdana"/>
          <w:sz w:val="20"/>
          <w:szCs w:val="20"/>
          <w:lang w:val="es-CR" w:bidi="en-US"/>
        </w:rPr>
        <w:t xml:space="preserve">, con el </w:t>
      </w:r>
      <w:r w:rsidRPr="00F16BE7">
        <w:rPr>
          <w:rFonts w:ascii="Verdana" w:hAnsi="Verdana"/>
          <w:sz w:val="20"/>
          <w:szCs w:val="20"/>
          <w:lang w:val="es-CR" w:bidi="en-US"/>
        </w:rPr>
        <w:lastRenderedPageBreak/>
        <w:t>objeto de disponer las medidas dirigidas a reparar los daños ocasionados a la víctima.</w:t>
      </w:r>
      <w:r>
        <w:rPr>
          <w:rFonts w:ascii="Verdana" w:hAnsi="Verdana"/>
          <w:sz w:val="20"/>
          <w:szCs w:val="20"/>
          <w:lang w:val="es-CR"/>
        </w:rPr>
        <w:t xml:space="preserve"> </w:t>
      </w:r>
    </w:p>
    <w:p w14:paraId="6D172D4A" w14:textId="77777777" w:rsidR="00FB723A" w:rsidRDefault="00FB723A" w:rsidP="001634BF">
      <w:pPr>
        <w:rPr>
          <w:rFonts w:ascii="Verdana" w:hAnsi="Verdana"/>
          <w:sz w:val="20"/>
          <w:szCs w:val="20"/>
          <w:lang w:val="es-CR"/>
        </w:rPr>
      </w:pPr>
    </w:p>
    <w:p w14:paraId="6D172D4B" w14:textId="77777777" w:rsidR="00FB723A" w:rsidRPr="00F16BE7" w:rsidRDefault="00FB723A" w:rsidP="00054386">
      <w:pPr>
        <w:pStyle w:val="Heading2"/>
        <w:numPr>
          <w:ilvl w:val="0"/>
          <w:numId w:val="9"/>
        </w:numPr>
        <w:spacing w:before="0"/>
        <w:jc w:val="both"/>
        <w:rPr>
          <w:rFonts w:ascii="Verdana" w:hAnsi="Verdana" w:cs="Arial"/>
          <w:b w:val="0"/>
          <w:i/>
          <w:sz w:val="20"/>
          <w:szCs w:val="20"/>
          <w:lang w:val="es-CR"/>
        </w:rPr>
      </w:pPr>
      <w:bookmarkStart w:id="79" w:name="_Toc375560976"/>
      <w:bookmarkStart w:id="80" w:name="_Toc392536828"/>
      <w:bookmarkStart w:id="81" w:name="_Toc406580701"/>
      <w:bookmarkStart w:id="82" w:name="_Toc438113900"/>
      <w:bookmarkStart w:id="83" w:name="_Toc482093069"/>
      <w:r w:rsidRPr="0046612A">
        <w:rPr>
          <w:rFonts w:ascii="Verdana" w:hAnsi="Verdana"/>
          <w:i/>
          <w:color w:val="auto"/>
          <w:sz w:val="20"/>
          <w:szCs w:val="20"/>
        </w:rPr>
        <w:t xml:space="preserve">Parte </w:t>
      </w:r>
      <w:bookmarkEnd w:id="79"/>
      <w:bookmarkEnd w:id="80"/>
      <w:bookmarkEnd w:id="81"/>
      <w:bookmarkEnd w:id="82"/>
      <w:r w:rsidRPr="0046612A">
        <w:rPr>
          <w:rFonts w:ascii="Verdana" w:hAnsi="Verdana"/>
          <w:i/>
          <w:color w:val="auto"/>
          <w:sz w:val="20"/>
          <w:szCs w:val="20"/>
        </w:rPr>
        <w:t>lesionada</w:t>
      </w:r>
      <w:bookmarkEnd w:id="83"/>
    </w:p>
    <w:p w14:paraId="6D172D4C" w14:textId="77777777" w:rsidR="00FB723A" w:rsidRPr="00F16BE7" w:rsidRDefault="00FB723A" w:rsidP="001634BF">
      <w:pPr>
        <w:rPr>
          <w:rFonts w:ascii="Verdana" w:hAnsi="Verdana"/>
          <w:sz w:val="20"/>
          <w:szCs w:val="20"/>
          <w:lang w:val="es-CR"/>
        </w:rPr>
      </w:pPr>
    </w:p>
    <w:p w14:paraId="6D172D4D" w14:textId="5CBA5715" w:rsidR="00FB723A" w:rsidRPr="00F16BE7"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La </w:t>
      </w:r>
      <w:r w:rsidRPr="00F16BE7">
        <w:rPr>
          <w:rFonts w:ascii="Verdana" w:hAnsi="Verdana"/>
          <w:b/>
          <w:i/>
          <w:sz w:val="20"/>
          <w:szCs w:val="20"/>
          <w:lang w:val="es-CR"/>
        </w:rPr>
        <w:t>Comisión</w:t>
      </w:r>
      <w:r w:rsidRPr="00F16BE7">
        <w:rPr>
          <w:rFonts w:ascii="Verdana" w:hAnsi="Verdana"/>
          <w:sz w:val="20"/>
          <w:szCs w:val="20"/>
          <w:lang w:val="es-CR"/>
        </w:rPr>
        <w:t xml:space="preserve"> consideró como parte lesionada al señor Zegarra Marín</w:t>
      </w:r>
      <w:r w:rsidRPr="000A0953">
        <w:rPr>
          <w:rFonts w:ascii="Verdana" w:hAnsi="Verdana"/>
          <w:sz w:val="20"/>
          <w:szCs w:val="20"/>
          <w:lang w:val="es-CR"/>
        </w:rPr>
        <w:t>.</w:t>
      </w:r>
      <w:r w:rsidRPr="00F16BE7">
        <w:rPr>
          <w:rFonts w:ascii="Verdana" w:hAnsi="Verdana"/>
          <w:b/>
          <w:sz w:val="20"/>
          <w:szCs w:val="20"/>
          <w:lang w:val="es-CR"/>
        </w:rPr>
        <w:t xml:space="preserve"> </w:t>
      </w:r>
      <w:r w:rsidRPr="00F16BE7">
        <w:rPr>
          <w:rFonts w:ascii="Verdana" w:hAnsi="Verdana"/>
          <w:sz w:val="20"/>
          <w:szCs w:val="20"/>
          <w:lang w:val="es-CR"/>
        </w:rPr>
        <w:t xml:space="preserve">Sin embargo, en el escrito de solicitudes y argumentos, los </w:t>
      </w:r>
      <w:r w:rsidRPr="00F16BE7">
        <w:rPr>
          <w:rFonts w:ascii="Verdana" w:hAnsi="Verdana"/>
          <w:b/>
          <w:i/>
          <w:sz w:val="20"/>
          <w:szCs w:val="20"/>
          <w:lang w:val="es-CR"/>
        </w:rPr>
        <w:t>representantes</w:t>
      </w:r>
      <w:r w:rsidRPr="00F16BE7">
        <w:rPr>
          <w:rFonts w:ascii="Verdana" w:hAnsi="Verdana"/>
          <w:sz w:val="20"/>
          <w:szCs w:val="20"/>
          <w:lang w:val="es-CR"/>
        </w:rPr>
        <w:t xml:space="preserve"> solicitaron reparaciones también para su esposa, Carmen del Socorro Villar Guerra, e hijas. Luego, en su escrito de observaciones a las excepciones preliminares, los representantes sostuvieron que la esposa e hijas del señor Zegarra Marín eran víctimas indirectas de las violaciones observadas. Por último, en sus alegatos finales escritos, solicitaron reparaciones para la esposa e hijas</w:t>
      </w:r>
      <w:r w:rsidRPr="00F16BE7">
        <w:rPr>
          <w:rFonts w:ascii="Verdana" w:hAnsi="Verdana"/>
          <w:b/>
          <w:sz w:val="20"/>
          <w:szCs w:val="20"/>
          <w:lang w:val="es-CR"/>
        </w:rPr>
        <w:t xml:space="preserve">. </w:t>
      </w:r>
      <w:r w:rsidRPr="00F16BE7">
        <w:rPr>
          <w:rFonts w:ascii="Verdana" w:hAnsi="Verdana"/>
          <w:sz w:val="20"/>
          <w:szCs w:val="20"/>
          <w:lang w:val="es-CR"/>
        </w:rPr>
        <w:t xml:space="preserve">Por su parte, el </w:t>
      </w:r>
      <w:r w:rsidRPr="00F16BE7">
        <w:rPr>
          <w:rFonts w:ascii="Verdana" w:hAnsi="Verdana"/>
          <w:b/>
          <w:i/>
          <w:sz w:val="20"/>
          <w:szCs w:val="20"/>
          <w:lang w:val="es-CR"/>
        </w:rPr>
        <w:t xml:space="preserve">Estado </w:t>
      </w:r>
      <w:r w:rsidRPr="00F16BE7">
        <w:rPr>
          <w:rFonts w:ascii="Verdana" w:hAnsi="Verdana"/>
          <w:sz w:val="20"/>
          <w:szCs w:val="20"/>
          <w:lang w:val="es-CR"/>
        </w:rPr>
        <w:t xml:space="preserve">señaló que la única persona reconocida como presunta víctima era </w:t>
      </w:r>
      <w:r w:rsidRPr="0007798A">
        <w:rPr>
          <w:rFonts w:ascii="Verdana" w:hAnsi="Verdana"/>
          <w:sz w:val="20"/>
          <w:szCs w:val="20"/>
          <w:lang w:val="es-ES"/>
        </w:rPr>
        <w:t>el señor Zegarra Marín</w:t>
      </w:r>
      <w:r w:rsidRPr="00F16BE7">
        <w:rPr>
          <w:rFonts w:ascii="Verdana" w:hAnsi="Verdana"/>
          <w:sz w:val="20"/>
          <w:szCs w:val="20"/>
          <w:lang w:val="es-CR"/>
        </w:rPr>
        <w:t xml:space="preserve">, ya que fue el único considerado parte lesionada en el Informe de Fondo de la Comisión, por lo que la solicitud de los representantes sería extemporánea. </w:t>
      </w:r>
    </w:p>
    <w:p w14:paraId="6D172D4E" w14:textId="77777777" w:rsidR="00FB723A" w:rsidRPr="00F16BE7"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4F" w14:textId="783EB887" w:rsidR="00FB723A" w:rsidRPr="00F16BE7" w:rsidRDefault="00AE359C"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Pr>
          <w:rFonts w:ascii="Verdana" w:eastAsia="Batang" w:hAnsi="Verdana"/>
          <w:color w:val="000000"/>
          <w:sz w:val="20"/>
          <w:szCs w:val="20"/>
          <w:lang w:val="es-CR"/>
        </w:rPr>
        <w:t>E</w:t>
      </w:r>
      <w:r w:rsidR="00FB723A" w:rsidRPr="00F16BE7">
        <w:rPr>
          <w:rFonts w:ascii="Verdana" w:eastAsia="Batang" w:hAnsi="Verdana"/>
          <w:color w:val="000000"/>
          <w:sz w:val="20"/>
          <w:szCs w:val="20"/>
          <w:lang w:val="es-CR"/>
        </w:rPr>
        <w:t xml:space="preserve">l Tribunal </w:t>
      </w:r>
      <w:r w:rsidR="00FB723A">
        <w:rPr>
          <w:rFonts w:ascii="Verdana" w:eastAsia="Batang" w:hAnsi="Verdana"/>
          <w:color w:val="000000"/>
          <w:sz w:val="20"/>
          <w:szCs w:val="20"/>
          <w:lang w:val="es-CR"/>
        </w:rPr>
        <w:t xml:space="preserve">recuerda </w:t>
      </w:r>
      <w:r w:rsidR="00FB723A" w:rsidRPr="00F16BE7">
        <w:rPr>
          <w:rFonts w:ascii="Verdana" w:eastAsia="Batang" w:hAnsi="Verdana"/>
          <w:color w:val="000000"/>
          <w:sz w:val="20"/>
          <w:szCs w:val="20"/>
          <w:lang w:val="es-CR"/>
        </w:rPr>
        <w:t xml:space="preserve">que, según </w:t>
      </w:r>
      <w:r w:rsidR="00FB723A">
        <w:rPr>
          <w:rFonts w:ascii="Verdana" w:eastAsia="Batang" w:hAnsi="Verdana"/>
          <w:color w:val="000000"/>
          <w:sz w:val="20"/>
          <w:szCs w:val="20"/>
          <w:lang w:val="es-CR"/>
        </w:rPr>
        <w:t xml:space="preserve">su </w:t>
      </w:r>
      <w:r w:rsidR="00FB723A" w:rsidRPr="00F16BE7">
        <w:rPr>
          <w:rFonts w:ascii="Verdana" w:eastAsia="Batang" w:hAnsi="Verdana"/>
          <w:color w:val="000000"/>
          <w:sz w:val="20"/>
          <w:szCs w:val="20"/>
          <w:lang w:val="es-CR"/>
        </w:rPr>
        <w:t>jurisprudencia actual, se considera parte lesionada, en los términos del artículo 63.1 de la Convención, a quien ha sido declarado víctima de la violación de algún derecho reconocido en la misma</w:t>
      </w:r>
      <w:r w:rsidR="00FB723A" w:rsidRPr="00F16BE7">
        <w:rPr>
          <w:rStyle w:val="FootnoteReference"/>
          <w:rFonts w:eastAsia="Batang"/>
          <w:color w:val="000000"/>
          <w:szCs w:val="20"/>
          <w:lang w:val="es-CR"/>
        </w:rPr>
        <w:footnoteReference w:id="180"/>
      </w:r>
      <w:r w:rsidR="00FB723A" w:rsidRPr="00F16BE7">
        <w:rPr>
          <w:rFonts w:ascii="Verdana" w:eastAsia="Batang" w:hAnsi="Verdana"/>
          <w:color w:val="000000"/>
          <w:sz w:val="20"/>
          <w:szCs w:val="20"/>
          <w:lang w:val="es-CR"/>
        </w:rPr>
        <w:t xml:space="preserve">. </w:t>
      </w:r>
    </w:p>
    <w:p w14:paraId="6D172D50" w14:textId="77777777" w:rsidR="00FB723A" w:rsidRPr="00F16BE7" w:rsidRDefault="00FB723A" w:rsidP="001634BF">
      <w:pPr>
        <w:pStyle w:val="ListParagraph"/>
        <w:ind w:left="0"/>
        <w:rPr>
          <w:rFonts w:ascii="Verdana" w:eastAsia="Batang" w:hAnsi="Verdana"/>
          <w:color w:val="000000"/>
          <w:sz w:val="20"/>
          <w:szCs w:val="20"/>
          <w:lang w:val="es-CR"/>
        </w:rPr>
      </w:pPr>
    </w:p>
    <w:p w14:paraId="6D172D51" w14:textId="1939F9EC"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eastAsia="Batang" w:hAnsi="Verdana"/>
          <w:color w:val="000000"/>
          <w:sz w:val="20"/>
          <w:szCs w:val="20"/>
          <w:lang w:val="es-CR"/>
        </w:rPr>
        <w:t>La Corte constata que en virtud del artículo 35.1 del Reglamento</w:t>
      </w:r>
      <w:r>
        <w:rPr>
          <w:rFonts w:ascii="Verdana" w:eastAsia="Batang" w:hAnsi="Verdana"/>
          <w:color w:val="000000"/>
          <w:sz w:val="20"/>
          <w:szCs w:val="20"/>
          <w:lang w:val="es-CR"/>
        </w:rPr>
        <w:t>, solamente el</w:t>
      </w:r>
      <w:r w:rsidRPr="00F16BE7">
        <w:rPr>
          <w:rFonts w:ascii="Verdana" w:eastAsia="Batang" w:hAnsi="Verdana"/>
          <w:color w:val="000000"/>
          <w:sz w:val="20"/>
          <w:szCs w:val="20"/>
          <w:lang w:val="es-CR"/>
        </w:rPr>
        <w:t xml:space="preserve"> señor Zegarra Marín en su carácter de víctima de las violaciones declaradas en </w:t>
      </w:r>
      <w:r w:rsidR="00F37BEF">
        <w:rPr>
          <w:rFonts w:ascii="Verdana" w:eastAsia="Batang" w:hAnsi="Verdana"/>
          <w:color w:val="000000"/>
          <w:sz w:val="20"/>
          <w:szCs w:val="20"/>
          <w:lang w:val="es-CR"/>
        </w:rPr>
        <w:t xml:space="preserve">esta </w:t>
      </w:r>
      <w:r w:rsidRPr="00F16BE7">
        <w:rPr>
          <w:rFonts w:ascii="Verdana" w:eastAsia="Batang" w:hAnsi="Verdana"/>
          <w:color w:val="000000"/>
          <w:sz w:val="20"/>
          <w:szCs w:val="20"/>
          <w:lang w:val="es-CR"/>
        </w:rPr>
        <w:t>Sentencia, será considerado beneficiario de las reparaciones que ordene el Tribunal.</w:t>
      </w:r>
      <w:r w:rsidRPr="00F16BE7">
        <w:rPr>
          <w:rFonts w:ascii="Verdana" w:hAnsi="Verdana"/>
          <w:sz w:val="20"/>
          <w:szCs w:val="20"/>
          <w:lang w:val="es-CR"/>
        </w:rPr>
        <w:t xml:space="preserve"> En vista de lo anterior, la presente Sentencia no se referirá a los alegatos en beneficio de </w:t>
      </w:r>
      <w:r>
        <w:rPr>
          <w:rFonts w:ascii="Verdana" w:hAnsi="Verdana"/>
          <w:sz w:val="20"/>
          <w:szCs w:val="20"/>
          <w:lang w:val="es-CR"/>
        </w:rPr>
        <w:t>otras personas</w:t>
      </w:r>
      <w:r w:rsidRPr="00F16BE7">
        <w:rPr>
          <w:rFonts w:ascii="Verdana" w:hAnsi="Verdana"/>
          <w:sz w:val="20"/>
          <w:szCs w:val="20"/>
          <w:lang w:val="es-CR"/>
        </w:rPr>
        <w:t xml:space="preserve">. </w:t>
      </w:r>
    </w:p>
    <w:p w14:paraId="6D172D52" w14:textId="77777777" w:rsidR="00FB723A" w:rsidRDefault="00FB723A" w:rsidP="001634BF">
      <w:pPr>
        <w:rPr>
          <w:rFonts w:ascii="Verdana" w:hAnsi="Verdana"/>
          <w:sz w:val="20"/>
          <w:szCs w:val="20"/>
          <w:lang w:val="es-CR"/>
        </w:rPr>
      </w:pPr>
    </w:p>
    <w:p w14:paraId="6D172D53" w14:textId="77777777" w:rsidR="00FB723A" w:rsidRPr="0046612A" w:rsidRDefault="00FB723A" w:rsidP="00054386">
      <w:pPr>
        <w:pStyle w:val="Heading2"/>
        <w:numPr>
          <w:ilvl w:val="0"/>
          <w:numId w:val="9"/>
        </w:numPr>
        <w:spacing w:before="0"/>
        <w:jc w:val="both"/>
        <w:rPr>
          <w:rFonts w:ascii="Verdana" w:hAnsi="Verdana"/>
          <w:i/>
          <w:color w:val="auto"/>
          <w:sz w:val="20"/>
          <w:szCs w:val="20"/>
        </w:rPr>
      </w:pPr>
      <w:bookmarkStart w:id="84" w:name="_Toc482093070"/>
      <w:r w:rsidRPr="0046612A">
        <w:rPr>
          <w:rFonts w:ascii="Verdana" w:hAnsi="Verdana"/>
          <w:i/>
          <w:color w:val="auto"/>
          <w:sz w:val="20"/>
          <w:szCs w:val="20"/>
        </w:rPr>
        <w:t>Restitución</w:t>
      </w:r>
      <w:bookmarkEnd w:id="84"/>
      <w:r w:rsidRPr="0046612A">
        <w:rPr>
          <w:rFonts w:ascii="Verdana" w:hAnsi="Verdana"/>
          <w:i/>
          <w:color w:val="auto"/>
          <w:sz w:val="20"/>
          <w:szCs w:val="20"/>
        </w:rPr>
        <w:t xml:space="preserve"> </w:t>
      </w:r>
    </w:p>
    <w:p w14:paraId="6D172D54" w14:textId="77777777" w:rsidR="00FB723A" w:rsidRPr="00F16BE7" w:rsidRDefault="00FB723A" w:rsidP="001634BF">
      <w:pPr>
        <w:rPr>
          <w:rFonts w:ascii="Verdana" w:hAnsi="Verdana"/>
          <w:sz w:val="20"/>
          <w:szCs w:val="20"/>
          <w:lang w:val="es-CR"/>
        </w:rPr>
      </w:pPr>
    </w:p>
    <w:p w14:paraId="6D172D55" w14:textId="17CA5930"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La </w:t>
      </w:r>
      <w:r w:rsidRPr="00F16BE7">
        <w:rPr>
          <w:rFonts w:ascii="Verdana" w:hAnsi="Verdana"/>
          <w:b/>
          <w:i/>
          <w:sz w:val="20"/>
          <w:szCs w:val="20"/>
          <w:lang w:val="es-CR"/>
        </w:rPr>
        <w:t>Comisión</w:t>
      </w:r>
      <w:r w:rsidRPr="00F16BE7">
        <w:rPr>
          <w:rFonts w:ascii="Verdana" w:hAnsi="Verdana"/>
          <w:sz w:val="20"/>
          <w:szCs w:val="20"/>
          <w:lang w:val="es-CR"/>
        </w:rPr>
        <w:t xml:space="preserve"> recomendó al Estado disponer las medidas necesarias para que</w:t>
      </w:r>
      <w:r w:rsidR="00F37BEF">
        <w:rPr>
          <w:rFonts w:ascii="Verdana" w:hAnsi="Verdana"/>
          <w:sz w:val="20"/>
          <w:szCs w:val="20"/>
          <w:lang w:val="es-CR"/>
        </w:rPr>
        <w:t>,</w:t>
      </w:r>
      <w:r w:rsidRPr="00F16BE7">
        <w:rPr>
          <w:rFonts w:ascii="Verdana" w:hAnsi="Verdana"/>
          <w:sz w:val="20"/>
          <w:szCs w:val="20"/>
          <w:lang w:val="es-CR"/>
        </w:rPr>
        <w:t xml:space="preserve"> en caso de que </w:t>
      </w:r>
      <w:r w:rsidRPr="0007798A">
        <w:rPr>
          <w:rFonts w:ascii="Verdana" w:hAnsi="Verdana"/>
          <w:sz w:val="20"/>
          <w:szCs w:val="20"/>
          <w:lang w:val="es-ES"/>
        </w:rPr>
        <w:t>el señor Zegarra Marín</w:t>
      </w:r>
      <w:r w:rsidRPr="00F16BE7" w:rsidDel="007F58AB">
        <w:rPr>
          <w:rFonts w:ascii="Verdana" w:hAnsi="Verdana"/>
          <w:sz w:val="20"/>
          <w:szCs w:val="20"/>
          <w:lang w:val="es-CR"/>
        </w:rPr>
        <w:t xml:space="preserve"> </w:t>
      </w:r>
      <w:r w:rsidRPr="00F16BE7">
        <w:rPr>
          <w:rFonts w:ascii="Verdana" w:hAnsi="Verdana"/>
          <w:sz w:val="20"/>
          <w:szCs w:val="20"/>
          <w:lang w:val="es-CR"/>
        </w:rPr>
        <w:t>así lo solicite, se deje sin efecto la sentencia condenatoria y se efectúe una nueva valoración conforme al principio de presunción de inocencia, conforme a los estándares establecidos en el Informe de Fondo, y de ser el caso, eliminar los antecedentes penales y cualquier otro efecto de la condena en perjuicio del señor Zegarra Marín, así como disponer una reparación integral a su favor.</w:t>
      </w:r>
    </w:p>
    <w:p w14:paraId="6D172D56"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57" w14:textId="32A17A8E"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Los </w:t>
      </w:r>
      <w:r w:rsidRPr="00F16BE7">
        <w:rPr>
          <w:rFonts w:ascii="Verdana" w:hAnsi="Verdana"/>
          <w:b/>
          <w:i/>
          <w:sz w:val="20"/>
          <w:szCs w:val="20"/>
          <w:lang w:val="es-CR"/>
        </w:rPr>
        <w:t>representantes</w:t>
      </w:r>
      <w:r w:rsidRPr="00F16BE7">
        <w:rPr>
          <w:rFonts w:ascii="Verdana" w:hAnsi="Verdana"/>
          <w:sz w:val="20"/>
          <w:szCs w:val="20"/>
          <w:lang w:val="es-CR"/>
        </w:rPr>
        <w:t xml:space="preserve"> solicitaron que se deje sin efecto la sentencia condenatoria de la Quinta Sala Penal, sin que ello implique que se efectúe un nuevo juicio</w:t>
      </w:r>
      <w:r>
        <w:rPr>
          <w:rFonts w:ascii="Verdana" w:hAnsi="Verdana"/>
          <w:sz w:val="20"/>
          <w:szCs w:val="20"/>
          <w:lang w:val="es-CR"/>
        </w:rPr>
        <w:t xml:space="preserve"> en atención al tiempo transcurrido y el derecho a obtener un pronunciamiento judicial efectivo en un tiempo razonable</w:t>
      </w:r>
      <w:r w:rsidRPr="00F16BE7">
        <w:rPr>
          <w:rFonts w:ascii="Verdana" w:hAnsi="Verdana"/>
          <w:sz w:val="20"/>
          <w:szCs w:val="20"/>
          <w:lang w:val="es-CR"/>
        </w:rPr>
        <w:t xml:space="preserve">. Solicitaron también que se elimine el nombre del señor Zegarra Marín de los registros públicos y bases de datos en los que consten antecedentes penales relacionados con el caso. </w:t>
      </w:r>
    </w:p>
    <w:p w14:paraId="6D172D58" w14:textId="77777777" w:rsidR="00FB723A" w:rsidRPr="00F16BE7" w:rsidRDefault="00FB723A" w:rsidP="001634BF">
      <w:pPr>
        <w:pStyle w:val="ListParagraph"/>
        <w:ind w:left="0"/>
        <w:rPr>
          <w:rFonts w:ascii="Verdana" w:hAnsi="Verdana"/>
          <w:sz w:val="20"/>
          <w:szCs w:val="20"/>
          <w:lang w:val="es-CR"/>
        </w:rPr>
      </w:pPr>
    </w:p>
    <w:p w14:paraId="6D172D59" w14:textId="47B99D28" w:rsidR="00FB723A" w:rsidRPr="00573EE4"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El </w:t>
      </w:r>
      <w:r w:rsidRPr="006231F4">
        <w:rPr>
          <w:rFonts w:ascii="Verdana" w:hAnsi="Verdana"/>
          <w:b/>
          <w:i/>
          <w:sz w:val="20"/>
          <w:szCs w:val="20"/>
          <w:lang w:val="es-CR"/>
        </w:rPr>
        <w:t>Estado</w:t>
      </w:r>
      <w:r w:rsidRPr="00F16BE7">
        <w:rPr>
          <w:rFonts w:ascii="Verdana" w:hAnsi="Verdana"/>
          <w:sz w:val="20"/>
          <w:szCs w:val="20"/>
          <w:lang w:val="es-CR"/>
        </w:rPr>
        <w:t xml:space="preserve"> alegó que, toda vez que no existen violaciones a derechos humanos, no hay razón para que una sentencia que constituye cosa juzgada deba ser revisada extemporáneamente</w:t>
      </w:r>
      <w:r w:rsidRPr="000A0953">
        <w:rPr>
          <w:rFonts w:ascii="Verdana" w:hAnsi="Verdana"/>
          <w:sz w:val="20"/>
          <w:szCs w:val="20"/>
          <w:lang w:val="es-CR"/>
        </w:rPr>
        <w:t>.</w:t>
      </w:r>
      <w:r w:rsidRPr="00F16BE7">
        <w:rPr>
          <w:rFonts w:ascii="Verdana" w:hAnsi="Verdana"/>
          <w:sz w:val="20"/>
          <w:szCs w:val="20"/>
          <w:lang w:val="es-CR"/>
        </w:rPr>
        <w:t xml:space="preserve"> A su vez, el Estado señaló que no existe en derecho interno un mecanismo para revisar sentencias ejecutoriadas ya que esto contravendría el principio constitucional de la cosa juzgada. </w:t>
      </w:r>
      <w:r w:rsidR="00573EE4">
        <w:rPr>
          <w:rFonts w:ascii="Verdana" w:hAnsi="Verdana"/>
          <w:sz w:val="20"/>
          <w:szCs w:val="20"/>
          <w:lang w:val="es-CR"/>
        </w:rPr>
        <w:t xml:space="preserve">Posteriormente, </w:t>
      </w:r>
      <w:r w:rsidR="001E0665">
        <w:rPr>
          <w:rFonts w:ascii="Verdana" w:hAnsi="Verdana"/>
          <w:sz w:val="20"/>
          <w:szCs w:val="20"/>
          <w:lang w:val="es-CR"/>
        </w:rPr>
        <w:t xml:space="preserve">en sus alegatos finales </w:t>
      </w:r>
      <w:r w:rsidR="00573EE4" w:rsidRPr="006231F4">
        <w:rPr>
          <w:rFonts w:ascii="Verdana" w:hAnsi="Verdana"/>
          <w:sz w:val="20"/>
          <w:szCs w:val="20"/>
          <w:lang w:val="es-CR"/>
        </w:rPr>
        <w:t xml:space="preserve">el Estado señaló que no existe un recurso interno que pueda ser empleado para la reapertura del proceso penal; no obstante, la única posibilidad para ello sería que la Corte Interamericana así lo dispusiera en su Sentencia. “Correspondería en sede interna que los magistrados </w:t>
      </w:r>
      <w:r w:rsidR="00573EE4" w:rsidRPr="006231F4">
        <w:rPr>
          <w:rFonts w:ascii="Verdana" w:hAnsi="Verdana"/>
          <w:sz w:val="20"/>
          <w:szCs w:val="20"/>
          <w:lang w:val="es-CR"/>
        </w:rPr>
        <w:lastRenderedPageBreak/>
        <w:t>competentes eval[uar] si se aplican las causales de prescripción”.</w:t>
      </w:r>
    </w:p>
    <w:p w14:paraId="6D172D5A" w14:textId="77777777" w:rsidR="00FB723A" w:rsidRPr="00F16BE7" w:rsidRDefault="00FB723A" w:rsidP="001634BF">
      <w:pPr>
        <w:pStyle w:val="ListParagraph"/>
        <w:ind w:left="0"/>
        <w:rPr>
          <w:rFonts w:ascii="Verdana" w:hAnsi="Verdana"/>
          <w:sz w:val="20"/>
          <w:szCs w:val="20"/>
          <w:lang w:val="es-CR"/>
        </w:rPr>
      </w:pPr>
    </w:p>
    <w:p w14:paraId="6D172D5B" w14:textId="3B7D637E"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En la presente Sentencia, la Corte declaró al Estado responsable por </w:t>
      </w:r>
      <w:r w:rsidRPr="00F16BE7">
        <w:rPr>
          <w:rFonts w:ascii="Verdana" w:hAnsi="Verdana" w:cs="Arial"/>
          <w:sz w:val="20"/>
          <w:szCs w:val="20"/>
          <w:lang w:val="es-CR"/>
        </w:rPr>
        <w:t>la violación de los artículos 8.1</w:t>
      </w:r>
      <w:r>
        <w:rPr>
          <w:rFonts w:ascii="Verdana" w:hAnsi="Verdana" w:cs="Arial"/>
          <w:sz w:val="20"/>
          <w:szCs w:val="20"/>
          <w:lang w:val="es-CR"/>
        </w:rPr>
        <w:t xml:space="preserve"> y </w:t>
      </w:r>
      <w:r w:rsidRPr="00F16BE7">
        <w:rPr>
          <w:rFonts w:ascii="Verdana" w:hAnsi="Verdana" w:cs="Arial"/>
          <w:sz w:val="20"/>
          <w:szCs w:val="20"/>
          <w:lang w:val="es-CR"/>
        </w:rPr>
        <w:t xml:space="preserve">8.2 de la Convención Americana, con motivo de </w:t>
      </w:r>
      <w:r w:rsidRPr="00651413">
        <w:rPr>
          <w:rFonts w:ascii="Verdana" w:hAnsi="Verdana" w:cs="Arial"/>
          <w:sz w:val="20"/>
          <w:szCs w:val="20"/>
          <w:lang w:val="es-CR"/>
        </w:rPr>
        <w:t>infra</w:t>
      </w:r>
      <w:r w:rsidRPr="00F16BE7">
        <w:rPr>
          <w:rFonts w:ascii="Verdana" w:hAnsi="Verdana" w:cs="Arial"/>
          <w:sz w:val="20"/>
          <w:szCs w:val="20"/>
          <w:lang w:val="es-CR"/>
        </w:rPr>
        <w:t>cciones a la presunción de inocencia</w:t>
      </w:r>
      <w:r>
        <w:rPr>
          <w:rFonts w:ascii="Verdana" w:hAnsi="Verdana" w:cs="Arial"/>
          <w:sz w:val="20"/>
          <w:szCs w:val="20"/>
          <w:lang w:val="es-CR"/>
        </w:rPr>
        <w:t xml:space="preserve"> y el deber de motivar </w:t>
      </w:r>
      <w:r w:rsidRPr="00F16BE7">
        <w:rPr>
          <w:rFonts w:ascii="Verdana" w:hAnsi="Verdana" w:cs="Arial"/>
          <w:sz w:val="20"/>
          <w:szCs w:val="20"/>
          <w:lang w:val="es-CR"/>
        </w:rPr>
        <w:t>en la sentencia emitida por la Quinta Sala Penal de la Corte Superior de Justicia de 8 de noviembre de 1996.</w:t>
      </w:r>
    </w:p>
    <w:p w14:paraId="6D172D5C" w14:textId="77777777" w:rsidR="00FB723A" w:rsidRPr="00F16BE7" w:rsidRDefault="00FB723A" w:rsidP="001634BF">
      <w:pPr>
        <w:pStyle w:val="ListParagraph"/>
        <w:ind w:left="0"/>
        <w:rPr>
          <w:rFonts w:ascii="Verdana" w:hAnsi="Verdana"/>
          <w:sz w:val="20"/>
          <w:szCs w:val="20"/>
          <w:lang w:val="es-CR"/>
        </w:rPr>
      </w:pPr>
    </w:p>
    <w:p w14:paraId="6D172D5D" w14:textId="2264CD3C"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La Corte advierte que en este caso</w:t>
      </w:r>
      <w:r w:rsidR="00260B4F">
        <w:rPr>
          <w:rFonts w:ascii="Verdana" w:hAnsi="Verdana"/>
          <w:sz w:val="20"/>
          <w:szCs w:val="20"/>
          <w:lang w:val="es-CR"/>
        </w:rPr>
        <w:t>,</w:t>
      </w:r>
      <w:r w:rsidRPr="00F16BE7">
        <w:rPr>
          <w:rFonts w:ascii="Verdana" w:hAnsi="Verdana"/>
          <w:sz w:val="20"/>
          <w:szCs w:val="20"/>
          <w:lang w:val="es-CR"/>
        </w:rPr>
        <w:t xml:space="preserve"> al momento de emisión de la presente Sentencia</w:t>
      </w:r>
      <w:r w:rsidR="00260B4F">
        <w:rPr>
          <w:rFonts w:ascii="Verdana" w:hAnsi="Verdana"/>
          <w:sz w:val="20"/>
          <w:szCs w:val="20"/>
          <w:lang w:val="es-CR"/>
        </w:rPr>
        <w:t>,</w:t>
      </w:r>
      <w:r w:rsidRPr="00F16BE7">
        <w:rPr>
          <w:rFonts w:ascii="Verdana" w:hAnsi="Verdana"/>
          <w:sz w:val="20"/>
          <w:szCs w:val="20"/>
          <w:lang w:val="es-CR"/>
        </w:rPr>
        <w:t xml:space="preserve"> el señor Zegarra Marín </w:t>
      </w:r>
      <w:r>
        <w:rPr>
          <w:rFonts w:ascii="Verdana" w:hAnsi="Verdana"/>
          <w:sz w:val="20"/>
          <w:szCs w:val="20"/>
          <w:lang w:val="es-CR"/>
        </w:rPr>
        <w:t xml:space="preserve">ya </w:t>
      </w:r>
      <w:r w:rsidRPr="00F16BE7">
        <w:rPr>
          <w:rFonts w:ascii="Verdana" w:hAnsi="Verdana"/>
          <w:sz w:val="20"/>
          <w:szCs w:val="20"/>
          <w:lang w:val="es-CR"/>
        </w:rPr>
        <w:t xml:space="preserve">ha sido puesto en libertad y ha cumplido con la totalidad de su condena. </w:t>
      </w:r>
    </w:p>
    <w:p w14:paraId="6D172D66"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bookmarkStart w:id="85" w:name="_ftnref1"/>
      <w:bookmarkStart w:id="86" w:name="_ftnref2"/>
      <w:bookmarkStart w:id="87" w:name="_ftnref3"/>
      <w:bookmarkStart w:id="88" w:name="_ftnref4"/>
      <w:bookmarkStart w:id="89" w:name="_ftnref5"/>
      <w:bookmarkStart w:id="90" w:name="_ftnref6"/>
      <w:bookmarkEnd w:id="85"/>
      <w:bookmarkEnd w:id="86"/>
      <w:bookmarkEnd w:id="87"/>
      <w:bookmarkEnd w:id="88"/>
      <w:bookmarkEnd w:id="89"/>
      <w:bookmarkEnd w:id="90"/>
    </w:p>
    <w:p w14:paraId="6D172D67" w14:textId="77777777" w:rsidR="00FB723A" w:rsidRPr="000A0953" w:rsidRDefault="000E772C"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0A0953">
        <w:rPr>
          <w:rFonts w:ascii="Verdana" w:hAnsi="Verdana"/>
          <w:sz w:val="20"/>
          <w:szCs w:val="20"/>
          <w:lang w:val="es-CR"/>
        </w:rPr>
        <w:t>En consecuencia, en virtud de las violaciones acreditadas a la Convención Americana, el transcurso del tiempo y sus consecuencias procesales, la Corte determina que la sentencia de condena que fue emitida en el proceso penal  en contra de Agustín Zegarra Marín carece de efectos jurídicos en lo que respecta a la víctima en el presente caso y, por lo tanto, dispone que el Estado debe adoptar todas las medidas necesarias para dejar sin efecto las consecuencias que de ella se derivan así como los antecedentes judiciales o administrativos, penales o policiales, que existan en su contra a raíz de dicho proceso. Para ello, el Estado cuenta con un plazo de un año contado a partir de la notificación de la presente Sentencia</w:t>
      </w:r>
      <w:r w:rsidRPr="000A0953">
        <w:rPr>
          <w:rStyle w:val="FootnoteReference"/>
          <w:szCs w:val="20"/>
          <w:lang w:val="es-CR"/>
        </w:rPr>
        <w:footnoteReference w:id="181"/>
      </w:r>
      <w:r w:rsidRPr="000A0953">
        <w:rPr>
          <w:rFonts w:ascii="Verdana" w:hAnsi="Verdana"/>
          <w:sz w:val="20"/>
          <w:szCs w:val="20"/>
          <w:lang w:val="es-CR"/>
        </w:rPr>
        <w:t>.</w:t>
      </w:r>
    </w:p>
    <w:p w14:paraId="6D172D6A" w14:textId="77777777" w:rsidR="00FB723A" w:rsidRPr="008A301C" w:rsidRDefault="00FB723A" w:rsidP="001634BF">
      <w:pPr>
        <w:rPr>
          <w:rFonts w:ascii="Verdana" w:hAnsi="Verdana"/>
          <w:sz w:val="20"/>
          <w:szCs w:val="20"/>
          <w:lang w:val="es-CR"/>
        </w:rPr>
      </w:pPr>
    </w:p>
    <w:p w14:paraId="6D172D6B" w14:textId="77777777" w:rsidR="00FB723A" w:rsidRPr="0046612A" w:rsidRDefault="00FB723A" w:rsidP="00054386">
      <w:pPr>
        <w:pStyle w:val="Heading2"/>
        <w:numPr>
          <w:ilvl w:val="0"/>
          <w:numId w:val="9"/>
        </w:numPr>
        <w:spacing w:before="0"/>
        <w:jc w:val="both"/>
        <w:rPr>
          <w:rFonts w:ascii="Verdana" w:hAnsi="Verdana"/>
          <w:i/>
          <w:color w:val="auto"/>
          <w:sz w:val="20"/>
          <w:szCs w:val="20"/>
        </w:rPr>
      </w:pPr>
      <w:bookmarkStart w:id="91" w:name="_Toc482093071"/>
      <w:r w:rsidRPr="0046612A">
        <w:rPr>
          <w:rFonts w:ascii="Verdana" w:hAnsi="Verdana"/>
          <w:i/>
          <w:color w:val="auto"/>
          <w:sz w:val="20"/>
          <w:szCs w:val="20"/>
        </w:rPr>
        <w:t>Medidas de satisfacción</w:t>
      </w:r>
      <w:bookmarkEnd w:id="91"/>
    </w:p>
    <w:p w14:paraId="6D172D6C" w14:textId="77777777" w:rsidR="00FB723A" w:rsidRPr="00F16BE7" w:rsidRDefault="00FB723A" w:rsidP="001634BF">
      <w:pPr>
        <w:pStyle w:val="ListParagraph"/>
        <w:ind w:left="0"/>
        <w:rPr>
          <w:rFonts w:ascii="Verdana" w:hAnsi="Verdana"/>
          <w:sz w:val="20"/>
          <w:szCs w:val="20"/>
          <w:lang w:val="es-CR"/>
        </w:rPr>
      </w:pPr>
    </w:p>
    <w:p w14:paraId="6D172D6D" w14:textId="70D03CF1" w:rsidR="00FB723A" w:rsidRPr="00F16BE7"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Los </w:t>
      </w:r>
      <w:r w:rsidRPr="00F16BE7">
        <w:rPr>
          <w:rFonts w:ascii="Verdana" w:hAnsi="Verdana"/>
          <w:b/>
          <w:i/>
          <w:sz w:val="20"/>
          <w:szCs w:val="20"/>
          <w:lang w:val="es-CR"/>
        </w:rPr>
        <w:t>representantes</w:t>
      </w:r>
      <w:r w:rsidRPr="00F16BE7">
        <w:rPr>
          <w:rFonts w:ascii="Verdana" w:hAnsi="Verdana"/>
          <w:sz w:val="20"/>
          <w:szCs w:val="20"/>
          <w:lang w:val="es-CR"/>
        </w:rPr>
        <w:t xml:space="preserve"> solicitaron que se ordene al Estado la publicación de la presente Sentencia en tres de los diarios de mayor circulación del país y en el Diario Oficial. Asimismo, solicitaron a la Corte ordenar la realización de un acto de disculpa pública y una ceremonia pública de desagravio. En sus alegatos finales escritos especificaron que </w:t>
      </w:r>
      <w:r>
        <w:rPr>
          <w:rFonts w:ascii="Verdana" w:hAnsi="Verdana"/>
          <w:sz w:val="20"/>
          <w:szCs w:val="20"/>
          <w:lang w:val="es-CR"/>
        </w:rPr>
        <w:t xml:space="preserve">en </w:t>
      </w:r>
      <w:r w:rsidRPr="00F16BE7">
        <w:rPr>
          <w:rFonts w:ascii="Verdana" w:hAnsi="Verdana"/>
          <w:sz w:val="20"/>
          <w:szCs w:val="20"/>
          <w:lang w:val="es-CR"/>
        </w:rPr>
        <w:t>el acto de disculpa pública el Poder Judicial y la Policía Nacional del Perú debían ofrecerle sus disculpas y asumir los errores cometidos, lo anterior con la presencia de altos personeros del Estado y medios de comunicación.</w:t>
      </w:r>
    </w:p>
    <w:p w14:paraId="6D172D6E" w14:textId="77777777" w:rsidR="00FB723A" w:rsidRPr="00F16BE7"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6F" w14:textId="26BA0B5E"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El </w:t>
      </w:r>
      <w:r w:rsidRPr="00F16BE7">
        <w:rPr>
          <w:rFonts w:ascii="Verdana" w:hAnsi="Verdana"/>
          <w:b/>
          <w:i/>
          <w:sz w:val="20"/>
          <w:szCs w:val="20"/>
          <w:lang w:val="es-CR"/>
        </w:rPr>
        <w:t>Estado</w:t>
      </w:r>
      <w:r w:rsidRPr="00F16BE7">
        <w:rPr>
          <w:rFonts w:ascii="Verdana" w:hAnsi="Verdana"/>
          <w:sz w:val="20"/>
          <w:szCs w:val="20"/>
          <w:lang w:val="es-CR"/>
        </w:rPr>
        <w:t xml:space="preserve"> reiteró que la sentencia de la Quinta Sala Penal no fue arbitraria, sino producto de un proceso regular, por lo que no procedería ningún tipo de desagravio público u otra forma de reparación. Además mencionó que el Ministerio del Interior realizó una ceremonia de desagravio para quienes fueron llamados a retiro por renovación por razones contrarias o ajenas a lo establecido estrictamente institucional.</w:t>
      </w:r>
    </w:p>
    <w:p w14:paraId="6D172D70" w14:textId="77777777" w:rsidR="00FB723A" w:rsidRPr="003D3B8C" w:rsidRDefault="00FB723A" w:rsidP="001634BF">
      <w:pPr>
        <w:rPr>
          <w:rFonts w:ascii="Verdana" w:hAnsi="Verdana"/>
          <w:sz w:val="20"/>
          <w:szCs w:val="20"/>
          <w:lang w:val="es-CR"/>
        </w:rPr>
      </w:pPr>
    </w:p>
    <w:p w14:paraId="6D172D71" w14:textId="1F9D8508" w:rsidR="00FB723A" w:rsidRPr="008A301C" w:rsidRDefault="00FB723A" w:rsidP="000A0953">
      <w:pPr>
        <w:pStyle w:val="Heading3"/>
        <w:numPr>
          <w:ilvl w:val="0"/>
          <w:numId w:val="27"/>
        </w:numPr>
        <w:spacing w:before="0"/>
        <w:jc w:val="both"/>
        <w:rPr>
          <w:rFonts w:ascii="Verdana" w:hAnsi="Verdana"/>
          <w:b w:val="0"/>
          <w:i/>
          <w:sz w:val="20"/>
          <w:szCs w:val="20"/>
        </w:rPr>
      </w:pPr>
      <w:bookmarkStart w:id="92" w:name="_Toc482093072"/>
      <w:r w:rsidRPr="008A301C">
        <w:rPr>
          <w:rFonts w:ascii="Verdana" w:hAnsi="Verdana"/>
          <w:i/>
          <w:color w:val="auto"/>
          <w:sz w:val="20"/>
          <w:szCs w:val="20"/>
        </w:rPr>
        <w:t>Publicaciones</w:t>
      </w:r>
      <w:bookmarkEnd w:id="92"/>
    </w:p>
    <w:p w14:paraId="6D172D72" w14:textId="77777777" w:rsidR="00FB723A" w:rsidRPr="00F16BE7" w:rsidRDefault="00FB723A" w:rsidP="001634BF">
      <w:pPr>
        <w:pStyle w:val="ListParagraph"/>
        <w:ind w:left="0"/>
        <w:rPr>
          <w:rFonts w:ascii="Verdana" w:hAnsi="Verdana"/>
          <w:sz w:val="20"/>
          <w:szCs w:val="20"/>
          <w:lang w:val="es-CR"/>
        </w:rPr>
      </w:pPr>
    </w:p>
    <w:p w14:paraId="6D172D73" w14:textId="0C498A5C" w:rsidR="00FB723A" w:rsidRPr="00F37BEF"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En este sentido, la Corte estima, como lo ha dispuesto en otros casos, que el Estado deberá publicar, en el plazo de seis meses, contado a partir de la notificación de la presente Sentencia: a) el resumen oficial de </w:t>
      </w:r>
      <w:r>
        <w:rPr>
          <w:rFonts w:ascii="Verdana" w:hAnsi="Verdana"/>
          <w:sz w:val="20"/>
          <w:szCs w:val="20"/>
          <w:lang w:val="es-CR"/>
        </w:rPr>
        <w:t xml:space="preserve">esta </w:t>
      </w:r>
      <w:r w:rsidRPr="00F16BE7">
        <w:rPr>
          <w:rFonts w:ascii="Verdana" w:hAnsi="Verdana"/>
          <w:sz w:val="20"/>
          <w:szCs w:val="20"/>
          <w:lang w:val="es-CR"/>
        </w:rPr>
        <w:t>Sentencia elaborado por la Corte, por una sola vez, en el Diario Oficial</w:t>
      </w:r>
      <w:r w:rsidR="00713E45">
        <w:rPr>
          <w:rFonts w:ascii="Verdana" w:hAnsi="Verdana"/>
          <w:sz w:val="20"/>
          <w:szCs w:val="20"/>
          <w:lang w:val="es-CR"/>
        </w:rPr>
        <w:t xml:space="preserve"> </w:t>
      </w:r>
      <w:r w:rsidR="00713E45" w:rsidRPr="000A0953">
        <w:rPr>
          <w:rFonts w:ascii="Verdana" w:hAnsi="Verdana"/>
          <w:sz w:val="20"/>
          <w:szCs w:val="20"/>
          <w:lang w:val="es-CR"/>
        </w:rPr>
        <w:t>en un tamaño de letra legible y adecuado</w:t>
      </w:r>
      <w:r w:rsidRPr="00F37BEF">
        <w:rPr>
          <w:rFonts w:ascii="Verdana" w:hAnsi="Verdana"/>
          <w:sz w:val="20"/>
          <w:szCs w:val="20"/>
          <w:lang w:val="es-CR"/>
        </w:rPr>
        <w:t>; b) el resumen oficial de la Sentencia elaborado por la Corte, por una sola vez, en un diario de amplia circulación nacional</w:t>
      </w:r>
      <w:r w:rsidR="00713E45" w:rsidRPr="00F37BEF">
        <w:rPr>
          <w:rFonts w:ascii="Verdana" w:hAnsi="Verdana"/>
          <w:sz w:val="20"/>
          <w:szCs w:val="20"/>
          <w:lang w:val="es-CR"/>
        </w:rPr>
        <w:t xml:space="preserve"> </w:t>
      </w:r>
      <w:r w:rsidR="00713E45" w:rsidRPr="000A0953">
        <w:rPr>
          <w:rFonts w:ascii="Verdana" w:hAnsi="Verdana"/>
          <w:sz w:val="20"/>
          <w:szCs w:val="20"/>
          <w:lang w:val="es-CR"/>
        </w:rPr>
        <w:t>en un tamaño de letra legible y adecuado</w:t>
      </w:r>
      <w:r w:rsidRPr="00F37BEF">
        <w:rPr>
          <w:rFonts w:ascii="Verdana" w:hAnsi="Verdana"/>
          <w:sz w:val="20"/>
          <w:szCs w:val="20"/>
          <w:lang w:val="es-CR"/>
        </w:rPr>
        <w:t>, y c) la presente Sentencia en su integridad, disponible por un período de un año, en un sitio web oficial</w:t>
      </w:r>
      <w:r w:rsidR="00465C6F" w:rsidRPr="000A0953">
        <w:rPr>
          <w:rFonts w:ascii="Verdana" w:hAnsi="Verdana"/>
          <w:sz w:val="20"/>
          <w:szCs w:val="20"/>
          <w:lang w:val="es-CR"/>
        </w:rPr>
        <w:t>, de manera accesible al público</w:t>
      </w:r>
      <w:r w:rsidR="00F37BEF" w:rsidRPr="00F37BEF">
        <w:rPr>
          <w:rStyle w:val="FootnoteReference"/>
          <w:szCs w:val="20"/>
          <w:lang w:val="es-CR"/>
        </w:rPr>
        <w:footnoteReference w:id="182"/>
      </w:r>
      <w:r w:rsidRPr="00F37BEF">
        <w:rPr>
          <w:rFonts w:ascii="Verdana" w:hAnsi="Verdana"/>
          <w:sz w:val="20"/>
          <w:szCs w:val="20"/>
          <w:lang w:val="es-CR"/>
        </w:rPr>
        <w:t>.</w:t>
      </w:r>
    </w:p>
    <w:p w14:paraId="6D172D74"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75" w14:textId="77777777" w:rsidR="00FB723A" w:rsidRPr="00594501" w:rsidRDefault="00FB723A" w:rsidP="006231F4">
      <w:pPr>
        <w:pStyle w:val="ListParagraph"/>
        <w:widowControl w:val="0"/>
        <w:numPr>
          <w:ilvl w:val="0"/>
          <w:numId w:val="2"/>
        </w:numPr>
        <w:tabs>
          <w:tab w:val="center" w:pos="567"/>
        </w:tabs>
        <w:autoSpaceDE w:val="0"/>
        <w:autoSpaceDN w:val="0"/>
        <w:adjustRightInd w:val="0"/>
        <w:ind w:left="0" w:right="-90" w:firstLine="0"/>
        <w:jc w:val="both"/>
        <w:rPr>
          <w:u w:val="single"/>
          <w:lang w:val="es-ES"/>
        </w:rPr>
      </w:pPr>
      <w:r w:rsidRPr="009C7422">
        <w:rPr>
          <w:rFonts w:ascii="Verdana" w:hAnsi="Verdana"/>
          <w:sz w:val="20"/>
          <w:szCs w:val="20"/>
          <w:lang w:val="es-ES"/>
        </w:rPr>
        <w:lastRenderedPageBreak/>
        <w:t>El Estado deberá informar de forma inmediata a esta Corte una vez que proceda a realizar cada una de las publicaciones dispuestas, independientemente del plazo de un año para presentar su primer informe dispuesto en el punto resolutivo décimo séptimo de la Sentencia.</w:t>
      </w:r>
    </w:p>
    <w:p w14:paraId="6D172D76"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77" w14:textId="0001FE25" w:rsidR="00FB723A" w:rsidRPr="008A301C" w:rsidRDefault="00FB723A" w:rsidP="000A0953">
      <w:pPr>
        <w:pStyle w:val="Heading3"/>
        <w:numPr>
          <w:ilvl w:val="0"/>
          <w:numId w:val="27"/>
        </w:numPr>
        <w:spacing w:before="0"/>
        <w:jc w:val="both"/>
        <w:rPr>
          <w:rFonts w:ascii="Verdana" w:hAnsi="Verdana"/>
          <w:b w:val="0"/>
          <w:i/>
          <w:sz w:val="20"/>
          <w:szCs w:val="20"/>
        </w:rPr>
      </w:pPr>
      <w:bookmarkStart w:id="93" w:name="_Toc482093073"/>
      <w:r w:rsidRPr="008A301C">
        <w:rPr>
          <w:rFonts w:ascii="Verdana" w:hAnsi="Verdana"/>
          <w:i/>
          <w:color w:val="auto"/>
          <w:sz w:val="20"/>
          <w:szCs w:val="20"/>
        </w:rPr>
        <w:t xml:space="preserve">Acto </w:t>
      </w:r>
      <w:r w:rsidR="004C5590">
        <w:rPr>
          <w:rFonts w:ascii="Verdana" w:hAnsi="Verdana"/>
          <w:i/>
          <w:color w:val="auto"/>
          <w:sz w:val="20"/>
          <w:szCs w:val="20"/>
        </w:rPr>
        <w:t>público de responsabilidad</w:t>
      </w:r>
      <w:bookmarkEnd w:id="93"/>
      <w:r w:rsidR="004C5590">
        <w:rPr>
          <w:rFonts w:ascii="Verdana" w:hAnsi="Verdana"/>
          <w:i/>
          <w:color w:val="auto"/>
          <w:sz w:val="20"/>
          <w:szCs w:val="20"/>
        </w:rPr>
        <w:t xml:space="preserve"> </w:t>
      </w:r>
    </w:p>
    <w:p w14:paraId="6D172D7A"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7B"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Pr>
          <w:rFonts w:ascii="Verdana" w:hAnsi="Verdana"/>
          <w:sz w:val="20"/>
          <w:szCs w:val="20"/>
          <w:lang w:val="es-CR"/>
        </w:rPr>
        <w:t>En el caso en particular</w:t>
      </w:r>
      <w:r w:rsidRPr="00F16BE7">
        <w:rPr>
          <w:rFonts w:ascii="Verdana" w:hAnsi="Verdana"/>
          <w:sz w:val="20"/>
          <w:szCs w:val="20"/>
          <w:lang w:val="es-CR"/>
        </w:rPr>
        <w:t>, la Corte considera que la emisión de la presente Sentencia, as</w:t>
      </w:r>
      <w:r w:rsidRPr="00F16BE7">
        <w:rPr>
          <w:rStyle w:val="normalchar1"/>
          <w:rFonts w:cs="Arial"/>
          <w:lang w:val="es-CR"/>
        </w:rPr>
        <w:t xml:space="preserve">í como </w:t>
      </w:r>
      <w:r w:rsidRPr="00F16BE7">
        <w:rPr>
          <w:rFonts w:ascii="Verdana" w:hAnsi="Verdana"/>
          <w:sz w:val="20"/>
          <w:szCs w:val="20"/>
          <w:lang w:val="es-CR"/>
        </w:rPr>
        <w:t xml:space="preserve">la publicación de este Fallo en diversos medios, resultan medidas de satisfacción suficientes y adecuadas para remediar las violaciones ocasionadas a la víctima y cumplir con la finalidad indicada por los representantes. </w:t>
      </w:r>
    </w:p>
    <w:p w14:paraId="6D172D7C"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highlight w:val="yellow"/>
          <w:lang w:val="es-CR"/>
        </w:rPr>
      </w:pPr>
    </w:p>
    <w:p w14:paraId="6D172D7D" w14:textId="677F824B" w:rsidR="00FB723A" w:rsidRPr="00D55082"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8760C3">
        <w:rPr>
          <w:rFonts w:ascii="Verdana" w:hAnsi="Verdana"/>
          <w:sz w:val="20"/>
          <w:szCs w:val="20"/>
          <w:lang w:val="es-CR"/>
        </w:rPr>
        <w:t xml:space="preserve">Finalmente, la Corte </w:t>
      </w:r>
      <w:r w:rsidRPr="000A0953">
        <w:rPr>
          <w:rFonts w:ascii="Verdana" w:hAnsi="Verdana"/>
          <w:sz w:val="20"/>
          <w:szCs w:val="20"/>
          <w:lang w:val="es-CR"/>
        </w:rPr>
        <w:t>nota</w:t>
      </w:r>
      <w:r w:rsidRPr="008760C3">
        <w:rPr>
          <w:rFonts w:ascii="Verdana" w:hAnsi="Verdana"/>
          <w:sz w:val="20"/>
          <w:szCs w:val="20"/>
          <w:lang w:val="es-CR"/>
        </w:rPr>
        <w:t xml:space="preserve"> de que el Ministerio del Interior realizó una ceremonia pública con fecha 4 de abril de 2007, la que tuvo por objeto desagraviar a quienes fueron pasados a retiro por razones ajenas o contrarias a lo estrictamente institucional.</w:t>
      </w:r>
      <w:r w:rsidRPr="00D55082">
        <w:rPr>
          <w:rFonts w:ascii="Verdana" w:hAnsi="Verdana"/>
          <w:sz w:val="20"/>
          <w:szCs w:val="20"/>
          <w:lang w:val="es-CR"/>
        </w:rPr>
        <w:t xml:space="preserve"> </w:t>
      </w:r>
    </w:p>
    <w:p w14:paraId="6D172D7E" w14:textId="77777777" w:rsidR="00FB723A" w:rsidRDefault="00FB723A" w:rsidP="001634BF">
      <w:pPr>
        <w:rPr>
          <w:rFonts w:ascii="Verdana" w:hAnsi="Verdana"/>
          <w:sz w:val="20"/>
          <w:szCs w:val="20"/>
          <w:lang w:val="es-CR"/>
        </w:rPr>
      </w:pPr>
    </w:p>
    <w:p w14:paraId="6D172D7F" w14:textId="77777777" w:rsidR="00FB723A" w:rsidRPr="0046612A" w:rsidRDefault="00FB723A" w:rsidP="001634BF">
      <w:pPr>
        <w:pStyle w:val="Heading2"/>
        <w:numPr>
          <w:ilvl w:val="0"/>
          <w:numId w:val="9"/>
        </w:numPr>
        <w:spacing w:before="0"/>
        <w:ind w:left="0" w:firstLine="0"/>
        <w:jc w:val="both"/>
        <w:rPr>
          <w:rFonts w:ascii="Verdana" w:hAnsi="Verdana"/>
          <w:i/>
          <w:color w:val="auto"/>
          <w:sz w:val="20"/>
          <w:szCs w:val="20"/>
        </w:rPr>
      </w:pPr>
      <w:bookmarkStart w:id="94" w:name="_Toc482093074"/>
      <w:r w:rsidRPr="0046612A">
        <w:rPr>
          <w:rFonts w:ascii="Verdana" w:hAnsi="Verdana"/>
          <w:i/>
          <w:color w:val="auto"/>
          <w:sz w:val="20"/>
          <w:szCs w:val="20"/>
        </w:rPr>
        <w:t>Indemnización compensatoria</w:t>
      </w:r>
      <w:bookmarkEnd w:id="94"/>
    </w:p>
    <w:p w14:paraId="6D172D80" w14:textId="77777777" w:rsidR="00FB723A" w:rsidRPr="00F16BE7" w:rsidRDefault="00FB723A" w:rsidP="001634BF">
      <w:pPr>
        <w:pStyle w:val="ListParagraph"/>
        <w:ind w:left="0"/>
        <w:jc w:val="both"/>
        <w:rPr>
          <w:rFonts w:ascii="Verdana" w:hAnsi="Verdana"/>
          <w:sz w:val="20"/>
          <w:szCs w:val="20"/>
          <w:lang w:val="es-CR"/>
        </w:rPr>
      </w:pPr>
    </w:p>
    <w:p w14:paraId="6D172D81" w14:textId="1BD83D2C" w:rsidR="00FB723A" w:rsidRPr="008A301C" w:rsidRDefault="00FB723A" w:rsidP="000A0953">
      <w:pPr>
        <w:pStyle w:val="Heading3"/>
        <w:numPr>
          <w:ilvl w:val="0"/>
          <w:numId w:val="28"/>
        </w:numPr>
        <w:spacing w:before="0"/>
        <w:jc w:val="both"/>
        <w:rPr>
          <w:rFonts w:ascii="Verdana" w:hAnsi="Verdana"/>
          <w:b w:val="0"/>
          <w:i/>
          <w:sz w:val="20"/>
          <w:szCs w:val="20"/>
        </w:rPr>
      </w:pPr>
      <w:bookmarkStart w:id="95" w:name="_Toc482093075"/>
      <w:r w:rsidRPr="008A301C">
        <w:rPr>
          <w:rFonts w:ascii="Verdana" w:hAnsi="Verdana"/>
          <w:i/>
          <w:color w:val="auto"/>
          <w:sz w:val="20"/>
          <w:szCs w:val="20"/>
        </w:rPr>
        <w:t>Daño material</w:t>
      </w:r>
      <w:bookmarkEnd w:id="95"/>
    </w:p>
    <w:p w14:paraId="6D172D82" w14:textId="77777777" w:rsidR="00FB723A" w:rsidRPr="00F16BE7" w:rsidRDefault="00FB723A" w:rsidP="001634BF">
      <w:pPr>
        <w:rPr>
          <w:rFonts w:ascii="Verdana" w:hAnsi="Verdana"/>
          <w:sz w:val="20"/>
          <w:szCs w:val="20"/>
          <w:lang w:val="es-CR"/>
        </w:rPr>
      </w:pPr>
    </w:p>
    <w:p w14:paraId="6D172D83" w14:textId="52EB6659"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La </w:t>
      </w:r>
      <w:r w:rsidRPr="00F16BE7">
        <w:rPr>
          <w:rFonts w:ascii="Verdana" w:hAnsi="Verdana"/>
          <w:b/>
          <w:i/>
          <w:sz w:val="20"/>
          <w:szCs w:val="20"/>
          <w:lang w:val="es-CR"/>
        </w:rPr>
        <w:t>Comisión</w:t>
      </w:r>
      <w:r w:rsidRPr="00F16BE7">
        <w:rPr>
          <w:rFonts w:ascii="Verdana" w:hAnsi="Verdana"/>
          <w:sz w:val="20"/>
          <w:szCs w:val="20"/>
          <w:lang w:val="es-CR"/>
        </w:rPr>
        <w:t xml:space="preserve"> no solicitó medida específica al respecto. </w:t>
      </w:r>
    </w:p>
    <w:p w14:paraId="6D172D84"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85" w14:textId="33F26619"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16BE7">
        <w:rPr>
          <w:rFonts w:ascii="Verdana" w:hAnsi="Verdana"/>
          <w:sz w:val="20"/>
          <w:szCs w:val="20"/>
          <w:lang w:val="es-CR"/>
        </w:rPr>
        <w:t xml:space="preserve">Los </w:t>
      </w:r>
      <w:r w:rsidRPr="00F16BE7">
        <w:rPr>
          <w:rFonts w:ascii="Verdana" w:hAnsi="Verdana"/>
          <w:b/>
          <w:i/>
          <w:sz w:val="20"/>
          <w:szCs w:val="20"/>
          <w:lang w:val="es-CR"/>
        </w:rPr>
        <w:t xml:space="preserve">representantes </w:t>
      </w:r>
      <w:r w:rsidRPr="00F16BE7">
        <w:rPr>
          <w:rFonts w:ascii="Verdana" w:hAnsi="Verdana"/>
          <w:sz w:val="20"/>
          <w:szCs w:val="20"/>
          <w:lang w:val="es-CR"/>
        </w:rPr>
        <w:t xml:space="preserve">señalaron que ante la ausencia de documentación que acredite la totalidad y diversidad del daño, su proyección debe estimarse racionalmente en equidad, teniendo en cuenta las circunstancias del caso. Solicitaron por concepto de daño emergente los gastos relacionados con los traslados, trámites, medicamentos, la comida que a diario le llevaba su esposa al centro penitenciario y las necesidades básicas de sus hijas. Señalaron que </w:t>
      </w:r>
      <w:r>
        <w:rPr>
          <w:rFonts w:ascii="Verdana" w:hAnsi="Verdana"/>
          <w:sz w:val="20"/>
          <w:szCs w:val="20"/>
          <w:lang w:val="es-ES"/>
        </w:rPr>
        <w:t>al</w:t>
      </w:r>
      <w:r w:rsidRPr="0007798A">
        <w:rPr>
          <w:rFonts w:ascii="Verdana" w:hAnsi="Verdana"/>
          <w:sz w:val="20"/>
          <w:szCs w:val="20"/>
          <w:lang w:val="es-ES"/>
        </w:rPr>
        <w:t xml:space="preserve"> señor Zegarra Marín</w:t>
      </w:r>
      <w:r w:rsidRPr="00F16BE7" w:rsidDel="007F58AB">
        <w:rPr>
          <w:rFonts w:ascii="Verdana" w:hAnsi="Verdana"/>
          <w:sz w:val="20"/>
          <w:szCs w:val="20"/>
          <w:lang w:val="es-CR"/>
        </w:rPr>
        <w:t xml:space="preserve"> </w:t>
      </w:r>
      <w:r w:rsidRPr="00F16BE7">
        <w:rPr>
          <w:rFonts w:ascii="Verdana" w:hAnsi="Verdana"/>
          <w:sz w:val="20"/>
          <w:szCs w:val="20"/>
          <w:lang w:val="es-CR"/>
        </w:rPr>
        <w:t>se le impuso de manera arbitraria e ilegal el retiro por renovación, ya que el haber sido sometido a detención no justificaba que lo pasaran a retiro. Esto implicó que se truncara su carrera policial y con ello el reconocimiento salarial que le hubiese correspondido de no haberse ejecutado dicho retiro. Sostuvieron que de no habérsele pasado a retiro injustamente, se le hubiese ascendido a Coronel</w:t>
      </w:r>
      <w:r w:rsidR="002579A7">
        <w:rPr>
          <w:rFonts w:ascii="Verdana" w:hAnsi="Verdana"/>
          <w:sz w:val="20"/>
          <w:szCs w:val="20"/>
          <w:lang w:val="es-CR"/>
        </w:rPr>
        <w:t xml:space="preserve"> </w:t>
      </w:r>
      <w:r w:rsidR="00CF5FC3">
        <w:rPr>
          <w:rFonts w:ascii="Verdana" w:hAnsi="Verdana"/>
          <w:sz w:val="20"/>
          <w:szCs w:val="20"/>
          <w:lang w:val="es-CR"/>
        </w:rPr>
        <w:t>activo</w:t>
      </w:r>
      <w:r w:rsidRPr="00F16BE7">
        <w:rPr>
          <w:rFonts w:ascii="Verdana" w:hAnsi="Verdana"/>
          <w:sz w:val="20"/>
          <w:szCs w:val="20"/>
          <w:lang w:val="es-CR"/>
        </w:rPr>
        <w:t>, tomando en consideración que la víctima se encontraba incluida en el Cuadro de Mérito</w:t>
      </w:r>
      <w:r w:rsidR="00CF5FC3">
        <w:rPr>
          <w:rFonts w:ascii="Verdana" w:hAnsi="Verdana"/>
          <w:sz w:val="20"/>
          <w:szCs w:val="20"/>
          <w:lang w:val="es-CR"/>
        </w:rPr>
        <w:t xml:space="preserve"> de Oficiales de la Policía Nacional</w:t>
      </w:r>
      <w:r w:rsidRPr="00F16BE7">
        <w:rPr>
          <w:rFonts w:ascii="Verdana" w:hAnsi="Verdana"/>
          <w:sz w:val="20"/>
          <w:szCs w:val="20"/>
          <w:lang w:val="es-CR"/>
        </w:rPr>
        <w:t xml:space="preserve"> para ascenso, por lo que solicitaron una indemnización compensatoria por US$ 400,106.74 dólares. Para llegar a esta suma señalaron que la víctima recibió una pensión de 1,170 soles (correspondiente a un Comandante</w:t>
      </w:r>
      <w:r w:rsidR="00CF5FC3">
        <w:rPr>
          <w:rFonts w:ascii="Verdana" w:hAnsi="Verdana"/>
          <w:sz w:val="20"/>
          <w:szCs w:val="20"/>
          <w:lang w:val="es-CR"/>
        </w:rPr>
        <w:t xml:space="preserve"> retirado</w:t>
      </w:r>
      <w:r w:rsidRPr="00F16BE7">
        <w:rPr>
          <w:rFonts w:ascii="Verdana" w:hAnsi="Verdana"/>
          <w:sz w:val="20"/>
          <w:szCs w:val="20"/>
          <w:lang w:val="es-CR"/>
        </w:rPr>
        <w:t>) en lugar de la remuneración mensual tasada de 5,580 soles que le hubiese correspondido como Coronel activo desde 1995 y por los 17 años que le quedaban de servicio activo. Este cálculo resulta en 899,640 soles, que al tipo de cambio de 2</w:t>
      </w:r>
      <w:r w:rsidR="00260B88">
        <w:rPr>
          <w:rFonts w:ascii="Verdana" w:hAnsi="Verdana"/>
          <w:sz w:val="20"/>
          <w:szCs w:val="20"/>
          <w:lang w:val="es-CR"/>
        </w:rPr>
        <w:t>,</w:t>
      </w:r>
      <w:r w:rsidR="00F37BEF">
        <w:rPr>
          <w:rFonts w:ascii="Verdana" w:hAnsi="Verdana"/>
          <w:sz w:val="20"/>
          <w:szCs w:val="20"/>
          <w:lang w:val="es-CR"/>
        </w:rPr>
        <w:t>248</w:t>
      </w:r>
      <w:r w:rsidRPr="00F16BE7">
        <w:rPr>
          <w:rFonts w:ascii="Verdana" w:hAnsi="Verdana"/>
          <w:sz w:val="20"/>
          <w:szCs w:val="20"/>
          <w:lang w:val="es-CR"/>
        </w:rPr>
        <w:t xml:space="preserve">5 soles el dólar resulta en los US$ 400,106.74 (cuatrocientos mil ciento seis dólares y setenta y cuatro centavos de dólar de los Estados Unidos de América) solicitados. </w:t>
      </w:r>
    </w:p>
    <w:p w14:paraId="6D172D86"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87" w14:textId="4C6A3D12" w:rsidR="00FB723A" w:rsidRDefault="00FB723A" w:rsidP="006231F4">
      <w:pPr>
        <w:pStyle w:val="ListParagraph"/>
        <w:widowControl w:val="0"/>
        <w:numPr>
          <w:ilvl w:val="0"/>
          <w:numId w:val="2"/>
        </w:numPr>
        <w:tabs>
          <w:tab w:val="center" w:pos="567"/>
        </w:tabs>
        <w:autoSpaceDE w:val="0"/>
        <w:autoSpaceDN w:val="0"/>
        <w:adjustRightInd w:val="0"/>
        <w:ind w:left="0" w:right="-86" w:firstLine="0"/>
        <w:jc w:val="both"/>
        <w:rPr>
          <w:rFonts w:ascii="Verdana" w:hAnsi="Verdana"/>
          <w:sz w:val="20"/>
          <w:szCs w:val="20"/>
          <w:lang w:val="es-CR"/>
        </w:rPr>
      </w:pPr>
      <w:r w:rsidRPr="00F16BE7">
        <w:rPr>
          <w:rFonts w:ascii="Verdana" w:hAnsi="Verdana"/>
          <w:sz w:val="20"/>
          <w:szCs w:val="20"/>
          <w:lang w:val="es-CR"/>
        </w:rPr>
        <w:t xml:space="preserve">El </w:t>
      </w:r>
      <w:r w:rsidRPr="00F16BE7">
        <w:rPr>
          <w:rFonts w:ascii="Verdana" w:hAnsi="Verdana"/>
          <w:b/>
          <w:i/>
          <w:sz w:val="20"/>
          <w:szCs w:val="20"/>
          <w:lang w:val="es-CR"/>
        </w:rPr>
        <w:t>Estado</w:t>
      </w:r>
      <w:r w:rsidRPr="00F16BE7">
        <w:rPr>
          <w:rFonts w:ascii="Verdana" w:hAnsi="Verdana"/>
          <w:sz w:val="20"/>
          <w:szCs w:val="20"/>
          <w:lang w:val="es-CR"/>
        </w:rPr>
        <w:t xml:space="preserve"> observó que los representantes no realizaron una correcta determinación de sus gastos, sino que los mencionaron de manera general sin proveer las pruebas que los sustentan. En relación al lucro cesante y al supuesto retiro injustificado por renovación y sus consecuencias, subrayó que no son procedentes las pretensiones de los representantes, ya que el Estado sí garantizó a la presunta víctima acceder a recursos impugnatorios que le hubieran permitido corregir los supuestos daños que sufrió, sin embargo su presentación fue extemporánea, tal como lo señaló la Comisión en el Informe de Admisibilidad del caso. Señaló que el señor Zegarra Marín se acogió a la Ley que </w:t>
      </w:r>
      <w:r w:rsidR="00CF5FC3">
        <w:rPr>
          <w:rFonts w:ascii="Verdana" w:hAnsi="Verdana"/>
          <w:sz w:val="20"/>
          <w:szCs w:val="20"/>
          <w:lang w:val="es-CR"/>
        </w:rPr>
        <w:t>a</w:t>
      </w:r>
      <w:r w:rsidRPr="00F16BE7">
        <w:rPr>
          <w:rFonts w:ascii="Verdana" w:hAnsi="Verdana"/>
          <w:sz w:val="20"/>
          <w:szCs w:val="20"/>
          <w:lang w:val="es-CR"/>
        </w:rPr>
        <w:t xml:space="preserve">utoriza la </w:t>
      </w:r>
      <w:r w:rsidR="00CF5FC3">
        <w:rPr>
          <w:rFonts w:ascii="Verdana" w:hAnsi="Verdana"/>
          <w:sz w:val="20"/>
          <w:szCs w:val="20"/>
          <w:lang w:val="es-CR"/>
        </w:rPr>
        <w:t>r</w:t>
      </w:r>
      <w:r w:rsidRPr="00F16BE7">
        <w:rPr>
          <w:rFonts w:ascii="Verdana" w:hAnsi="Verdana"/>
          <w:sz w:val="20"/>
          <w:szCs w:val="20"/>
          <w:lang w:val="es-CR"/>
        </w:rPr>
        <w:t xml:space="preserve">eincorporación de los </w:t>
      </w:r>
      <w:r w:rsidR="00CF5FC3">
        <w:rPr>
          <w:rFonts w:ascii="Verdana" w:hAnsi="Verdana"/>
          <w:sz w:val="20"/>
          <w:szCs w:val="20"/>
          <w:lang w:val="es-CR"/>
        </w:rPr>
        <w:lastRenderedPageBreak/>
        <w:t>o</w:t>
      </w:r>
      <w:r w:rsidRPr="00F16BE7">
        <w:rPr>
          <w:rFonts w:ascii="Verdana" w:hAnsi="Verdana"/>
          <w:sz w:val="20"/>
          <w:szCs w:val="20"/>
          <w:lang w:val="es-CR"/>
        </w:rPr>
        <w:t xml:space="preserve">ficiales, </w:t>
      </w:r>
      <w:r w:rsidR="00CF5FC3">
        <w:rPr>
          <w:rFonts w:ascii="Verdana" w:hAnsi="Verdana"/>
          <w:sz w:val="20"/>
          <w:szCs w:val="20"/>
          <w:lang w:val="es-CR"/>
        </w:rPr>
        <w:t>t</w:t>
      </w:r>
      <w:r w:rsidRPr="00F16BE7">
        <w:rPr>
          <w:rFonts w:ascii="Verdana" w:hAnsi="Verdana"/>
          <w:sz w:val="20"/>
          <w:szCs w:val="20"/>
          <w:lang w:val="es-CR"/>
        </w:rPr>
        <w:t xml:space="preserve">écnicos y </w:t>
      </w:r>
      <w:r w:rsidR="00CF5FC3">
        <w:rPr>
          <w:rFonts w:ascii="Verdana" w:hAnsi="Verdana"/>
          <w:sz w:val="20"/>
          <w:szCs w:val="20"/>
          <w:lang w:val="es-CR"/>
        </w:rPr>
        <w:t>s</w:t>
      </w:r>
      <w:r w:rsidRPr="00F16BE7">
        <w:rPr>
          <w:rFonts w:ascii="Verdana" w:hAnsi="Verdana"/>
          <w:sz w:val="20"/>
          <w:szCs w:val="20"/>
          <w:lang w:val="es-CR"/>
        </w:rPr>
        <w:t>uboficiales de las Fuerzas Armadas y de la Policía Nacional del Perú</w:t>
      </w:r>
      <w:r w:rsidRPr="00F16BE7">
        <w:rPr>
          <w:rStyle w:val="FootnoteReference"/>
          <w:szCs w:val="20"/>
          <w:lang w:val="es-CR"/>
        </w:rPr>
        <w:footnoteReference w:id="183"/>
      </w:r>
      <w:r w:rsidRPr="00F16BE7">
        <w:rPr>
          <w:rFonts w:ascii="Verdana" w:hAnsi="Verdana"/>
          <w:sz w:val="20"/>
          <w:szCs w:val="20"/>
          <w:lang w:val="es-CR"/>
        </w:rPr>
        <w:t xml:space="preserve"> con lo que se le reconocieron los años de servicio desde que fue llamado a retiro por renovación e impugnó las sumas alegadas por los representantes, señalando que recibe actualmente la suma de 3,734.54 soles entre remuneraciones pensionables y no pensionables</w:t>
      </w:r>
      <w:r w:rsidRPr="00F16BE7">
        <w:rPr>
          <w:rStyle w:val="FootnoteReference"/>
          <w:szCs w:val="20"/>
          <w:lang w:val="es-CR"/>
        </w:rPr>
        <w:footnoteReference w:id="184"/>
      </w:r>
      <w:r w:rsidRPr="00F16BE7">
        <w:rPr>
          <w:rFonts w:ascii="Verdana" w:hAnsi="Verdana"/>
          <w:sz w:val="20"/>
          <w:szCs w:val="20"/>
          <w:lang w:val="es-CR"/>
        </w:rPr>
        <w:t>.</w:t>
      </w:r>
    </w:p>
    <w:p w14:paraId="6D172D88"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89" w14:textId="407BB399" w:rsidR="00FB723A" w:rsidRPr="00594501" w:rsidRDefault="00FB723A" w:rsidP="006231F4">
      <w:pPr>
        <w:pStyle w:val="ListParagraph"/>
        <w:widowControl w:val="0"/>
        <w:numPr>
          <w:ilvl w:val="0"/>
          <w:numId w:val="2"/>
        </w:numPr>
        <w:tabs>
          <w:tab w:val="center" w:pos="567"/>
        </w:tabs>
        <w:autoSpaceDE w:val="0"/>
        <w:autoSpaceDN w:val="0"/>
        <w:adjustRightInd w:val="0"/>
        <w:ind w:left="0" w:right="-90" w:firstLine="0"/>
        <w:jc w:val="both"/>
        <w:rPr>
          <w:lang w:val="es-ES"/>
        </w:rPr>
      </w:pPr>
      <w:r w:rsidRPr="009C7422">
        <w:rPr>
          <w:rFonts w:ascii="Verdana" w:hAnsi="Verdana"/>
          <w:sz w:val="20"/>
          <w:szCs w:val="20"/>
          <w:lang w:val="es-ES"/>
        </w:rPr>
        <w:t>La Corte ha desarrollado el concepto de daño material</w:t>
      </w:r>
      <w:r w:rsidRPr="00E23989">
        <w:rPr>
          <w:rStyle w:val="FootnoteReference"/>
          <w:szCs w:val="20"/>
          <w:lang w:val="es-ES"/>
        </w:rPr>
        <w:footnoteReference w:id="185"/>
      </w:r>
      <w:r w:rsidRPr="009C7422">
        <w:rPr>
          <w:rFonts w:ascii="Verdana" w:hAnsi="Verdana"/>
          <w:sz w:val="20"/>
          <w:szCs w:val="20"/>
          <w:lang w:val="es-ES"/>
        </w:rPr>
        <w:t xml:space="preserve"> y los supuestos en </w:t>
      </w:r>
      <w:r w:rsidRPr="009C7422">
        <w:rPr>
          <w:rFonts w:ascii="Verdana" w:eastAsia="Times New Roman" w:hAnsi="Verdana"/>
          <w:sz w:val="20"/>
          <w:szCs w:val="20"/>
          <w:lang w:val="es-ES"/>
        </w:rPr>
        <w:t>que</w:t>
      </w:r>
      <w:r w:rsidRPr="009C7422">
        <w:rPr>
          <w:rFonts w:ascii="Verdana" w:hAnsi="Verdana"/>
          <w:sz w:val="20"/>
          <w:szCs w:val="20"/>
          <w:lang w:val="es-ES"/>
        </w:rPr>
        <w:t xml:space="preserve"> corresponde indemnizarlos.</w:t>
      </w:r>
      <w:r w:rsidRPr="009C7422">
        <w:rPr>
          <w:rFonts w:ascii="Verdana" w:hAnsi="Verdana"/>
          <w:b/>
          <w:i/>
          <w:sz w:val="20"/>
          <w:szCs w:val="20"/>
          <w:lang w:val="es-ES"/>
        </w:rPr>
        <w:t xml:space="preserve"> </w:t>
      </w:r>
      <w:r w:rsidRPr="009C7422">
        <w:rPr>
          <w:rFonts w:ascii="Verdana" w:hAnsi="Verdana"/>
          <w:sz w:val="20"/>
          <w:szCs w:val="20"/>
          <w:lang w:val="es-ES"/>
        </w:rPr>
        <w:t>En particular,</w:t>
      </w:r>
      <w:r w:rsidRPr="009C7422">
        <w:rPr>
          <w:rFonts w:ascii="Verdana" w:hAnsi="Verdana"/>
          <w:b/>
          <w:i/>
          <w:sz w:val="20"/>
          <w:szCs w:val="20"/>
          <w:lang w:val="es-ES"/>
        </w:rPr>
        <w:t xml:space="preserve"> </w:t>
      </w:r>
      <w:r w:rsidRPr="009C7422">
        <w:rPr>
          <w:rFonts w:ascii="Verdana" w:hAnsi="Verdana" w:cs="Verdana"/>
          <w:sz w:val="20"/>
          <w:szCs w:val="20"/>
          <w:lang w:bidi="en-US"/>
        </w:rPr>
        <w:t xml:space="preserve">la Corte ha desarrollado en su jurisprudencia el concepto de daño material y </w:t>
      </w:r>
      <w:r w:rsidRPr="009C7422">
        <w:rPr>
          <w:rFonts w:ascii="Verdana" w:hAnsi="Verdana"/>
          <w:bCs/>
          <w:sz w:val="20"/>
          <w:szCs w:val="20"/>
        </w:rPr>
        <w:t>ha establecido que supone “la pérdida o detrimento de los ingresos de las víctimas, los gastos efectuados con motivo de los hechos y las consecuencias de carácter pecuniario que tengan un nexo causal con los hechos del caso.</w:t>
      </w:r>
      <w:r>
        <w:rPr>
          <w:rFonts w:ascii="Verdana" w:hAnsi="Verdana"/>
          <w:bCs/>
          <w:sz w:val="20"/>
          <w:szCs w:val="20"/>
        </w:rPr>
        <w:t xml:space="preserve"> </w:t>
      </w:r>
      <w:r w:rsidRPr="009C7422">
        <w:rPr>
          <w:rFonts w:ascii="Verdana" w:hAnsi="Verdana"/>
          <w:sz w:val="20"/>
          <w:szCs w:val="20"/>
          <w:lang w:val="es-ES"/>
        </w:rPr>
        <w:t>En razón de ello, la Corte determinará la pertinencia de otorgar reparaciones pecuniarias y los montos respectivos debidos en este caso.</w:t>
      </w:r>
    </w:p>
    <w:p w14:paraId="6D172D8A" w14:textId="77777777" w:rsidR="00FB723A" w:rsidRPr="009C7422"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ES"/>
        </w:rPr>
      </w:pPr>
    </w:p>
    <w:p w14:paraId="6D172D8B" w14:textId="02B35D90"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Pr>
          <w:rFonts w:ascii="Verdana" w:hAnsi="Verdana"/>
          <w:sz w:val="20"/>
          <w:szCs w:val="20"/>
          <w:lang w:val="es-CR"/>
        </w:rPr>
        <w:t xml:space="preserve">En cuanto al </w:t>
      </w:r>
      <w:r w:rsidRPr="00D41B50">
        <w:rPr>
          <w:rFonts w:ascii="Verdana" w:hAnsi="Verdana"/>
          <w:i/>
          <w:sz w:val="20"/>
          <w:szCs w:val="20"/>
          <w:lang w:val="es-CR"/>
        </w:rPr>
        <w:t>daño emergente</w:t>
      </w:r>
      <w:r>
        <w:rPr>
          <w:rFonts w:ascii="Verdana" w:hAnsi="Verdana"/>
          <w:sz w:val="20"/>
          <w:szCs w:val="20"/>
          <w:lang w:val="es-CR"/>
        </w:rPr>
        <w:t>, e</w:t>
      </w:r>
      <w:r w:rsidRPr="00F16BE7">
        <w:rPr>
          <w:rFonts w:ascii="Verdana" w:hAnsi="Verdana"/>
          <w:sz w:val="20"/>
          <w:szCs w:val="20"/>
          <w:lang w:val="es-CR"/>
        </w:rPr>
        <w:t>sta Corte considera que los representantes no aportaron prueba ni antecedente alguno que permita estimar racionalmente el monto de los gastos en que incurrió la familia debido a que la víctima estaba detenida. Por esta razón, no se otorgará indemnización por daño emergente.</w:t>
      </w:r>
      <w:r>
        <w:rPr>
          <w:rFonts w:ascii="Verdana" w:hAnsi="Verdana"/>
          <w:sz w:val="20"/>
          <w:szCs w:val="20"/>
          <w:lang w:val="es-CR"/>
        </w:rPr>
        <w:t xml:space="preserve"> </w:t>
      </w:r>
    </w:p>
    <w:p w14:paraId="6D172D8C" w14:textId="77777777" w:rsidR="00FB723A" w:rsidRPr="006B70A2"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8D" w14:textId="0F37F471"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Pr>
          <w:rFonts w:ascii="Verdana" w:hAnsi="Verdana"/>
          <w:sz w:val="20"/>
          <w:szCs w:val="20"/>
          <w:lang w:val="es-CR"/>
        </w:rPr>
        <w:t xml:space="preserve">En cuanto al </w:t>
      </w:r>
      <w:r w:rsidRPr="009C7422">
        <w:rPr>
          <w:rFonts w:ascii="Verdana" w:hAnsi="Verdana"/>
          <w:i/>
          <w:sz w:val="20"/>
          <w:szCs w:val="20"/>
          <w:lang w:val="es-CR"/>
        </w:rPr>
        <w:t>lucro cesante</w:t>
      </w:r>
      <w:r>
        <w:rPr>
          <w:rFonts w:ascii="Verdana" w:hAnsi="Verdana"/>
          <w:sz w:val="20"/>
          <w:szCs w:val="20"/>
          <w:lang w:val="es-CR"/>
        </w:rPr>
        <w:t xml:space="preserve"> o pérdida de ingreso, e</w:t>
      </w:r>
      <w:r w:rsidRPr="00F16BE7">
        <w:rPr>
          <w:rFonts w:ascii="Verdana" w:hAnsi="Verdana"/>
          <w:sz w:val="20"/>
          <w:szCs w:val="20"/>
          <w:lang w:val="es-CR"/>
        </w:rPr>
        <w:t xml:space="preserve">sta Corte </w:t>
      </w:r>
      <w:r>
        <w:rPr>
          <w:rFonts w:ascii="Verdana" w:hAnsi="Verdana"/>
          <w:sz w:val="20"/>
          <w:szCs w:val="20"/>
          <w:lang w:val="es-CR"/>
        </w:rPr>
        <w:t xml:space="preserve">estableció en excepciones preliminares que la solicitud de consideración del </w:t>
      </w:r>
      <w:r w:rsidRPr="00F16BE7">
        <w:rPr>
          <w:rFonts w:ascii="Verdana" w:hAnsi="Verdana"/>
          <w:sz w:val="20"/>
          <w:szCs w:val="20"/>
          <w:lang w:val="es-CR"/>
        </w:rPr>
        <w:t xml:space="preserve">pase a retiro por renovación </w:t>
      </w:r>
      <w:r>
        <w:rPr>
          <w:rFonts w:ascii="Verdana" w:hAnsi="Verdana"/>
          <w:sz w:val="20"/>
          <w:szCs w:val="20"/>
          <w:lang w:val="es-CR"/>
        </w:rPr>
        <w:t xml:space="preserve">y cuadro de mérito se encontraban fuera del marco fáctico y por ende fuera del objeto del caso </w:t>
      </w:r>
      <w:r w:rsidR="00A219CE">
        <w:rPr>
          <w:rFonts w:ascii="Verdana" w:hAnsi="Verdana"/>
          <w:sz w:val="20"/>
          <w:szCs w:val="20"/>
          <w:lang w:val="es-CR"/>
        </w:rPr>
        <w:t>(</w:t>
      </w:r>
      <w:r w:rsidRPr="0058104A">
        <w:rPr>
          <w:rFonts w:ascii="Verdana" w:hAnsi="Verdana"/>
          <w:i/>
          <w:sz w:val="20"/>
          <w:szCs w:val="20"/>
          <w:lang w:val="es-CR"/>
        </w:rPr>
        <w:t>supra</w:t>
      </w:r>
      <w:r w:rsidRPr="00F16BE7">
        <w:rPr>
          <w:rFonts w:ascii="Verdana" w:hAnsi="Verdana"/>
          <w:i/>
          <w:sz w:val="20"/>
          <w:szCs w:val="20"/>
          <w:lang w:val="es-CR"/>
        </w:rPr>
        <w:t xml:space="preserve"> </w:t>
      </w:r>
      <w:r w:rsidRPr="00F16BE7">
        <w:rPr>
          <w:rFonts w:ascii="Verdana" w:hAnsi="Verdana"/>
          <w:sz w:val="20"/>
          <w:szCs w:val="20"/>
          <w:lang w:val="es-CR"/>
        </w:rPr>
        <w:t>párr.</w:t>
      </w:r>
      <w:r w:rsidR="00374910">
        <w:rPr>
          <w:rFonts w:ascii="Verdana" w:hAnsi="Verdana"/>
          <w:i/>
          <w:sz w:val="20"/>
          <w:szCs w:val="20"/>
          <w:lang w:val="es-CR"/>
        </w:rPr>
        <w:t xml:space="preserve"> </w:t>
      </w:r>
      <w:r w:rsidR="00374910" w:rsidRPr="00374910">
        <w:rPr>
          <w:rFonts w:ascii="Verdana" w:hAnsi="Verdana"/>
          <w:sz w:val="20"/>
          <w:szCs w:val="20"/>
          <w:lang w:val="es-CR"/>
        </w:rPr>
        <w:t>56</w:t>
      </w:r>
      <w:r w:rsidR="00A219CE">
        <w:rPr>
          <w:rFonts w:ascii="Verdana" w:hAnsi="Verdana"/>
          <w:sz w:val="20"/>
          <w:szCs w:val="20"/>
          <w:lang w:val="es-CR"/>
        </w:rPr>
        <w:t>)</w:t>
      </w:r>
      <w:r w:rsidRPr="00F16BE7">
        <w:rPr>
          <w:rFonts w:ascii="Verdana" w:hAnsi="Verdana"/>
          <w:sz w:val="20"/>
          <w:szCs w:val="20"/>
          <w:lang w:val="es-CR"/>
        </w:rPr>
        <w:t xml:space="preserve">. </w:t>
      </w:r>
    </w:p>
    <w:p w14:paraId="6D172D8E"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8F"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8A301C">
        <w:rPr>
          <w:rFonts w:ascii="Verdana" w:hAnsi="Verdana"/>
          <w:sz w:val="20"/>
          <w:szCs w:val="20"/>
          <w:lang w:val="es-CR"/>
        </w:rPr>
        <w:t>Respecto del ascenso truncado,</w:t>
      </w:r>
      <w:r w:rsidRPr="00F16BE7">
        <w:rPr>
          <w:rFonts w:ascii="Verdana" w:hAnsi="Verdana"/>
          <w:sz w:val="20"/>
          <w:szCs w:val="20"/>
          <w:lang w:val="es-CR"/>
        </w:rPr>
        <w:t xml:space="preserve"> la prueba acompañada se compone de declaraciones de la familia en que expresan que tenían la convicción de que </w:t>
      </w:r>
      <w:r w:rsidRPr="0007798A">
        <w:rPr>
          <w:rFonts w:ascii="Verdana" w:hAnsi="Verdana"/>
          <w:sz w:val="20"/>
          <w:szCs w:val="20"/>
          <w:lang w:val="es-ES"/>
        </w:rPr>
        <w:t>el señor Zegarra Marín</w:t>
      </w:r>
      <w:r w:rsidRPr="00F16BE7" w:rsidDel="007F58AB">
        <w:rPr>
          <w:rFonts w:ascii="Verdana" w:hAnsi="Verdana"/>
          <w:sz w:val="20"/>
          <w:szCs w:val="20"/>
          <w:lang w:val="es-CR"/>
        </w:rPr>
        <w:t xml:space="preserve"> </w:t>
      </w:r>
      <w:r w:rsidRPr="00F16BE7">
        <w:rPr>
          <w:rFonts w:ascii="Verdana" w:hAnsi="Verdana"/>
          <w:sz w:val="20"/>
          <w:szCs w:val="20"/>
          <w:lang w:val="es-CR"/>
        </w:rPr>
        <w:t xml:space="preserve">sería ascendido. </w:t>
      </w:r>
      <w:r>
        <w:rPr>
          <w:rFonts w:ascii="Verdana" w:hAnsi="Verdana"/>
          <w:sz w:val="20"/>
          <w:szCs w:val="20"/>
          <w:lang w:val="es-CR"/>
        </w:rPr>
        <w:t xml:space="preserve">De lo anterior no se desprenden elementos </w:t>
      </w:r>
      <w:r w:rsidRPr="00F16BE7">
        <w:rPr>
          <w:rFonts w:ascii="Verdana" w:hAnsi="Verdana"/>
          <w:sz w:val="20"/>
          <w:szCs w:val="20"/>
          <w:lang w:val="es-CR"/>
        </w:rPr>
        <w:t>de prueba suficiente que permitan determinar que de no haber ocurrido las violaciones establecidas en la presente Sentencia, el señor Zegarra Marín hubiese sido ascendido al grado de Coronel en el año 1995.</w:t>
      </w:r>
      <w:r>
        <w:rPr>
          <w:rFonts w:ascii="Verdana" w:hAnsi="Verdana"/>
          <w:sz w:val="20"/>
          <w:szCs w:val="20"/>
          <w:lang w:val="es-CR"/>
        </w:rPr>
        <w:t xml:space="preserve"> </w:t>
      </w:r>
      <w:r w:rsidRPr="00F16BE7">
        <w:rPr>
          <w:rFonts w:ascii="Verdana" w:hAnsi="Verdana"/>
          <w:sz w:val="20"/>
          <w:szCs w:val="20"/>
          <w:lang w:val="es-CR"/>
        </w:rPr>
        <w:t xml:space="preserve">Por tanto, </w:t>
      </w:r>
      <w:r>
        <w:rPr>
          <w:rFonts w:ascii="Verdana" w:hAnsi="Verdana"/>
          <w:sz w:val="20"/>
          <w:szCs w:val="20"/>
          <w:lang w:val="es-CR"/>
        </w:rPr>
        <w:t xml:space="preserve">no existe nexo causal con los hechos marco del proceso ante esta Corte ni con las violaciones acreditas, por lo </w:t>
      </w:r>
      <w:r w:rsidRPr="00D41B50">
        <w:rPr>
          <w:rFonts w:ascii="Verdana" w:hAnsi="Verdana"/>
          <w:sz w:val="20"/>
          <w:szCs w:val="20"/>
          <w:lang w:val="es-CR"/>
        </w:rPr>
        <w:t>que no corresponde indemnizar el lucro cesante solicitado.</w:t>
      </w:r>
    </w:p>
    <w:p w14:paraId="6D172D90" w14:textId="77777777" w:rsidR="00FB723A" w:rsidRPr="00F16BE7" w:rsidRDefault="00FB723A" w:rsidP="001634BF">
      <w:pPr>
        <w:contextualSpacing/>
        <w:jc w:val="both"/>
        <w:rPr>
          <w:rFonts w:ascii="Verdana" w:hAnsi="Verdana"/>
          <w:sz w:val="20"/>
          <w:szCs w:val="20"/>
          <w:lang w:val="es-CR"/>
        </w:rPr>
      </w:pPr>
    </w:p>
    <w:p w14:paraId="6D172D91" w14:textId="14DFE172" w:rsidR="00FB723A" w:rsidRPr="008A301C" w:rsidRDefault="00FB723A" w:rsidP="000A0953">
      <w:pPr>
        <w:pStyle w:val="Heading3"/>
        <w:numPr>
          <w:ilvl w:val="0"/>
          <w:numId w:val="28"/>
        </w:numPr>
        <w:spacing w:before="0"/>
        <w:jc w:val="both"/>
        <w:rPr>
          <w:rFonts w:ascii="Verdana" w:hAnsi="Verdana"/>
          <w:b w:val="0"/>
          <w:i/>
          <w:sz w:val="20"/>
          <w:szCs w:val="20"/>
        </w:rPr>
      </w:pPr>
      <w:bookmarkStart w:id="96" w:name="_Toc482093076"/>
      <w:r w:rsidRPr="008A301C">
        <w:rPr>
          <w:rFonts w:ascii="Verdana" w:hAnsi="Verdana"/>
          <w:i/>
          <w:color w:val="auto"/>
          <w:sz w:val="20"/>
          <w:szCs w:val="20"/>
        </w:rPr>
        <w:t>Daño inmaterial</w:t>
      </w:r>
      <w:bookmarkEnd w:id="96"/>
    </w:p>
    <w:p w14:paraId="6D172D92" w14:textId="77777777" w:rsidR="00FB723A" w:rsidRPr="00F16BE7" w:rsidRDefault="00FB723A" w:rsidP="001634BF">
      <w:pPr>
        <w:pStyle w:val="ListParagraph"/>
        <w:ind w:left="0"/>
        <w:rPr>
          <w:rFonts w:ascii="Verdana" w:hAnsi="Verdana"/>
          <w:sz w:val="20"/>
          <w:szCs w:val="20"/>
          <w:lang w:val="es-CR"/>
        </w:rPr>
      </w:pPr>
    </w:p>
    <w:p w14:paraId="6D172D93" w14:textId="59C1B8AE" w:rsidR="00FB723A" w:rsidRPr="00CE169C"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rPr>
      </w:pPr>
      <w:r w:rsidRPr="00F16BE7">
        <w:rPr>
          <w:rFonts w:ascii="Verdana" w:hAnsi="Verdana"/>
          <w:sz w:val="20"/>
          <w:szCs w:val="20"/>
          <w:lang w:val="es-CR"/>
        </w:rPr>
        <w:t xml:space="preserve">La </w:t>
      </w:r>
      <w:r w:rsidRPr="00F16BE7">
        <w:rPr>
          <w:rFonts w:ascii="Verdana" w:hAnsi="Verdana"/>
          <w:b/>
          <w:i/>
          <w:sz w:val="20"/>
          <w:szCs w:val="20"/>
          <w:lang w:val="es-CR"/>
        </w:rPr>
        <w:t>Comisión</w:t>
      </w:r>
      <w:r w:rsidRPr="00F16BE7">
        <w:rPr>
          <w:rFonts w:ascii="Verdana" w:hAnsi="Verdana"/>
          <w:sz w:val="20"/>
          <w:szCs w:val="20"/>
          <w:lang w:val="es-CR"/>
        </w:rPr>
        <w:t xml:space="preserve"> recomendó disponer una reparación integral a favor del señor Zegarra Marín por las violaciones declaradas en el Informe de Fondo. </w:t>
      </w:r>
      <w:r w:rsidRPr="00D615AA">
        <w:rPr>
          <w:rFonts w:ascii="Verdana" w:hAnsi="Verdana" w:cs="Verdana"/>
          <w:sz w:val="20"/>
          <w:szCs w:val="20"/>
        </w:rPr>
        <w:t xml:space="preserve">En </w:t>
      </w:r>
      <w:r>
        <w:rPr>
          <w:rFonts w:ascii="Verdana" w:hAnsi="Verdana" w:cs="Verdana"/>
          <w:sz w:val="20"/>
          <w:szCs w:val="20"/>
        </w:rPr>
        <w:t>la</w:t>
      </w:r>
      <w:r w:rsidRPr="00D615AA">
        <w:rPr>
          <w:rFonts w:ascii="Verdana" w:hAnsi="Verdana" w:cs="Verdana"/>
          <w:sz w:val="20"/>
          <w:szCs w:val="20"/>
        </w:rPr>
        <w:t xml:space="preserve"> audiencia,</w:t>
      </w:r>
      <w:r w:rsidRPr="00D615AA">
        <w:rPr>
          <w:rFonts w:ascii="Verdana" w:hAnsi="Verdana"/>
          <w:sz w:val="20"/>
          <w:szCs w:val="20"/>
        </w:rPr>
        <w:t xml:space="preserve"> la </w:t>
      </w:r>
      <w:r w:rsidRPr="00D615AA">
        <w:rPr>
          <w:rFonts w:ascii="Verdana" w:hAnsi="Verdana"/>
          <w:b/>
          <w:i/>
          <w:sz w:val="20"/>
          <w:szCs w:val="20"/>
        </w:rPr>
        <w:t>Comisión</w:t>
      </w:r>
      <w:r w:rsidRPr="00D615AA">
        <w:rPr>
          <w:rFonts w:ascii="Verdana" w:hAnsi="Verdana"/>
          <w:sz w:val="20"/>
          <w:szCs w:val="20"/>
        </w:rPr>
        <w:t xml:space="preserve"> consider</w:t>
      </w:r>
      <w:r w:rsidR="00651413">
        <w:rPr>
          <w:rFonts w:ascii="Verdana" w:hAnsi="Verdana"/>
          <w:sz w:val="20"/>
          <w:szCs w:val="20"/>
        </w:rPr>
        <w:t>ó</w:t>
      </w:r>
      <w:r w:rsidRPr="00D615AA">
        <w:rPr>
          <w:rFonts w:ascii="Verdana" w:hAnsi="Verdana"/>
          <w:sz w:val="20"/>
          <w:szCs w:val="20"/>
        </w:rPr>
        <w:t xml:space="preserve"> que el presente caso era oportuno para precisar los criterios del </w:t>
      </w:r>
      <w:r w:rsidRPr="00A659C5">
        <w:rPr>
          <w:rFonts w:ascii="Verdana" w:hAnsi="Verdana"/>
          <w:sz w:val="20"/>
          <w:szCs w:val="20"/>
        </w:rPr>
        <w:t xml:space="preserve">lucro cesante </w:t>
      </w:r>
      <w:r w:rsidR="00651413">
        <w:rPr>
          <w:rFonts w:ascii="Verdana" w:hAnsi="Verdana"/>
          <w:sz w:val="20"/>
          <w:szCs w:val="20"/>
        </w:rPr>
        <w:t>respecto</w:t>
      </w:r>
      <w:r w:rsidRPr="00A659C5">
        <w:rPr>
          <w:rFonts w:ascii="Verdana" w:hAnsi="Verdana"/>
          <w:sz w:val="20"/>
          <w:szCs w:val="20"/>
        </w:rPr>
        <w:t xml:space="preserve"> </w:t>
      </w:r>
      <w:r w:rsidR="00651413">
        <w:rPr>
          <w:rFonts w:ascii="Verdana" w:hAnsi="Verdana"/>
          <w:sz w:val="20"/>
          <w:szCs w:val="20"/>
        </w:rPr>
        <w:t>d</w:t>
      </w:r>
      <w:r w:rsidRPr="00A659C5">
        <w:rPr>
          <w:rFonts w:ascii="Verdana" w:hAnsi="Verdana"/>
          <w:sz w:val="20"/>
          <w:szCs w:val="20"/>
        </w:rPr>
        <w:t xml:space="preserve">el </w:t>
      </w:r>
      <w:r w:rsidR="00CF5FC3">
        <w:rPr>
          <w:rFonts w:ascii="Verdana" w:hAnsi="Verdana"/>
          <w:sz w:val="20"/>
          <w:szCs w:val="20"/>
        </w:rPr>
        <w:t xml:space="preserve">daño a la </w:t>
      </w:r>
      <w:r w:rsidR="00CF5FC3" w:rsidRPr="00651413">
        <w:rPr>
          <w:rFonts w:ascii="Verdana" w:hAnsi="Verdana"/>
          <w:sz w:val="20"/>
          <w:szCs w:val="20"/>
        </w:rPr>
        <w:t>vida en relación</w:t>
      </w:r>
      <w:r w:rsidR="00CF5FC3">
        <w:rPr>
          <w:rFonts w:ascii="Verdana" w:hAnsi="Verdana"/>
          <w:sz w:val="20"/>
          <w:szCs w:val="20"/>
        </w:rPr>
        <w:t xml:space="preserve"> </w:t>
      </w:r>
      <w:r w:rsidRPr="00A659C5">
        <w:rPr>
          <w:rFonts w:ascii="Verdana" w:hAnsi="Verdana"/>
          <w:sz w:val="20"/>
          <w:szCs w:val="20"/>
        </w:rPr>
        <w:t>que</w:t>
      </w:r>
      <w:r w:rsidRPr="00D615AA">
        <w:rPr>
          <w:rFonts w:ascii="Verdana" w:hAnsi="Verdana"/>
          <w:sz w:val="20"/>
          <w:szCs w:val="20"/>
        </w:rPr>
        <w:t xml:space="preserve"> </w:t>
      </w:r>
      <w:r w:rsidRPr="002523AA">
        <w:rPr>
          <w:rFonts w:ascii="Verdana" w:hAnsi="Verdana"/>
          <w:sz w:val="20"/>
          <w:szCs w:val="20"/>
        </w:rPr>
        <w:t>menciona</w:t>
      </w:r>
      <w:r>
        <w:rPr>
          <w:rFonts w:ascii="Verdana" w:hAnsi="Verdana"/>
          <w:sz w:val="20"/>
          <w:szCs w:val="20"/>
        </w:rPr>
        <w:t>ron</w:t>
      </w:r>
      <w:r w:rsidRPr="002523AA">
        <w:rPr>
          <w:rFonts w:ascii="Verdana" w:hAnsi="Verdana"/>
          <w:sz w:val="20"/>
          <w:szCs w:val="20"/>
        </w:rPr>
        <w:t xml:space="preserve"> los representantes en sus alegatos finales escritos.</w:t>
      </w:r>
    </w:p>
    <w:p w14:paraId="6D172D94"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95" w14:textId="3825220E"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 xml:space="preserve">Los </w:t>
      </w:r>
      <w:r w:rsidRPr="0046612A">
        <w:rPr>
          <w:rFonts w:ascii="Verdana" w:hAnsi="Verdana"/>
          <w:b/>
          <w:i/>
          <w:sz w:val="20"/>
          <w:szCs w:val="20"/>
          <w:lang w:val="es-CR"/>
        </w:rPr>
        <w:t>representantes</w:t>
      </w:r>
      <w:r w:rsidRPr="0046612A">
        <w:rPr>
          <w:rFonts w:ascii="Verdana" w:hAnsi="Verdana"/>
          <w:sz w:val="20"/>
          <w:szCs w:val="20"/>
          <w:lang w:val="es-CR"/>
        </w:rPr>
        <w:t xml:space="preserve"> alegaron que, con motivo de las arbitrariedades que cometieron los operadores de justicia, ocurrieron graves amenazas para él y su familia. Asimismo, fue víctima de agresiones físicas y psicológicas mientras estuvo privado de la libertad, y sufrió el efecto estigmatizador de la condena. Con motivo de lo anterior, los representantes </w:t>
      </w:r>
      <w:r w:rsidRPr="0046612A">
        <w:rPr>
          <w:rFonts w:ascii="Verdana" w:hAnsi="Verdana"/>
          <w:sz w:val="20"/>
          <w:szCs w:val="20"/>
          <w:lang w:val="es-CR"/>
        </w:rPr>
        <w:lastRenderedPageBreak/>
        <w:t>solicitaron como indemnización el monto de 30</w:t>
      </w:r>
      <w:r w:rsidR="00CF5FC3">
        <w:rPr>
          <w:rFonts w:ascii="Verdana" w:hAnsi="Verdana"/>
          <w:sz w:val="20"/>
          <w:szCs w:val="20"/>
          <w:lang w:val="es-CR"/>
        </w:rPr>
        <w:t>,</w:t>
      </w:r>
      <w:r w:rsidRPr="0046612A">
        <w:rPr>
          <w:rFonts w:ascii="Verdana" w:hAnsi="Verdana"/>
          <w:sz w:val="20"/>
          <w:szCs w:val="20"/>
          <w:lang w:val="es-CR"/>
        </w:rPr>
        <w:t xml:space="preserve">000 dólares para el señor Zegarra Marín. </w:t>
      </w:r>
    </w:p>
    <w:p w14:paraId="6D172D96" w14:textId="77777777" w:rsidR="00FB723A" w:rsidRPr="00CE169C" w:rsidRDefault="00FB723A" w:rsidP="001634BF">
      <w:pPr>
        <w:pStyle w:val="ListParagraph"/>
        <w:ind w:left="0"/>
        <w:rPr>
          <w:rFonts w:ascii="Verdana" w:hAnsi="Verdana"/>
          <w:b/>
          <w:sz w:val="20"/>
          <w:szCs w:val="20"/>
          <w:lang w:val="es-CR"/>
        </w:rPr>
      </w:pPr>
    </w:p>
    <w:p w14:paraId="6D172D97" w14:textId="5B8206D4" w:rsidR="00FB723A" w:rsidRPr="002579A7"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rPr>
      </w:pPr>
      <w:r w:rsidRPr="00C37394">
        <w:rPr>
          <w:rFonts w:ascii="Verdana" w:hAnsi="Verdana"/>
          <w:sz w:val="20"/>
          <w:szCs w:val="20"/>
          <w:lang w:val="es-CR"/>
        </w:rPr>
        <w:t>En</w:t>
      </w:r>
      <w:r w:rsidRPr="00D615AA">
        <w:rPr>
          <w:rFonts w:ascii="Verdana" w:hAnsi="Verdana" w:cs="Verdana"/>
          <w:sz w:val="20"/>
          <w:szCs w:val="20"/>
        </w:rPr>
        <w:t xml:space="preserve"> cuanto a la valoración del daño inmaterial, los </w:t>
      </w:r>
      <w:r w:rsidRPr="000A0953">
        <w:rPr>
          <w:rFonts w:ascii="Verdana" w:hAnsi="Verdana" w:cs="Verdana"/>
          <w:sz w:val="20"/>
          <w:szCs w:val="20"/>
        </w:rPr>
        <w:t>representantes</w:t>
      </w:r>
      <w:r w:rsidRPr="00FC72C5">
        <w:rPr>
          <w:rFonts w:ascii="Verdana" w:hAnsi="Verdana" w:cs="Verdana"/>
          <w:sz w:val="20"/>
          <w:szCs w:val="20"/>
        </w:rPr>
        <w:t xml:space="preserve"> </w:t>
      </w:r>
      <w:r w:rsidRPr="00D615AA">
        <w:rPr>
          <w:rFonts w:ascii="Verdana" w:hAnsi="Verdana"/>
          <w:sz w:val="20"/>
          <w:szCs w:val="20"/>
        </w:rPr>
        <w:t xml:space="preserve">solicitaron </w:t>
      </w:r>
      <w:r w:rsidRPr="00D615AA">
        <w:rPr>
          <w:rFonts w:ascii="Verdana" w:hAnsi="Verdana" w:cs="Verdana"/>
          <w:sz w:val="20"/>
          <w:szCs w:val="20"/>
        </w:rPr>
        <w:t xml:space="preserve">en su </w:t>
      </w:r>
      <w:r w:rsidRPr="00D615AA">
        <w:rPr>
          <w:rFonts w:ascii="Verdana" w:hAnsi="Verdana"/>
          <w:sz w:val="20"/>
          <w:szCs w:val="20"/>
        </w:rPr>
        <w:t>escrito de solicitudes y argumentos</w:t>
      </w:r>
      <w:r w:rsidRPr="00D615AA">
        <w:rPr>
          <w:rFonts w:ascii="Verdana" w:hAnsi="Verdana" w:cs="Verdana"/>
          <w:sz w:val="20"/>
          <w:szCs w:val="20"/>
        </w:rPr>
        <w:t xml:space="preserve"> </w:t>
      </w:r>
      <w:r w:rsidRPr="00D615AA">
        <w:rPr>
          <w:rFonts w:ascii="Verdana" w:hAnsi="Verdana"/>
          <w:sz w:val="20"/>
          <w:szCs w:val="20"/>
        </w:rPr>
        <w:t xml:space="preserve">una indemnización compensatoria de US$ 30,000 dólares por concepto de </w:t>
      </w:r>
      <w:r w:rsidRPr="00D615AA">
        <w:rPr>
          <w:rFonts w:ascii="Verdana" w:eastAsia="Times New Roman" w:hAnsi="Verdana"/>
          <w:sz w:val="20"/>
          <w:szCs w:val="20"/>
        </w:rPr>
        <w:t>“</w:t>
      </w:r>
      <w:r w:rsidRPr="00D615AA">
        <w:rPr>
          <w:rFonts w:ascii="Verdana" w:hAnsi="Verdana"/>
          <w:sz w:val="20"/>
          <w:szCs w:val="20"/>
        </w:rPr>
        <w:t>daño a la vida en relación” de forma autónoma</w:t>
      </w:r>
      <w:r w:rsidRPr="002579A7">
        <w:rPr>
          <w:rFonts w:ascii="Verdana" w:hAnsi="Verdana"/>
          <w:sz w:val="20"/>
          <w:szCs w:val="20"/>
        </w:rPr>
        <w:t xml:space="preserve">. En sus alegatos finales escritos, los representantes solo hicieron referencia al daño al “proyecto de vida” en el marco de daño material, solicitando una indemnización compensatoria de </w:t>
      </w:r>
      <w:r w:rsidRPr="002579A7">
        <w:rPr>
          <w:rFonts w:ascii="Verdana" w:hAnsi="Verdana"/>
          <w:sz w:val="20"/>
          <w:szCs w:val="20"/>
          <w:lang w:val="es-CR"/>
        </w:rPr>
        <w:t>US$ 400,106.74 dólares</w:t>
      </w:r>
      <w:r w:rsidRPr="002579A7">
        <w:rPr>
          <w:rFonts w:ascii="Verdana" w:hAnsi="Verdana"/>
          <w:sz w:val="20"/>
          <w:szCs w:val="20"/>
        </w:rPr>
        <w:t xml:space="preserve">. Los representantes especificaron que el concepto de lucro cesante debe comprenderse en el </w:t>
      </w:r>
      <w:r w:rsidRPr="002579A7">
        <w:rPr>
          <w:rFonts w:ascii="Verdana" w:hAnsi="Verdana"/>
          <w:i/>
          <w:sz w:val="20"/>
          <w:szCs w:val="20"/>
        </w:rPr>
        <w:t xml:space="preserve">cas d’espèce </w:t>
      </w:r>
      <w:r w:rsidRPr="00DF1458">
        <w:rPr>
          <w:rFonts w:ascii="Verdana" w:hAnsi="Verdana"/>
          <w:sz w:val="20"/>
          <w:szCs w:val="20"/>
        </w:rPr>
        <w:t xml:space="preserve">no solo como </w:t>
      </w:r>
      <w:r w:rsidRPr="00DF1458">
        <w:rPr>
          <w:rFonts w:ascii="Verdana" w:eastAsia="Times New Roman" w:hAnsi="Verdana"/>
          <w:sz w:val="20"/>
          <w:szCs w:val="20"/>
        </w:rPr>
        <w:t>“</w:t>
      </w:r>
      <w:r w:rsidRPr="00DF1458">
        <w:rPr>
          <w:rFonts w:ascii="Verdana" w:hAnsi="Verdana"/>
          <w:sz w:val="20"/>
          <w:szCs w:val="20"/>
        </w:rPr>
        <w:t>el impedimento de percibir una remuneración, sino que debe dimensionar</w:t>
      </w:r>
      <w:r w:rsidR="00CF5FC3" w:rsidRPr="00DF1458">
        <w:rPr>
          <w:rFonts w:ascii="Verdana" w:hAnsi="Verdana"/>
          <w:sz w:val="20"/>
          <w:szCs w:val="20"/>
        </w:rPr>
        <w:t>se</w:t>
      </w:r>
      <w:r w:rsidRPr="00DF1458">
        <w:rPr>
          <w:rFonts w:ascii="Verdana" w:hAnsi="Verdana"/>
          <w:sz w:val="20"/>
          <w:szCs w:val="20"/>
        </w:rPr>
        <w:t xml:space="preserve"> considerando el quiebre del proyecto de vida” que el señor Zegarra Marín estaba forjando a través de su carrera como policía</w:t>
      </w:r>
      <w:r w:rsidRPr="002579A7">
        <w:rPr>
          <w:rFonts w:ascii="Verdana" w:hAnsi="Verdana"/>
          <w:sz w:val="20"/>
          <w:szCs w:val="20"/>
        </w:rPr>
        <w:t xml:space="preserve">. </w:t>
      </w:r>
    </w:p>
    <w:p w14:paraId="6D172D98" w14:textId="77777777" w:rsidR="00FB723A" w:rsidRPr="0046612A" w:rsidRDefault="00FB723A" w:rsidP="001634BF">
      <w:pPr>
        <w:pStyle w:val="ListParagraph"/>
        <w:ind w:left="0"/>
        <w:rPr>
          <w:rFonts w:ascii="Verdana" w:hAnsi="Verdana"/>
          <w:sz w:val="20"/>
          <w:szCs w:val="20"/>
          <w:lang w:val="es-CR"/>
        </w:rPr>
      </w:pPr>
    </w:p>
    <w:p w14:paraId="532C6AB0" w14:textId="25B4C9D8" w:rsidR="00FC72C5" w:rsidRDefault="00FB723A" w:rsidP="000A0953">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FC72C5">
        <w:rPr>
          <w:rFonts w:ascii="Verdana" w:hAnsi="Verdana"/>
          <w:sz w:val="20"/>
          <w:szCs w:val="20"/>
          <w:lang w:val="es-CR"/>
        </w:rPr>
        <w:t xml:space="preserve">El </w:t>
      </w:r>
      <w:r w:rsidRPr="00FC72C5">
        <w:rPr>
          <w:rFonts w:ascii="Verdana" w:hAnsi="Verdana"/>
          <w:b/>
          <w:i/>
          <w:sz w:val="20"/>
          <w:szCs w:val="20"/>
          <w:lang w:val="es-CR"/>
        </w:rPr>
        <w:t>Estado</w:t>
      </w:r>
      <w:r w:rsidRPr="00FC72C5">
        <w:rPr>
          <w:rFonts w:ascii="Verdana" w:hAnsi="Verdana"/>
          <w:sz w:val="20"/>
          <w:szCs w:val="20"/>
          <w:lang w:val="es-CR"/>
        </w:rPr>
        <w:t xml:space="preserve"> alegó que la condena fue legítima por lo que no se debe indemnizar ningún daño. Añadió que la supuesta estigmatización </w:t>
      </w:r>
      <w:r w:rsidRPr="00FC72C5">
        <w:rPr>
          <w:rFonts w:ascii="Verdana" w:hAnsi="Verdana"/>
          <w:sz w:val="20"/>
          <w:szCs w:val="20"/>
          <w:lang w:val="es-ES"/>
        </w:rPr>
        <w:t>del señor Zegarra Marín</w:t>
      </w:r>
      <w:r w:rsidRPr="00FC72C5" w:rsidDel="007F58AB">
        <w:rPr>
          <w:rFonts w:ascii="Verdana" w:hAnsi="Verdana"/>
          <w:sz w:val="20"/>
          <w:szCs w:val="20"/>
          <w:lang w:val="es-CR"/>
        </w:rPr>
        <w:t xml:space="preserve"> </w:t>
      </w:r>
      <w:r w:rsidRPr="00FC72C5">
        <w:rPr>
          <w:rFonts w:ascii="Verdana" w:hAnsi="Verdana"/>
          <w:sz w:val="20"/>
          <w:szCs w:val="20"/>
          <w:lang w:val="es-CR"/>
        </w:rPr>
        <w:t>no se ajusta a la realidad, pues la presunta víctima log</w:t>
      </w:r>
      <w:r w:rsidRPr="00060480">
        <w:rPr>
          <w:rFonts w:ascii="Verdana" w:hAnsi="Verdana"/>
          <w:sz w:val="20"/>
          <w:szCs w:val="20"/>
          <w:lang w:val="es-CR"/>
        </w:rPr>
        <w:t>ró continuar con una vida normal, llegando incluso a ejercer su propia defensa como abogado</w:t>
      </w:r>
      <w:r w:rsidR="00FC72C5" w:rsidRPr="00060480">
        <w:rPr>
          <w:rFonts w:ascii="Verdana" w:hAnsi="Verdana"/>
          <w:sz w:val="20"/>
          <w:szCs w:val="20"/>
          <w:lang w:val="es-CR"/>
        </w:rPr>
        <w:t>.</w:t>
      </w:r>
      <w:r w:rsidRPr="00262B2A">
        <w:rPr>
          <w:rFonts w:ascii="Verdana" w:hAnsi="Verdana"/>
          <w:b/>
          <w:sz w:val="20"/>
          <w:szCs w:val="20"/>
          <w:lang w:val="es-CR"/>
        </w:rPr>
        <w:t xml:space="preserve"> </w:t>
      </w:r>
      <w:r w:rsidRPr="00F16FD2">
        <w:rPr>
          <w:rFonts w:ascii="Verdana" w:hAnsi="Verdana"/>
          <w:sz w:val="20"/>
          <w:szCs w:val="20"/>
          <w:lang w:val="es-CR"/>
        </w:rPr>
        <w:t xml:space="preserve">Adicionalmente, señaló que fueron los medios de comunicación y el círculo social de la familia quienes causaron el sufrimiento, no el Estado. </w:t>
      </w:r>
      <w:r w:rsidRPr="00EA3E67">
        <w:rPr>
          <w:rFonts w:ascii="Verdana" w:hAnsi="Verdana"/>
          <w:sz w:val="20"/>
          <w:szCs w:val="20"/>
          <w:lang w:val="es-CR"/>
        </w:rPr>
        <w:t xml:space="preserve">El Estado </w:t>
      </w:r>
      <w:r w:rsidR="00CF5FC3" w:rsidRPr="00FC72C5">
        <w:rPr>
          <w:rFonts w:ascii="Verdana" w:hAnsi="Verdana"/>
          <w:sz w:val="20"/>
          <w:szCs w:val="20"/>
          <w:lang w:val="es-CR"/>
        </w:rPr>
        <w:t>alegó</w:t>
      </w:r>
      <w:r w:rsidRPr="00FC72C5">
        <w:rPr>
          <w:rFonts w:ascii="Verdana" w:hAnsi="Verdana"/>
          <w:sz w:val="20"/>
          <w:szCs w:val="20"/>
          <w:lang w:val="es-CR"/>
        </w:rPr>
        <w:t xml:space="preserve"> que el derecho a la libertad personal no fue parte del Informe de Fondo de la Comisión. Respecto a las graves amenazas, señal</w:t>
      </w:r>
      <w:r w:rsidR="00CF5FC3" w:rsidRPr="00FC72C5">
        <w:rPr>
          <w:rFonts w:ascii="Verdana" w:hAnsi="Verdana"/>
          <w:sz w:val="20"/>
          <w:szCs w:val="20"/>
          <w:lang w:val="es-CR"/>
        </w:rPr>
        <w:t>ó</w:t>
      </w:r>
      <w:r w:rsidRPr="00FC72C5">
        <w:rPr>
          <w:rFonts w:ascii="Verdana" w:hAnsi="Verdana"/>
          <w:sz w:val="20"/>
          <w:szCs w:val="20"/>
          <w:lang w:val="es-CR"/>
        </w:rPr>
        <w:t xml:space="preserve"> que dichas afirmaciones no fueron recogidas en el Informe de Fondo de la Comisión, por lo tanto deben ser desestimadas, ya que exceden el marco fáctico del caso y fueron expuestas de forma extemporánea. Indicó que muchos de los hechos señalados como fundamento del daño inmaterial no poseen un respaldo probatorio adecuado, y que no se puede asemejar este caso a otros en que la Corte sostuvo que el daño moral no requiere prueba debido a que la gravedad de las violaciones no es comparable. </w:t>
      </w:r>
    </w:p>
    <w:p w14:paraId="6D172D9A" w14:textId="77777777" w:rsidR="00FB723A" w:rsidRPr="00FC72C5" w:rsidRDefault="00FB723A" w:rsidP="000A0953">
      <w:pPr>
        <w:pStyle w:val="ListParagraph"/>
        <w:widowControl w:val="0"/>
        <w:tabs>
          <w:tab w:val="center" w:pos="567"/>
        </w:tabs>
        <w:autoSpaceDE w:val="0"/>
        <w:autoSpaceDN w:val="0"/>
        <w:adjustRightInd w:val="0"/>
        <w:ind w:left="0" w:right="-90"/>
        <w:jc w:val="both"/>
        <w:rPr>
          <w:rFonts w:ascii="Verdana" w:hAnsi="Verdana"/>
          <w:sz w:val="20"/>
          <w:szCs w:val="20"/>
        </w:rPr>
      </w:pPr>
    </w:p>
    <w:p w14:paraId="6D172D9B"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cs="Verdana"/>
          <w:sz w:val="20"/>
          <w:szCs w:val="20"/>
          <w:lang w:val="es-CR" w:bidi="en-US"/>
        </w:rPr>
        <w:t xml:space="preserve">El Tribunal ha expuesto en su jurisprudencia el concepto de daño inmaterial y </w:t>
      </w:r>
      <w:r w:rsidRPr="0046612A">
        <w:rPr>
          <w:rFonts w:ascii="Verdana" w:hAnsi="Verdana"/>
          <w:sz w:val="20"/>
          <w:szCs w:val="20"/>
          <w:lang w:val="es-CR"/>
        </w:rPr>
        <w:t>ha establecido que este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F16BE7">
        <w:rPr>
          <w:rStyle w:val="FootnoteReference"/>
          <w:szCs w:val="20"/>
          <w:lang w:val="es-CR"/>
        </w:rPr>
        <w:footnoteReference w:id="186"/>
      </w:r>
      <w:r w:rsidRPr="0046612A">
        <w:rPr>
          <w:rFonts w:ascii="Verdana" w:hAnsi="Verdana" w:cs="Verdana"/>
          <w:sz w:val="20"/>
          <w:szCs w:val="20"/>
          <w:lang w:val="es-CR" w:bidi="en-US"/>
        </w:rPr>
        <w:t>.</w:t>
      </w:r>
      <w:r w:rsidRPr="0046612A">
        <w:rPr>
          <w:rFonts w:ascii="Verdana" w:hAnsi="Verdana"/>
          <w:sz w:val="20"/>
          <w:szCs w:val="20"/>
          <w:highlight w:val="white"/>
          <w:lang w:val="es-CR"/>
        </w:rPr>
        <w:t xml:space="preserve"> </w:t>
      </w:r>
      <w:r w:rsidRPr="0046612A">
        <w:rPr>
          <w:rFonts w:ascii="Verdana" w:hAnsi="Verdana" w:cs="Tahoma"/>
          <w:color w:val="000000"/>
          <w:sz w:val="20"/>
          <w:szCs w:val="20"/>
          <w:lang w:val="es-CR"/>
        </w:rPr>
        <w:t>Dicho daño debe ser probado para casos como el presente.</w:t>
      </w:r>
    </w:p>
    <w:p w14:paraId="6D172D9C" w14:textId="77777777" w:rsidR="00FB723A" w:rsidRPr="002523AA" w:rsidRDefault="00FB723A" w:rsidP="001634BF">
      <w:pPr>
        <w:autoSpaceDE w:val="0"/>
        <w:autoSpaceDN w:val="0"/>
        <w:adjustRightInd w:val="0"/>
        <w:contextualSpacing/>
        <w:jc w:val="both"/>
        <w:rPr>
          <w:rFonts w:ascii="Verdana" w:hAnsi="Verdana"/>
          <w:sz w:val="20"/>
          <w:szCs w:val="20"/>
        </w:rPr>
      </w:pPr>
    </w:p>
    <w:p w14:paraId="6D172D9D" w14:textId="62C5CE7F" w:rsidR="00FB723A" w:rsidRPr="000E12C6" w:rsidRDefault="00FB723A" w:rsidP="006231F4">
      <w:pPr>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CE169C">
        <w:rPr>
          <w:rFonts w:ascii="Verdana" w:hAnsi="Verdana"/>
          <w:sz w:val="20"/>
          <w:szCs w:val="20"/>
          <w:lang w:val="es-CR"/>
        </w:rPr>
        <w:t xml:space="preserve">Tomando en cuenta el </w:t>
      </w:r>
      <w:r w:rsidRPr="0058104A">
        <w:rPr>
          <w:rFonts w:ascii="Verdana" w:hAnsi="Verdana"/>
          <w:sz w:val="20"/>
          <w:szCs w:val="20"/>
          <w:lang w:val="es-CR"/>
        </w:rPr>
        <w:t xml:space="preserve">contenido del alegato del daño al proyecto de vida, la Corte </w:t>
      </w:r>
      <w:r w:rsidRPr="00B446C7">
        <w:rPr>
          <w:rFonts w:ascii="Verdana" w:hAnsi="Verdana"/>
          <w:sz w:val="20"/>
          <w:szCs w:val="20"/>
          <w:lang w:val="es-CR"/>
        </w:rPr>
        <w:t>nota</w:t>
      </w:r>
      <w:r w:rsidRPr="0058104A">
        <w:rPr>
          <w:rFonts w:ascii="Verdana" w:hAnsi="Verdana"/>
          <w:sz w:val="20"/>
          <w:szCs w:val="20"/>
          <w:lang w:val="es-CR"/>
        </w:rPr>
        <w:t xml:space="preserve"> que, por un lado, los representantes solicitaron un</w:t>
      </w:r>
      <w:r>
        <w:rPr>
          <w:rFonts w:ascii="Verdana" w:hAnsi="Verdana"/>
          <w:sz w:val="20"/>
          <w:szCs w:val="20"/>
          <w:lang w:val="es-CR"/>
        </w:rPr>
        <w:t>a</w:t>
      </w:r>
      <w:r w:rsidRPr="0058104A">
        <w:rPr>
          <w:rFonts w:ascii="Verdana" w:hAnsi="Verdana"/>
          <w:sz w:val="20"/>
          <w:szCs w:val="20"/>
          <w:lang w:val="es-CR"/>
        </w:rPr>
        <w:t xml:space="preserve"> indemnización de forma autónoma </w:t>
      </w:r>
      <w:r w:rsidR="00FC72C5">
        <w:rPr>
          <w:rFonts w:ascii="Verdana" w:hAnsi="Verdana"/>
          <w:sz w:val="20"/>
          <w:szCs w:val="20"/>
          <w:lang w:val="es-CR"/>
        </w:rPr>
        <w:t xml:space="preserve">a este </w:t>
      </w:r>
      <w:r w:rsidRPr="0058104A">
        <w:rPr>
          <w:rFonts w:ascii="Verdana" w:hAnsi="Verdana"/>
          <w:sz w:val="20"/>
          <w:szCs w:val="20"/>
          <w:lang w:val="es-CR"/>
        </w:rPr>
        <w:t xml:space="preserve">daño en el marco del daño inmaterial, y que, por otro lado, sostuvieron que este daño debía ser indemnizado en el marco del daño material en relación con el concepto de lucro cesante. </w:t>
      </w:r>
    </w:p>
    <w:p w14:paraId="6D172D9E" w14:textId="77777777" w:rsidR="00FB723A" w:rsidRDefault="00FB723A" w:rsidP="001634BF">
      <w:pPr>
        <w:pStyle w:val="Default"/>
        <w:contextualSpacing/>
        <w:jc w:val="both"/>
        <w:rPr>
          <w:rFonts w:ascii="Verdana" w:hAnsi="Verdana"/>
          <w:sz w:val="20"/>
          <w:szCs w:val="20"/>
          <w:highlight w:val="yellow"/>
          <w:lang w:val="es-CR"/>
        </w:rPr>
      </w:pPr>
    </w:p>
    <w:p w14:paraId="6D172D9F" w14:textId="0D21683C" w:rsidR="00FB723A" w:rsidRDefault="00FB723A" w:rsidP="006231F4">
      <w:pPr>
        <w:widowControl w:val="0"/>
        <w:numPr>
          <w:ilvl w:val="0"/>
          <w:numId w:val="2"/>
        </w:numPr>
        <w:tabs>
          <w:tab w:val="center" w:pos="567"/>
        </w:tabs>
        <w:autoSpaceDE w:val="0"/>
        <w:autoSpaceDN w:val="0"/>
        <w:adjustRightInd w:val="0"/>
        <w:ind w:left="0" w:right="-90" w:firstLine="0"/>
        <w:jc w:val="both"/>
        <w:rPr>
          <w:rFonts w:ascii="Verdana" w:hAnsi="Verdana"/>
          <w:sz w:val="20"/>
          <w:szCs w:val="20"/>
        </w:rPr>
      </w:pPr>
      <w:r w:rsidRPr="00277890">
        <w:rPr>
          <w:rFonts w:ascii="Verdana" w:hAnsi="Verdana"/>
          <w:sz w:val="20"/>
          <w:szCs w:val="20"/>
          <w:lang w:val="es-CR"/>
        </w:rPr>
        <w:t xml:space="preserve">En el presente caso, </w:t>
      </w:r>
      <w:r w:rsidR="00FC72C5">
        <w:rPr>
          <w:rFonts w:ascii="Verdana" w:hAnsi="Verdana"/>
          <w:sz w:val="20"/>
          <w:szCs w:val="20"/>
          <w:lang w:val="es-CR"/>
        </w:rPr>
        <w:t xml:space="preserve">el alegado </w:t>
      </w:r>
      <w:r w:rsidR="00DD127F">
        <w:rPr>
          <w:rFonts w:ascii="Verdana" w:hAnsi="Verdana"/>
          <w:sz w:val="20"/>
          <w:szCs w:val="20"/>
        </w:rPr>
        <w:t xml:space="preserve">daño al proyecto de vida </w:t>
      </w:r>
      <w:r w:rsidRPr="00277890">
        <w:rPr>
          <w:rFonts w:ascii="Verdana" w:hAnsi="Verdana"/>
          <w:sz w:val="20"/>
          <w:szCs w:val="20"/>
        </w:rPr>
        <w:t xml:space="preserve">fue resaltado por medio del testimonio de la víctima prestado en audiencia, quien </w:t>
      </w:r>
      <w:r w:rsidRPr="00277890">
        <w:rPr>
          <w:rFonts w:ascii="Verdana" w:hAnsi="Verdana" w:cs="Verdana"/>
          <w:sz w:val="20"/>
          <w:szCs w:val="20"/>
        </w:rPr>
        <w:t xml:space="preserve">manifestó que </w:t>
      </w:r>
      <w:r w:rsidRPr="00277890">
        <w:rPr>
          <w:rFonts w:ascii="Verdana" w:eastAsia="Times New Roman" w:hAnsi="Verdana"/>
          <w:sz w:val="20"/>
          <w:szCs w:val="20"/>
        </w:rPr>
        <w:t>“</w:t>
      </w:r>
      <w:r w:rsidRPr="00277890">
        <w:rPr>
          <w:rFonts w:ascii="Verdana" w:hAnsi="Verdana"/>
          <w:sz w:val="20"/>
          <w:szCs w:val="20"/>
        </w:rPr>
        <w:t>a través de la sentencia cambio totalmente [su] vida, sobre todo [su] proyecto de vida en el aspecto profesional de policía”,</w:t>
      </w:r>
      <w:r w:rsidRPr="00277890">
        <w:rPr>
          <w:rFonts w:ascii="Verdana" w:hAnsi="Verdana" w:cs="Verdana"/>
          <w:sz w:val="20"/>
          <w:szCs w:val="20"/>
        </w:rPr>
        <w:t xml:space="preserve"> y agregó que ese evento </w:t>
      </w:r>
      <w:r w:rsidRPr="00277890">
        <w:rPr>
          <w:rFonts w:ascii="Verdana" w:eastAsia="Times New Roman" w:hAnsi="Verdana"/>
          <w:sz w:val="20"/>
          <w:szCs w:val="20"/>
        </w:rPr>
        <w:t>“</w:t>
      </w:r>
      <w:r w:rsidRPr="00277890">
        <w:rPr>
          <w:rFonts w:ascii="Verdana" w:hAnsi="Verdana"/>
          <w:sz w:val="20"/>
          <w:szCs w:val="20"/>
        </w:rPr>
        <w:t>destruyó realmente [su] vida</w:t>
      </w:r>
      <w:r w:rsidR="00FC72C5">
        <w:rPr>
          <w:rFonts w:ascii="Verdana" w:hAnsi="Verdana"/>
          <w:sz w:val="20"/>
          <w:szCs w:val="20"/>
        </w:rPr>
        <w:t xml:space="preserve"> [y] </w:t>
      </w:r>
      <w:r w:rsidRPr="00277890">
        <w:rPr>
          <w:rFonts w:ascii="Verdana" w:hAnsi="Verdana"/>
          <w:sz w:val="20"/>
          <w:szCs w:val="20"/>
        </w:rPr>
        <w:t>la vida de [su] familia”</w:t>
      </w:r>
      <w:r w:rsidRPr="008A301C">
        <w:rPr>
          <w:rStyle w:val="FootnoteReference"/>
          <w:szCs w:val="20"/>
        </w:rPr>
        <w:footnoteReference w:id="187"/>
      </w:r>
      <w:r w:rsidRPr="00277890">
        <w:rPr>
          <w:rFonts w:ascii="Verdana" w:hAnsi="Verdana"/>
          <w:sz w:val="20"/>
          <w:szCs w:val="20"/>
        </w:rPr>
        <w:t xml:space="preserve">. </w:t>
      </w:r>
    </w:p>
    <w:p w14:paraId="6D172DA0" w14:textId="77777777" w:rsidR="00FB723A" w:rsidRPr="00CE169C" w:rsidRDefault="00FB723A" w:rsidP="001634BF">
      <w:pPr>
        <w:ind w:right="738"/>
        <w:contextualSpacing/>
        <w:jc w:val="both"/>
        <w:rPr>
          <w:rFonts w:ascii="Verdana" w:hAnsi="Verdana"/>
          <w:sz w:val="20"/>
          <w:szCs w:val="20"/>
          <w:lang w:val="es-CR"/>
        </w:rPr>
      </w:pPr>
    </w:p>
    <w:p w14:paraId="6D172DA1" w14:textId="55A884D0" w:rsidR="00FB723A" w:rsidRPr="00CE169C" w:rsidRDefault="00FB723A" w:rsidP="006231F4">
      <w:pPr>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CE169C">
        <w:rPr>
          <w:rFonts w:ascii="Verdana" w:hAnsi="Verdana"/>
          <w:sz w:val="20"/>
          <w:szCs w:val="20"/>
          <w:lang w:val="es-CR"/>
        </w:rPr>
        <w:lastRenderedPageBreak/>
        <w:t>Al respecto, la Corte recuerda su jurisprudencia constante que ha especificado que el daño al proyecto de vida corresponde a una noción distinta del lucro cesante y del daño emergente</w:t>
      </w:r>
      <w:r w:rsidRPr="002523AA">
        <w:rPr>
          <w:rStyle w:val="FootnoteReference"/>
          <w:szCs w:val="20"/>
        </w:rPr>
        <w:footnoteReference w:id="188"/>
      </w:r>
      <w:r w:rsidRPr="00CE169C">
        <w:rPr>
          <w:rFonts w:ascii="Verdana" w:hAnsi="Verdana"/>
          <w:sz w:val="20"/>
          <w:szCs w:val="20"/>
          <w:lang w:val="es-CR"/>
        </w:rPr>
        <w:t xml:space="preserve">. </w:t>
      </w:r>
      <w:r>
        <w:rPr>
          <w:rFonts w:ascii="Verdana" w:hAnsi="Verdana"/>
          <w:sz w:val="20"/>
          <w:szCs w:val="20"/>
          <w:lang w:val="es-CR"/>
        </w:rPr>
        <w:t xml:space="preserve">El </w:t>
      </w:r>
      <w:r w:rsidRPr="000E12C6">
        <w:rPr>
          <w:rFonts w:ascii="Verdana" w:hAnsi="Verdana"/>
          <w:sz w:val="20"/>
          <w:szCs w:val="20"/>
          <w:lang w:val="es-CR"/>
        </w:rPr>
        <w:t>daño al proyecto de vida, atiende a la realización integral de la persona afectada, considerando su vocación, aptitudes, circunstancias, potencialidades y aspiraciones, que le permiten fijarse razonablemente determinadas expectativas y acceder a ellas</w:t>
      </w:r>
      <w:r w:rsidRPr="002523AA">
        <w:rPr>
          <w:rStyle w:val="FootnoteReference"/>
          <w:szCs w:val="20"/>
        </w:rPr>
        <w:footnoteReference w:id="189"/>
      </w:r>
      <w:r w:rsidRPr="000E12C6">
        <w:rPr>
          <w:rFonts w:ascii="Verdana" w:hAnsi="Verdana"/>
          <w:sz w:val="20"/>
          <w:szCs w:val="20"/>
          <w:lang w:val="es-CR"/>
        </w:rPr>
        <w:t xml:space="preserve">.  </w:t>
      </w:r>
      <w:r w:rsidRPr="00CE169C">
        <w:rPr>
          <w:rFonts w:ascii="Verdana" w:hAnsi="Verdana"/>
          <w:sz w:val="20"/>
          <w:szCs w:val="20"/>
          <w:lang w:val="es-CR"/>
        </w:rPr>
        <w:t>Por tanto, el proyecto de vida se expresa en las expectativas de desarrollo personal, profesional y familiar, posibles en condiciones normales</w:t>
      </w:r>
      <w:r w:rsidRPr="002523AA">
        <w:rPr>
          <w:rStyle w:val="FootnoteReference"/>
          <w:szCs w:val="20"/>
        </w:rPr>
        <w:footnoteReference w:id="190"/>
      </w:r>
      <w:r w:rsidRPr="00CE169C">
        <w:rPr>
          <w:rFonts w:ascii="Verdana" w:hAnsi="Verdana"/>
          <w:sz w:val="20"/>
          <w:szCs w:val="20"/>
          <w:lang w:val="es-CR"/>
        </w:rPr>
        <w:t>. Esta Corte ha señalado que el “daño al proyecto de vida” implica la pérdida o el grave menoscabo de oportunidades de desarrollo personal, en forma irreparable o muy difícilmente reparable</w:t>
      </w:r>
      <w:r w:rsidRPr="002523AA">
        <w:rPr>
          <w:rStyle w:val="FootnoteReference"/>
          <w:szCs w:val="20"/>
        </w:rPr>
        <w:footnoteReference w:id="191"/>
      </w:r>
      <w:r w:rsidRPr="00CE169C">
        <w:rPr>
          <w:rFonts w:ascii="Verdana" w:hAnsi="Verdana"/>
          <w:sz w:val="20"/>
          <w:szCs w:val="20"/>
          <w:lang w:val="es-CR"/>
        </w:rPr>
        <w:t xml:space="preserve">. </w:t>
      </w:r>
      <w:r w:rsidR="003817E2">
        <w:rPr>
          <w:rFonts w:ascii="Verdana" w:hAnsi="Verdana"/>
          <w:sz w:val="20"/>
          <w:szCs w:val="20"/>
          <w:lang w:val="es-CR"/>
        </w:rPr>
        <w:t>Entre otras medidas, l</w:t>
      </w:r>
      <w:r w:rsidRPr="000E12C6">
        <w:rPr>
          <w:rFonts w:ascii="Verdana" w:hAnsi="Verdana"/>
          <w:sz w:val="20"/>
          <w:szCs w:val="20"/>
          <w:lang w:val="es-CR"/>
        </w:rPr>
        <w:t xml:space="preserve">a Corte </w:t>
      </w:r>
      <w:r w:rsidR="003817E2">
        <w:rPr>
          <w:rFonts w:ascii="Verdana" w:hAnsi="Verdana"/>
          <w:sz w:val="20"/>
          <w:szCs w:val="20"/>
          <w:lang w:val="es-CR"/>
        </w:rPr>
        <w:t xml:space="preserve">también </w:t>
      </w:r>
      <w:r w:rsidRPr="000E12C6">
        <w:rPr>
          <w:rFonts w:ascii="Verdana" w:hAnsi="Verdana"/>
          <w:sz w:val="20"/>
          <w:szCs w:val="20"/>
          <w:lang w:val="es-CR"/>
        </w:rPr>
        <w:t xml:space="preserve">ha ordenado </w:t>
      </w:r>
      <w:r>
        <w:rPr>
          <w:rFonts w:ascii="Verdana" w:hAnsi="Verdana"/>
          <w:sz w:val="20"/>
          <w:szCs w:val="20"/>
          <w:lang w:val="es-CR"/>
        </w:rPr>
        <w:t>en casos particulares una compensación relativa a este tipo de daño</w:t>
      </w:r>
      <w:r w:rsidRPr="002523AA">
        <w:rPr>
          <w:rStyle w:val="FootnoteReference"/>
          <w:szCs w:val="20"/>
        </w:rPr>
        <w:footnoteReference w:id="192"/>
      </w:r>
      <w:r w:rsidRPr="000E12C6">
        <w:rPr>
          <w:rFonts w:ascii="Verdana" w:hAnsi="Verdana"/>
          <w:sz w:val="20"/>
          <w:szCs w:val="20"/>
          <w:lang w:val="es-CR"/>
        </w:rPr>
        <w:t>.</w:t>
      </w:r>
    </w:p>
    <w:p w14:paraId="6D172DA2" w14:textId="77777777" w:rsidR="00FB723A" w:rsidRPr="00CE169C" w:rsidRDefault="00FB723A" w:rsidP="001634BF">
      <w:pPr>
        <w:pStyle w:val="Default"/>
        <w:contextualSpacing/>
        <w:rPr>
          <w:rFonts w:ascii="Verdana" w:hAnsi="Verdana"/>
          <w:sz w:val="20"/>
          <w:szCs w:val="20"/>
          <w:lang w:val="es-CR"/>
        </w:rPr>
      </w:pPr>
    </w:p>
    <w:p w14:paraId="6D172DA3" w14:textId="18FB4237" w:rsidR="00FB723A" w:rsidRPr="006E5E0B" w:rsidRDefault="00FB723A" w:rsidP="006231F4">
      <w:pPr>
        <w:widowControl w:val="0"/>
        <w:numPr>
          <w:ilvl w:val="0"/>
          <w:numId w:val="2"/>
        </w:numPr>
        <w:tabs>
          <w:tab w:val="center" w:pos="567"/>
        </w:tabs>
        <w:autoSpaceDE w:val="0"/>
        <w:autoSpaceDN w:val="0"/>
        <w:adjustRightInd w:val="0"/>
        <w:ind w:left="0" w:right="-90" w:firstLine="0"/>
        <w:jc w:val="both"/>
        <w:rPr>
          <w:strike/>
          <w:lang w:val="es-CR"/>
        </w:rPr>
      </w:pPr>
      <w:r>
        <w:rPr>
          <w:rFonts w:ascii="Verdana" w:hAnsi="Verdana"/>
          <w:sz w:val="20"/>
          <w:szCs w:val="20"/>
          <w:lang w:val="es-CR"/>
        </w:rPr>
        <w:t>Los argumentos relacionados con el proyecto de vida estarían relacionados con las posibles consecuencias del</w:t>
      </w:r>
      <w:r w:rsidRPr="00CE169C">
        <w:rPr>
          <w:rFonts w:ascii="Verdana" w:hAnsi="Verdana"/>
          <w:sz w:val="20"/>
          <w:szCs w:val="20"/>
          <w:lang w:val="es-CR"/>
        </w:rPr>
        <w:t xml:space="preserve"> pase a retiro y </w:t>
      </w:r>
      <w:r>
        <w:rPr>
          <w:rFonts w:ascii="Verdana" w:hAnsi="Verdana"/>
          <w:sz w:val="20"/>
          <w:szCs w:val="20"/>
          <w:lang w:val="es-CR"/>
        </w:rPr>
        <w:t xml:space="preserve">el </w:t>
      </w:r>
      <w:r w:rsidRPr="00CE169C">
        <w:rPr>
          <w:rFonts w:ascii="Verdana" w:hAnsi="Verdana"/>
          <w:sz w:val="20"/>
          <w:szCs w:val="20"/>
          <w:lang w:val="es-CR"/>
        </w:rPr>
        <w:t>cuadro de mérito</w:t>
      </w:r>
      <w:r>
        <w:rPr>
          <w:rFonts w:ascii="Verdana" w:hAnsi="Verdana"/>
          <w:sz w:val="20"/>
          <w:szCs w:val="20"/>
          <w:lang w:val="es-CR"/>
        </w:rPr>
        <w:t>, hechos que</w:t>
      </w:r>
      <w:r w:rsidRPr="00CE169C">
        <w:rPr>
          <w:rFonts w:ascii="Verdana" w:hAnsi="Verdana"/>
          <w:sz w:val="20"/>
          <w:szCs w:val="20"/>
          <w:lang w:val="es-CR"/>
        </w:rPr>
        <w:t xml:space="preserve"> quedaron fuera del marco fáctico del </w:t>
      </w:r>
      <w:r>
        <w:rPr>
          <w:rFonts w:ascii="Verdana" w:hAnsi="Verdana"/>
          <w:sz w:val="20"/>
          <w:szCs w:val="20"/>
          <w:lang w:val="es-CR"/>
        </w:rPr>
        <w:t xml:space="preserve">presente </w:t>
      </w:r>
      <w:r w:rsidRPr="00CE169C">
        <w:rPr>
          <w:rFonts w:ascii="Verdana" w:hAnsi="Verdana"/>
          <w:sz w:val="20"/>
          <w:szCs w:val="20"/>
          <w:lang w:val="es-CR"/>
        </w:rPr>
        <w:t>caso (</w:t>
      </w:r>
      <w:r w:rsidRPr="0058104A">
        <w:rPr>
          <w:rFonts w:ascii="Verdana" w:hAnsi="Verdana"/>
          <w:i/>
          <w:sz w:val="20"/>
          <w:szCs w:val="20"/>
          <w:lang w:val="es-CR"/>
        </w:rPr>
        <w:t>supra</w:t>
      </w:r>
      <w:r w:rsidRPr="00CE169C">
        <w:rPr>
          <w:rFonts w:ascii="Verdana" w:hAnsi="Verdana"/>
          <w:sz w:val="20"/>
          <w:szCs w:val="20"/>
          <w:lang w:val="es-CR"/>
        </w:rPr>
        <w:t xml:space="preserve"> párr. </w:t>
      </w:r>
      <w:r w:rsidR="00260B88" w:rsidRPr="000A0953">
        <w:rPr>
          <w:rFonts w:ascii="Verdana" w:hAnsi="Verdana"/>
          <w:sz w:val="20"/>
          <w:szCs w:val="20"/>
          <w:lang w:val="es-CR"/>
        </w:rPr>
        <w:t>53</w:t>
      </w:r>
      <w:r w:rsidRPr="00260B88">
        <w:rPr>
          <w:rFonts w:ascii="Verdana" w:hAnsi="Verdana"/>
          <w:sz w:val="20"/>
          <w:szCs w:val="20"/>
          <w:lang w:val="es-CR"/>
        </w:rPr>
        <w:t>)</w:t>
      </w:r>
      <w:r w:rsidRPr="00CE169C">
        <w:rPr>
          <w:rFonts w:ascii="Verdana" w:hAnsi="Verdana"/>
          <w:sz w:val="20"/>
          <w:szCs w:val="20"/>
          <w:lang w:val="es-CR"/>
        </w:rPr>
        <w:t>,</w:t>
      </w:r>
      <w:r>
        <w:rPr>
          <w:rFonts w:ascii="Verdana" w:hAnsi="Verdana"/>
          <w:sz w:val="20"/>
          <w:szCs w:val="20"/>
          <w:lang w:val="es-CR"/>
        </w:rPr>
        <w:t xml:space="preserve"> por lo que </w:t>
      </w:r>
      <w:r w:rsidRPr="008A301C">
        <w:rPr>
          <w:rFonts w:ascii="Verdana" w:hAnsi="Verdana"/>
          <w:sz w:val="20"/>
          <w:szCs w:val="20"/>
          <w:lang w:val="es-CR"/>
        </w:rPr>
        <w:t xml:space="preserve">la Corte no </w:t>
      </w:r>
      <w:r>
        <w:rPr>
          <w:rFonts w:ascii="Verdana" w:hAnsi="Verdana"/>
          <w:sz w:val="20"/>
          <w:szCs w:val="20"/>
          <w:lang w:val="es-CR"/>
        </w:rPr>
        <w:t xml:space="preserve">se pronunció sobre </w:t>
      </w:r>
      <w:r w:rsidRPr="008A301C">
        <w:rPr>
          <w:rFonts w:ascii="Verdana" w:hAnsi="Verdana"/>
          <w:sz w:val="20"/>
          <w:szCs w:val="20"/>
          <w:lang w:val="es-CR"/>
        </w:rPr>
        <w:t xml:space="preserve">una violación </w:t>
      </w:r>
      <w:r>
        <w:rPr>
          <w:rFonts w:ascii="Verdana" w:hAnsi="Verdana"/>
          <w:sz w:val="20"/>
          <w:szCs w:val="20"/>
          <w:lang w:val="es-CR"/>
        </w:rPr>
        <w:t xml:space="preserve">sustantiva </w:t>
      </w:r>
      <w:r w:rsidRPr="008A301C">
        <w:rPr>
          <w:rFonts w:ascii="Verdana" w:hAnsi="Verdana"/>
          <w:sz w:val="20"/>
          <w:szCs w:val="20"/>
          <w:lang w:val="es-CR"/>
        </w:rPr>
        <w:t>relacionada con la pérdida</w:t>
      </w:r>
      <w:r w:rsidRPr="00CE169C">
        <w:rPr>
          <w:rFonts w:ascii="Verdana" w:hAnsi="Verdana"/>
          <w:sz w:val="20"/>
          <w:szCs w:val="20"/>
          <w:lang w:val="es-CR"/>
        </w:rPr>
        <w:t xml:space="preserve"> de oportunidades y aspiraciones de la víctima</w:t>
      </w:r>
      <w:r w:rsidRPr="006E5E0B">
        <w:rPr>
          <w:rStyle w:val="FootnoteReference"/>
          <w:szCs w:val="20"/>
          <w:lang w:val="es-CR"/>
        </w:rPr>
        <w:footnoteReference w:id="193"/>
      </w:r>
      <w:r w:rsidRPr="00A659C5">
        <w:rPr>
          <w:lang w:val="es-CR"/>
        </w:rPr>
        <w:t xml:space="preserve">. </w:t>
      </w:r>
      <w:r>
        <w:rPr>
          <w:rFonts w:ascii="Verdana" w:hAnsi="Verdana"/>
          <w:sz w:val="20"/>
          <w:szCs w:val="20"/>
          <w:lang w:val="es-CR"/>
        </w:rPr>
        <w:t xml:space="preserve">La </w:t>
      </w:r>
      <w:r w:rsidRPr="00277890">
        <w:rPr>
          <w:rFonts w:ascii="Verdana" w:hAnsi="Verdana"/>
          <w:sz w:val="20"/>
          <w:szCs w:val="20"/>
          <w:lang w:val="es-CR"/>
        </w:rPr>
        <w:t>Corte estima, como lo ha hecho en otros casos, que con motivo de la entidad de las violaciones acreditadas, de la argumentación brindad</w:t>
      </w:r>
      <w:r>
        <w:rPr>
          <w:rFonts w:ascii="Verdana" w:hAnsi="Verdana"/>
          <w:sz w:val="20"/>
          <w:szCs w:val="20"/>
          <w:lang w:val="es-CR"/>
        </w:rPr>
        <w:t>a</w:t>
      </w:r>
      <w:r w:rsidRPr="00277890">
        <w:rPr>
          <w:rFonts w:ascii="Verdana" w:hAnsi="Verdana"/>
          <w:sz w:val="20"/>
          <w:szCs w:val="20"/>
          <w:lang w:val="es-CR"/>
        </w:rPr>
        <w:t xml:space="preserve"> por l</w:t>
      </w:r>
      <w:r w:rsidR="001D3FD2">
        <w:rPr>
          <w:rFonts w:ascii="Verdana" w:hAnsi="Verdana"/>
          <w:sz w:val="20"/>
          <w:szCs w:val="20"/>
          <w:lang w:val="es-CR"/>
        </w:rPr>
        <w:t>a</w:t>
      </w:r>
      <w:r w:rsidRPr="00277890">
        <w:rPr>
          <w:rFonts w:ascii="Verdana" w:hAnsi="Verdana"/>
          <w:sz w:val="20"/>
          <w:szCs w:val="20"/>
          <w:lang w:val="es-CR"/>
        </w:rPr>
        <w:t xml:space="preserve">s </w:t>
      </w:r>
      <w:r w:rsidR="001D3FD2">
        <w:rPr>
          <w:rFonts w:ascii="Verdana" w:hAnsi="Verdana"/>
          <w:sz w:val="20"/>
          <w:szCs w:val="20"/>
          <w:lang w:val="es-CR"/>
        </w:rPr>
        <w:t xml:space="preserve">partes y la Comisión </w:t>
      </w:r>
      <w:r w:rsidRPr="00277890">
        <w:rPr>
          <w:rFonts w:ascii="Verdana" w:hAnsi="Verdana"/>
          <w:sz w:val="20"/>
          <w:szCs w:val="20"/>
          <w:lang w:val="es-CR"/>
        </w:rPr>
        <w:t>no se desprende un nexo causal probado entre los hechos objeto de este caso, las violaciones acreditadas y el daño en comento</w:t>
      </w:r>
      <w:r w:rsidR="001D3FD2" w:rsidRPr="002523AA">
        <w:rPr>
          <w:rStyle w:val="FootnoteReference"/>
          <w:szCs w:val="20"/>
        </w:rPr>
        <w:footnoteReference w:id="194"/>
      </w:r>
      <w:r>
        <w:rPr>
          <w:rFonts w:ascii="Verdana" w:hAnsi="Verdana"/>
          <w:sz w:val="20"/>
          <w:szCs w:val="20"/>
        </w:rPr>
        <w:t>.</w:t>
      </w:r>
      <w:r w:rsidRPr="006E5E0B">
        <w:rPr>
          <w:rFonts w:ascii="Verdana" w:hAnsi="Verdana"/>
          <w:sz w:val="20"/>
          <w:szCs w:val="20"/>
          <w:lang w:val="es-CR"/>
        </w:rPr>
        <w:t xml:space="preserve"> </w:t>
      </w:r>
      <w:r>
        <w:rPr>
          <w:rFonts w:ascii="Verdana" w:hAnsi="Verdana"/>
          <w:sz w:val="20"/>
          <w:szCs w:val="20"/>
          <w:lang w:val="es-CR"/>
        </w:rPr>
        <w:t>P</w:t>
      </w:r>
      <w:r w:rsidRPr="006E5E0B">
        <w:rPr>
          <w:rFonts w:ascii="Verdana" w:hAnsi="Verdana"/>
          <w:sz w:val="20"/>
          <w:szCs w:val="20"/>
          <w:lang w:val="es-CR"/>
        </w:rPr>
        <w:t>or lo que</w:t>
      </w:r>
      <w:r>
        <w:rPr>
          <w:rFonts w:ascii="Verdana" w:hAnsi="Verdana"/>
          <w:sz w:val="20"/>
          <w:szCs w:val="20"/>
          <w:lang w:val="es-CR"/>
        </w:rPr>
        <w:t>,</w:t>
      </w:r>
      <w:r w:rsidRPr="00277890">
        <w:rPr>
          <w:rFonts w:ascii="Verdana" w:hAnsi="Verdana"/>
          <w:sz w:val="20"/>
          <w:szCs w:val="20"/>
          <w:lang w:val="es-CR"/>
        </w:rPr>
        <w:t xml:space="preserve"> </w:t>
      </w:r>
      <w:r w:rsidRPr="006E5E0B">
        <w:rPr>
          <w:rFonts w:ascii="Verdana" w:hAnsi="Verdana"/>
          <w:sz w:val="20"/>
          <w:szCs w:val="20"/>
          <w:lang w:val="es-CR"/>
        </w:rPr>
        <w:t>no corresponde disponer una medida de reparación en est</w:t>
      </w:r>
      <w:r>
        <w:rPr>
          <w:rFonts w:ascii="Verdana" w:hAnsi="Verdana"/>
          <w:sz w:val="20"/>
          <w:szCs w:val="20"/>
          <w:lang w:val="es-CR"/>
        </w:rPr>
        <w:t>a esfera</w:t>
      </w:r>
      <w:r w:rsidRPr="006E5E0B">
        <w:rPr>
          <w:rFonts w:ascii="Verdana" w:hAnsi="Verdana"/>
          <w:sz w:val="20"/>
          <w:szCs w:val="20"/>
          <w:lang w:val="es-CR"/>
        </w:rPr>
        <w:t xml:space="preserve">. </w:t>
      </w:r>
      <w:r w:rsidRPr="006E5E0B">
        <w:rPr>
          <w:strike/>
          <w:lang w:val="es-CR"/>
        </w:rPr>
        <w:t xml:space="preserve"> </w:t>
      </w:r>
    </w:p>
    <w:p w14:paraId="6D172DA4" w14:textId="77777777" w:rsidR="00FB723A" w:rsidRDefault="00FB723A" w:rsidP="001634BF">
      <w:pPr>
        <w:rPr>
          <w:rFonts w:ascii="Verdana" w:hAnsi="Verdana"/>
          <w:sz w:val="20"/>
          <w:szCs w:val="20"/>
          <w:lang w:val="es-CR"/>
        </w:rPr>
      </w:pPr>
    </w:p>
    <w:p w14:paraId="6D172DA5" w14:textId="21157F5E" w:rsidR="00FB723A" w:rsidRPr="00277890"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Pr>
          <w:rFonts w:ascii="Verdana" w:hAnsi="Verdana" w:cs="Tahoma"/>
          <w:color w:val="000000"/>
          <w:sz w:val="20"/>
          <w:szCs w:val="20"/>
          <w:lang w:val="es-CR"/>
        </w:rPr>
        <w:t xml:space="preserve">No obstante, </w:t>
      </w:r>
      <w:r w:rsidRPr="008760C3">
        <w:rPr>
          <w:rFonts w:ascii="Verdana" w:hAnsi="Verdana"/>
          <w:sz w:val="20"/>
          <w:szCs w:val="20"/>
          <w:lang w:val="es-CR"/>
        </w:rPr>
        <w:t xml:space="preserve">la Corte toma en consideración que </w:t>
      </w:r>
      <w:r w:rsidRPr="00A659C5">
        <w:rPr>
          <w:rFonts w:ascii="Verdana" w:hAnsi="Verdana"/>
          <w:sz w:val="20"/>
          <w:szCs w:val="20"/>
          <w:lang w:val="es-CR"/>
        </w:rPr>
        <w:t>el señor Zegarra Marín</w:t>
      </w:r>
      <w:r w:rsidRPr="008760C3">
        <w:rPr>
          <w:rFonts w:ascii="Verdana" w:hAnsi="Verdana"/>
          <w:sz w:val="20"/>
          <w:szCs w:val="20"/>
          <w:lang w:val="es-CR"/>
        </w:rPr>
        <w:t xml:space="preserve"> fue declarado víctima de la violación a la</w:t>
      </w:r>
      <w:r w:rsidR="001D3FD2">
        <w:rPr>
          <w:rFonts w:ascii="Verdana" w:hAnsi="Verdana"/>
          <w:sz w:val="20"/>
          <w:szCs w:val="20"/>
          <w:lang w:val="es-CR"/>
        </w:rPr>
        <w:t xml:space="preserve">s </w:t>
      </w:r>
      <w:r w:rsidRPr="008760C3">
        <w:rPr>
          <w:rFonts w:ascii="Verdana" w:hAnsi="Verdana"/>
          <w:sz w:val="20"/>
          <w:szCs w:val="20"/>
          <w:lang w:val="es-CR"/>
        </w:rPr>
        <w:t xml:space="preserve">garantías judiciales. </w:t>
      </w:r>
      <w:r w:rsidR="001D3FD2">
        <w:rPr>
          <w:rFonts w:ascii="Verdana" w:hAnsi="Verdana"/>
          <w:sz w:val="20"/>
          <w:szCs w:val="20"/>
          <w:lang w:val="es-CR"/>
        </w:rPr>
        <w:t>E</w:t>
      </w:r>
      <w:r w:rsidRPr="000E12C6">
        <w:rPr>
          <w:rFonts w:ascii="Verdana" w:hAnsi="Verdana"/>
          <w:sz w:val="20"/>
          <w:szCs w:val="20"/>
          <w:lang w:val="es-CR"/>
        </w:rPr>
        <w:t>l daño inmaterial causado por la violación al derecho a la presunción de inocencia y deber de motivar, repercutieron en una conden</w:t>
      </w:r>
      <w:r w:rsidRPr="00277890">
        <w:rPr>
          <w:rFonts w:ascii="Verdana" w:hAnsi="Verdana"/>
          <w:sz w:val="20"/>
          <w:szCs w:val="20"/>
          <w:lang w:val="es-CR"/>
        </w:rPr>
        <w:t>a ya consumada que generó distintas afectaciones en la esfera inmaterial, particularmente en la esfera del daño moral (</w:t>
      </w:r>
      <w:r w:rsidRPr="0058104A">
        <w:rPr>
          <w:rFonts w:ascii="Verdana" w:hAnsi="Verdana"/>
          <w:i/>
          <w:sz w:val="20"/>
          <w:szCs w:val="20"/>
          <w:lang w:val="es-CR"/>
        </w:rPr>
        <w:t>supra</w:t>
      </w:r>
      <w:r w:rsidRPr="00277890">
        <w:rPr>
          <w:rFonts w:ascii="Verdana" w:hAnsi="Verdana"/>
          <w:sz w:val="20"/>
          <w:szCs w:val="20"/>
          <w:lang w:val="es-CR"/>
        </w:rPr>
        <w:t xml:space="preserve"> párr. </w:t>
      </w:r>
      <w:r w:rsidR="00260B88" w:rsidRPr="000A0953">
        <w:rPr>
          <w:rFonts w:ascii="Verdana" w:hAnsi="Verdana"/>
          <w:sz w:val="20"/>
          <w:szCs w:val="20"/>
          <w:lang w:val="es-CR"/>
        </w:rPr>
        <w:t>159</w:t>
      </w:r>
      <w:r w:rsidRPr="00260B88">
        <w:rPr>
          <w:rFonts w:ascii="Verdana" w:hAnsi="Verdana"/>
          <w:sz w:val="20"/>
          <w:szCs w:val="20"/>
          <w:lang w:val="es-CR"/>
        </w:rPr>
        <w:t>)</w:t>
      </w:r>
      <w:r w:rsidRPr="00277890">
        <w:rPr>
          <w:rFonts w:ascii="Verdana" w:hAnsi="Verdana"/>
          <w:sz w:val="20"/>
          <w:szCs w:val="20"/>
          <w:lang w:val="es-CR"/>
        </w:rPr>
        <w:t xml:space="preserve">, lo cual se encuentra acreditado </w:t>
      </w:r>
      <w:r w:rsidR="001D3FD2">
        <w:rPr>
          <w:rFonts w:ascii="Verdana" w:hAnsi="Verdana"/>
          <w:sz w:val="20"/>
          <w:szCs w:val="20"/>
          <w:lang w:val="es-CR"/>
        </w:rPr>
        <w:t xml:space="preserve">además </w:t>
      </w:r>
      <w:r w:rsidRPr="00277890">
        <w:rPr>
          <w:rFonts w:ascii="Verdana" w:hAnsi="Verdana"/>
          <w:sz w:val="20"/>
          <w:szCs w:val="20"/>
          <w:lang w:val="es-CR"/>
        </w:rPr>
        <w:t xml:space="preserve">por el testimonio presentado en audiencia y los </w:t>
      </w:r>
      <w:r w:rsidR="008B5048">
        <w:rPr>
          <w:rFonts w:ascii="Verdana" w:hAnsi="Verdana"/>
          <w:i/>
          <w:sz w:val="20"/>
          <w:szCs w:val="20"/>
          <w:lang w:val="es-CR"/>
        </w:rPr>
        <w:t>affidá</w:t>
      </w:r>
      <w:r w:rsidRPr="00277890">
        <w:rPr>
          <w:rFonts w:ascii="Verdana" w:hAnsi="Verdana"/>
          <w:i/>
          <w:sz w:val="20"/>
          <w:szCs w:val="20"/>
          <w:lang w:val="es-CR"/>
        </w:rPr>
        <w:t>vit</w:t>
      </w:r>
      <w:r w:rsidR="008B5048">
        <w:rPr>
          <w:rFonts w:ascii="Verdana" w:hAnsi="Verdana"/>
          <w:i/>
          <w:sz w:val="20"/>
          <w:szCs w:val="20"/>
          <w:lang w:val="es-CR"/>
        </w:rPr>
        <w:t>s</w:t>
      </w:r>
      <w:r w:rsidRPr="00277890">
        <w:rPr>
          <w:rFonts w:ascii="Verdana" w:hAnsi="Verdana"/>
          <w:sz w:val="20"/>
          <w:szCs w:val="20"/>
          <w:lang w:val="es-CR"/>
        </w:rPr>
        <w:t xml:space="preserve"> acompañados</w:t>
      </w:r>
      <w:r w:rsidRPr="00277890">
        <w:rPr>
          <w:rStyle w:val="FootnoteReference"/>
          <w:szCs w:val="20"/>
          <w:lang w:val="es-CR"/>
        </w:rPr>
        <w:footnoteReference w:id="195"/>
      </w:r>
      <w:r w:rsidRPr="00277890">
        <w:rPr>
          <w:rFonts w:ascii="Verdana" w:hAnsi="Verdana"/>
          <w:sz w:val="20"/>
          <w:szCs w:val="20"/>
          <w:lang w:val="es-CR"/>
        </w:rPr>
        <w:t>.</w:t>
      </w:r>
    </w:p>
    <w:p w14:paraId="6D172DA6" w14:textId="77777777" w:rsidR="00FB723A" w:rsidRPr="00277890" w:rsidRDefault="00FB723A" w:rsidP="001634BF">
      <w:pPr>
        <w:pStyle w:val="ListParagraph"/>
        <w:ind w:left="0"/>
        <w:rPr>
          <w:rFonts w:ascii="Verdana" w:hAnsi="Verdana"/>
          <w:sz w:val="20"/>
          <w:szCs w:val="20"/>
          <w:lang w:val="es-CR"/>
        </w:rPr>
      </w:pPr>
    </w:p>
    <w:p w14:paraId="6D172DA7" w14:textId="77777777" w:rsidR="00FB723A" w:rsidRPr="001D3FD2"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277890">
        <w:rPr>
          <w:rFonts w:ascii="Verdana" w:hAnsi="Verdana"/>
          <w:sz w:val="20"/>
          <w:szCs w:val="20"/>
          <w:lang w:val="es-CR"/>
        </w:rPr>
        <w:t xml:space="preserve">Como consecuencia de estas violaciones, la Corte estima pertinente fijar, en equidad, una compensación </w:t>
      </w:r>
      <w:r>
        <w:rPr>
          <w:rFonts w:ascii="Verdana" w:hAnsi="Verdana"/>
          <w:sz w:val="20"/>
          <w:szCs w:val="20"/>
          <w:lang w:val="es-CR"/>
        </w:rPr>
        <w:t xml:space="preserve">por daño inmaterial </w:t>
      </w:r>
      <w:r w:rsidRPr="00277890">
        <w:rPr>
          <w:rFonts w:ascii="Verdana" w:hAnsi="Verdana"/>
          <w:sz w:val="20"/>
          <w:szCs w:val="20"/>
          <w:lang w:val="es-CR"/>
        </w:rPr>
        <w:t>que</w:t>
      </w:r>
      <w:r>
        <w:rPr>
          <w:rFonts w:ascii="Verdana" w:hAnsi="Verdana"/>
          <w:sz w:val="20"/>
          <w:szCs w:val="20"/>
          <w:lang w:val="es-CR"/>
        </w:rPr>
        <w:t xml:space="preserve"> corresponde</w:t>
      </w:r>
      <w:r w:rsidRPr="00277890">
        <w:rPr>
          <w:rFonts w:ascii="Verdana" w:hAnsi="Verdana"/>
          <w:sz w:val="20"/>
          <w:szCs w:val="20"/>
          <w:lang w:val="es-CR"/>
        </w:rPr>
        <w:t xml:space="preserve"> a la suma de </w:t>
      </w:r>
      <w:r w:rsidRPr="000A0953">
        <w:rPr>
          <w:rFonts w:ascii="Verdana" w:hAnsi="Verdana"/>
          <w:sz w:val="20"/>
          <w:szCs w:val="20"/>
          <w:lang w:val="es-CR"/>
        </w:rPr>
        <w:t>US</w:t>
      </w:r>
      <w:r w:rsidR="00A56CEA" w:rsidRPr="000A0953">
        <w:rPr>
          <w:rFonts w:ascii="Verdana" w:hAnsi="Verdana"/>
          <w:sz w:val="20"/>
          <w:szCs w:val="20"/>
          <w:lang w:val="es-CR"/>
        </w:rPr>
        <w:t xml:space="preserve">$20,000 </w:t>
      </w:r>
      <w:r w:rsidRPr="000A0953">
        <w:rPr>
          <w:rFonts w:ascii="Verdana" w:hAnsi="Verdana"/>
          <w:sz w:val="20"/>
          <w:szCs w:val="20"/>
          <w:lang w:val="es-CR"/>
        </w:rPr>
        <w:t>(</w:t>
      </w:r>
      <w:r w:rsidR="00A56CEA" w:rsidRPr="000A0953">
        <w:rPr>
          <w:rFonts w:ascii="Verdana" w:hAnsi="Verdana"/>
          <w:sz w:val="20"/>
          <w:szCs w:val="20"/>
          <w:lang w:val="es-CR"/>
        </w:rPr>
        <w:t>veinte mil</w:t>
      </w:r>
      <w:r w:rsidRPr="000A0953">
        <w:rPr>
          <w:rFonts w:ascii="Verdana" w:hAnsi="Verdana"/>
          <w:sz w:val="20"/>
          <w:szCs w:val="20"/>
          <w:lang w:val="es-CR"/>
        </w:rPr>
        <w:t xml:space="preserve"> </w:t>
      </w:r>
      <w:r w:rsidRPr="001D3FD2">
        <w:rPr>
          <w:rFonts w:ascii="Verdana" w:hAnsi="Verdana"/>
          <w:sz w:val="20"/>
          <w:szCs w:val="20"/>
          <w:lang w:val="es-CR"/>
        </w:rPr>
        <w:t xml:space="preserve">dólares de los Estados Unidos de América). </w:t>
      </w:r>
    </w:p>
    <w:p w14:paraId="6D172DA8" w14:textId="77777777" w:rsidR="00FB723A" w:rsidRDefault="00FB723A" w:rsidP="001634BF">
      <w:pPr>
        <w:rPr>
          <w:rFonts w:ascii="Verdana" w:hAnsi="Verdana"/>
          <w:sz w:val="20"/>
          <w:szCs w:val="20"/>
          <w:lang w:val="es-CR"/>
        </w:rPr>
      </w:pPr>
    </w:p>
    <w:p w14:paraId="6D172DA9" w14:textId="77777777" w:rsidR="00FB723A" w:rsidRPr="0046612A" w:rsidRDefault="00FB723A" w:rsidP="00054386">
      <w:pPr>
        <w:pStyle w:val="Heading2"/>
        <w:numPr>
          <w:ilvl w:val="0"/>
          <w:numId w:val="9"/>
        </w:numPr>
        <w:spacing w:before="0"/>
        <w:jc w:val="both"/>
        <w:rPr>
          <w:rFonts w:ascii="Verdana" w:hAnsi="Verdana"/>
          <w:i/>
          <w:color w:val="auto"/>
          <w:sz w:val="20"/>
          <w:szCs w:val="20"/>
        </w:rPr>
      </w:pPr>
      <w:bookmarkStart w:id="97" w:name="_Toc482093077"/>
      <w:r w:rsidRPr="0046612A">
        <w:rPr>
          <w:rFonts w:ascii="Verdana" w:hAnsi="Verdana"/>
          <w:i/>
          <w:color w:val="auto"/>
          <w:sz w:val="20"/>
          <w:szCs w:val="20"/>
        </w:rPr>
        <w:lastRenderedPageBreak/>
        <w:t>Costas y gastos</w:t>
      </w:r>
      <w:bookmarkEnd w:id="97"/>
    </w:p>
    <w:p w14:paraId="6D172DAA" w14:textId="77777777" w:rsidR="00FB723A" w:rsidRPr="0046612A" w:rsidRDefault="00FB723A" w:rsidP="001634BF">
      <w:pPr>
        <w:rPr>
          <w:rFonts w:ascii="Verdana" w:hAnsi="Verdana"/>
          <w:sz w:val="20"/>
          <w:szCs w:val="20"/>
          <w:lang w:val="es-CR"/>
        </w:rPr>
      </w:pPr>
    </w:p>
    <w:p w14:paraId="6D172DAB" w14:textId="5A912390" w:rsidR="00FB723A" w:rsidRPr="0046612A" w:rsidRDefault="00FB723A" w:rsidP="006231F4">
      <w:pPr>
        <w:pStyle w:val="ListParagraph"/>
        <w:widowControl w:val="0"/>
        <w:numPr>
          <w:ilvl w:val="0"/>
          <w:numId w:val="2"/>
        </w:numPr>
        <w:tabs>
          <w:tab w:val="center" w:pos="567"/>
        </w:tabs>
        <w:autoSpaceDE w:val="0"/>
        <w:autoSpaceDN w:val="0"/>
        <w:adjustRightInd w:val="0"/>
        <w:ind w:left="0" w:right="-91" w:firstLine="0"/>
        <w:jc w:val="both"/>
        <w:rPr>
          <w:rFonts w:ascii="Verdana" w:hAnsi="Verdana"/>
          <w:sz w:val="20"/>
          <w:szCs w:val="20"/>
          <w:lang w:val="es-CR"/>
        </w:rPr>
      </w:pPr>
      <w:r w:rsidRPr="0046612A">
        <w:rPr>
          <w:rFonts w:ascii="Verdana" w:hAnsi="Verdana"/>
          <w:sz w:val="20"/>
          <w:szCs w:val="20"/>
          <w:lang w:val="es-CR"/>
        </w:rPr>
        <w:t xml:space="preserve">Los </w:t>
      </w:r>
      <w:r w:rsidRPr="0046612A">
        <w:rPr>
          <w:rFonts w:ascii="Verdana" w:hAnsi="Verdana"/>
          <w:b/>
          <w:i/>
          <w:sz w:val="20"/>
          <w:szCs w:val="20"/>
          <w:lang w:val="es-CR"/>
        </w:rPr>
        <w:t>representantes</w:t>
      </w:r>
      <w:r w:rsidRPr="0046612A">
        <w:rPr>
          <w:rFonts w:ascii="Verdana" w:hAnsi="Verdana"/>
          <w:sz w:val="20"/>
          <w:szCs w:val="20"/>
          <w:lang w:val="es-CR"/>
        </w:rPr>
        <w:t xml:space="preserve"> solicitaron que se ordene al Estado resarcir todos los gastos y costas en que hayan incurrido la presunta víctima y sus representantes, tanto en los procedimientos tramitados en el ámbito local como ante la Comisión y la Corte Interamericana. Señalaron que ante la ausencia de documentación que acredite la totalidad y diversidad del daño, su proyección debe estimarse racionalmente en equidad, por lo que solicitaron</w:t>
      </w:r>
      <w:r w:rsidR="00D97991">
        <w:rPr>
          <w:rFonts w:ascii="Verdana" w:hAnsi="Verdana"/>
          <w:sz w:val="20"/>
          <w:szCs w:val="20"/>
          <w:lang w:val="es-CR"/>
        </w:rPr>
        <w:t>, por un lado,</w:t>
      </w:r>
      <w:r w:rsidRPr="0046612A">
        <w:rPr>
          <w:rFonts w:ascii="Verdana" w:hAnsi="Verdana"/>
          <w:sz w:val="20"/>
          <w:szCs w:val="20"/>
          <w:lang w:val="es-CR"/>
        </w:rPr>
        <w:t xml:space="preserve"> </w:t>
      </w:r>
      <w:r w:rsidR="001D3FD2">
        <w:rPr>
          <w:rFonts w:ascii="Verdana" w:hAnsi="Verdana"/>
          <w:sz w:val="20"/>
          <w:szCs w:val="20"/>
          <w:lang w:val="es-CR"/>
        </w:rPr>
        <w:t>US$</w:t>
      </w:r>
      <w:r w:rsidRPr="0046612A">
        <w:rPr>
          <w:rFonts w:ascii="Verdana" w:hAnsi="Verdana"/>
          <w:sz w:val="20"/>
          <w:szCs w:val="20"/>
          <w:lang w:val="es-CR"/>
        </w:rPr>
        <w:t xml:space="preserve">3,207 </w:t>
      </w:r>
      <w:r w:rsidR="001D3FD2">
        <w:rPr>
          <w:rFonts w:ascii="Verdana" w:hAnsi="Verdana"/>
          <w:sz w:val="20"/>
          <w:szCs w:val="20"/>
          <w:lang w:val="es-CR"/>
        </w:rPr>
        <w:t xml:space="preserve">(tres mil doscientos siete </w:t>
      </w:r>
      <w:r w:rsidRPr="0046612A">
        <w:rPr>
          <w:rFonts w:ascii="Verdana" w:hAnsi="Verdana"/>
          <w:sz w:val="20"/>
          <w:szCs w:val="20"/>
          <w:lang w:val="es-CR"/>
        </w:rPr>
        <w:t>dólares</w:t>
      </w:r>
      <w:r w:rsidR="001D3FD2">
        <w:rPr>
          <w:rFonts w:ascii="Verdana" w:hAnsi="Verdana"/>
          <w:sz w:val="20"/>
          <w:szCs w:val="20"/>
          <w:lang w:val="es-CR"/>
        </w:rPr>
        <w:t>)</w:t>
      </w:r>
      <w:r w:rsidRPr="0046612A">
        <w:rPr>
          <w:rFonts w:ascii="Verdana" w:hAnsi="Verdana"/>
          <w:sz w:val="20"/>
          <w:szCs w:val="20"/>
          <w:lang w:val="es-CR"/>
        </w:rPr>
        <w:t xml:space="preserve"> por concepto de</w:t>
      </w:r>
      <w:r w:rsidR="00D97991">
        <w:rPr>
          <w:rFonts w:ascii="Verdana" w:hAnsi="Verdana"/>
          <w:sz w:val="20"/>
          <w:szCs w:val="20"/>
          <w:lang w:val="es-CR"/>
        </w:rPr>
        <w:t xml:space="preserve"> los</w:t>
      </w:r>
      <w:r w:rsidRPr="0046612A">
        <w:rPr>
          <w:rFonts w:ascii="Verdana" w:hAnsi="Verdana"/>
          <w:sz w:val="20"/>
          <w:szCs w:val="20"/>
          <w:lang w:val="es-CR"/>
        </w:rPr>
        <w:t xml:space="preserve"> pasajes de avión </w:t>
      </w:r>
      <w:r w:rsidRPr="0007798A">
        <w:rPr>
          <w:rFonts w:ascii="Verdana" w:hAnsi="Verdana"/>
          <w:sz w:val="20"/>
          <w:szCs w:val="20"/>
          <w:lang w:val="es-ES"/>
        </w:rPr>
        <w:t>del señor Zegarra Marín</w:t>
      </w:r>
      <w:r w:rsidRPr="0046612A" w:rsidDel="007F58AB">
        <w:rPr>
          <w:rFonts w:ascii="Verdana" w:hAnsi="Verdana"/>
          <w:sz w:val="20"/>
          <w:szCs w:val="20"/>
          <w:lang w:val="es-CR"/>
        </w:rPr>
        <w:t xml:space="preserve"> </w:t>
      </w:r>
      <w:r w:rsidRPr="0046612A">
        <w:rPr>
          <w:rFonts w:ascii="Verdana" w:hAnsi="Verdana"/>
          <w:sz w:val="20"/>
          <w:szCs w:val="20"/>
          <w:lang w:val="es-CR"/>
        </w:rPr>
        <w:t>y dos de sus hijas, para trasladarse a</w:t>
      </w:r>
      <w:r w:rsidR="00D97991">
        <w:rPr>
          <w:rFonts w:ascii="Verdana" w:hAnsi="Verdana"/>
          <w:sz w:val="20"/>
          <w:szCs w:val="20"/>
          <w:lang w:val="es-CR"/>
        </w:rPr>
        <w:t xml:space="preserve"> la ciudad de Washington D.C. con motivo de la audiencia del presente caso ante </w:t>
      </w:r>
      <w:r w:rsidRPr="0046612A">
        <w:rPr>
          <w:rFonts w:ascii="Verdana" w:hAnsi="Verdana"/>
          <w:sz w:val="20"/>
          <w:szCs w:val="20"/>
          <w:lang w:val="es-CR"/>
        </w:rPr>
        <w:t>la Comisión Interamericana y</w:t>
      </w:r>
      <w:r w:rsidR="00D97991">
        <w:rPr>
          <w:rFonts w:ascii="Verdana" w:hAnsi="Verdana"/>
          <w:sz w:val="20"/>
          <w:szCs w:val="20"/>
          <w:lang w:val="es-CR"/>
        </w:rPr>
        <w:t>, por otro,</w:t>
      </w:r>
      <w:r w:rsidRPr="0046612A">
        <w:rPr>
          <w:rFonts w:ascii="Verdana" w:hAnsi="Verdana"/>
          <w:sz w:val="20"/>
          <w:szCs w:val="20"/>
          <w:lang w:val="es-CR"/>
        </w:rPr>
        <w:t xml:space="preserve"> </w:t>
      </w:r>
      <w:r w:rsidR="001D3FD2">
        <w:rPr>
          <w:rFonts w:ascii="Verdana" w:hAnsi="Verdana"/>
          <w:sz w:val="20"/>
          <w:szCs w:val="20"/>
          <w:lang w:val="es-CR"/>
        </w:rPr>
        <w:t xml:space="preserve">US$ </w:t>
      </w:r>
      <w:r w:rsidRPr="0046612A">
        <w:rPr>
          <w:rFonts w:ascii="Verdana" w:hAnsi="Verdana"/>
          <w:sz w:val="20"/>
          <w:szCs w:val="20"/>
          <w:lang w:val="es-CR"/>
        </w:rPr>
        <w:t xml:space="preserve">591 </w:t>
      </w:r>
      <w:r w:rsidR="001D3FD2">
        <w:rPr>
          <w:rFonts w:ascii="Verdana" w:hAnsi="Verdana"/>
          <w:sz w:val="20"/>
          <w:szCs w:val="20"/>
          <w:lang w:val="es-CR"/>
        </w:rPr>
        <w:t xml:space="preserve">(quinientos noventa y un </w:t>
      </w:r>
      <w:r w:rsidRPr="0046612A">
        <w:rPr>
          <w:rFonts w:ascii="Verdana" w:hAnsi="Verdana"/>
          <w:sz w:val="20"/>
          <w:szCs w:val="20"/>
          <w:lang w:val="es-CR"/>
        </w:rPr>
        <w:t>dólares</w:t>
      </w:r>
      <w:r w:rsidR="001D3FD2">
        <w:rPr>
          <w:rFonts w:ascii="Verdana" w:hAnsi="Verdana"/>
          <w:sz w:val="20"/>
          <w:szCs w:val="20"/>
          <w:lang w:val="es-CR"/>
        </w:rPr>
        <w:t>)</w:t>
      </w:r>
      <w:r w:rsidRPr="0046612A">
        <w:rPr>
          <w:rFonts w:ascii="Verdana" w:hAnsi="Verdana"/>
          <w:sz w:val="20"/>
          <w:szCs w:val="20"/>
          <w:lang w:val="es-CR"/>
        </w:rPr>
        <w:t xml:space="preserve"> por concepto de hospedaje en Washington </w:t>
      </w:r>
      <w:r w:rsidR="00D97991">
        <w:rPr>
          <w:rFonts w:ascii="Verdana" w:hAnsi="Verdana"/>
          <w:sz w:val="20"/>
          <w:szCs w:val="20"/>
          <w:lang w:val="es-CR"/>
        </w:rPr>
        <w:t xml:space="preserve">D.C. </w:t>
      </w:r>
      <w:r w:rsidRPr="0046612A">
        <w:rPr>
          <w:rFonts w:ascii="Verdana" w:hAnsi="Verdana"/>
          <w:sz w:val="20"/>
          <w:szCs w:val="20"/>
          <w:lang w:val="es-CR"/>
        </w:rPr>
        <w:t xml:space="preserve">en ocasión de la audiencia en mención. Asimismo, manifestaron que la </w:t>
      </w:r>
      <w:r w:rsidR="00D97991">
        <w:rPr>
          <w:rFonts w:ascii="Verdana" w:hAnsi="Verdana"/>
          <w:sz w:val="20"/>
          <w:szCs w:val="20"/>
          <w:lang w:val="es-CR"/>
        </w:rPr>
        <w:t>defensa y asesoramiento a nivel interno</w:t>
      </w:r>
      <w:r w:rsidRPr="0046612A">
        <w:rPr>
          <w:rFonts w:ascii="Verdana" w:hAnsi="Verdana"/>
          <w:sz w:val="20"/>
          <w:szCs w:val="20"/>
          <w:lang w:val="es-CR"/>
        </w:rPr>
        <w:t xml:space="preserve"> e internacional tuvo un costo de </w:t>
      </w:r>
      <w:r w:rsidR="001D3FD2">
        <w:rPr>
          <w:rFonts w:ascii="Verdana" w:hAnsi="Verdana"/>
          <w:sz w:val="20"/>
          <w:szCs w:val="20"/>
          <w:lang w:val="es-CR"/>
        </w:rPr>
        <w:t xml:space="preserve">US$ </w:t>
      </w:r>
      <w:r w:rsidRPr="0046612A">
        <w:rPr>
          <w:rFonts w:ascii="Verdana" w:hAnsi="Verdana"/>
          <w:sz w:val="20"/>
          <w:szCs w:val="20"/>
          <w:lang w:val="es-CR"/>
        </w:rPr>
        <w:t xml:space="preserve">55,000 </w:t>
      </w:r>
      <w:r w:rsidR="001D3FD2">
        <w:rPr>
          <w:rFonts w:ascii="Verdana" w:hAnsi="Verdana"/>
          <w:sz w:val="20"/>
          <w:szCs w:val="20"/>
          <w:lang w:val="es-CR"/>
        </w:rPr>
        <w:t xml:space="preserve">(cincuenta y cinco mil </w:t>
      </w:r>
      <w:r w:rsidRPr="0046612A">
        <w:rPr>
          <w:rFonts w:ascii="Verdana" w:hAnsi="Verdana"/>
          <w:sz w:val="20"/>
          <w:szCs w:val="20"/>
          <w:lang w:val="es-CR"/>
        </w:rPr>
        <w:t>dólares</w:t>
      </w:r>
      <w:r w:rsidR="001D3FD2">
        <w:rPr>
          <w:rFonts w:ascii="Verdana" w:hAnsi="Verdana"/>
          <w:sz w:val="20"/>
          <w:szCs w:val="20"/>
          <w:lang w:val="es-CR"/>
        </w:rPr>
        <w:t>)</w:t>
      </w:r>
      <w:r w:rsidRPr="0046612A">
        <w:rPr>
          <w:rFonts w:ascii="Verdana" w:hAnsi="Verdana"/>
          <w:sz w:val="20"/>
          <w:szCs w:val="20"/>
          <w:lang w:val="es-CR"/>
        </w:rPr>
        <w:t xml:space="preserve">. </w:t>
      </w:r>
    </w:p>
    <w:p w14:paraId="6D172DAC" w14:textId="77777777" w:rsidR="00FB723A" w:rsidRPr="0046612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AD" w14:textId="0F3615AC" w:rsidR="00FB723A" w:rsidRPr="0046612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 xml:space="preserve">El </w:t>
      </w:r>
      <w:r w:rsidRPr="0046612A">
        <w:rPr>
          <w:rFonts w:ascii="Verdana" w:hAnsi="Verdana"/>
          <w:b/>
          <w:i/>
          <w:sz w:val="20"/>
          <w:szCs w:val="20"/>
          <w:lang w:val="es-CR"/>
        </w:rPr>
        <w:t>Estado</w:t>
      </w:r>
      <w:r w:rsidRPr="0046612A">
        <w:rPr>
          <w:rFonts w:ascii="Verdana" w:hAnsi="Verdana"/>
          <w:sz w:val="20"/>
          <w:szCs w:val="20"/>
          <w:lang w:val="es-CR"/>
        </w:rPr>
        <w:t xml:space="preserve"> solicitó a la Corte desestimar la pretensión relativa al sustento de gastos procesales en la jurisdicción nacional ya que </w:t>
      </w:r>
      <w:r w:rsidRPr="0007798A">
        <w:rPr>
          <w:rFonts w:ascii="Verdana" w:hAnsi="Verdana"/>
          <w:sz w:val="20"/>
          <w:szCs w:val="20"/>
          <w:lang w:val="es-ES"/>
        </w:rPr>
        <w:t>el señor Zegarra Marín</w:t>
      </w:r>
      <w:r w:rsidRPr="0046612A" w:rsidDel="007F58AB">
        <w:rPr>
          <w:rFonts w:ascii="Verdana" w:hAnsi="Verdana"/>
          <w:sz w:val="20"/>
          <w:szCs w:val="20"/>
          <w:lang w:val="es-CR"/>
        </w:rPr>
        <w:t xml:space="preserve"> </w:t>
      </w:r>
      <w:r w:rsidRPr="0046612A">
        <w:rPr>
          <w:rFonts w:ascii="Verdana" w:hAnsi="Verdana"/>
          <w:sz w:val="20"/>
          <w:szCs w:val="20"/>
          <w:lang w:val="es-CR"/>
        </w:rPr>
        <w:t>señaló haber recibido patrocinio jurídico por parte del Estudio Jurídico “Romero-Bueno”, desde el año 1994, a pesar</w:t>
      </w:r>
      <w:r w:rsidR="00D97991">
        <w:rPr>
          <w:rFonts w:ascii="Verdana" w:hAnsi="Verdana"/>
          <w:sz w:val="20"/>
          <w:szCs w:val="20"/>
          <w:lang w:val="es-CR"/>
        </w:rPr>
        <w:t xml:space="preserve"> de</w:t>
      </w:r>
      <w:r w:rsidRPr="0046612A">
        <w:rPr>
          <w:rFonts w:ascii="Verdana" w:hAnsi="Verdana"/>
          <w:sz w:val="20"/>
          <w:szCs w:val="20"/>
          <w:lang w:val="es-CR"/>
        </w:rPr>
        <w:t xml:space="preserve"> que en esa fecha </w:t>
      </w:r>
      <w:r w:rsidR="00D97991">
        <w:rPr>
          <w:rFonts w:ascii="Verdana" w:hAnsi="Verdana"/>
          <w:sz w:val="20"/>
          <w:szCs w:val="20"/>
          <w:lang w:val="es-CR"/>
        </w:rPr>
        <w:t>dicho</w:t>
      </w:r>
      <w:r w:rsidRPr="0046612A">
        <w:rPr>
          <w:rFonts w:ascii="Verdana" w:hAnsi="Verdana"/>
          <w:sz w:val="20"/>
          <w:szCs w:val="20"/>
          <w:lang w:val="es-CR"/>
        </w:rPr>
        <w:t xml:space="preserve"> Estudio Jurídico no existía</w:t>
      </w:r>
      <w:r w:rsidR="00D97991">
        <w:rPr>
          <w:rFonts w:ascii="Verdana" w:hAnsi="Verdana"/>
          <w:sz w:val="20"/>
          <w:szCs w:val="20"/>
          <w:lang w:val="es-CR"/>
        </w:rPr>
        <w:t xml:space="preserve"> todavía</w:t>
      </w:r>
      <w:r w:rsidR="00060480">
        <w:rPr>
          <w:rFonts w:ascii="Verdana" w:hAnsi="Verdana"/>
          <w:sz w:val="20"/>
          <w:szCs w:val="20"/>
          <w:lang w:val="es-CR"/>
        </w:rPr>
        <w:t>, sino hasta el 2002</w:t>
      </w:r>
      <w:r w:rsidR="00F91644">
        <w:rPr>
          <w:rStyle w:val="FootnoteReference"/>
          <w:szCs w:val="20"/>
          <w:lang w:val="es-CR"/>
        </w:rPr>
        <w:footnoteReference w:id="196"/>
      </w:r>
      <w:r w:rsidRPr="0046612A">
        <w:rPr>
          <w:rFonts w:ascii="Verdana" w:hAnsi="Verdana"/>
          <w:sz w:val="20"/>
          <w:szCs w:val="20"/>
          <w:lang w:val="es-CR"/>
        </w:rPr>
        <w:t xml:space="preserve">. </w:t>
      </w:r>
      <w:r w:rsidR="00D97991">
        <w:rPr>
          <w:rFonts w:ascii="Verdana" w:hAnsi="Verdana"/>
          <w:sz w:val="20"/>
          <w:szCs w:val="20"/>
          <w:lang w:val="es-CR"/>
        </w:rPr>
        <w:t>En contra,</w:t>
      </w:r>
      <w:r w:rsidRPr="0046612A">
        <w:rPr>
          <w:rFonts w:ascii="Verdana" w:hAnsi="Verdana"/>
          <w:sz w:val="20"/>
          <w:szCs w:val="20"/>
          <w:lang w:val="es-CR"/>
        </w:rPr>
        <w:t xml:space="preserve"> consta en el expediente que otros abogados representaron a la víctima durante el procedimiento nacional</w:t>
      </w:r>
      <w:r w:rsidR="00060480">
        <w:rPr>
          <w:rFonts w:ascii="Verdana" w:hAnsi="Verdana"/>
          <w:sz w:val="20"/>
          <w:szCs w:val="20"/>
          <w:lang w:val="es-CR"/>
        </w:rPr>
        <w:t>, por lo que la boleta presentada no constituye un recibo de honorarios</w:t>
      </w:r>
      <w:r w:rsidRPr="0046612A">
        <w:rPr>
          <w:rFonts w:ascii="Verdana" w:hAnsi="Verdana"/>
          <w:sz w:val="20"/>
          <w:szCs w:val="20"/>
          <w:lang w:val="es-CR"/>
        </w:rPr>
        <w:t xml:space="preserve">. </w:t>
      </w:r>
      <w:r w:rsidR="00D97991">
        <w:rPr>
          <w:rFonts w:ascii="Verdana" w:hAnsi="Verdana"/>
          <w:sz w:val="20"/>
          <w:szCs w:val="20"/>
          <w:lang w:val="es-CR"/>
        </w:rPr>
        <w:t>Asimismo, el Estado s</w:t>
      </w:r>
      <w:r w:rsidRPr="0046612A">
        <w:rPr>
          <w:rFonts w:ascii="Verdana" w:hAnsi="Verdana"/>
          <w:sz w:val="20"/>
          <w:szCs w:val="20"/>
          <w:lang w:val="es-CR"/>
        </w:rPr>
        <w:t>eñaló que los gastos incurridos por la familia de la víctima, tales como pasajes de avión y hospedaje no corresponden ser indemnizados.</w:t>
      </w:r>
    </w:p>
    <w:p w14:paraId="6D172DAE" w14:textId="77777777" w:rsidR="00FB723A" w:rsidRPr="0046612A" w:rsidRDefault="00FB723A" w:rsidP="001634BF">
      <w:pPr>
        <w:pStyle w:val="ListParagraph"/>
        <w:ind w:left="0"/>
        <w:rPr>
          <w:rFonts w:ascii="Verdana" w:hAnsi="Verdana"/>
          <w:sz w:val="20"/>
          <w:szCs w:val="20"/>
          <w:lang w:val="es-CR"/>
        </w:rPr>
      </w:pPr>
    </w:p>
    <w:p w14:paraId="6D172DAF"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La Corte reitera que, conforme a su jurisprudencia</w:t>
      </w:r>
      <w:r w:rsidRPr="00F16BE7">
        <w:rPr>
          <w:vertAlign w:val="superscript"/>
          <w:lang w:val="es-CR"/>
        </w:rPr>
        <w:footnoteReference w:id="197"/>
      </w:r>
      <w:r w:rsidRPr="0046612A">
        <w:rPr>
          <w:rFonts w:ascii="Verdana" w:hAnsi="Verdana"/>
          <w:sz w:val="20"/>
          <w:szCs w:val="20"/>
          <w:lang w:val="es-CR"/>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debe ser realizada tomando en cuenta los gastos señalados por las partes, siempre que su </w:t>
      </w:r>
      <w:r w:rsidRPr="00786F4B">
        <w:rPr>
          <w:rFonts w:ascii="Verdana" w:hAnsi="Verdana"/>
          <w:i/>
          <w:sz w:val="20"/>
          <w:szCs w:val="20"/>
          <w:lang w:val="es-CR"/>
        </w:rPr>
        <w:t>quantum</w:t>
      </w:r>
      <w:r w:rsidRPr="0046612A">
        <w:rPr>
          <w:rFonts w:ascii="Verdana" w:hAnsi="Verdana"/>
          <w:sz w:val="20"/>
          <w:szCs w:val="20"/>
          <w:lang w:val="es-CR"/>
        </w:rPr>
        <w:t xml:space="preserve"> sea razonable</w:t>
      </w:r>
      <w:r w:rsidRPr="00060480">
        <w:rPr>
          <w:vertAlign w:val="superscript"/>
          <w:lang w:val="es-CR"/>
        </w:rPr>
        <w:footnoteReference w:id="198"/>
      </w:r>
      <w:r>
        <w:rPr>
          <w:rFonts w:ascii="Verdana" w:hAnsi="Verdana"/>
          <w:sz w:val="20"/>
          <w:szCs w:val="20"/>
          <w:lang w:val="es-CR"/>
        </w:rPr>
        <w:t xml:space="preserve">. </w:t>
      </w:r>
    </w:p>
    <w:p w14:paraId="6D172DB0" w14:textId="77777777" w:rsidR="00FB723A" w:rsidRPr="0046612A" w:rsidRDefault="00FB723A" w:rsidP="001634BF">
      <w:pPr>
        <w:pStyle w:val="ListParagraph"/>
        <w:ind w:left="0"/>
        <w:rPr>
          <w:rFonts w:ascii="Verdana" w:hAnsi="Verdana"/>
          <w:sz w:val="20"/>
          <w:szCs w:val="20"/>
          <w:lang w:val="es-CR"/>
        </w:rPr>
      </w:pPr>
    </w:p>
    <w:p w14:paraId="6D172DB1" w14:textId="77777777" w:rsidR="00EB069C" w:rsidRPr="00EB069C"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Este</w:t>
      </w:r>
      <w:r w:rsidRPr="0046612A">
        <w:rPr>
          <w:rFonts w:ascii="Verdana" w:hAnsi="Verdana"/>
          <w:spacing w:val="-2"/>
          <w:sz w:val="20"/>
          <w:szCs w:val="20"/>
          <w:lang w:val="es-CR"/>
        </w:rPr>
        <w:t xml:space="preserve"> Tribunal </w:t>
      </w:r>
      <w:r w:rsidRPr="0046612A">
        <w:rPr>
          <w:rFonts w:ascii="Verdana" w:eastAsia="Verdana" w:hAnsi="Verdana" w:cs="Verdana"/>
          <w:spacing w:val="1"/>
          <w:sz w:val="20"/>
          <w:szCs w:val="20"/>
          <w:lang w:val="es-CR"/>
        </w:rPr>
        <w:t>h</w:t>
      </w:r>
      <w:r w:rsidRPr="0046612A">
        <w:rPr>
          <w:rFonts w:ascii="Verdana" w:eastAsia="Verdana" w:hAnsi="Verdana" w:cs="Verdana"/>
          <w:sz w:val="20"/>
          <w:szCs w:val="20"/>
          <w:lang w:val="es-CR"/>
        </w:rPr>
        <w:t>a</w:t>
      </w:r>
      <w:r w:rsidRPr="0046612A">
        <w:rPr>
          <w:rFonts w:ascii="Verdana" w:eastAsia="Verdana" w:hAnsi="Verdana" w:cs="Verdana"/>
          <w:spacing w:val="59"/>
          <w:sz w:val="20"/>
          <w:szCs w:val="20"/>
          <w:lang w:val="es-CR"/>
        </w:rPr>
        <w:t xml:space="preserve"> </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e</w:t>
      </w:r>
      <w:r w:rsidRPr="0046612A">
        <w:rPr>
          <w:rFonts w:ascii="Verdana" w:eastAsia="Verdana" w:hAnsi="Verdana" w:cs="Verdana"/>
          <w:spacing w:val="1"/>
          <w:sz w:val="20"/>
          <w:szCs w:val="20"/>
          <w:lang w:val="es-CR"/>
        </w:rPr>
        <w:t>ñ</w:t>
      </w:r>
      <w:r w:rsidRPr="0046612A">
        <w:rPr>
          <w:rFonts w:ascii="Verdana" w:eastAsia="Verdana" w:hAnsi="Verdana" w:cs="Verdana"/>
          <w:sz w:val="20"/>
          <w:szCs w:val="20"/>
          <w:lang w:val="es-CR"/>
        </w:rPr>
        <w:t>a</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d</w:t>
      </w:r>
      <w:r w:rsidRPr="0046612A">
        <w:rPr>
          <w:rFonts w:ascii="Verdana" w:eastAsia="Verdana" w:hAnsi="Verdana" w:cs="Verdana"/>
          <w:sz w:val="20"/>
          <w:szCs w:val="20"/>
          <w:lang w:val="es-CR"/>
        </w:rPr>
        <w:t>o</w:t>
      </w:r>
      <w:r w:rsidRPr="0046612A">
        <w:rPr>
          <w:rFonts w:ascii="Verdana" w:eastAsia="Verdana" w:hAnsi="Verdana" w:cs="Verdana"/>
          <w:spacing w:val="51"/>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59"/>
          <w:sz w:val="20"/>
          <w:szCs w:val="20"/>
          <w:lang w:val="es-CR"/>
        </w:rPr>
        <w:t xml:space="preserve"> </w:t>
      </w:r>
      <w:r w:rsidRPr="0046612A">
        <w:rPr>
          <w:rFonts w:ascii="Verdana" w:eastAsia="Verdana" w:hAnsi="Verdana" w:cs="Verdana"/>
          <w:sz w:val="20"/>
          <w:szCs w:val="20"/>
          <w:lang w:val="es-CR"/>
        </w:rPr>
        <w:t>“</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as</w:t>
      </w:r>
      <w:r w:rsidRPr="0046612A">
        <w:rPr>
          <w:rFonts w:ascii="Verdana" w:eastAsia="Verdana" w:hAnsi="Verdana" w:cs="Verdana"/>
          <w:spacing w:val="58"/>
          <w:sz w:val="20"/>
          <w:szCs w:val="20"/>
          <w:lang w:val="es-CR"/>
        </w:rPr>
        <w:t xml:space="preserve"> </w:t>
      </w:r>
      <w:r w:rsidRPr="0046612A">
        <w:rPr>
          <w:rFonts w:ascii="Verdana" w:eastAsia="Verdana" w:hAnsi="Verdana" w:cs="Verdana"/>
          <w:spacing w:val="1"/>
          <w:sz w:val="20"/>
          <w:szCs w:val="20"/>
          <w:lang w:val="es-CR"/>
        </w:rPr>
        <w:t>p</w:t>
      </w:r>
      <w:r w:rsidRPr="0046612A">
        <w:rPr>
          <w:rFonts w:ascii="Verdana" w:eastAsia="Verdana" w:hAnsi="Verdana" w:cs="Verdana"/>
          <w:spacing w:val="-1"/>
          <w:sz w:val="20"/>
          <w:szCs w:val="20"/>
          <w:lang w:val="es-CR"/>
        </w:rPr>
        <w:t>re</w:t>
      </w:r>
      <w:r w:rsidRPr="0046612A">
        <w:rPr>
          <w:rFonts w:ascii="Verdana" w:eastAsia="Verdana" w:hAnsi="Verdana" w:cs="Verdana"/>
          <w:spacing w:val="3"/>
          <w:sz w:val="20"/>
          <w:szCs w:val="20"/>
          <w:lang w:val="es-CR"/>
        </w:rPr>
        <w:t>t</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i</w:t>
      </w:r>
      <w:r w:rsidRPr="0046612A">
        <w:rPr>
          <w:rFonts w:ascii="Verdana" w:eastAsia="Verdana" w:hAnsi="Verdana" w:cs="Verdana"/>
          <w:spacing w:val="-1"/>
          <w:sz w:val="20"/>
          <w:szCs w:val="20"/>
          <w:lang w:val="es-CR"/>
        </w:rPr>
        <w:t>o</w:t>
      </w:r>
      <w:r w:rsidRPr="0046612A">
        <w:rPr>
          <w:rFonts w:ascii="Verdana" w:eastAsia="Verdana" w:hAnsi="Verdana" w:cs="Verdana"/>
          <w:spacing w:val="1"/>
          <w:sz w:val="20"/>
          <w:szCs w:val="20"/>
          <w:lang w:val="es-CR"/>
        </w:rPr>
        <w:t>ne</w:t>
      </w:r>
      <w:r w:rsidRPr="0046612A">
        <w:rPr>
          <w:rFonts w:ascii="Verdana" w:eastAsia="Verdana" w:hAnsi="Verdana" w:cs="Verdana"/>
          <w:sz w:val="20"/>
          <w:szCs w:val="20"/>
          <w:lang w:val="es-CR"/>
        </w:rPr>
        <w:t>s</w:t>
      </w:r>
      <w:r w:rsidRPr="0046612A">
        <w:rPr>
          <w:rFonts w:ascii="Verdana" w:eastAsia="Verdana" w:hAnsi="Verdana" w:cs="Verdana"/>
          <w:spacing w:val="48"/>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z w:val="20"/>
          <w:szCs w:val="20"/>
          <w:lang w:val="es-CR"/>
        </w:rPr>
        <w:t>e</w:t>
      </w:r>
      <w:r w:rsidRPr="0046612A">
        <w:rPr>
          <w:rFonts w:ascii="Verdana" w:eastAsia="Verdana" w:hAnsi="Verdana" w:cs="Verdana"/>
          <w:spacing w:val="58"/>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as</w:t>
      </w:r>
      <w:r w:rsidRPr="0046612A">
        <w:rPr>
          <w:rFonts w:ascii="Verdana" w:eastAsia="Verdana" w:hAnsi="Verdana" w:cs="Verdana"/>
          <w:spacing w:val="59"/>
          <w:sz w:val="20"/>
          <w:szCs w:val="20"/>
          <w:lang w:val="es-CR"/>
        </w:rPr>
        <w:t xml:space="preserve"> </w:t>
      </w:r>
      <w:r w:rsidRPr="0046612A">
        <w:rPr>
          <w:rFonts w:ascii="Verdana" w:eastAsia="Verdana" w:hAnsi="Verdana" w:cs="Verdana"/>
          <w:sz w:val="20"/>
          <w:szCs w:val="20"/>
          <w:lang w:val="es-CR"/>
        </w:rPr>
        <w:t>v</w:t>
      </w:r>
      <w:r w:rsidRPr="0046612A">
        <w:rPr>
          <w:rFonts w:ascii="Verdana" w:eastAsia="Verdana" w:hAnsi="Verdana" w:cs="Verdana"/>
          <w:spacing w:val="3"/>
          <w:sz w:val="20"/>
          <w:szCs w:val="20"/>
          <w:lang w:val="es-CR"/>
        </w:rPr>
        <w:t>í</w:t>
      </w:r>
      <w:r w:rsidRPr="0046612A">
        <w:rPr>
          <w:rFonts w:ascii="Verdana" w:eastAsia="Verdana" w:hAnsi="Verdana" w:cs="Verdana"/>
          <w:sz w:val="20"/>
          <w:szCs w:val="20"/>
          <w:lang w:val="es-CR"/>
        </w:rPr>
        <w:t>ct</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m</w:t>
      </w:r>
      <w:r w:rsidRPr="0046612A">
        <w:rPr>
          <w:rFonts w:ascii="Verdana" w:eastAsia="Verdana" w:hAnsi="Verdana" w:cs="Verdana"/>
          <w:spacing w:val="1"/>
          <w:sz w:val="20"/>
          <w:szCs w:val="20"/>
          <w:lang w:val="es-CR"/>
        </w:rPr>
        <w:t>a</w:t>
      </w:r>
      <w:r w:rsidRPr="0046612A">
        <w:rPr>
          <w:rFonts w:ascii="Verdana" w:eastAsia="Verdana" w:hAnsi="Verdana" w:cs="Verdana"/>
          <w:sz w:val="20"/>
          <w:szCs w:val="20"/>
          <w:lang w:val="es-CR"/>
        </w:rPr>
        <w:t>s</w:t>
      </w:r>
      <w:r w:rsidRPr="0046612A">
        <w:rPr>
          <w:rFonts w:ascii="Verdana" w:eastAsia="Verdana" w:hAnsi="Verdana" w:cs="Verdana"/>
          <w:spacing w:val="52"/>
          <w:sz w:val="20"/>
          <w:szCs w:val="20"/>
          <w:lang w:val="es-CR"/>
        </w:rPr>
        <w:t xml:space="preserve"> </w:t>
      </w:r>
      <w:r w:rsidRPr="0046612A">
        <w:rPr>
          <w:rFonts w:ascii="Verdana" w:eastAsia="Verdana" w:hAnsi="Verdana" w:cs="Verdana"/>
          <w:sz w:val="20"/>
          <w:szCs w:val="20"/>
          <w:lang w:val="es-CR"/>
        </w:rPr>
        <w:t>o</w:t>
      </w:r>
      <w:r w:rsidRPr="0046612A">
        <w:rPr>
          <w:rFonts w:ascii="Verdana" w:eastAsia="Verdana" w:hAnsi="Verdana" w:cs="Verdana"/>
          <w:spacing w:val="59"/>
          <w:sz w:val="20"/>
          <w:szCs w:val="20"/>
          <w:lang w:val="es-CR"/>
        </w:rPr>
        <w:t xml:space="preserve"> </w:t>
      </w:r>
      <w:r w:rsidRPr="0046612A">
        <w:rPr>
          <w:rFonts w:ascii="Verdana" w:eastAsia="Verdana" w:hAnsi="Verdana" w:cs="Verdana"/>
          <w:spacing w:val="2"/>
          <w:sz w:val="20"/>
          <w:szCs w:val="20"/>
          <w:lang w:val="es-CR"/>
        </w:rPr>
        <w:t>s</w:t>
      </w:r>
      <w:r w:rsidRPr="0046612A">
        <w:rPr>
          <w:rFonts w:ascii="Verdana" w:eastAsia="Verdana" w:hAnsi="Verdana" w:cs="Verdana"/>
          <w:spacing w:val="1"/>
          <w:sz w:val="20"/>
          <w:szCs w:val="20"/>
          <w:lang w:val="es-CR"/>
        </w:rPr>
        <w:t>u</w:t>
      </w:r>
      <w:r w:rsidRPr="0046612A">
        <w:rPr>
          <w:rFonts w:ascii="Verdana" w:eastAsia="Verdana" w:hAnsi="Verdana" w:cs="Verdana"/>
          <w:sz w:val="20"/>
          <w:szCs w:val="20"/>
          <w:lang w:val="es-CR"/>
        </w:rPr>
        <w:t>s</w:t>
      </w:r>
      <w:r w:rsidRPr="0046612A">
        <w:rPr>
          <w:rFonts w:ascii="Verdana" w:eastAsia="Verdana" w:hAnsi="Verdana" w:cs="Verdana"/>
          <w:spacing w:val="57"/>
          <w:sz w:val="20"/>
          <w:szCs w:val="20"/>
          <w:lang w:val="es-CR"/>
        </w:rPr>
        <w:t xml:space="preserve"> </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pr</w:t>
      </w:r>
      <w:r w:rsidRPr="0046612A">
        <w:rPr>
          <w:rFonts w:ascii="Verdana" w:eastAsia="Verdana" w:hAnsi="Verdana" w:cs="Verdana"/>
          <w:spacing w:val="-1"/>
          <w:sz w:val="20"/>
          <w:szCs w:val="20"/>
          <w:lang w:val="es-CR"/>
        </w:rPr>
        <w:t>e</w:t>
      </w:r>
      <w:r w:rsidRPr="0046612A">
        <w:rPr>
          <w:rFonts w:ascii="Verdana" w:eastAsia="Verdana" w:hAnsi="Verdana" w:cs="Verdana"/>
          <w:spacing w:val="2"/>
          <w:sz w:val="20"/>
          <w:szCs w:val="20"/>
          <w:lang w:val="es-CR"/>
        </w:rPr>
        <w:t>s</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nt</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w:t>
      </w:r>
      <w:r w:rsidRPr="0046612A">
        <w:rPr>
          <w:rFonts w:ascii="Verdana" w:eastAsia="Verdana" w:hAnsi="Verdana" w:cs="Verdana"/>
          <w:spacing w:val="48"/>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n m</w:t>
      </w:r>
      <w:r w:rsidRPr="0046612A">
        <w:rPr>
          <w:rFonts w:ascii="Verdana" w:eastAsia="Verdana" w:hAnsi="Verdana" w:cs="Verdana"/>
          <w:spacing w:val="1"/>
          <w:sz w:val="20"/>
          <w:szCs w:val="20"/>
          <w:lang w:val="es-CR"/>
        </w:rPr>
        <w:t>at</w:t>
      </w:r>
      <w:r w:rsidRPr="0046612A">
        <w:rPr>
          <w:rFonts w:ascii="Verdana" w:eastAsia="Verdana" w:hAnsi="Verdana" w:cs="Verdana"/>
          <w:spacing w:val="-1"/>
          <w:sz w:val="20"/>
          <w:szCs w:val="20"/>
          <w:lang w:val="es-CR"/>
        </w:rPr>
        <w:t>er</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a</w:t>
      </w:r>
      <w:r w:rsidRPr="0046612A">
        <w:rPr>
          <w:rFonts w:ascii="Verdana" w:eastAsia="Verdana" w:hAnsi="Verdana" w:cs="Verdana"/>
          <w:spacing w:val="6"/>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z w:val="20"/>
          <w:szCs w:val="20"/>
          <w:lang w:val="es-CR"/>
        </w:rPr>
        <w:t>e</w:t>
      </w:r>
      <w:r w:rsidRPr="0046612A">
        <w:rPr>
          <w:rFonts w:ascii="Verdana" w:eastAsia="Verdana" w:hAnsi="Verdana" w:cs="Verdana"/>
          <w:spacing w:val="10"/>
          <w:sz w:val="20"/>
          <w:szCs w:val="20"/>
          <w:lang w:val="es-CR"/>
        </w:rPr>
        <w:t xml:space="preserve"> </w:t>
      </w:r>
      <w:r w:rsidRPr="0046612A">
        <w:rPr>
          <w:rFonts w:ascii="Verdana" w:eastAsia="Verdana" w:hAnsi="Verdana" w:cs="Verdana"/>
          <w:sz w:val="20"/>
          <w:szCs w:val="20"/>
          <w:lang w:val="es-CR"/>
        </w:rPr>
        <w:t>c</w:t>
      </w:r>
      <w:r w:rsidRPr="0046612A">
        <w:rPr>
          <w:rFonts w:ascii="Verdana" w:eastAsia="Verdana" w:hAnsi="Verdana" w:cs="Verdana"/>
          <w:spacing w:val="3"/>
          <w:sz w:val="20"/>
          <w:szCs w:val="20"/>
          <w:lang w:val="es-CR"/>
        </w:rPr>
        <w:t>o</w:t>
      </w:r>
      <w:r w:rsidRPr="0046612A">
        <w:rPr>
          <w:rFonts w:ascii="Verdana" w:eastAsia="Verdana" w:hAnsi="Verdana" w:cs="Verdana"/>
          <w:sz w:val="20"/>
          <w:szCs w:val="20"/>
          <w:lang w:val="es-CR"/>
        </w:rPr>
        <w:t>stas</w:t>
      </w:r>
      <w:r w:rsidRPr="0046612A">
        <w:rPr>
          <w:rFonts w:ascii="Verdana" w:eastAsia="Verdana" w:hAnsi="Verdana" w:cs="Verdana"/>
          <w:spacing w:val="8"/>
          <w:sz w:val="20"/>
          <w:szCs w:val="20"/>
          <w:lang w:val="es-CR"/>
        </w:rPr>
        <w:t xml:space="preserve"> </w:t>
      </w:r>
      <w:r w:rsidRPr="0046612A">
        <w:rPr>
          <w:rFonts w:ascii="Verdana" w:eastAsia="Verdana" w:hAnsi="Verdana" w:cs="Verdana"/>
          <w:sz w:val="20"/>
          <w:szCs w:val="20"/>
          <w:lang w:val="es-CR"/>
        </w:rPr>
        <w:t>y</w:t>
      </w:r>
      <w:r w:rsidRPr="0046612A">
        <w:rPr>
          <w:rFonts w:ascii="Verdana" w:eastAsia="Verdana" w:hAnsi="Verdana" w:cs="Verdana"/>
          <w:spacing w:val="13"/>
          <w:sz w:val="20"/>
          <w:szCs w:val="20"/>
          <w:lang w:val="es-CR"/>
        </w:rPr>
        <w:t xml:space="preserve"> </w:t>
      </w:r>
      <w:r w:rsidRPr="0046612A">
        <w:rPr>
          <w:rFonts w:ascii="Verdana" w:eastAsia="Verdana" w:hAnsi="Verdana" w:cs="Verdana"/>
          <w:spacing w:val="1"/>
          <w:sz w:val="20"/>
          <w:szCs w:val="20"/>
          <w:lang w:val="es-CR"/>
        </w:rPr>
        <w:t>g</w:t>
      </w:r>
      <w:r w:rsidRPr="0046612A">
        <w:rPr>
          <w:rFonts w:ascii="Verdana" w:eastAsia="Verdana" w:hAnsi="Verdana" w:cs="Verdana"/>
          <w:spacing w:val="2"/>
          <w:sz w:val="20"/>
          <w:szCs w:val="20"/>
          <w:lang w:val="es-CR"/>
        </w:rPr>
        <w:t>a</w:t>
      </w:r>
      <w:r w:rsidRPr="0046612A">
        <w:rPr>
          <w:rFonts w:ascii="Verdana" w:eastAsia="Verdana" w:hAnsi="Verdana" w:cs="Verdana"/>
          <w:sz w:val="20"/>
          <w:szCs w:val="20"/>
          <w:lang w:val="es-CR"/>
        </w:rPr>
        <w:t>st</w:t>
      </w:r>
      <w:r w:rsidRPr="0046612A">
        <w:rPr>
          <w:rFonts w:ascii="Verdana" w:eastAsia="Verdana" w:hAnsi="Verdana" w:cs="Verdana"/>
          <w:spacing w:val="-1"/>
          <w:sz w:val="20"/>
          <w:szCs w:val="20"/>
          <w:lang w:val="es-CR"/>
        </w:rPr>
        <w:t>o</w:t>
      </w:r>
      <w:r w:rsidRPr="0046612A">
        <w:rPr>
          <w:rFonts w:ascii="Verdana" w:eastAsia="Verdana" w:hAnsi="Verdana" w:cs="Verdana"/>
          <w:spacing w:val="2"/>
          <w:sz w:val="20"/>
          <w:szCs w:val="20"/>
          <w:lang w:val="es-CR"/>
        </w:rPr>
        <w:t>s</w:t>
      </w:r>
      <w:r w:rsidRPr="0046612A">
        <w:rPr>
          <w:rFonts w:ascii="Verdana" w:eastAsia="Verdana" w:hAnsi="Verdana" w:cs="Verdana"/>
          <w:sz w:val="20"/>
          <w:szCs w:val="20"/>
          <w:lang w:val="es-CR"/>
        </w:rPr>
        <w:t>,</w:t>
      </w:r>
      <w:r w:rsidRPr="0046612A">
        <w:rPr>
          <w:rFonts w:ascii="Verdana" w:eastAsia="Verdana" w:hAnsi="Verdana" w:cs="Verdana"/>
          <w:spacing w:val="7"/>
          <w:sz w:val="20"/>
          <w:szCs w:val="20"/>
          <w:lang w:val="es-CR"/>
        </w:rPr>
        <w:t xml:space="preserve"> </w:t>
      </w:r>
      <w:r w:rsidRPr="0046612A">
        <w:rPr>
          <w:rFonts w:ascii="Verdana" w:eastAsia="Verdana" w:hAnsi="Verdana" w:cs="Verdana"/>
          <w:sz w:val="20"/>
          <w:szCs w:val="20"/>
          <w:lang w:val="es-CR"/>
        </w:rPr>
        <w:t>y</w:t>
      </w:r>
      <w:r w:rsidRPr="0046612A">
        <w:rPr>
          <w:rFonts w:ascii="Verdana" w:eastAsia="Verdana" w:hAnsi="Verdana" w:cs="Verdana"/>
          <w:spacing w:val="13"/>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as</w:t>
      </w:r>
      <w:r w:rsidRPr="0046612A">
        <w:rPr>
          <w:rFonts w:ascii="Verdana" w:eastAsia="Verdana" w:hAnsi="Verdana" w:cs="Verdana"/>
          <w:spacing w:val="11"/>
          <w:sz w:val="20"/>
          <w:szCs w:val="20"/>
          <w:lang w:val="es-CR"/>
        </w:rPr>
        <w:t xml:space="preserve"> </w:t>
      </w:r>
      <w:r w:rsidRPr="0046612A">
        <w:rPr>
          <w:rFonts w:ascii="Verdana" w:eastAsia="Verdana" w:hAnsi="Verdana" w:cs="Verdana"/>
          <w:spacing w:val="1"/>
          <w:sz w:val="20"/>
          <w:szCs w:val="20"/>
          <w:lang w:val="es-CR"/>
        </w:rPr>
        <w:t>p</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u</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b</w:t>
      </w:r>
      <w:r w:rsidRPr="0046612A">
        <w:rPr>
          <w:rFonts w:ascii="Verdana" w:eastAsia="Verdana" w:hAnsi="Verdana" w:cs="Verdana"/>
          <w:sz w:val="20"/>
          <w:szCs w:val="20"/>
          <w:lang w:val="es-CR"/>
        </w:rPr>
        <w:t>as</w:t>
      </w:r>
      <w:r w:rsidRPr="0046612A">
        <w:rPr>
          <w:rFonts w:ascii="Verdana" w:eastAsia="Verdana" w:hAnsi="Verdana" w:cs="Verdana"/>
          <w:spacing w:val="6"/>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11"/>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as</w:t>
      </w:r>
      <w:r w:rsidRPr="0046612A">
        <w:rPr>
          <w:rFonts w:ascii="Verdana" w:eastAsia="Verdana" w:hAnsi="Verdana" w:cs="Verdana"/>
          <w:spacing w:val="11"/>
          <w:sz w:val="20"/>
          <w:szCs w:val="20"/>
          <w:lang w:val="es-CR"/>
        </w:rPr>
        <w:t xml:space="preserve"> </w:t>
      </w:r>
      <w:r w:rsidRPr="0046612A">
        <w:rPr>
          <w:rFonts w:ascii="Verdana" w:eastAsia="Verdana" w:hAnsi="Verdana" w:cs="Verdana"/>
          <w:sz w:val="20"/>
          <w:szCs w:val="20"/>
          <w:lang w:val="es-CR"/>
        </w:rPr>
        <w:t>sust</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w:t>
      </w:r>
      <w:r w:rsidRPr="0046612A">
        <w:rPr>
          <w:rFonts w:ascii="Verdana" w:eastAsia="Verdana" w:hAnsi="Verdana" w:cs="Verdana"/>
          <w:spacing w:val="3"/>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b</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n</w:t>
      </w:r>
      <w:r w:rsidRPr="0046612A">
        <w:rPr>
          <w:rFonts w:ascii="Verdana" w:eastAsia="Verdana" w:hAnsi="Verdana" w:cs="Verdana"/>
          <w:spacing w:val="9"/>
          <w:sz w:val="20"/>
          <w:szCs w:val="20"/>
          <w:lang w:val="es-CR"/>
        </w:rPr>
        <w:t xml:space="preserve"> </w:t>
      </w:r>
      <w:r w:rsidRPr="0046612A">
        <w:rPr>
          <w:rFonts w:ascii="Verdana" w:eastAsia="Verdana" w:hAnsi="Verdana" w:cs="Verdana"/>
          <w:spacing w:val="1"/>
          <w:sz w:val="20"/>
          <w:szCs w:val="20"/>
          <w:lang w:val="es-CR"/>
        </w:rPr>
        <w:t>p</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e</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a</w:t>
      </w:r>
      <w:r w:rsidRPr="0046612A">
        <w:rPr>
          <w:rFonts w:ascii="Verdana" w:eastAsia="Verdana" w:hAnsi="Verdana" w:cs="Verdana"/>
          <w:spacing w:val="2"/>
          <w:sz w:val="20"/>
          <w:szCs w:val="20"/>
          <w:lang w:val="es-CR"/>
        </w:rPr>
        <w:t>r</w:t>
      </w:r>
      <w:r w:rsidRPr="0046612A">
        <w:rPr>
          <w:rFonts w:ascii="Verdana" w:eastAsia="Verdana" w:hAnsi="Verdana" w:cs="Verdana"/>
          <w:sz w:val="20"/>
          <w:szCs w:val="20"/>
          <w:lang w:val="es-CR"/>
        </w:rPr>
        <w:t>se a</w:t>
      </w:r>
      <w:r w:rsidRPr="0046612A">
        <w:rPr>
          <w:rFonts w:ascii="Verdana" w:eastAsia="Verdana" w:hAnsi="Verdana" w:cs="Verdana"/>
          <w:spacing w:val="13"/>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w:t>
      </w:r>
      <w:r w:rsidRPr="0046612A">
        <w:rPr>
          <w:rFonts w:ascii="Verdana" w:eastAsia="Verdana" w:hAnsi="Verdana" w:cs="Verdana"/>
          <w:spacing w:val="12"/>
          <w:sz w:val="20"/>
          <w:szCs w:val="20"/>
          <w:lang w:val="es-CR"/>
        </w:rPr>
        <w:t xml:space="preserve"> </w:t>
      </w:r>
      <w:r w:rsidRPr="0046612A">
        <w:rPr>
          <w:rFonts w:ascii="Verdana" w:eastAsia="Verdana" w:hAnsi="Verdana" w:cs="Verdana"/>
          <w:sz w:val="20"/>
          <w:szCs w:val="20"/>
          <w:lang w:val="es-CR"/>
        </w:rPr>
        <w:t>C</w:t>
      </w:r>
      <w:r w:rsidRPr="0046612A">
        <w:rPr>
          <w:rFonts w:ascii="Verdana" w:eastAsia="Verdana" w:hAnsi="Verdana" w:cs="Verdana"/>
          <w:spacing w:val="-1"/>
          <w:sz w:val="20"/>
          <w:szCs w:val="20"/>
          <w:lang w:val="es-CR"/>
        </w:rPr>
        <w:t>or</w:t>
      </w:r>
      <w:r w:rsidRPr="0046612A">
        <w:rPr>
          <w:rFonts w:ascii="Verdana" w:eastAsia="Verdana" w:hAnsi="Verdana" w:cs="Verdana"/>
          <w:spacing w:val="3"/>
          <w:sz w:val="20"/>
          <w:szCs w:val="20"/>
          <w:lang w:val="es-CR"/>
        </w:rPr>
        <w:t>t</w:t>
      </w:r>
      <w:r w:rsidRPr="0046612A">
        <w:rPr>
          <w:rFonts w:ascii="Verdana" w:eastAsia="Verdana" w:hAnsi="Verdana" w:cs="Verdana"/>
          <w:sz w:val="20"/>
          <w:szCs w:val="20"/>
          <w:lang w:val="es-CR"/>
        </w:rPr>
        <w:t>e</w:t>
      </w:r>
      <w:r w:rsidRPr="0046612A">
        <w:rPr>
          <w:rFonts w:ascii="Verdana" w:eastAsia="Verdana" w:hAnsi="Verdana" w:cs="Verdana"/>
          <w:spacing w:val="9"/>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n</w:t>
      </w:r>
      <w:r w:rsidRPr="0046612A">
        <w:rPr>
          <w:rFonts w:ascii="Verdana" w:eastAsia="Verdana" w:hAnsi="Verdana" w:cs="Verdana"/>
          <w:spacing w:val="12"/>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 xml:space="preserve">l </w:t>
      </w:r>
      <w:r w:rsidRPr="0046612A">
        <w:rPr>
          <w:rFonts w:ascii="Verdana" w:eastAsia="Verdana" w:hAnsi="Verdana" w:cs="Verdana"/>
          <w:spacing w:val="1"/>
          <w:sz w:val="20"/>
          <w:szCs w:val="20"/>
          <w:lang w:val="es-CR"/>
        </w:rPr>
        <w:t>p</w:t>
      </w:r>
      <w:r w:rsidRPr="0046612A">
        <w:rPr>
          <w:rFonts w:ascii="Verdana" w:eastAsia="Verdana" w:hAnsi="Verdana" w:cs="Verdana"/>
          <w:spacing w:val="-1"/>
          <w:sz w:val="20"/>
          <w:szCs w:val="20"/>
          <w:lang w:val="es-CR"/>
        </w:rPr>
        <w:t>r</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mer</w:t>
      </w:r>
      <w:r w:rsidRPr="0046612A">
        <w:rPr>
          <w:rFonts w:ascii="Verdana" w:eastAsia="Verdana" w:hAnsi="Verdana" w:cs="Verdana"/>
          <w:spacing w:val="-5"/>
          <w:sz w:val="20"/>
          <w:szCs w:val="20"/>
          <w:lang w:val="es-CR"/>
        </w:rPr>
        <w:t xml:space="preserve"> </w:t>
      </w:r>
      <w:r w:rsidRPr="0046612A">
        <w:rPr>
          <w:rFonts w:ascii="Verdana" w:eastAsia="Verdana" w:hAnsi="Verdana" w:cs="Verdana"/>
          <w:sz w:val="20"/>
          <w:szCs w:val="20"/>
          <w:lang w:val="es-CR"/>
        </w:rPr>
        <w:t>mo</w:t>
      </w:r>
      <w:r w:rsidRPr="0046612A">
        <w:rPr>
          <w:rFonts w:ascii="Verdana" w:eastAsia="Verdana" w:hAnsi="Verdana" w:cs="Verdana"/>
          <w:spacing w:val="3"/>
          <w:sz w:val="20"/>
          <w:szCs w:val="20"/>
          <w:lang w:val="es-CR"/>
        </w:rPr>
        <w:t>m</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o</w:t>
      </w:r>
      <w:r w:rsidRPr="0046612A">
        <w:rPr>
          <w:rFonts w:ascii="Verdana" w:eastAsia="Verdana" w:hAnsi="Verdana" w:cs="Verdana"/>
          <w:spacing w:val="-7"/>
          <w:sz w:val="20"/>
          <w:szCs w:val="20"/>
          <w:lang w:val="es-CR"/>
        </w:rPr>
        <w:t xml:space="preserve"> </w:t>
      </w:r>
      <w:r w:rsidRPr="0046612A">
        <w:rPr>
          <w:rFonts w:ascii="Verdana" w:eastAsia="Verdana" w:hAnsi="Verdana" w:cs="Verdana"/>
          <w:spacing w:val="1"/>
          <w:sz w:val="20"/>
          <w:szCs w:val="20"/>
          <w:lang w:val="es-CR"/>
        </w:rPr>
        <w:t>p</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ce</w:t>
      </w:r>
      <w:r w:rsidRPr="0046612A">
        <w:rPr>
          <w:rFonts w:ascii="Verdana" w:eastAsia="Verdana" w:hAnsi="Verdana" w:cs="Verdana"/>
          <w:spacing w:val="2"/>
          <w:sz w:val="20"/>
          <w:szCs w:val="20"/>
          <w:lang w:val="es-CR"/>
        </w:rPr>
        <w:t>s</w:t>
      </w:r>
      <w:r w:rsidRPr="0046612A">
        <w:rPr>
          <w:rFonts w:ascii="Verdana" w:eastAsia="Verdana" w:hAnsi="Verdana" w:cs="Verdana"/>
          <w:sz w:val="20"/>
          <w:szCs w:val="20"/>
          <w:lang w:val="es-CR"/>
        </w:rPr>
        <w:t>al</w:t>
      </w:r>
      <w:r w:rsidRPr="0046612A">
        <w:rPr>
          <w:rFonts w:ascii="Verdana" w:eastAsia="Verdana" w:hAnsi="Verdana" w:cs="Verdana"/>
          <w:spacing w:val="-4"/>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1"/>
          <w:sz w:val="20"/>
          <w:szCs w:val="20"/>
          <w:lang w:val="es-CR"/>
        </w:rPr>
        <w:t xml:space="preserve"> </w:t>
      </w:r>
      <w:r w:rsidRPr="0046612A">
        <w:rPr>
          <w:rFonts w:ascii="Verdana" w:eastAsia="Verdana" w:hAnsi="Verdana" w:cs="Verdana"/>
          <w:sz w:val="20"/>
          <w:szCs w:val="20"/>
          <w:lang w:val="es-CR"/>
        </w:rPr>
        <w:t xml:space="preserve">se </w:t>
      </w:r>
      <w:r w:rsidRPr="0046612A">
        <w:rPr>
          <w:rFonts w:ascii="Verdana" w:eastAsia="Verdana" w:hAnsi="Verdana" w:cs="Verdana"/>
          <w:spacing w:val="3"/>
          <w:sz w:val="20"/>
          <w:szCs w:val="20"/>
          <w:lang w:val="es-CR"/>
        </w:rPr>
        <w:t>l</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 c</w:t>
      </w:r>
      <w:r w:rsidRPr="0046612A">
        <w:rPr>
          <w:rFonts w:ascii="Verdana" w:eastAsia="Verdana" w:hAnsi="Verdana" w:cs="Verdana"/>
          <w:spacing w:val="-2"/>
          <w:sz w:val="20"/>
          <w:szCs w:val="20"/>
          <w:lang w:val="es-CR"/>
        </w:rPr>
        <w:t>o</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e</w:t>
      </w:r>
      <w:r w:rsidRPr="0046612A">
        <w:rPr>
          <w:rFonts w:ascii="Verdana" w:eastAsia="Verdana" w:hAnsi="Verdana" w:cs="Verdana"/>
          <w:spacing w:val="3"/>
          <w:sz w:val="20"/>
          <w:szCs w:val="20"/>
          <w:lang w:val="es-CR"/>
        </w:rPr>
        <w:t>d</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w:t>
      </w:r>
      <w:r w:rsidRPr="0046612A">
        <w:rPr>
          <w:rFonts w:ascii="Verdana" w:eastAsia="Verdana" w:hAnsi="Verdana" w:cs="Verdana"/>
          <w:spacing w:val="-3"/>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sto</w:t>
      </w:r>
      <w:r w:rsidRPr="0046612A">
        <w:rPr>
          <w:rFonts w:ascii="Verdana" w:eastAsia="Verdana" w:hAnsi="Verdana" w:cs="Verdana"/>
          <w:spacing w:val="-1"/>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 xml:space="preserve">s,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n</w:t>
      </w:r>
      <w:r w:rsidRPr="0046612A">
        <w:rPr>
          <w:rFonts w:ascii="Verdana" w:eastAsia="Verdana" w:hAnsi="Verdana" w:cs="Verdana"/>
          <w:spacing w:val="3"/>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l</w:t>
      </w:r>
      <w:r w:rsidRPr="0046612A">
        <w:rPr>
          <w:rFonts w:ascii="Verdana" w:eastAsia="Verdana" w:hAnsi="Verdana" w:cs="Verdana"/>
          <w:spacing w:val="4"/>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w:t>
      </w:r>
      <w:r w:rsidRPr="0046612A">
        <w:rPr>
          <w:rFonts w:ascii="Verdana" w:eastAsia="Verdana" w:hAnsi="Verdana" w:cs="Verdana"/>
          <w:spacing w:val="1"/>
          <w:sz w:val="20"/>
          <w:szCs w:val="20"/>
          <w:lang w:val="es-CR"/>
        </w:rPr>
        <w:t>c</w:t>
      </w:r>
      <w:r w:rsidRPr="0046612A">
        <w:rPr>
          <w:rFonts w:ascii="Verdana" w:eastAsia="Verdana" w:hAnsi="Verdana" w:cs="Verdana"/>
          <w:spacing w:val="-1"/>
          <w:sz w:val="20"/>
          <w:szCs w:val="20"/>
          <w:lang w:val="es-CR"/>
        </w:rPr>
        <w:t>r</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t</w:t>
      </w:r>
      <w:r w:rsidRPr="0046612A">
        <w:rPr>
          <w:rFonts w:ascii="Verdana" w:eastAsia="Verdana" w:hAnsi="Verdana" w:cs="Verdana"/>
          <w:sz w:val="20"/>
          <w:szCs w:val="20"/>
          <w:lang w:val="es-CR"/>
        </w:rPr>
        <w:t>o</w:t>
      </w:r>
      <w:r w:rsidRPr="0046612A">
        <w:rPr>
          <w:rFonts w:ascii="Verdana" w:eastAsia="Verdana" w:hAnsi="Verdana" w:cs="Verdana"/>
          <w:spacing w:val="-4"/>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z w:val="20"/>
          <w:szCs w:val="20"/>
          <w:lang w:val="es-CR"/>
        </w:rPr>
        <w:t>e</w:t>
      </w:r>
      <w:r w:rsidRPr="0046612A">
        <w:rPr>
          <w:rFonts w:ascii="Verdana" w:eastAsia="Verdana" w:hAnsi="Verdana" w:cs="Verdana"/>
          <w:spacing w:val="1"/>
          <w:sz w:val="20"/>
          <w:szCs w:val="20"/>
          <w:lang w:val="es-CR"/>
        </w:rPr>
        <w:t xml:space="preserve"> </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o</w:t>
      </w:r>
      <w:r w:rsidRPr="0046612A">
        <w:rPr>
          <w:rFonts w:ascii="Verdana" w:eastAsia="Verdana" w:hAnsi="Verdana" w:cs="Verdana"/>
          <w:spacing w:val="3"/>
          <w:sz w:val="20"/>
          <w:szCs w:val="20"/>
          <w:lang w:val="es-CR"/>
        </w:rPr>
        <w:t>li</w:t>
      </w:r>
      <w:r w:rsidRPr="0046612A">
        <w:rPr>
          <w:rFonts w:ascii="Verdana" w:eastAsia="Verdana" w:hAnsi="Verdana" w:cs="Verdana"/>
          <w:spacing w:val="-3"/>
          <w:sz w:val="20"/>
          <w:szCs w:val="20"/>
          <w:lang w:val="es-CR"/>
        </w:rPr>
        <w:t>c</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tud</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w:t>
      </w:r>
      <w:r w:rsidRPr="0046612A">
        <w:rPr>
          <w:rFonts w:ascii="Verdana" w:eastAsia="Verdana" w:hAnsi="Verdana" w:cs="Verdana"/>
          <w:spacing w:val="-7"/>
          <w:sz w:val="20"/>
          <w:szCs w:val="20"/>
          <w:lang w:val="es-CR"/>
        </w:rPr>
        <w:t xml:space="preserve"> </w:t>
      </w:r>
      <w:r w:rsidRPr="0046612A">
        <w:rPr>
          <w:rFonts w:ascii="Verdana" w:eastAsia="Verdana" w:hAnsi="Verdana" w:cs="Verdana"/>
          <w:sz w:val="20"/>
          <w:szCs w:val="20"/>
          <w:lang w:val="es-CR"/>
        </w:rPr>
        <w:t>y</w:t>
      </w:r>
      <w:r w:rsidRPr="0046612A">
        <w:rPr>
          <w:rFonts w:ascii="Verdana" w:eastAsia="Verdana" w:hAnsi="Verdana" w:cs="Verdana"/>
          <w:spacing w:val="3"/>
          <w:sz w:val="20"/>
          <w:szCs w:val="20"/>
          <w:lang w:val="es-CR"/>
        </w:rPr>
        <w:t xml:space="preserve"> </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gu</w:t>
      </w:r>
      <w:r w:rsidRPr="0046612A">
        <w:rPr>
          <w:rFonts w:ascii="Verdana" w:eastAsia="Verdana" w:hAnsi="Verdana" w:cs="Verdana"/>
          <w:sz w:val="20"/>
          <w:szCs w:val="20"/>
          <w:lang w:val="es-CR"/>
        </w:rPr>
        <w:t>men</w:t>
      </w:r>
      <w:r w:rsidRPr="0046612A">
        <w:rPr>
          <w:rFonts w:ascii="Verdana" w:eastAsia="Verdana" w:hAnsi="Verdana" w:cs="Verdana"/>
          <w:spacing w:val="1"/>
          <w:sz w:val="20"/>
          <w:szCs w:val="20"/>
          <w:lang w:val="es-CR"/>
        </w:rPr>
        <w:t>t</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s,</w:t>
      </w:r>
      <w:r w:rsidRPr="0046612A">
        <w:rPr>
          <w:rFonts w:ascii="Verdana" w:eastAsia="Verdana" w:hAnsi="Verdana" w:cs="Verdana"/>
          <w:spacing w:val="-10"/>
          <w:sz w:val="20"/>
          <w:szCs w:val="20"/>
          <w:lang w:val="es-CR"/>
        </w:rPr>
        <w:t xml:space="preserve"> </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i</w:t>
      </w:r>
      <w:r w:rsidRPr="0046612A">
        <w:rPr>
          <w:rFonts w:ascii="Verdana" w:eastAsia="Verdana" w:hAnsi="Verdana" w:cs="Verdana"/>
          <w:sz w:val="20"/>
          <w:szCs w:val="20"/>
          <w:lang w:val="es-CR"/>
        </w:rPr>
        <w:t xml:space="preserve">n </w:t>
      </w:r>
      <w:r w:rsidRPr="0046612A">
        <w:rPr>
          <w:rFonts w:ascii="Verdana" w:eastAsia="Verdana" w:hAnsi="Verdana" w:cs="Verdana"/>
          <w:spacing w:val="1"/>
          <w:sz w:val="20"/>
          <w:szCs w:val="20"/>
          <w:lang w:val="es-CR"/>
        </w:rPr>
        <w:t>p</w:t>
      </w:r>
      <w:r w:rsidRPr="0046612A">
        <w:rPr>
          <w:rFonts w:ascii="Verdana" w:eastAsia="Verdana" w:hAnsi="Verdana" w:cs="Verdana"/>
          <w:spacing w:val="-1"/>
          <w:sz w:val="20"/>
          <w:szCs w:val="20"/>
          <w:lang w:val="es-CR"/>
        </w:rPr>
        <w:t>er</w:t>
      </w:r>
      <w:r w:rsidRPr="0046612A">
        <w:rPr>
          <w:rFonts w:ascii="Verdana" w:eastAsia="Verdana" w:hAnsi="Verdana" w:cs="Verdana"/>
          <w:spacing w:val="1"/>
          <w:sz w:val="20"/>
          <w:szCs w:val="20"/>
          <w:lang w:val="es-CR"/>
        </w:rPr>
        <w:t>ju</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i</w:t>
      </w:r>
      <w:r w:rsidRPr="0046612A">
        <w:rPr>
          <w:rFonts w:ascii="Verdana" w:eastAsia="Verdana" w:hAnsi="Verdana" w:cs="Verdana"/>
          <w:sz w:val="20"/>
          <w:szCs w:val="20"/>
          <w:lang w:val="es-CR"/>
        </w:rPr>
        <w:t>o</w:t>
      </w:r>
      <w:r w:rsidRPr="0046612A">
        <w:rPr>
          <w:rFonts w:ascii="Verdana" w:eastAsia="Verdana" w:hAnsi="Verdana" w:cs="Verdana"/>
          <w:spacing w:val="1"/>
          <w:sz w:val="20"/>
          <w:szCs w:val="20"/>
          <w:lang w:val="es-CR"/>
        </w:rPr>
        <w:t xml:space="preserve"> d</w:t>
      </w:r>
      <w:r w:rsidRPr="0046612A">
        <w:rPr>
          <w:rFonts w:ascii="Verdana" w:eastAsia="Verdana" w:hAnsi="Verdana" w:cs="Verdana"/>
          <w:sz w:val="20"/>
          <w:szCs w:val="20"/>
          <w:lang w:val="es-CR"/>
        </w:rPr>
        <w:t>e</w:t>
      </w:r>
      <w:r w:rsidRPr="0046612A">
        <w:rPr>
          <w:rFonts w:ascii="Verdana" w:eastAsia="Verdana" w:hAnsi="Verdana" w:cs="Verdana"/>
          <w:spacing w:val="7"/>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6"/>
          <w:sz w:val="20"/>
          <w:szCs w:val="20"/>
          <w:lang w:val="es-CR"/>
        </w:rPr>
        <w:t xml:space="preserve"> </w:t>
      </w:r>
      <w:r w:rsidRPr="0046612A">
        <w:rPr>
          <w:rFonts w:ascii="Verdana" w:eastAsia="Verdana" w:hAnsi="Verdana" w:cs="Verdana"/>
          <w:spacing w:val="1"/>
          <w:sz w:val="20"/>
          <w:szCs w:val="20"/>
          <w:lang w:val="es-CR"/>
        </w:rPr>
        <w:t>t</w:t>
      </w:r>
      <w:r w:rsidRPr="0046612A">
        <w:rPr>
          <w:rFonts w:ascii="Verdana" w:eastAsia="Verdana" w:hAnsi="Verdana" w:cs="Verdana"/>
          <w:sz w:val="20"/>
          <w:szCs w:val="20"/>
          <w:lang w:val="es-CR"/>
        </w:rPr>
        <w:t>a</w:t>
      </w:r>
      <w:r w:rsidRPr="0046612A">
        <w:rPr>
          <w:rFonts w:ascii="Verdana" w:eastAsia="Verdana" w:hAnsi="Verdana" w:cs="Verdana"/>
          <w:spacing w:val="3"/>
          <w:sz w:val="20"/>
          <w:szCs w:val="20"/>
          <w:lang w:val="es-CR"/>
        </w:rPr>
        <w:t>l</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w:t>
      </w:r>
      <w:r w:rsidRPr="0046612A">
        <w:rPr>
          <w:rFonts w:ascii="Verdana" w:eastAsia="Verdana" w:hAnsi="Verdana" w:cs="Verdana"/>
          <w:spacing w:val="5"/>
          <w:sz w:val="20"/>
          <w:szCs w:val="20"/>
          <w:lang w:val="es-CR"/>
        </w:rPr>
        <w:t xml:space="preserve"> </w:t>
      </w:r>
      <w:r w:rsidRPr="0046612A">
        <w:rPr>
          <w:rFonts w:ascii="Verdana" w:eastAsia="Verdana" w:hAnsi="Verdana" w:cs="Verdana"/>
          <w:spacing w:val="3"/>
          <w:sz w:val="20"/>
          <w:szCs w:val="20"/>
          <w:lang w:val="es-CR"/>
        </w:rPr>
        <w:t>p</w:t>
      </w:r>
      <w:r w:rsidRPr="0046612A">
        <w:rPr>
          <w:rFonts w:ascii="Verdana" w:eastAsia="Verdana" w:hAnsi="Verdana" w:cs="Verdana"/>
          <w:spacing w:val="-1"/>
          <w:sz w:val="20"/>
          <w:szCs w:val="20"/>
          <w:lang w:val="es-CR"/>
        </w:rPr>
        <w:t>re</w:t>
      </w:r>
      <w:r w:rsidRPr="0046612A">
        <w:rPr>
          <w:rFonts w:ascii="Verdana" w:eastAsia="Verdana" w:hAnsi="Verdana" w:cs="Verdana"/>
          <w:spacing w:val="3"/>
          <w:sz w:val="20"/>
          <w:szCs w:val="20"/>
          <w:lang w:val="es-CR"/>
        </w:rPr>
        <w:t>t</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i</w:t>
      </w:r>
      <w:r w:rsidRPr="0046612A">
        <w:rPr>
          <w:rFonts w:ascii="Verdana" w:eastAsia="Verdana" w:hAnsi="Verdana" w:cs="Verdana"/>
          <w:spacing w:val="-1"/>
          <w:sz w:val="20"/>
          <w:szCs w:val="20"/>
          <w:lang w:val="es-CR"/>
        </w:rPr>
        <w:t>o</w:t>
      </w:r>
      <w:r w:rsidRPr="0046612A">
        <w:rPr>
          <w:rFonts w:ascii="Verdana" w:eastAsia="Verdana" w:hAnsi="Verdana" w:cs="Verdana"/>
          <w:spacing w:val="1"/>
          <w:sz w:val="20"/>
          <w:szCs w:val="20"/>
          <w:lang w:val="es-CR"/>
        </w:rPr>
        <w:t>n</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 xml:space="preserve">s </w:t>
      </w:r>
      <w:r w:rsidRPr="0046612A">
        <w:rPr>
          <w:rFonts w:ascii="Verdana" w:eastAsia="Verdana" w:hAnsi="Verdana" w:cs="Verdana"/>
          <w:spacing w:val="2"/>
          <w:sz w:val="20"/>
          <w:szCs w:val="20"/>
          <w:lang w:val="es-CR"/>
        </w:rPr>
        <w:t>s</w:t>
      </w:r>
      <w:r w:rsidRPr="0046612A">
        <w:rPr>
          <w:rFonts w:ascii="Verdana" w:eastAsia="Verdana" w:hAnsi="Verdana" w:cs="Verdana"/>
          <w:sz w:val="20"/>
          <w:szCs w:val="20"/>
          <w:lang w:val="es-CR"/>
        </w:rPr>
        <w:t>e</w:t>
      </w:r>
      <w:r w:rsidRPr="0046612A">
        <w:rPr>
          <w:rFonts w:ascii="Verdana" w:eastAsia="Verdana" w:hAnsi="Verdana" w:cs="Verdana"/>
          <w:spacing w:val="8"/>
          <w:sz w:val="20"/>
          <w:szCs w:val="20"/>
          <w:lang w:val="es-CR"/>
        </w:rPr>
        <w:t xml:space="preserve"> </w:t>
      </w:r>
      <w:r w:rsidRPr="0046612A">
        <w:rPr>
          <w:rFonts w:ascii="Verdana" w:eastAsia="Verdana" w:hAnsi="Verdana" w:cs="Verdana"/>
          <w:sz w:val="20"/>
          <w:szCs w:val="20"/>
          <w:lang w:val="es-CR"/>
        </w:rPr>
        <w:t>act</w:t>
      </w:r>
      <w:r w:rsidRPr="0046612A">
        <w:rPr>
          <w:rFonts w:ascii="Verdana" w:eastAsia="Verdana" w:hAnsi="Verdana" w:cs="Verdana"/>
          <w:spacing w:val="2"/>
          <w:sz w:val="20"/>
          <w:szCs w:val="20"/>
          <w:lang w:val="es-CR"/>
        </w:rPr>
        <w:t>u</w:t>
      </w:r>
      <w:r w:rsidRPr="0046612A">
        <w:rPr>
          <w:rFonts w:ascii="Verdana" w:eastAsia="Verdana" w:hAnsi="Verdana" w:cs="Verdana"/>
          <w:sz w:val="20"/>
          <w:szCs w:val="20"/>
          <w:lang w:val="es-CR"/>
        </w:rPr>
        <w:t>a</w:t>
      </w:r>
      <w:r w:rsidRPr="0046612A">
        <w:rPr>
          <w:rFonts w:ascii="Verdana" w:eastAsia="Verdana" w:hAnsi="Verdana" w:cs="Verdana"/>
          <w:spacing w:val="3"/>
          <w:sz w:val="20"/>
          <w:szCs w:val="20"/>
          <w:lang w:val="es-CR"/>
        </w:rPr>
        <w:t>li</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e</w:t>
      </w:r>
      <w:r w:rsidRPr="0046612A">
        <w:rPr>
          <w:rFonts w:ascii="Verdana" w:eastAsia="Verdana" w:hAnsi="Verdana" w:cs="Verdana"/>
          <w:sz w:val="20"/>
          <w:szCs w:val="20"/>
          <w:lang w:val="es-CR"/>
        </w:rPr>
        <w:t>n</w:t>
      </w:r>
      <w:r w:rsidRPr="0046612A">
        <w:rPr>
          <w:rFonts w:ascii="Verdana" w:eastAsia="Verdana" w:hAnsi="Verdana" w:cs="Verdana"/>
          <w:spacing w:val="2"/>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n</w:t>
      </w:r>
      <w:r w:rsidRPr="0046612A">
        <w:rPr>
          <w:rFonts w:ascii="Verdana" w:eastAsia="Verdana" w:hAnsi="Verdana" w:cs="Verdana"/>
          <w:spacing w:val="9"/>
          <w:sz w:val="20"/>
          <w:szCs w:val="20"/>
          <w:lang w:val="es-CR"/>
        </w:rPr>
        <w:t xml:space="preserve"> </w:t>
      </w:r>
      <w:r w:rsidRPr="0046612A">
        <w:rPr>
          <w:rFonts w:ascii="Verdana" w:eastAsia="Verdana" w:hAnsi="Verdana" w:cs="Verdana"/>
          <w:spacing w:val="1"/>
          <w:sz w:val="20"/>
          <w:szCs w:val="20"/>
          <w:lang w:val="es-CR"/>
        </w:rPr>
        <w:t>u</w:t>
      </w:r>
      <w:r w:rsidRPr="0046612A">
        <w:rPr>
          <w:rFonts w:ascii="Verdana" w:eastAsia="Verdana" w:hAnsi="Verdana" w:cs="Verdana"/>
          <w:sz w:val="20"/>
          <w:szCs w:val="20"/>
          <w:lang w:val="es-CR"/>
        </w:rPr>
        <w:t>n</w:t>
      </w:r>
      <w:r w:rsidRPr="0046612A">
        <w:rPr>
          <w:rFonts w:ascii="Verdana" w:eastAsia="Verdana" w:hAnsi="Verdana" w:cs="Verdana"/>
          <w:spacing w:val="9"/>
          <w:sz w:val="20"/>
          <w:szCs w:val="20"/>
          <w:lang w:val="es-CR"/>
        </w:rPr>
        <w:t xml:space="preserve"> </w:t>
      </w:r>
      <w:r w:rsidRPr="0046612A">
        <w:rPr>
          <w:rFonts w:ascii="Verdana" w:eastAsia="Verdana" w:hAnsi="Verdana" w:cs="Verdana"/>
          <w:sz w:val="20"/>
          <w:szCs w:val="20"/>
          <w:lang w:val="es-CR"/>
        </w:rPr>
        <w:t>mo</w:t>
      </w:r>
      <w:r w:rsidRPr="0046612A">
        <w:rPr>
          <w:rFonts w:ascii="Verdana" w:eastAsia="Verdana" w:hAnsi="Verdana" w:cs="Verdana"/>
          <w:spacing w:val="3"/>
          <w:sz w:val="20"/>
          <w:szCs w:val="20"/>
          <w:lang w:val="es-CR"/>
        </w:rPr>
        <w:t>m</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o</w:t>
      </w:r>
      <w:r w:rsidRPr="0046612A">
        <w:rPr>
          <w:rFonts w:ascii="Verdana" w:eastAsia="Verdana" w:hAnsi="Verdana" w:cs="Verdana"/>
          <w:spacing w:val="2"/>
          <w:sz w:val="20"/>
          <w:szCs w:val="20"/>
          <w:lang w:val="es-CR"/>
        </w:rPr>
        <w:t xml:space="preserve"> </w:t>
      </w:r>
      <w:r w:rsidRPr="0046612A">
        <w:rPr>
          <w:rFonts w:ascii="Verdana" w:eastAsia="Verdana" w:hAnsi="Verdana" w:cs="Verdana"/>
          <w:spacing w:val="1"/>
          <w:sz w:val="20"/>
          <w:szCs w:val="20"/>
          <w:lang w:val="es-CR"/>
        </w:rPr>
        <w:t>po</w:t>
      </w:r>
      <w:r w:rsidRPr="0046612A">
        <w:rPr>
          <w:rFonts w:ascii="Verdana" w:eastAsia="Verdana" w:hAnsi="Verdana" w:cs="Verdana"/>
          <w:sz w:val="20"/>
          <w:szCs w:val="20"/>
          <w:lang w:val="es-CR"/>
        </w:rPr>
        <w:t>st</w:t>
      </w:r>
      <w:r w:rsidRPr="0046612A">
        <w:rPr>
          <w:rFonts w:ascii="Verdana" w:eastAsia="Verdana" w:hAnsi="Verdana" w:cs="Verdana"/>
          <w:spacing w:val="-1"/>
          <w:sz w:val="20"/>
          <w:szCs w:val="20"/>
          <w:lang w:val="es-CR"/>
        </w:rPr>
        <w:t>er</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o</w:t>
      </w:r>
      <w:r w:rsidRPr="0046612A">
        <w:rPr>
          <w:rFonts w:ascii="Verdana" w:eastAsia="Verdana" w:hAnsi="Verdana" w:cs="Verdana"/>
          <w:spacing w:val="10"/>
          <w:sz w:val="20"/>
          <w:szCs w:val="20"/>
          <w:lang w:val="es-CR"/>
        </w:rPr>
        <w:t>r</w:t>
      </w:r>
      <w:r w:rsidRPr="0046612A">
        <w:rPr>
          <w:rFonts w:ascii="Verdana" w:eastAsia="Verdana" w:hAnsi="Verdana" w:cs="Verdana"/>
          <w:sz w:val="20"/>
          <w:szCs w:val="20"/>
          <w:lang w:val="es-CR"/>
        </w:rPr>
        <w:t xml:space="preserve">, </w:t>
      </w:r>
      <w:r w:rsidRPr="0046612A">
        <w:rPr>
          <w:rFonts w:ascii="Verdana" w:eastAsia="Verdana" w:hAnsi="Verdana" w:cs="Verdana"/>
          <w:spacing w:val="2"/>
          <w:sz w:val="20"/>
          <w:szCs w:val="20"/>
          <w:lang w:val="es-CR"/>
        </w:rPr>
        <w:t>c</w:t>
      </w:r>
      <w:r w:rsidRPr="0046612A">
        <w:rPr>
          <w:rFonts w:ascii="Verdana" w:eastAsia="Verdana" w:hAnsi="Verdana" w:cs="Verdana"/>
          <w:spacing w:val="-1"/>
          <w:sz w:val="20"/>
          <w:szCs w:val="20"/>
          <w:lang w:val="es-CR"/>
        </w:rPr>
        <w:t>o</w:t>
      </w:r>
      <w:r w:rsidRPr="0046612A">
        <w:rPr>
          <w:rFonts w:ascii="Verdana" w:eastAsia="Verdana" w:hAnsi="Verdana" w:cs="Verdana"/>
          <w:spacing w:val="1"/>
          <w:sz w:val="20"/>
          <w:szCs w:val="20"/>
          <w:lang w:val="es-CR"/>
        </w:rPr>
        <w:t>n</w:t>
      </w:r>
      <w:r w:rsidRPr="0046612A">
        <w:rPr>
          <w:rFonts w:ascii="Verdana" w:eastAsia="Verdana" w:hAnsi="Verdana" w:cs="Verdana"/>
          <w:spacing w:val="2"/>
          <w:sz w:val="20"/>
          <w:szCs w:val="20"/>
          <w:lang w:val="es-CR"/>
        </w:rPr>
        <w:t>f</w:t>
      </w:r>
      <w:r w:rsidRPr="0046612A">
        <w:rPr>
          <w:rFonts w:ascii="Verdana" w:eastAsia="Verdana" w:hAnsi="Verdana" w:cs="Verdana"/>
          <w:spacing w:val="-1"/>
          <w:sz w:val="20"/>
          <w:szCs w:val="20"/>
          <w:lang w:val="es-CR"/>
        </w:rPr>
        <w:t>or</w:t>
      </w:r>
      <w:r w:rsidRPr="0046612A">
        <w:rPr>
          <w:rFonts w:ascii="Verdana" w:eastAsia="Verdana" w:hAnsi="Verdana" w:cs="Verdana"/>
          <w:spacing w:val="3"/>
          <w:sz w:val="20"/>
          <w:szCs w:val="20"/>
          <w:lang w:val="es-CR"/>
        </w:rPr>
        <w:t>m</w:t>
      </w:r>
      <w:r w:rsidRPr="0046612A">
        <w:rPr>
          <w:rFonts w:ascii="Verdana" w:eastAsia="Verdana" w:hAnsi="Verdana" w:cs="Verdana"/>
          <w:sz w:val="20"/>
          <w:szCs w:val="20"/>
          <w:lang w:val="es-CR"/>
        </w:rPr>
        <w:t>e a</w:t>
      </w:r>
      <w:r w:rsidRPr="0046612A">
        <w:rPr>
          <w:rFonts w:ascii="Verdana" w:eastAsia="Verdana" w:hAnsi="Verdana" w:cs="Verdana"/>
          <w:spacing w:val="12"/>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as</w:t>
      </w:r>
      <w:r w:rsidRPr="0046612A">
        <w:rPr>
          <w:rFonts w:ascii="Verdana" w:eastAsia="Verdana" w:hAnsi="Verdana" w:cs="Verdana"/>
          <w:spacing w:val="8"/>
          <w:sz w:val="20"/>
          <w:szCs w:val="20"/>
          <w:lang w:val="es-CR"/>
        </w:rPr>
        <w:t xml:space="preserve"> </w:t>
      </w:r>
      <w:r w:rsidRPr="0046612A">
        <w:rPr>
          <w:rFonts w:ascii="Verdana" w:eastAsia="Verdana" w:hAnsi="Verdana" w:cs="Verdana"/>
          <w:spacing w:val="1"/>
          <w:sz w:val="20"/>
          <w:szCs w:val="20"/>
          <w:lang w:val="es-CR"/>
        </w:rPr>
        <w:t>nu</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v</w:t>
      </w:r>
      <w:r w:rsidRPr="0046612A">
        <w:rPr>
          <w:rFonts w:ascii="Verdana" w:eastAsia="Verdana" w:hAnsi="Verdana" w:cs="Verdana"/>
          <w:spacing w:val="2"/>
          <w:sz w:val="20"/>
          <w:szCs w:val="20"/>
          <w:lang w:val="es-CR"/>
        </w:rPr>
        <w:t>a</w:t>
      </w:r>
      <w:r w:rsidRPr="0046612A">
        <w:rPr>
          <w:rFonts w:ascii="Verdana" w:eastAsia="Verdana" w:hAnsi="Verdana" w:cs="Verdana"/>
          <w:sz w:val="20"/>
          <w:szCs w:val="20"/>
          <w:lang w:val="es-CR"/>
        </w:rPr>
        <w:t>s c</w:t>
      </w:r>
      <w:r w:rsidRPr="0046612A">
        <w:rPr>
          <w:rFonts w:ascii="Verdana" w:eastAsia="Verdana" w:hAnsi="Verdana" w:cs="Verdana"/>
          <w:spacing w:val="-2"/>
          <w:sz w:val="20"/>
          <w:szCs w:val="20"/>
          <w:lang w:val="es-CR"/>
        </w:rPr>
        <w:t>o</w:t>
      </w:r>
      <w:r w:rsidRPr="0046612A">
        <w:rPr>
          <w:rFonts w:ascii="Verdana" w:eastAsia="Verdana" w:hAnsi="Verdana" w:cs="Verdana"/>
          <w:sz w:val="20"/>
          <w:szCs w:val="20"/>
          <w:lang w:val="es-CR"/>
        </w:rPr>
        <w:t>st</w:t>
      </w:r>
      <w:r w:rsidRPr="0046612A">
        <w:rPr>
          <w:rFonts w:ascii="Verdana" w:eastAsia="Verdana" w:hAnsi="Verdana" w:cs="Verdana"/>
          <w:spacing w:val="3"/>
          <w:sz w:val="20"/>
          <w:szCs w:val="20"/>
          <w:lang w:val="es-CR"/>
        </w:rPr>
        <w:t>a</w:t>
      </w:r>
      <w:r w:rsidRPr="0046612A">
        <w:rPr>
          <w:rFonts w:ascii="Verdana" w:eastAsia="Verdana" w:hAnsi="Verdana" w:cs="Verdana"/>
          <w:sz w:val="20"/>
          <w:szCs w:val="20"/>
          <w:lang w:val="es-CR"/>
        </w:rPr>
        <w:t>s</w:t>
      </w:r>
      <w:r w:rsidRPr="0046612A">
        <w:rPr>
          <w:rFonts w:ascii="Verdana" w:eastAsia="Verdana" w:hAnsi="Verdana" w:cs="Verdana"/>
          <w:spacing w:val="8"/>
          <w:sz w:val="20"/>
          <w:szCs w:val="20"/>
          <w:lang w:val="es-CR"/>
        </w:rPr>
        <w:t xml:space="preserve"> </w:t>
      </w:r>
      <w:r w:rsidRPr="0046612A">
        <w:rPr>
          <w:rFonts w:ascii="Verdana" w:eastAsia="Verdana" w:hAnsi="Verdana" w:cs="Verdana"/>
          <w:sz w:val="20"/>
          <w:szCs w:val="20"/>
          <w:lang w:val="es-CR"/>
        </w:rPr>
        <w:t>y</w:t>
      </w:r>
      <w:r w:rsidRPr="0046612A">
        <w:rPr>
          <w:rFonts w:ascii="Verdana" w:eastAsia="Verdana" w:hAnsi="Verdana" w:cs="Verdana"/>
          <w:spacing w:val="13"/>
          <w:sz w:val="20"/>
          <w:szCs w:val="20"/>
          <w:lang w:val="es-CR"/>
        </w:rPr>
        <w:t xml:space="preserve"> </w:t>
      </w:r>
      <w:r w:rsidRPr="0046612A">
        <w:rPr>
          <w:rFonts w:ascii="Verdana" w:eastAsia="Verdana" w:hAnsi="Verdana" w:cs="Verdana"/>
          <w:spacing w:val="1"/>
          <w:sz w:val="20"/>
          <w:szCs w:val="20"/>
          <w:lang w:val="es-CR"/>
        </w:rPr>
        <w:t>g</w:t>
      </w:r>
      <w:r w:rsidRPr="0046612A">
        <w:rPr>
          <w:rFonts w:ascii="Verdana" w:eastAsia="Verdana" w:hAnsi="Verdana" w:cs="Verdana"/>
          <w:sz w:val="20"/>
          <w:szCs w:val="20"/>
          <w:lang w:val="es-CR"/>
        </w:rPr>
        <w:t>astos</w:t>
      </w:r>
      <w:r w:rsidRPr="0046612A">
        <w:rPr>
          <w:rFonts w:ascii="Verdana" w:eastAsia="Verdana" w:hAnsi="Verdana" w:cs="Verdana"/>
          <w:spacing w:val="10"/>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n</w:t>
      </w:r>
      <w:r w:rsidRPr="0046612A">
        <w:rPr>
          <w:rFonts w:ascii="Verdana" w:eastAsia="Verdana" w:hAnsi="Verdana" w:cs="Verdana"/>
          <w:spacing w:val="14"/>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11"/>
          <w:sz w:val="20"/>
          <w:szCs w:val="20"/>
          <w:lang w:val="es-CR"/>
        </w:rPr>
        <w:t xml:space="preserve"> </w:t>
      </w:r>
      <w:r w:rsidRPr="0046612A">
        <w:rPr>
          <w:rFonts w:ascii="Verdana" w:eastAsia="Verdana" w:hAnsi="Verdana" w:cs="Verdana"/>
          <w:sz w:val="20"/>
          <w:szCs w:val="20"/>
          <w:lang w:val="es-CR"/>
        </w:rPr>
        <w:t>se</w:t>
      </w:r>
      <w:r w:rsidRPr="0046612A">
        <w:rPr>
          <w:rFonts w:ascii="Verdana" w:eastAsia="Verdana" w:hAnsi="Verdana" w:cs="Verdana"/>
          <w:spacing w:val="11"/>
          <w:sz w:val="20"/>
          <w:szCs w:val="20"/>
          <w:lang w:val="es-CR"/>
        </w:rPr>
        <w:t xml:space="preserve"> </w:t>
      </w:r>
      <w:r w:rsidRPr="0046612A">
        <w:rPr>
          <w:rFonts w:ascii="Verdana" w:eastAsia="Verdana" w:hAnsi="Verdana" w:cs="Verdana"/>
          <w:spacing w:val="1"/>
          <w:sz w:val="20"/>
          <w:szCs w:val="20"/>
          <w:lang w:val="es-CR"/>
        </w:rPr>
        <w:t>h</w:t>
      </w:r>
      <w:r w:rsidRPr="0046612A">
        <w:rPr>
          <w:rFonts w:ascii="Verdana" w:eastAsia="Verdana" w:hAnsi="Verdana" w:cs="Verdana"/>
          <w:sz w:val="20"/>
          <w:szCs w:val="20"/>
          <w:lang w:val="es-CR"/>
        </w:rPr>
        <w:t>aya</w:t>
      </w:r>
      <w:r w:rsidRPr="0046612A">
        <w:rPr>
          <w:rFonts w:ascii="Verdana" w:eastAsia="Verdana" w:hAnsi="Verdana" w:cs="Verdana"/>
          <w:spacing w:val="10"/>
          <w:sz w:val="20"/>
          <w:szCs w:val="20"/>
          <w:lang w:val="es-CR"/>
        </w:rPr>
        <w:t xml:space="preserve"> </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cur</w:t>
      </w:r>
      <w:r w:rsidRPr="0046612A">
        <w:rPr>
          <w:rFonts w:ascii="Verdana" w:eastAsia="Verdana" w:hAnsi="Verdana" w:cs="Verdana"/>
          <w:spacing w:val="-2"/>
          <w:sz w:val="20"/>
          <w:szCs w:val="20"/>
          <w:lang w:val="es-CR"/>
        </w:rPr>
        <w:t>r</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d</w:t>
      </w:r>
      <w:r w:rsidRPr="0046612A">
        <w:rPr>
          <w:rFonts w:ascii="Verdana" w:eastAsia="Verdana" w:hAnsi="Verdana" w:cs="Verdana"/>
          <w:sz w:val="20"/>
          <w:szCs w:val="20"/>
          <w:lang w:val="es-CR"/>
        </w:rPr>
        <w:t>o</w:t>
      </w:r>
      <w:r w:rsidRPr="0046612A">
        <w:rPr>
          <w:rFonts w:ascii="Verdana" w:eastAsia="Verdana" w:hAnsi="Verdana" w:cs="Verdana"/>
          <w:spacing w:val="5"/>
          <w:sz w:val="20"/>
          <w:szCs w:val="20"/>
          <w:lang w:val="es-CR"/>
        </w:rPr>
        <w:t xml:space="preserve"> </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o</w:t>
      </w:r>
      <w:r w:rsidRPr="0046612A">
        <w:rPr>
          <w:rFonts w:ascii="Verdana" w:eastAsia="Verdana" w:hAnsi="Verdana" w:cs="Verdana"/>
          <w:sz w:val="20"/>
          <w:szCs w:val="20"/>
          <w:lang w:val="es-CR"/>
        </w:rPr>
        <w:t>n</w:t>
      </w:r>
      <w:r w:rsidRPr="0046612A">
        <w:rPr>
          <w:rFonts w:ascii="Verdana" w:eastAsia="Verdana" w:hAnsi="Verdana" w:cs="Verdana"/>
          <w:spacing w:val="13"/>
          <w:sz w:val="20"/>
          <w:szCs w:val="20"/>
          <w:lang w:val="es-CR"/>
        </w:rPr>
        <w:t xml:space="preserve"> </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ca</w:t>
      </w:r>
      <w:r w:rsidRPr="0046612A">
        <w:rPr>
          <w:rFonts w:ascii="Verdana" w:eastAsia="Verdana" w:hAnsi="Verdana" w:cs="Verdana"/>
          <w:spacing w:val="-1"/>
          <w:sz w:val="20"/>
          <w:szCs w:val="20"/>
          <w:lang w:val="es-CR"/>
        </w:rPr>
        <w:t>s</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ó</w:t>
      </w:r>
      <w:r w:rsidRPr="0046612A">
        <w:rPr>
          <w:rFonts w:ascii="Verdana" w:eastAsia="Verdana" w:hAnsi="Verdana" w:cs="Verdana"/>
          <w:sz w:val="20"/>
          <w:szCs w:val="20"/>
          <w:lang w:val="es-CR"/>
        </w:rPr>
        <w:t>n</w:t>
      </w:r>
      <w:r w:rsidRPr="0046612A">
        <w:rPr>
          <w:rFonts w:ascii="Verdana" w:eastAsia="Verdana" w:hAnsi="Verdana" w:cs="Verdana"/>
          <w:spacing w:val="9"/>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l</w:t>
      </w:r>
      <w:r w:rsidRPr="0046612A">
        <w:rPr>
          <w:rFonts w:ascii="Verdana" w:eastAsia="Verdana" w:hAnsi="Verdana" w:cs="Verdana"/>
          <w:spacing w:val="15"/>
          <w:sz w:val="20"/>
          <w:szCs w:val="20"/>
          <w:lang w:val="es-CR"/>
        </w:rPr>
        <w:t xml:space="preserve"> </w:t>
      </w:r>
      <w:r w:rsidRPr="0046612A">
        <w:rPr>
          <w:rFonts w:ascii="Verdana" w:eastAsia="Verdana" w:hAnsi="Verdana" w:cs="Verdana"/>
          <w:spacing w:val="1"/>
          <w:sz w:val="20"/>
          <w:szCs w:val="20"/>
          <w:lang w:val="es-CR"/>
        </w:rPr>
        <w:t>p</w:t>
      </w:r>
      <w:r w:rsidRPr="0046612A">
        <w:rPr>
          <w:rFonts w:ascii="Verdana" w:eastAsia="Verdana" w:hAnsi="Verdana" w:cs="Verdana"/>
          <w:spacing w:val="-1"/>
          <w:sz w:val="20"/>
          <w:szCs w:val="20"/>
          <w:lang w:val="es-CR"/>
        </w:rPr>
        <w:t>ro</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e</w:t>
      </w:r>
      <w:r w:rsidRPr="0046612A">
        <w:rPr>
          <w:rFonts w:ascii="Verdana" w:eastAsia="Verdana" w:hAnsi="Verdana" w:cs="Verdana"/>
          <w:spacing w:val="1"/>
          <w:sz w:val="20"/>
          <w:szCs w:val="20"/>
          <w:lang w:val="es-CR"/>
        </w:rPr>
        <w:t>d</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m</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o a</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e</w:t>
      </w:r>
      <w:r w:rsidRPr="0046612A">
        <w:rPr>
          <w:rFonts w:ascii="Verdana" w:eastAsia="Verdana" w:hAnsi="Verdana" w:cs="Verdana"/>
          <w:spacing w:val="10"/>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sta</w:t>
      </w:r>
      <w:r w:rsidRPr="0046612A">
        <w:rPr>
          <w:rFonts w:ascii="Verdana" w:eastAsia="Verdana" w:hAnsi="Verdana" w:cs="Verdana"/>
          <w:spacing w:val="11"/>
          <w:sz w:val="20"/>
          <w:szCs w:val="20"/>
          <w:lang w:val="es-CR"/>
        </w:rPr>
        <w:t xml:space="preserve"> </w:t>
      </w:r>
      <w:r w:rsidRPr="0046612A">
        <w:rPr>
          <w:rFonts w:ascii="Verdana" w:eastAsia="Verdana" w:hAnsi="Verdana" w:cs="Verdana"/>
          <w:sz w:val="20"/>
          <w:szCs w:val="20"/>
          <w:lang w:val="es-CR"/>
        </w:rPr>
        <w:t>C</w:t>
      </w:r>
      <w:r w:rsidRPr="0046612A">
        <w:rPr>
          <w:rFonts w:ascii="Verdana" w:eastAsia="Verdana" w:hAnsi="Verdana" w:cs="Verdana"/>
          <w:spacing w:val="-1"/>
          <w:sz w:val="20"/>
          <w:szCs w:val="20"/>
          <w:lang w:val="es-CR"/>
        </w:rPr>
        <w:t>or</w:t>
      </w:r>
      <w:r w:rsidRPr="0046612A">
        <w:rPr>
          <w:rFonts w:ascii="Verdana" w:eastAsia="Verdana" w:hAnsi="Verdana" w:cs="Verdana"/>
          <w:spacing w:val="3"/>
          <w:sz w:val="20"/>
          <w:szCs w:val="20"/>
          <w:lang w:val="es-CR"/>
        </w:rPr>
        <w:t>t</w:t>
      </w:r>
      <w:r w:rsidRPr="0046612A">
        <w:rPr>
          <w:rFonts w:ascii="Verdana" w:eastAsia="Verdana" w:hAnsi="Verdana" w:cs="Verdana"/>
          <w:spacing w:val="-1"/>
          <w:sz w:val="20"/>
          <w:szCs w:val="20"/>
          <w:lang w:val="es-CR"/>
        </w:rPr>
        <w:t>e</w:t>
      </w:r>
      <w:r w:rsidRPr="0046612A">
        <w:rPr>
          <w:rFonts w:ascii="Verdana" w:eastAsia="Verdana" w:hAnsi="Verdana" w:cs="Verdana"/>
          <w:spacing w:val="11"/>
          <w:sz w:val="20"/>
          <w:szCs w:val="20"/>
          <w:lang w:val="es-CR"/>
        </w:rPr>
        <w:t>”</w:t>
      </w:r>
      <w:r w:rsidRPr="00F16BE7">
        <w:rPr>
          <w:rFonts w:eastAsia="Verdana" w:cs="Verdana"/>
          <w:spacing w:val="11"/>
          <w:vertAlign w:val="superscript"/>
          <w:lang w:val="es-CR"/>
        </w:rPr>
        <w:footnoteReference w:id="199"/>
      </w:r>
      <w:r w:rsidRPr="0046612A">
        <w:rPr>
          <w:rFonts w:ascii="Verdana" w:eastAsia="Verdana" w:hAnsi="Verdana" w:cs="Verdana"/>
          <w:sz w:val="20"/>
          <w:szCs w:val="20"/>
          <w:lang w:val="es-CR"/>
        </w:rPr>
        <w:t>. As</w:t>
      </w:r>
      <w:r w:rsidRPr="0046612A">
        <w:rPr>
          <w:rFonts w:ascii="Verdana" w:eastAsia="Verdana" w:hAnsi="Verdana" w:cs="Verdana"/>
          <w:spacing w:val="3"/>
          <w:sz w:val="20"/>
          <w:szCs w:val="20"/>
          <w:lang w:val="es-CR"/>
        </w:rPr>
        <w:t>i</w:t>
      </w:r>
      <w:r w:rsidRPr="0046612A">
        <w:rPr>
          <w:rFonts w:ascii="Verdana" w:eastAsia="Verdana" w:hAnsi="Verdana" w:cs="Verdana"/>
          <w:spacing w:val="-2"/>
          <w:sz w:val="20"/>
          <w:szCs w:val="20"/>
          <w:lang w:val="es-CR"/>
        </w:rPr>
        <w:t>m</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sm</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w:t>
      </w:r>
      <w:r w:rsidRPr="0046612A">
        <w:rPr>
          <w:rFonts w:ascii="Verdana" w:eastAsia="Verdana" w:hAnsi="Verdana" w:cs="Verdana"/>
          <w:spacing w:val="1"/>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w:t>
      </w:r>
      <w:r w:rsidRPr="0046612A">
        <w:rPr>
          <w:rFonts w:ascii="Verdana" w:eastAsia="Verdana" w:hAnsi="Verdana" w:cs="Verdana"/>
          <w:spacing w:val="9"/>
          <w:sz w:val="20"/>
          <w:szCs w:val="20"/>
          <w:lang w:val="es-CR"/>
        </w:rPr>
        <w:t xml:space="preserve"> </w:t>
      </w:r>
      <w:r w:rsidRPr="0046612A">
        <w:rPr>
          <w:rFonts w:ascii="Verdana" w:eastAsia="Verdana" w:hAnsi="Verdana" w:cs="Verdana"/>
          <w:sz w:val="20"/>
          <w:szCs w:val="20"/>
          <w:lang w:val="es-CR"/>
        </w:rPr>
        <w:t>C</w:t>
      </w:r>
      <w:r w:rsidRPr="0046612A">
        <w:rPr>
          <w:rFonts w:ascii="Verdana" w:eastAsia="Verdana" w:hAnsi="Verdana" w:cs="Verdana"/>
          <w:spacing w:val="-1"/>
          <w:sz w:val="20"/>
          <w:szCs w:val="20"/>
          <w:lang w:val="es-CR"/>
        </w:rPr>
        <w:t>or</w:t>
      </w:r>
      <w:r w:rsidRPr="0046612A">
        <w:rPr>
          <w:rFonts w:ascii="Verdana" w:eastAsia="Verdana" w:hAnsi="Verdana" w:cs="Verdana"/>
          <w:spacing w:val="3"/>
          <w:sz w:val="20"/>
          <w:szCs w:val="20"/>
          <w:lang w:val="es-CR"/>
        </w:rPr>
        <w:t>t</w:t>
      </w:r>
      <w:r w:rsidRPr="0046612A">
        <w:rPr>
          <w:rFonts w:ascii="Verdana" w:eastAsia="Verdana" w:hAnsi="Verdana" w:cs="Verdana"/>
          <w:sz w:val="20"/>
          <w:szCs w:val="20"/>
          <w:lang w:val="es-CR"/>
        </w:rPr>
        <w:t>e</w:t>
      </w:r>
      <w:r w:rsidRPr="0046612A">
        <w:rPr>
          <w:rFonts w:ascii="Verdana" w:eastAsia="Verdana" w:hAnsi="Verdana" w:cs="Verdana"/>
          <w:spacing w:val="7"/>
          <w:sz w:val="20"/>
          <w:szCs w:val="20"/>
          <w:lang w:val="es-CR"/>
        </w:rPr>
        <w:t xml:space="preserve"> </w:t>
      </w:r>
      <w:r w:rsidRPr="0046612A">
        <w:rPr>
          <w:rFonts w:ascii="Verdana" w:eastAsia="Verdana" w:hAnsi="Verdana" w:cs="Verdana"/>
          <w:spacing w:val="-1"/>
          <w:sz w:val="20"/>
          <w:szCs w:val="20"/>
          <w:lang w:val="es-CR"/>
        </w:rPr>
        <w:t>re</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t</w:t>
      </w:r>
      <w:r w:rsidRPr="0046612A">
        <w:rPr>
          <w:rFonts w:ascii="Verdana" w:eastAsia="Verdana" w:hAnsi="Verdana" w:cs="Verdana"/>
          <w:spacing w:val="-1"/>
          <w:sz w:val="20"/>
          <w:szCs w:val="20"/>
          <w:lang w:val="es-CR"/>
        </w:rPr>
        <w:t>er</w:t>
      </w:r>
      <w:r w:rsidRPr="0046612A">
        <w:rPr>
          <w:rFonts w:ascii="Verdana" w:eastAsia="Verdana" w:hAnsi="Verdana" w:cs="Verdana"/>
          <w:sz w:val="20"/>
          <w:szCs w:val="20"/>
          <w:lang w:val="es-CR"/>
        </w:rPr>
        <w:t>a</w:t>
      </w:r>
      <w:r w:rsidRPr="0046612A">
        <w:rPr>
          <w:rFonts w:ascii="Verdana" w:eastAsia="Verdana" w:hAnsi="Verdana" w:cs="Verdana"/>
          <w:spacing w:val="7"/>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6"/>
          <w:sz w:val="20"/>
          <w:szCs w:val="20"/>
          <w:lang w:val="es-CR"/>
        </w:rPr>
        <w:t xml:space="preserve"> </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o</w:t>
      </w:r>
      <w:r w:rsidRPr="0046612A">
        <w:rPr>
          <w:rFonts w:ascii="Verdana" w:eastAsia="Verdana" w:hAnsi="Verdana" w:cs="Verdana"/>
          <w:spacing w:val="10"/>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w:t>
      </w:r>
      <w:r w:rsidRPr="0046612A">
        <w:rPr>
          <w:rFonts w:ascii="Verdana" w:eastAsia="Verdana" w:hAnsi="Verdana" w:cs="Verdana"/>
          <w:spacing w:val="8"/>
          <w:sz w:val="20"/>
          <w:szCs w:val="20"/>
          <w:lang w:val="es-CR"/>
        </w:rPr>
        <w:t xml:space="preserve"> </w:t>
      </w:r>
      <w:r w:rsidRPr="0046612A">
        <w:rPr>
          <w:rFonts w:ascii="Verdana" w:eastAsia="Verdana" w:hAnsi="Verdana" w:cs="Verdana"/>
          <w:sz w:val="20"/>
          <w:szCs w:val="20"/>
          <w:lang w:val="es-CR"/>
        </w:rPr>
        <w:t>suf</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i</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 xml:space="preserve">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w:t>
      </w:r>
      <w:r w:rsidRPr="0046612A">
        <w:rPr>
          <w:rFonts w:ascii="Verdana" w:eastAsia="Verdana" w:hAnsi="Verdana" w:cs="Verdana"/>
          <w:spacing w:val="9"/>
          <w:sz w:val="20"/>
          <w:szCs w:val="20"/>
          <w:lang w:val="es-CR"/>
        </w:rPr>
        <w:t xml:space="preserve"> </w:t>
      </w:r>
      <w:r w:rsidRPr="0046612A">
        <w:rPr>
          <w:rFonts w:ascii="Verdana" w:eastAsia="Verdana" w:hAnsi="Verdana" w:cs="Verdana"/>
          <w:spacing w:val="-1"/>
          <w:sz w:val="20"/>
          <w:szCs w:val="20"/>
          <w:lang w:val="es-CR"/>
        </w:rPr>
        <w:t>re</w:t>
      </w:r>
      <w:r w:rsidRPr="0046612A">
        <w:rPr>
          <w:rFonts w:ascii="Verdana" w:eastAsia="Verdana" w:hAnsi="Verdana" w:cs="Verdana"/>
          <w:sz w:val="20"/>
          <w:szCs w:val="20"/>
          <w:lang w:val="es-CR"/>
        </w:rPr>
        <w:t>m</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i</w:t>
      </w:r>
      <w:r w:rsidRPr="0046612A">
        <w:rPr>
          <w:rFonts w:ascii="Verdana" w:eastAsia="Verdana" w:hAnsi="Verdana" w:cs="Verdana"/>
          <w:spacing w:val="-1"/>
          <w:sz w:val="20"/>
          <w:szCs w:val="20"/>
          <w:lang w:val="es-CR"/>
        </w:rPr>
        <w:t>ó</w:t>
      </w:r>
      <w:r w:rsidRPr="0046612A">
        <w:rPr>
          <w:rFonts w:ascii="Verdana" w:eastAsia="Verdana" w:hAnsi="Verdana" w:cs="Verdana"/>
          <w:sz w:val="20"/>
          <w:szCs w:val="20"/>
          <w:lang w:val="es-CR"/>
        </w:rPr>
        <w:t>n</w:t>
      </w:r>
      <w:r w:rsidRPr="0046612A">
        <w:rPr>
          <w:rFonts w:ascii="Verdana" w:eastAsia="Verdana" w:hAnsi="Verdana" w:cs="Verdana"/>
          <w:spacing w:val="3"/>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z w:val="20"/>
          <w:szCs w:val="20"/>
          <w:lang w:val="es-CR"/>
        </w:rPr>
        <w:t>e</w:t>
      </w:r>
      <w:r w:rsidRPr="0046612A">
        <w:rPr>
          <w:rFonts w:ascii="Verdana" w:eastAsia="Verdana" w:hAnsi="Verdana" w:cs="Verdana"/>
          <w:spacing w:val="8"/>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cu</w:t>
      </w:r>
      <w:r w:rsidRPr="0046612A">
        <w:rPr>
          <w:rFonts w:ascii="Verdana" w:eastAsia="Verdana" w:hAnsi="Verdana" w:cs="Verdana"/>
          <w:spacing w:val="3"/>
          <w:sz w:val="20"/>
          <w:szCs w:val="20"/>
          <w:lang w:val="es-CR"/>
        </w:rPr>
        <w:t>m</w:t>
      </w:r>
      <w:r w:rsidRPr="0046612A">
        <w:rPr>
          <w:rFonts w:ascii="Verdana" w:eastAsia="Verdana" w:hAnsi="Verdana" w:cs="Verdana"/>
          <w:spacing w:val="1"/>
          <w:sz w:val="20"/>
          <w:szCs w:val="20"/>
          <w:lang w:val="es-CR"/>
        </w:rPr>
        <w:t>ent</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 xml:space="preserve"> </w:t>
      </w:r>
      <w:r w:rsidRPr="0046612A">
        <w:rPr>
          <w:rFonts w:ascii="Verdana" w:eastAsia="Verdana" w:hAnsi="Verdana" w:cs="Verdana"/>
          <w:spacing w:val="1"/>
          <w:sz w:val="20"/>
          <w:szCs w:val="20"/>
          <w:lang w:val="es-CR"/>
        </w:rPr>
        <w:t>pr</w:t>
      </w:r>
      <w:r w:rsidRPr="0046612A">
        <w:rPr>
          <w:rFonts w:ascii="Verdana" w:eastAsia="Verdana" w:hAnsi="Verdana" w:cs="Verdana"/>
          <w:spacing w:val="-1"/>
          <w:sz w:val="20"/>
          <w:szCs w:val="20"/>
          <w:lang w:val="es-CR"/>
        </w:rPr>
        <w:t>o</w:t>
      </w:r>
      <w:r w:rsidRPr="0046612A">
        <w:rPr>
          <w:rFonts w:ascii="Verdana" w:eastAsia="Verdana" w:hAnsi="Verdana" w:cs="Verdana"/>
          <w:spacing w:val="1"/>
          <w:sz w:val="20"/>
          <w:szCs w:val="20"/>
          <w:lang w:val="es-CR"/>
        </w:rPr>
        <w:t>b</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to</w:t>
      </w:r>
      <w:r w:rsidRPr="0046612A">
        <w:rPr>
          <w:rFonts w:ascii="Verdana" w:eastAsia="Verdana" w:hAnsi="Verdana" w:cs="Verdana"/>
          <w:spacing w:val="-1"/>
          <w:sz w:val="20"/>
          <w:szCs w:val="20"/>
          <w:lang w:val="es-CR"/>
        </w:rPr>
        <w:t>r</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s,</w:t>
      </w:r>
      <w:r w:rsidRPr="0046612A">
        <w:rPr>
          <w:rFonts w:ascii="Verdana" w:eastAsia="Verdana" w:hAnsi="Verdana" w:cs="Verdana"/>
          <w:spacing w:val="1"/>
          <w:sz w:val="20"/>
          <w:szCs w:val="20"/>
          <w:lang w:val="es-CR"/>
        </w:rPr>
        <w:t xml:space="preserve"> </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i</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o</w:t>
      </w:r>
      <w:r w:rsidRPr="0046612A">
        <w:rPr>
          <w:rFonts w:ascii="Verdana" w:eastAsia="Verdana" w:hAnsi="Verdana" w:cs="Verdana"/>
          <w:spacing w:val="6"/>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6"/>
          <w:sz w:val="20"/>
          <w:szCs w:val="20"/>
          <w:lang w:val="es-CR"/>
        </w:rPr>
        <w:t xml:space="preserve"> </w:t>
      </w:r>
      <w:r w:rsidRPr="0046612A">
        <w:rPr>
          <w:rFonts w:ascii="Verdana" w:eastAsia="Verdana" w:hAnsi="Verdana" w:cs="Verdana"/>
          <w:spacing w:val="2"/>
          <w:sz w:val="20"/>
          <w:szCs w:val="20"/>
          <w:lang w:val="es-CR"/>
        </w:rPr>
        <w:t>s</w:t>
      </w:r>
      <w:r w:rsidRPr="0046612A">
        <w:rPr>
          <w:rFonts w:ascii="Verdana" w:eastAsia="Verdana" w:hAnsi="Verdana" w:cs="Verdana"/>
          <w:sz w:val="20"/>
          <w:szCs w:val="20"/>
          <w:lang w:val="es-CR"/>
        </w:rPr>
        <w:t xml:space="preserve">e </w:t>
      </w:r>
      <w:r w:rsidRPr="0046612A">
        <w:rPr>
          <w:rFonts w:ascii="Verdana" w:eastAsia="Verdana" w:hAnsi="Verdana" w:cs="Verdana"/>
          <w:spacing w:val="-1"/>
          <w:sz w:val="20"/>
          <w:szCs w:val="20"/>
          <w:lang w:val="es-CR"/>
        </w:rPr>
        <w:t>re</w:t>
      </w:r>
      <w:r w:rsidRPr="0046612A">
        <w:rPr>
          <w:rFonts w:ascii="Verdana" w:eastAsia="Verdana" w:hAnsi="Verdana" w:cs="Verdana"/>
          <w:spacing w:val="1"/>
          <w:sz w:val="20"/>
          <w:szCs w:val="20"/>
          <w:lang w:val="es-CR"/>
        </w:rPr>
        <w:t>qu</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r</w:t>
      </w:r>
      <w:r w:rsidRPr="0046612A">
        <w:rPr>
          <w:rFonts w:ascii="Verdana" w:eastAsia="Verdana" w:hAnsi="Verdana" w:cs="Verdana"/>
          <w:sz w:val="20"/>
          <w:szCs w:val="20"/>
          <w:lang w:val="es-CR"/>
        </w:rPr>
        <w:t>e</w:t>
      </w:r>
      <w:r w:rsidRPr="0046612A">
        <w:rPr>
          <w:rFonts w:ascii="Verdana" w:eastAsia="Verdana" w:hAnsi="Verdana" w:cs="Verdana"/>
          <w:spacing w:val="33"/>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38"/>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as</w:t>
      </w:r>
      <w:r w:rsidRPr="0046612A">
        <w:rPr>
          <w:rFonts w:ascii="Verdana" w:eastAsia="Verdana" w:hAnsi="Verdana" w:cs="Verdana"/>
          <w:spacing w:val="40"/>
          <w:sz w:val="20"/>
          <w:szCs w:val="20"/>
          <w:lang w:val="es-CR"/>
        </w:rPr>
        <w:t xml:space="preserve"> </w:t>
      </w:r>
      <w:r w:rsidRPr="0046612A">
        <w:rPr>
          <w:rFonts w:ascii="Verdana" w:eastAsia="Verdana" w:hAnsi="Verdana" w:cs="Verdana"/>
          <w:spacing w:val="1"/>
          <w:sz w:val="20"/>
          <w:szCs w:val="20"/>
          <w:lang w:val="es-CR"/>
        </w:rPr>
        <w:t>p</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te</w:t>
      </w:r>
      <w:r w:rsidRPr="0046612A">
        <w:rPr>
          <w:rFonts w:ascii="Verdana" w:eastAsia="Verdana" w:hAnsi="Verdana" w:cs="Verdana"/>
          <w:sz w:val="20"/>
          <w:szCs w:val="20"/>
          <w:lang w:val="es-CR"/>
        </w:rPr>
        <w:t>s</w:t>
      </w:r>
      <w:r w:rsidRPr="0046612A">
        <w:rPr>
          <w:rFonts w:ascii="Verdana" w:eastAsia="Verdana" w:hAnsi="Verdana" w:cs="Verdana"/>
          <w:spacing w:val="37"/>
          <w:sz w:val="20"/>
          <w:szCs w:val="20"/>
          <w:lang w:val="es-CR"/>
        </w:rPr>
        <w:t xml:space="preserve"> </w:t>
      </w:r>
      <w:r w:rsidRPr="0046612A">
        <w:rPr>
          <w:rFonts w:ascii="Verdana" w:eastAsia="Verdana" w:hAnsi="Verdana" w:cs="Verdana"/>
          <w:spacing w:val="1"/>
          <w:sz w:val="20"/>
          <w:szCs w:val="20"/>
          <w:lang w:val="es-CR"/>
        </w:rPr>
        <w:lastRenderedPageBreak/>
        <w:t>h</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g</w:t>
      </w:r>
      <w:r w:rsidRPr="0046612A">
        <w:rPr>
          <w:rFonts w:ascii="Verdana" w:eastAsia="Verdana" w:hAnsi="Verdana" w:cs="Verdana"/>
          <w:sz w:val="20"/>
          <w:szCs w:val="20"/>
          <w:lang w:val="es-CR"/>
        </w:rPr>
        <w:t>an</w:t>
      </w:r>
      <w:r w:rsidRPr="0046612A">
        <w:rPr>
          <w:rFonts w:ascii="Verdana" w:eastAsia="Verdana" w:hAnsi="Verdana" w:cs="Verdana"/>
          <w:spacing w:val="37"/>
          <w:sz w:val="20"/>
          <w:szCs w:val="20"/>
          <w:lang w:val="es-CR"/>
        </w:rPr>
        <w:t xml:space="preserve"> </w:t>
      </w:r>
      <w:r w:rsidRPr="0046612A">
        <w:rPr>
          <w:rFonts w:ascii="Verdana" w:eastAsia="Verdana" w:hAnsi="Verdana" w:cs="Verdana"/>
          <w:spacing w:val="1"/>
          <w:sz w:val="20"/>
          <w:szCs w:val="20"/>
          <w:lang w:val="es-CR"/>
        </w:rPr>
        <w:t>un</w:t>
      </w:r>
      <w:r w:rsidRPr="0046612A">
        <w:rPr>
          <w:rFonts w:ascii="Verdana" w:eastAsia="Verdana" w:hAnsi="Verdana" w:cs="Verdana"/>
          <w:sz w:val="20"/>
          <w:szCs w:val="20"/>
          <w:lang w:val="es-CR"/>
        </w:rPr>
        <w:t>a</w:t>
      </w:r>
      <w:r w:rsidRPr="0046612A">
        <w:rPr>
          <w:rFonts w:ascii="Verdana" w:eastAsia="Verdana" w:hAnsi="Verdana" w:cs="Verdana"/>
          <w:spacing w:val="39"/>
          <w:sz w:val="20"/>
          <w:szCs w:val="20"/>
          <w:lang w:val="es-CR"/>
        </w:rPr>
        <w:t xml:space="preserve"> </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gu</w:t>
      </w:r>
      <w:r w:rsidRPr="0046612A">
        <w:rPr>
          <w:rFonts w:ascii="Verdana" w:eastAsia="Verdana" w:hAnsi="Verdana" w:cs="Verdana"/>
          <w:sz w:val="20"/>
          <w:szCs w:val="20"/>
          <w:lang w:val="es-CR"/>
        </w:rPr>
        <w:t>men</w:t>
      </w:r>
      <w:r w:rsidRPr="0046612A">
        <w:rPr>
          <w:rFonts w:ascii="Verdana" w:eastAsia="Verdana" w:hAnsi="Verdana" w:cs="Verdana"/>
          <w:spacing w:val="1"/>
          <w:sz w:val="20"/>
          <w:szCs w:val="20"/>
          <w:lang w:val="es-CR"/>
        </w:rPr>
        <w:t>t</w:t>
      </w:r>
      <w:r w:rsidRPr="0046612A">
        <w:rPr>
          <w:rFonts w:ascii="Verdana" w:eastAsia="Verdana" w:hAnsi="Verdana" w:cs="Verdana"/>
          <w:spacing w:val="6"/>
          <w:sz w:val="20"/>
          <w:szCs w:val="20"/>
          <w:lang w:val="es-CR"/>
        </w:rPr>
        <w:t>a</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i</w:t>
      </w:r>
      <w:r w:rsidRPr="0046612A">
        <w:rPr>
          <w:rFonts w:ascii="Verdana" w:eastAsia="Verdana" w:hAnsi="Verdana" w:cs="Verdana"/>
          <w:spacing w:val="-1"/>
          <w:sz w:val="20"/>
          <w:szCs w:val="20"/>
          <w:lang w:val="es-CR"/>
        </w:rPr>
        <w:t>ó</w:t>
      </w:r>
      <w:r w:rsidRPr="0046612A">
        <w:rPr>
          <w:rFonts w:ascii="Verdana" w:eastAsia="Verdana" w:hAnsi="Verdana" w:cs="Verdana"/>
          <w:sz w:val="20"/>
          <w:szCs w:val="20"/>
          <w:lang w:val="es-CR"/>
        </w:rPr>
        <w:t>n</w:t>
      </w:r>
      <w:r w:rsidRPr="0046612A">
        <w:rPr>
          <w:rFonts w:ascii="Verdana" w:eastAsia="Verdana" w:hAnsi="Verdana" w:cs="Verdana"/>
          <w:spacing w:val="28"/>
          <w:sz w:val="20"/>
          <w:szCs w:val="20"/>
          <w:lang w:val="es-CR"/>
        </w:rPr>
        <w:t xml:space="preserve"> </w:t>
      </w:r>
      <w:r w:rsidRPr="0046612A">
        <w:rPr>
          <w:rFonts w:ascii="Verdana" w:eastAsia="Verdana" w:hAnsi="Verdana" w:cs="Verdana"/>
          <w:spacing w:val="1"/>
          <w:sz w:val="20"/>
          <w:szCs w:val="20"/>
          <w:lang w:val="es-CR"/>
        </w:rPr>
        <w:t>qu</w:t>
      </w:r>
      <w:r w:rsidRPr="0046612A">
        <w:rPr>
          <w:rFonts w:ascii="Verdana" w:eastAsia="Verdana" w:hAnsi="Verdana" w:cs="Verdana"/>
          <w:sz w:val="20"/>
          <w:szCs w:val="20"/>
          <w:lang w:val="es-CR"/>
        </w:rPr>
        <w:t>e</w:t>
      </w:r>
      <w:r w:rsidRPr="0046612A">
        <w:rPr>
          <w:rFonts w:ascii="Verdana" w:eastAsia="Verdana" w:hAnsi="Verdana" w:cs="Verdana"/>
          <w:spacing w:val="38"/>
          <w:sz w:val="20"/>
          <w:szCs w:val="20"/>
          <w:lang w:val="es-CR"/>
        </w:rPr>
        <w:t xml:space="preserve"> </w:t>
      </w:r>
      <w:r w:rsidRPr="0046612A">
        <w:rPr>
          <w:rFonts w:ascii="Verdana" w:eastAsia="Verdana" w:hAnsi="Verdana" w:cs="Verdana"/>
          <w:spacing w:val="-1"/>
          <w:sz w:val="20"/>
          <w:szCs w:val="20"/>
          <w:lang w:val="es-CR"/>
        </w:rPr>
        <w:t>re</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ac</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o</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e</w:t>
      </w:r>
      <w:r w:rsidRPr="0046612A">
        <w:rPr>
          <w:rFonts w:ascii="Verdana" w:eastAsia="Verdana" w:hAnsi="Verdana" w:cs="Verdana"/>
          <w:spacing w:val="32"/>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w:t>
      </w:r>
      <w:r w:rsidRPr="0046612A">
        <w:rPr>
          <w:rFonts w:ascii="Verdana" w:eastAsia="Verdana" w:hAnsi="Verdana" w:cs="Verdana"/>
          <w:spacing w:val="41"/>
          <w:sz w:val="20"/>
          <w:szCs w:val="20"/>
          <w:lang w:val="es-CR"/>
        </w:rPr>
        <w:t xml:space="preserve"> </w:t>
      </w:r>
      <w:r w:rsidRPr="0046612A">
        <w:rPr>
          <w:rFonts w:ascii="Verdana" w:eastAsia="Verdana" w:hAnsi="Verdana" w:cs="Verdana"/>
          <w:spacing w:val="-2"/>
          <w:sz w:val="20"/>
          <w:szCs w:val="20"/>
          <w:lang w:val="es-CR"/>
        </w:rPr>
        <w:t>p</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u</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b</w:t>
      </w:r>
      <w:r w:rsidRPr="0046612A">
        <w:rPr>
          <w:rFonts w:ascii="Verdana" w:eastAsia="Verdana" w:hAnsi="Verdana" w:cs="Verdana"/>
          <w:sz w:val="20"/>
          <w:szCs w:val="20"/>
          <w:lang w:val="es-CR"/>
        </w:rPr>
        <w:t>a</w:t>
      </w:r>
      <w:r w:rsidRPr="0046612A">
        <w:rPr>
          <w:rFonts w:ascii="Verdana" w:eastAsia="Verdana" w:hAnsi="Verdana" w:cs="Verdana"/>
          <w:spacing w:val="35"/>
          <w:sz w:val="20"/>
          <w:szCs w:val="20"/>
          <w:lang w:val="es-CR"/>
        </w:rPr>
        <w:t xml:space="preserve"> </w:t>
      </w:r>
      <w:r w:rsidRPr="0046612A">
        <w:rPr>
          <w:rFonts w:ascii="Verdana" w:eastAsia="Verdana" w:hAnsi="Verdana" w:cs="Verdana"/>
          <w:spacing w:val="2"/>
          <w:sz w:val="20"/>
          <w:szCs w:val="20"/>
          <w:lang w:val="es-CR"/>
        </w:rPr>
        <w:t>c</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n</w:t>
      </w:r>
      <w:r w:rsidRPr="0046612A">
        <w:rPr>
          <w:rFonts w:ascii="Verdana" w:eastAsia="Verdana" w:hAnsi="Verdana" w:cs="Verdana"/>
          <w:spacing w:val="40"/>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l</w:t>
      </w:r>
      <w:r w:rsidRPr="0046612A">
        <w:rPr>
          <w:rFonts w:ascii="Verdana" w:eastAsia="Verdana" w:hAnsi="Verdana" w:cs="Verdana"/>
          <w:spacing w:val="43"/>
          <w:sz w:val="20"/>
          <w:szCs w:val="20"/>
          <w:lang w:val="es-CR"/>
        </w:rPr>
        <w:t xml:space="preserve"> </w:t>
      </w:r>
      <w:r w:rsidRPr="0046612A">
        <w:rPr>
          <w:rFonts w:ascii="Verdana" w:eastAsia="Verdana" w:hAnsi="Verdana" w:cs="Verdana"/>
          <w:spacing w:val="1"/>
          <w:sz w:val="20"/>
          <w:szCs w:val="20"/>
          <w:lang w:val="es-CR"/>
        </w:rPr>
        <w:t>h</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cho</w:t>
      </w:r>
      <w:r w:rsidRPr="0046612A">
        <w:rPr>
          <w:rFonts w:ascii="Verdana" w:eastAsia="Verdana" w:hAnsi="Verdana" w:cs="Verdana"/>
          <w:spacing w:val="35"/>
          <w:sz w:val="20"/>
          <w:szCs w:val="20"/>
          <w:lang w:val="es-CR"/>
        </w:rPr>
        <w:t xml:space="preserve"> </w:t>
      </w:r>
      <w:r w:rsidRPr="0046612A">
        <w:rPr>
          <w:rFonts w:ascii="Verdana" w:eastAsia="Verdana" w:hAnsi="Verdana" w:cs="Verdana"/>
          <w:spacing w:val="1"/>
          <w:sz w:val="20"/>
          <w:szCs w:val="20"/>
          <w:lang w:val="es-CR"/>
        </w:rPr>
        <w:t>q</w:t>
      </w:r>
      <w:r w:rsidRPr="0046612A">
        <w:rPr>
          <w:rFonts w:ascii="Verdana" w:eastAsia="Verdana" w:hAnsi="Verdana" w:cs="Verdana"/>
          <w:spacing w:val="3"/>
          <w:sz w:val="20"/>
          <w:szCs w:val="20"/>
          <w:lang w:val="es-CR"/>
        </w:rPr>
        <w:t>u</w:t>
      </w:r>
      <w:r w:rsidRPr="0046612A">
        <w:rPr>
          <w:rFonts w:ascii="Verdana" w:eastAsia="Verdana" w:hAnsi="Verdana" w:cs="Verdana"/>
          <w:sz w:val="20"/>
          <w:szCs w:val="20"/>
          <w:lang w:val="es-CR"/>
        </w:rPr>
        <w:t>e</w:t>
      </w:r>
      <w:r w:rsidRPr="0046612A">
        <w:rPr>
          <w:rFonts w:ascii="Verdana" w:eastAsia="Verdana" w:hAnsi="Verdana" w:cs="Verdana"/>
          <w:spacing w:val="38"/>
          <w:sz w:val="20"/>
          <w:szCs w:val="20"/>
          <w:lang w:val="es-CR"/>
        </w:rPr>
        <w:t xml:space="preserve"> </w:t>
      </w:r>
      <w:r w:rsidRPr="0046612A">
        <w:rPr>
          <w:rFonts w:ascii="Verdana" w:eastAsia="Verdana" w:hAnsi="Verdana" w:cs="Verdana"/>
          <w:spacing w:val="2"/>
          <w:sz w:val="20"/>
          <w:szCs w:val="20"/>
          <w:lang w:val="es-CR"/>
        </w:rPr>
        <w:t>s</w:t>
      </w:r>
      <w:r w:rsidRPr="0046612A">
        <w:rPr>
          <w:rFonts w:ascii="Verdana" w:eastAsia="Verdana" w:hAnsi="Verdana" w:cs="Verdana"/>
          <w:sz w:val="20"/>
          <w:szCs w:val="20"/>
          <w:lang w:val="es-CR"/>
        </w:rPr>
        <w:t>e c</w:t>
      </w:r>
      <w:r w:rsidRPr="0046612A">
        <w:rPr>
          <w:rFonts w:ascii="Verdana" w:eastAsia="Verdana" w:hAnsi="Verdana" w:cs="Verdana"/>
          <w:spacing w:val="-2"/>
          <w:sz w:val="20"/>
          <w:szCs w:val="20"/>
          <w:lang w:val="es-CR"/>
        </w:rPr>
        <w:t>o</w:t>
      </w:r>
      <w:r w:rsidRPr="0046612A">
        <w:rPr>
          <w:rFonts w:ascii="Verdana" w:eastAsia="Verdana" w:hAnsi="Verdana" w:cs="Verdana"/>
          <w:spacing w:val="1"/>
          <w:sz w:val="20"/>
          <w:szCs w:val="20"/>
          <w:lang w:val="es-CR"/>
        </w:rPr>
        <w:t>n</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i</w:t>
      </w:r>
      <w:r w:rsidRPr="0046612A">
        <w:rPr>
          <w:rFonts w:ascii="Verdana" w:eastAsia="Verdana" w:hAnsi="Verdana" w:cs="Verdana"/>
          <w:spacing w:val="1"/>
          <w:sz w:val="20"/>
          <w:szCs w:val="20"/>
          <w:lang w:val="es-CR"/>
        </w:rPr>
        <w:t>d</w:t>
      </w:r>
      <w:r w:rsidRPr="0046612A">
        <w:rPr>
          <w:rFonts w:ascii="Verdana" w:eastAsia="Verdana" w:hAnsi="Verdana" w:cs="Verdana"/>
          <w:spacing w:val="-1"/>
          <w:sz w:val="20"/>
          <w:szCs w:val="20"/>
          <w:lang w:val="es-CR"/>
        </w:rPr>
        <w:t>er</w:t>
      </w:r>
      <w:r w:rsidRPr="0046612A">
        <w:rPr>
          <w:rFonts w:ascii="Verdana" w:eastAsia="Verdana" w:hAnsi="Verdana" w:cs="Verdana"/>
          <w:sz w:val="20"/>
          <w:szCs w:val="20"/>
          <w:lang w:val="es-CR"/>
        </w:rPr>
        <w:t>a</w:t>
      </w:r>
      <w:r w:rsidRPr="0046612A">
        <w:rPr>
          <w:rFonts w:ascii="Verdana" w:eastAsia="Verdana" w:hAnsi="Verdana" w:cs="Verdana"/>
          <w:spacing w:val="-6"/>
          <w:sz w:val="20"/>
          <w:szCs w:val="20"/>
          <w:lang w:val="es-CR"/>
        </w:rPr>
        <w:t xml:space="preserve"> </w:t>
      </w:r>
      <w:r w:rsidRPr="0046612A">
        <w:rPr>
          <w:rFonts w:ascii="Verdana" w:eastAsia="Verdana" w:hAnsi="Verdana" w:cs="Verdana"/>
          <w:spacing w:val="-1"/>
          <w:sz w:val="20"/>
          <w:szCs w:val="20"/>
          <w:lang w:val="es-CR"/>
        </w:rPr>
        <w:t>re</w:t>
      </w:r>
      <w:r w:rsidRPr="0046612A">
        <w:rPr>
          <w:rFonts w:ascii="Verdana" w:eastAsia="Verdana" w:hAnsi="Verdana" w:cs="Verdana"/>
          <w:spacing w:val="3"/>
          <w:sz w:val="20"/>
          <w:szCs w:val="20"/>
          <w:lang w:val="es-CR"/>
        </w:rPr>
        <w:t>p</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e</w:t>
      </w:r>
      <w:r w:rsidRPr="0046612A">
        <w:rPr>
          <w:rFonts w:ascii="Verdana" w:eastAsia="Verdana" w:hAnsi="Verdana" w:cs="Verdana"/>
          <w:spacing w:val="1"/>
          <w:sz w:val="20"/>
          <w:szCs w:val="20"/>
          <w:lang w:val="es-CR"/>
        </w:rPr>
        <w:t>nt</w:t>
      </w:r>
      <w:r w:rsidRPr="0046612A">
        <w:rPr>
          <w:rFonts w:ascii="Verdana" w:eastAsia="Verdana" w:hAnsi="Verdana" w:cs="Verdana"/>
          <w:sz w:val="20"/>
          <w:szCs w:val="20"/>
          <w:lang w:val="es-CR"/>
        </w:rPr>
        <w:t>a</w:t>
      </w:r>
      <w:r w:rsidRPr="0046612A">
        <w:rPr>
          <w:rFonts w:ascii="Verdana" w:eastAsia="Verdana" w:hAnsi="Verdana" w:cs="Verdana"/>
          <w:spacing w:val="3"/>
          <w:sz w:val="20"/>
          <w:szCs w:val="20"/>
          <w:lang w:val="es-CR"/>
        </w:rPr>
        <w:t>d</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w:t>
      </w:r>
      <w:r w:rsidRPr="0046612A">
        <w:rPr>
          <w:rFonts w:ascii="Verdana" w:eastAsia="Verdana" w:hAnsi="Verdana" w:cs="Verdana"/>
          <w:spacing w:val="-11"/>
          <w:sz w:val="20"/>
          <w:szCs w:val="20"/>
          <w:lang w:val="es-CR"/>
        </w:rPr>
        <w:t xml:space="preserve"> </w:t>
      </w:r>
      <w:r w:rsidRPr="0046612A">
        <w:rPr>
          <w:rFonts w:ascii="Verdana" w:eastAsia="Verdana" w:hAnsi="Verdana" w:cs="Verdana"/>
          <w:sz w:val="20"/>
          <w:szCs w:val="20"/>
          <w:lang w:val="es-CR"/>
        </w:rPr>
        <w:t xml:space="preserve">y </w:t>
      </w:r>
      <w:r w:rsidRPr="0046612A">
        <w:rPr>
          <w:rFonts w:ascii="Verdana" w:eastAsia="Verdana" w:hAnsi="Verdana" w:cs="Verdana"/>
          <w:spacing w:val="1"/>
          <w:sz w:val="20"/>
          <w:szCs w:val="20"/>
          <w:lang w:val="es-CR"/>
        </w:rPr>
        <w:t>qu</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w:t>
      </w:r>
      <w:r w:rsidRPr="0046612A">
        <w:rPr>
          <w:rFonts w:ascii="Verdana" w:eastAsia="Verdana" w:hAnsi="Verdana" w:cs="Verdana"/>
          <w:spacing w:val="-3"/>
          <w:sz w:val="20"/>
          <w:szCs w:val="20"/>
          <w:lang w:val="es-CR"/>
        </w:rPr>
        <w:t xml:space="preserve"> </w:t>
      </w:r>
      <w:r w:rsidRPr="0046612A">
        <w:rPr>
          <w:rFonts w:ascii="Verdana" w:eastAsia="Verdana" w:hAnsi="Verdana" w:cs="Verdana"/>
          <w:sz w:val="20"/>
          <w:szCs w:val="20"/>
          <w:lang w:val="es-CR"/>
        </w:rPr>
        <w:t>al</w:t>
      </w:r>
      <w:r w:rsidRPr="0046612A">
        <w:rPr>
          <w:rFonts w:ascii="Verdana" w:eastAsia="Verdana" w:hAnsi="Verdana" w:cs="Verdana"/>
          <w:spacing w:val="2"/>
          <w:sz w:val="20"/>
          <w:szCs w:val="20"/>
          <w:lang w:val="es-CR"/>
        </w:rPr>
        <w:t xml:space="preserve"> </w:t>
      </w:r>
      <w:r w:rsidRPr="0046612A">
        <w:rPr>
          <w:rFonts w:ascii="Verdana" w:eastAsia="Verdana" w:hAnsi="Verdana" w:cs="Verdana"/>
          <w:spacing w:val="1"/>
          <w:sz w:val="20"/>
          <w:szCs w:val="20"/>
          <w:lang w:val="es-CR"/>
        </w:rPr>
        <w:t>t</w:t>
      </w:r>
      <w:r w:rsidRPr="0046612A">
        <w:rPr>
          <w:rFonts w:ascii="Verdana" w:eastAsia="Verdana" w:hAnsi="Verdana" w:cs="Verdana"/>
          <w:spacing w:val="-1"/>
          <w:sz w:val="20"/>
          <w:szCs w:val="20"/>
          <w:lang w:val="es-CR"/>
        </w:rPr>
        <w:t>r</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t</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r</w:t>
      </w:r>
      <w:r w:rsidRPr="0046612A">
        <w:rPr>
          <w:rFonts w:ascii="Verdana" w:eastAsia="Verdana" w:hAnsi="Verdana" w:cs="Verdana"/>
          <w:sz w:val="20"/>
          <w:szCs w:val="20"/>
          <w:lang w:val="es-CR"/>
        </w:rPr>
        <w:t>se</w:t>
      </w:r>
      <w:r w:rsidRPr="0046612A">
        <w:rPr>
          <w:rFonts w:ascii="Verdana" w:eastAsia="Verdana" w:hAnsi="Verdana" w:cs="Verdana"/>
          <w:spacing w:val="-8"/>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z w:val="20"/>
          <w:szCs w:val="20"/>
          <w:lang w:val="es-CR"/>
        </w:rPr>
        <w:t>e</w:t>
      </w:r>
      <w:r w:rsidRPr="0046612A">
        <w:rPr>
          <w:rFonts w:ascii="Verdana" w:eastAsia="Verdana" w:hAnsi="Verdana" w:cs="Verdana"/>
          <w:spacing w:val="-2"/>
          <w:sz w:val="20"/>
          <w:szCs w:val="20"/>
          <w:lang w:val="es-CR"/>
        </w:rPr>
        <w:t xml:space="preserve"> </w:t>
      </w:r>
      <w:r w:rsidRPr="0046612A">
        <w:rPr>
          <w:rFonts w:ascii="Verdana" w:eastAsia="Verdana" w:hAnsi="Verdana" w:cs="Verdana"/>
          <w:sz w:val="20"/>
          <w:szCs w:val="20"/>
          <w:lang w:val="es-CR"/>
        </w:rPr>
        <w:t>a</w:t>
      </w:r>
      <w:r w:rsidRPr="0046612A">
        <w:rPr>
          <w:rFonts w:ascii="Verdana" w:eastAsia="Verdana" w:hAnsi="Verdana" w:cs="Verdana"/>
          <w:spacing w:val="3"/>
          <w:sz w:val="20"/>
          <w:szCs w:val="20"/>
          <w:lang w:val="es-CR"/>
        </w:rPr>
        <w:t>l</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g</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do</w:t>
      </w:r>
      <w:r w:rsidRPr="0046612A">
        <w:rPr>
          <w:rFonts w:ascii="Verdana" w:eastAsia="Verdana" w:hAnsi="Verdana" w:cs="Verdana"/>
          <w:sz w:val="20"/>
          <w:szCs w:val="20"/>
          <w:lang w:val="es-CR"/>
        </w:rPr>
        <w:t>s</w:t>
      </w:r>
      <w:r w:rsidRPr="0046612A">
        <w:rPr>
          <w:rFonts w:ascii="Verdana" w:eastAsia="Verdana" w:hAnsi="Verdana" w:cs="Verdana"/>
          <w:spacing w:val="-8"/>
          <w:sz w:val="20"/>
          <w:szCs w:val="20"/>
          <w:lang w:val="es-CR"/>
        </w:rPr>
        <w:t xml:space="preserve"> </w:t>
      </w:r>
      <w:r w:rsidRPr="0046612A">
        <w:rPr>
          <w:rFonts w:ascii="Verdana" w:eastAsia="Verdana" w:hAnsi="Verdana" w:cs="Verdana"/>
          <w:spacing w:val="1"/>
          <w:sz w:val="20"/>
          <w:szCs w:val="20"/>
          <w:lang w:val="es-CR"/>
        </w:rPr>
        <w:t>d</w:t>
      </w:r>
      <w:r w:rsidRPr="0046612A">
        <w:rPr>
          <w:rFonts w:ascii="Verdana" w:eastAsia="Verdana" w:hAnsi="Verdana" w:cs="Verdana"/>
          <w:spacing w:val="-1"/>
          <w:sz w:val="20"/>
          <w:szCs w:val="20"/>
          <w:lang w:val="es-CR"/>
        </w:rPr>
        <w:t>e</w:t>
      </w:r>
      <w:r w:rsidRPr="0046612A">
        <w:rPr>
          <w:rFonts w:ascii="Verdana" w:eastAsia="Verdana" w:hAnsi="Verdana" w:cs="Verdana"/>
          <w:spacing w:val="2"/>
          <w:sz w:val="20"/>
          <w:szCs w:val="20"/>
          <w:lang w:val="es-CR"/>
        </w:rPr>
        <w:t>s</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m</w:t>
      </w:r>
      <w:r w:rsidRPr="0046612A">
        <w:rPr>
          <w:rFonts w:ascii="Verdana" w:eastAsia="Verdana" w:hAnsi="Verdana" w:cs="Verdana"/>
          <w:spacing w:val="3"/>
          <w:sz w:val="20"/>
          <w:szCs w:val="20"/>
          <w:lang w:val="es-CR"/>
        </w:rPr>
        <w:t>b</w:t>
      </w:r>
      <w:r w:rsidRPr="0046612A">
        <w:rPr>
          <w:rFonts w:ascii="Verdana" w:eastAsia="Verdana" w:hAnsi="Verdana" w:cs="Verdana"/>
          <w:spacing w:val="-1"/>
          <w:sz w:val="20"/>
          <w:szCs w:val="20"/>
          <w:lang w:val="es-CR"/>
        </w:rPr>
        <w:t>o</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s</w:t>
      </w:r>
      <w:r w:rsidRPr="0046612A">
        <w:rPr>
          <w:rFonts w:ascii="Verdana" w:eastAsia="Verdana" w:hAnsi="Verdana" w:cs="Verdana"/>
          <w:spacing w:val="-2"/>
          <w:sz w:val="20"/>
          <w:szCs w:val="20"/>
          <w:lang w:val="es-CR"/>
        </w:rPr>
        <w:t>o</w:t>
      </w:r>
      <w:r w:rsidRPr="0046612A">
        <w:rPr>
          <w:rFonts w:ascii="Verdana" w:eastAsia="Verdana" w:hAnsi="Verdana" w:cs="Verdana"/>
          <w:sz w:val="20"/>
          <w:szCs w:val="20"/>
          <w:lang w:val="es-CR"/>
        </w:rPr>
        <w:t>s</w:t>
      </w:r>
      <w:r w:rsidRPr="0046612A">
        <w:rPr>
          <w:rFonts w:ascii="Verdana" w:eastAsia="Verdana" w:hAnsi="Verdana" w:cs="Verdana"/>
          <w:spacing w:val="-12"/>
          <w:sz w:val="20"/>
          <w:szCs w:val="20"/>
          <w:lang w:val="es-CR"/>
        </w:rPr>
        <w:t xml:space="preserve"> </w:t>
      </w:r>
      <w:r w:rsidRPr="0046612A">
        <w:rPr>
          <w:rFonts w:ascii="Verdana" w:eastAsia="Verdana" w:hAnsi="Verdana" w:cs="Verdana"/>
          <w:spacing w:val="1"/>
          <w:sz w:val="20"/>
          <w:szCs w:val="20"/>
          <w:lang w:val="es-CR"/>
        </w:rPr>
        <w:t>e</w:t>
      </w:r>
      <w:r w:rsidRPr="0046612A">
        <w:rPr>
          <w:rFonts w:ascii="Verdana" w:eastAsia="Verdana" w:hAnsi="Verdana" w:cs="Verdana"/>
          <w:spacing w:val="2"/>
          <w:sz w:val="20"/>
          <w:szCs w:val="20"/>
          <w:lang w:val="es-CR"/>
        </w:rPr>
        <w:t>c</w:t>
      </w:r>
      <w:r w:rsidRPr="0046612A">
        <w:rPr>
          <w:rFonts w:ascii="Verdana" w:eastAsia="Verdana" w:hAnsi="Verdana" w:cs="Verdana"/>
          <w:spacing w:val="-1"/>
          <w:sz w:val="20"/>
          <w:szCs w:val="20"/>
          <w:lang w:val="es-CR"/>
        </w:rPr>
        <w:t>o</w:t>
      </w:r>
      <w:r w:rsidRPr="0046612A">
        <w:rPr>
          <w:rFonts w:ascii="Verdana" w:eastAsia="Verdana" w:hAnsi="Verdana" w:cs="Verdana"/>
          <w:spacing w:val="1"/>
          <w:sz w:val="20"/>
          <w:szCs w:val="20"/>
          <w:lang w:val="es-CR"/>
        </w:rPr>
        <w:t>n</w:t>
      </w:r>
      <w:r w:rsidRPr="0046612A">
        <w:rPr>
          <w:rFonts w:ascii="Verdana" w:eastAsia="Verdana" w:hAnsi="Verdana" w:cs="Verdana"/>
          <w:spacing w:val="-1"/>
          <w:sz w:val="20"/>
          <w:szCs w:val="20"/>
          <w:lang w:val="es-CR"/>
        </w:rPr>
        <w:t>ó</w:t>
      </w:r>
      <w:r w:rsidRPr="0046612A">
        <w:rPr>
          <w:rFonts w:ascii="Verdana" w:eastAsia="Verdana" w:hAnsi="Verdana" w:cs="Verdana"/>
          <w:sz w:val="20"/>
          <w:szCs w:val="20"/>
          <w:lang w:val="es-CR"/>
        </w:rPr>
        <w:t>m</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o</w:t>
      </w:r>
      <w:r w:rsidRPr="0046612A">
        <w:rPr>
          <w:rFonts w:ascii="Verdana" w:eastAsia="Verdana" w:hAnsi="Verdana" w:cs="Verdana"/>
          <w:spacing w:val="2"/>
          <w:sz w:val="20"/>
          <w:szCs w:val="20"/>
          <w:lang w:val="es-CR"/>
        </w:rPr>
        <w:t>s</w:t>
      </w:r>
      <w:r w:rsidRPr="0046612A">
        <w:rPr>
          <w:rFonts w:ascii="Verdana" w:eastAsia="Verdana" w:hAnsi="Verdana" w:cs="Verdana"/>
          <w:sz w:val="20"/>
          <w:szCs w:val="20"/>
          <w:lang w:val="es-CR"/>
        </w:rPr>
        <w:t>,</w:t>
      </w:r>
      <w:r w:rsidRPr="0046612A">
        <w:rPr>
          <w:rFonts w:ascii="Verdana" w:eastAsia="Verdana" w:hAnsi="Verdana" w:cs="Verdana"/>
          <w:spacing w:val="-11"/>
          <w:sz w:val="20"/>
          <w:szCs w:val="20"/>
          <w:lang w:val="es-CR"/>
        </w:rPr>
        <w:t xml:space="preserve"> </w:t>
      </w:r>
      <w:r w:rsidRPr="0046612A">
        <w:rPr>
          <w:rFonts w:ascii="Verdana" w:eastAsia="Verdana" w:hAnsi="Verdana" w:cs="Verdana"/>
          <w:sz w:val="20"/>
          <w:szCs w:val="20"/>
          <w:lang w:val="es-CR"/>
        </w:rPr>
        <w:t xml:space="preserve">se </w:t>
      </w:r>
      <w:r w:rsidRPr="0046612A">
        <w:rPr>
          <w:rFonts w:ascii="Verdana" w:eastAsia="Verdana" w:hAnsi="Verdana" w:cs="Verdana"/>
          <w:spacing w:val="-1"/>
          <w:sz w:val="20"/>
          <w:szCs w:val="20"/>
          <w:lang w:val="es-CR"/>
        </w:rPr>
        <w:t>e</w:t>
      </w:r>
      <w:r w:rsidRPr="0046612A">
        <w:rPr>
          <w:rFonts w:ascii="Verdana" w:eastAsia="Verdana" w:hAnsi="Verdana" w:cs="Verdana"/>
          <w:sz w:val="20"/>
          <w:szCs w:val="20"/>
          <w:lang w:val="es-CR"/>
        </w:rPr>
        <w:t>sta</w:t>
      </w:r>
      <w:r w:rsidRPr="0046612A">
        <w:rPr>
          <w:rFonts w:ascii="Verdana" w:eastAsia="Verdana" w:hAnsi="Verdana" w:cs="Verdana"/>
          <w:spacing w:val="1"/>
          <w:sz w:val="20"/>
          <w:szCs w:val="20"/>
          <w:lang w:val="es-CR"/>
        </w:rPr>
        <w:t>b</w:t>
      </w:r>
      <w:r w:rsidRPr="0046612A">
        <w:rPr>
          <w:rFonts w:ascii="Verdana" w:eastAsia="Verdana" w:hAnsi="Verdana" w:cs="Verdana"/>
          <w:spacing w:val="3"/>
          <w:sz w:val="20"/>
          <w:szCs w:val="20"/>
          <w:lang w:val="es-CR"/>
        </w:rPr>
        <w:t>l</w:t>
      </w:r>
      <w:r w:rsidRPr="0046612A">
        <w:rPr>
          <w:rFonts w:ascii="Verdana" w:eastAsia="Verdana" w:hAnsi="Verdana" w:cs="Verdana"/>
          <w:spacing w:val="-1"/>
          <w:sz w:val="20"/>
          <w:szCs w:val="20"/>
          <w:lang w:val="es-CR"/>
        </w:rPr>
        <w:t>e</w:t>
      </w:r>
      <w:r w:rsidRPr="0046612A">
        <w:rPr>
          <w:rFonts w:ascii="Verdana" w:eastAsia="Verdana" w:hAnsi="Verdana" w:cs="Verdana"/>
          <w:spacing w:val="1"/>
          <w:sz w:val="20"/>
          <w:szCs w:val="20"/>
          <w:lang w:val="es-CR"/>
        </w:rPr>
        <w:t>z</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a</w:t>
      </w:r>
      <w:r w:rsidRPr="0046612A">
        <w:rPr>
          <w:rFonts w:ascii="Verdana" w:eastAsia="Verdana" w:hAnsi="Verdana" w:cs="Verdana"/>
          <w:sz w:val="20"/>
          <w:szCs w:val="20"/>
          <w:lang w:val="es-CR"/>
        </w:rPr>
        <w:t>n</w:t>
      </w:r>
      <w:r w:rsidRPr="0046612A">
        <w:rPr>
          <w:rFonts w:ascii="Verdana" w:eastAsia="Verdana" w:hAnsi="Verdana" w:cs="Verdana"/>
          <w:spacing w:val="-10"/>
          <w:sz w:val="20"/>
          <w:szCs w:val="20"/>
          <w:lang w:val="es-CR"/>
        </w:rPr>
        <w:t xml:space="preserve"> </w:t>
      </w:r>
      <w:r w:rsidRPr="0046612A">
        <w:rPr>
          <w:rFonts w:ascii="Verdana" w:eastAsia="Verdana" w:hAnsi="Verdana" w:cs="Verdana"/>
          <w:sz w:val="20"/>
          <w:szCs w:val="20"/>
          <w:lang w:val="es-CR"/>
        </w:rPr>
        <w:t>c</w:t>
      </w:r>
      <w:r w:rsidRPr="0046612A">
        <w:rPr>
          <w:rFonts w:ascii="Verdana" w:eastAsia="Verdana" w:hAnsi="Verdana" w:cs="Verdana"/>
          <w:spacing w:val="-2"/>
          <w:sz w:val="20"/>
          <w:szCs w:val="20"/>
          <w:lang w:val="es-CR"/>
        </w:rPr>
        <w:t>o</w:t>
      </w:r>
      <w:r w:rsidRPr="0046612A">
        <w:rPr>
          <w:rFonts w:ascii="Verdana" w:eastAsia="Verdana" w:hAnsi="Verdana" w:cs="Verdana"/>
          <w:sz w:val="20"/>
          <w:szCs w:val="20"/>
          <w:lang w:val="es-CR"/>
        </w:rPr>
        <w:t>n c</w:t>
      </w:r>
      <w:r w:rsidRPr="0046612A">
        <w:rPr>
          <w:rFonts w:ascii="Verdana" w:eastAsia="Verdana" w:hAnsi="Verdana" w:cs="Verdana"/>
          <w:spacing w:val="2"/>
          <w:sz w:val="20"/>
          <w:szCs w:val="20"/>
          <w:lang w:val="es-CR"/>
        </w:rPr>
        <w:t>l</w:t>
      </w:r>
      <w:r w:rsidRPr="0046612A">
        <w:rPr>
          <w:rFonts w:ascii="Verdana" w:eastAsia="Verdana" w:hAnsi="Verdana" w:cs="Verdana"/>
          <w:sz w:val="20"/>
          <w:szCs w:val="20"/>
          <w:lang w:val="es-CR"/>
        </w:rPr>
        <w:t>a</w:t>
      </w:r>
      <w:r w:rsidRPr="0046612A">
        <w:rPr>
          <w:rFonts w:ascii="Verdana" w:eastAsia="Verdana" w:hAnsi="Verdana" w:cs="Verdana"/>
          <w:spacing w:val="-1"/>
          <w:sz w:val="20"/>
          <w:szCs w:val="20"/>
          <w:lang w:val="es-CR"/>
        </w:rPr>
        <w:t>r</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d</w:t>
      </w:r>
      <w:r w:rsidRPr="0046612A">
        <w:rPr>
          <w:rFonts w:ascii="Verdana" w:eastAsia="Verdana" w:hAnsi="Verdana" w:cs="Verdana"/>
          <w:sz w:val="20"/>
          <w:szCs w:val="20"/>
          <w:lang w:val="es-CR"/>
        </w:rPr>
        <w:t>ad</w:t>
      </w:r>
      <w:r w:rsidRPr="0046612A">
        <w:rPr>
          <w:rFonts w:ascii="Verdana" w:eastAsia="Verdana" w:hAnsi="Verdana" w:cs="Verdana"/>
          <w:spacing w:val="-10"/>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s</w:t>
      </w:r>
      <w:r w:rsidRPr="0046612A">
        <w:rPr>
          <w:rFonts w:ascii="Verdana" w:eastAsia="Verdana" w:hAnsi="Verdana" w:cs="Verdana"/>
          <w:spacing w:val="-4"/>
          <w:sz w:val="20"/>
          <w:szCs w:val="20"/>
          <w:lang w:val="es-CR"/>
        </w:rPr>
        <w:t xml:space="preserve"> </w:t>
      </w:r>
      <w:r w:rsidRPr="0046612A">
        <w:rPr>
          <w:rFonts w:ascii="Verdana" w:eastAsia="Verdana" w:hAnsi="Verdana" w:cs="Verdana"/>
          <w:spacing w:val="-1"/>
          <w:sz w:val="20"/>
          <w:szCs w:val="20"/>
          <w:lang w:val="es-CR"/>
        </w:rPr>
        <w:t>r</w:t>
      </w:r>
      <w:r w:rsidRPr="0046612A">
        <w:rPr>
          <w:rFonts w:ascii="Verdana" w:eastAsia="Verdana" w:hAnsi="Verdana" w:cs="Verdana"/>
          <w:spacing w:val="1"/>
          <w:sz w:val="20"/>
          <w:szCs w:val="20"/>
          <w:lang w:val="es-CR"/>
        </w:rPr>
        <w:t>ubr</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s</w:t>
      </w:r>
      <w:r w:rsidRPr="0046612A">
        <w:rPr>
          <w:rFonts w:ascii="Verdana" w:eastAsia="Verdana" w:hAnsi="Verdana" w:cs="Verdana"/>
          <w:spacing w:val="-5"/>
          <w:sz w:val="20"/>
          <w:szCs w:val="20"/>
          <w:lang w:val="es-CR"/>
        </w:rPr>
        <w:t xml:space="preserve"> </w:t>
      </w:r>
      <w:r w:rsidRPr="0046612A">
        <w:rPr>
          <w:rFonts w:ascii="Verdana" w:eastAsia="Verdana" w:hAnsi="Verdana" w:cs="Verdana"/>
          <w:sz w:val="20"/>
          <w:szCs w:val="20"/>
          <w:lang w:val="es-CR"/>
        </w:rPr>
        <w:t>y</w:t>
      </w:r>
      <w:r w:rsidRPr="0046612A">
        <w:rPr>
          <w:rFonts w:ascii="Verdana" w:eastAsia="Verdana" w:hAnsi="Verdana" w:cs="Verdana"/>
          <w:spacing w:val="-2"/>
          <w:sz w:val="20"/>
          <w:szCs w:val="20"/>
          <w:lang w:val="es-CR"/>
        </w:rPr>
        <w:t xml:space="preserve"> </w:t>
      </w:r>
      <w:r w:rsidRPr="0046612A">
        <w:rPr>
          <w:rFonts w:ascii="Verdana" w:eastAsia="Verdana" w:hAnsi="Verdana" w:cs="Verdana"/>
          <w:spacing w:val="3"/>
          <w:sz w:val="20"/>
          <w:szCs w:val="20"/>
          <w:lang w:val="es-CR"/>
        </w:rPr>
        <w:t>l</w:t>
      </w:r>
      <w:r w:rsidRPr="0046612A">
        <w:rPr>
          <w:rFonts w:ascii="Verdana" w:eastAsia="Verdana" w:hAnsi="Verdana" w:cs="Verdana"/>
          <w:sz w:val="20"/>
          <w:szCs w:val="20"/>
          <w:lang w:val="es-CR"/>
        </w:rPr>
        <w:t>a</w:t>
      </w:r>
      <w:r w:rsidRPr="0046612A">
        <w:rPr>
          <w:rFonts w:ascii="Verdana" w:eastAsia="Verdana" w:hAnsi="Verdana" w:cs="Verdana"/>
          <w:spacing w:val="-2"/>
          <w:sz w:val="20"/>
          <w:szCs w:val="20"/>
          <w:lang w:val="es-CR"/>
        </w:rPr>
        <w:t xml:space="preserve"> </w:t>
      </w:r>
      <w:r w:rsidRPr="0046612A">
        <w:rPr>
          <w:rFonts w:ascii="Verdana" w:eastAsia="Verdana" w:hAnsi="Verdana" w:cs="Verdana"/>
          <w:spacing w:val="1"/>
          <w:sz w:val="20"/>
          <w:szCs w:val="20"/>
          <w:lang w:val="es-CR"/>
        </w:rPr>
        <w:t>ju</w:t>
      </w:r>
      <w:r w:rsidRPr="0046612A">
        <w:rPr>
          <w:rFonts w:ascii="Verdana" w:eastAsia="Verdana" w:hAnsi="Verdana" w:cs="Verdana"/>
          <w:sz w:val="20"/>
          <w:szCs w:val="20"/>
          <w:lang w:val="es-CR"/>
        </w:rPr>
        <w:t>st</w:t>
      </w:r>
      <w:r w:rsidRPr="0046612A">
        <w:rPr>
          <w:rFonts w:ascii="Verdana" w:eastAsia="Verdana" w:hAnsi="Verdana" w:cs="Verdana"/>
          <w:spacing w:val="3"/>
          <w:sz w:val="20"/>
          <w:szCs w:val="20"/>
          <w:lang w:val="es-CR"/>
        </w:rPr>
        <w:t>i</w:t>
      </w:r>
      <w:r w:rsidRPr="0046612A">
        <w:rPr>
          <w:rFonts w:ascii="Verdana" w:eastAsia="Verdana" w:hAnsi="Verdana" w:cs="Verdana"/>
          <w:spacing w:val="-3"/>
          <w:sz w:val="20"/>
          <w:szCs w:val="20"/>
          <w:lang w:val="es-CR"/>
        </w:rPr>
        <w:t>f</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ca</w:t>
      </w:r>
      <w:r w:rsidRPr="0046612A">
        <w:rPr>
          <w:rFonts w:ascii="Verdana" w:eastAsia="Verdana" w:hAnsi="Verdana" w:cs="Verdana"/>
          <w:spacing w:val="-1"/>
          <w:sz w:val="20"/>
          <w:szCs w:val="20"/>
          <w:lang w:val="es-CR"/>
        </w:rPr>
        <w:t>c</w:t>
      </w:r>
      <w:r w:rsidRPr="0046612A">
        <w:rPr>
          <w:rFonts w:ascii="Verdana" w:eastAsia="Verdana" w:hAnsi="Verdana" w:cs="Verdana"/>
          <w:spacing w:val="3"/>
          <w:sz w:val="20"/>
          <w:szCs w:val="20"/>
          <w:lang w:val="es-CR"/>
        </w:rPr>
        <w:t>i</w:t>
      </w:r>
      <w:r w:rsidRPr="0046612A">
        <w:rPr>
          <w:rFonts w:ascii="Verdana" w:eastAsia="Verdana" w:hAnsi="Verdana" w:cs="Verdana"/>
          <w:spacing w:val="-1"/>
          <w:sz w:val="20"/>
          <w:szCs w:val="20"/>
          <w:lang w:val="es-CR"/>
        </w:rPr>
        <w:t>ó</w:t>
      </w:r>
      <w:r w:rsidRPr="0046612A">
        <w:rPr>
          <w:rFonts w:ascii="Verdana" w:eastAsia="Verdana" w:hAnsi="Verdana" w:cs="Verdana"/>
          <w:sz w:val="20"/>
          <w:szCs w:val="20"/>
          <w:lang w:val="es-CR"/>
        </w:rPr>
        <w:t>n</w:t>
      </w:r>
      <w:r w:rsidRPr="0046612A">
        <w:rPr>
          <w:rFonts w:ascii="Verdana" w:eastAsia="Verdana" w:hAnsi="Verdana" w:cs="Verdana"/>
          <w:spacing w:val="-11"/>
          <w:sz w:val="20"/>
          <w:szCs w:val="20"/>
          <w:lang w:val="es-CR"/>
        </w:rPr>
        <w:t xml:space="preserve"> </w:t>
      </w:r>
      <w:r w:rsidRPr="0046612A">
        <w:rPr>
          <w:rFonts w:ascii="Verdana" w:eastAsia="Verdana" w:hAnsi="Verdana" w:cs="Verdana"/>
          <w:sz w:val="20"/>
          <w:szCs w:val="20"/>
          <w:lang w:val="es-CR"/>
        </w:rPr>
        <w:t>de</w:t>
      </w:r>
      <w:r w:rsidRPr="0046612A">
        <w:rPr>
          <w:rFonts w:ascii="Verdana" w:eastAsia="Verdana" w:hAnsi="Verdana" w:cs="Verdana"/>
          <w:spacing w:val="-3"/>
          <w:sz w:val="20"/>
          <w:szCs w:val="20"/>
          <w:lang w:val="es-CR"/>
        </w:rPr>
        <w:t xml:space="preserve"> </w:t>
      </w:r>
      <w:r w:rsidRPr="0046612A">
        <w:rPr>
          <w:rFonts w:ascii="Verdana" w:eastAsia="Verdana" w:hAnsi="Verdana" w:cs="Verdana"/>
          <w:spacing w:val="2"/>
          <w:sz w:val="20"/>
          <w:szCs w:val="20"/>
          <w:lang w:val="es-CR"/>
        </w:rPr>
        <w:t>l</w:t>
      </w:r>
      <w:r w:rsidRPr="0046612A">
        <w:rPr>
          <w:rFonts w:ascii="Verdana" w:eastAsia="Verdana" w:hAnsi="Verdana" w:cs="Verdana"/>
          <w:spacing w:val="-1"/>
          <w:sz w:val="20"/>
          <w:szCs w:val="20"/>
          <w:lang w:val="es-CR"/>
        </w:rPr>
        <w:t>o</w:t>
      </w:r>
      <w:r w:rsidRPr="0046612A">
        <w:rPr>
          <w:rFonts w:ascii="Verdana" w:eastAsia="Verdana" w:hAnsi="Verdana" w:cs="Verdana"/>
          <w:sz w:val="20"/>
          <w:szCs w:val="20"/>
          <w:lang w:val="es-CR"/>
        </w:rPr>
        <w:t>s</w:t>
      </w:r>
      <w:r w:rsidRPr="0046612A">
        <w:rPr>
          <w:rFonts w:ascii="Verdana" w:eastAsia="Verdana" w:hAnsi="Verdana" w:cs="Verdana"/>
          <w:spacing w:val="-4"/>
          <w:sz w:val="20"/>
          <w:szCs w:val="20"/>
          <w:lang w:val="es-CR"/>
        </w:rPr>
        <w:t xml:space="preserve"> </w:t>
      </w:r>
      <w:r w:rsidRPr="0046612A">
        <w:rPr>
          <w:rFonts w:ascii="Verdana" w:eastAsia="Verdana" w:hAnsi="Verdana" w:cs="Verdana"/>
          <w:sz w:val="20"/>
          <w:szCs w:val="20"/>
          <w:lang w:val="es-CR"/>
        </w:rPr>
        <w:t>m</w:t>
      </w:r>
      <w:r w:rsidRPr="0046612A">
        <w:rPr>
          <w:rFonts w:ascii="Verdana" w:eastAsia="Verdana" w:hAnsi="Verdana" w:cs="Verdana"/>
          <w:spacing w:val="3"/>
          <w:sz w:val="20"/>
          <w:szCs w:val="20"/>
          <w:lang w:val="es-CR"/>
        </w:rPr>
        <w:t>i</w:t>
      </w:r>
      <w:r w:rsidRPr="0046612A">
        <w:rPr>
          <w:rFonts w:ascii="Verdana" w:eastAsia="Verdana" w:hAnsi="Verdana" w:cs="Verdana"/>
          <w:sz w:val="20"/>
          <w:szCs w:val="20"/>
          <w:lang w:val="es-CR"/>
        </w:rPr>
        <w:t>sm</w:t>
      </w:r>
      <w:r w:rsidRPr="0046612A">
        <w:rPr>
          <w:rFonts w:ascii="Verdana" w:eastAsia="Verdana" w:hAnsi="Verdana" w:cs="Verdana"/>
          <w:spacing w:val="-1"/>
          <w:sz w:val="20"/>
          <w:szCs w:val="20"/>
          <w:lang w:val="es-CR"/>
        </w:rPr>
        <w:t>o</w:t>
      </w:r>
      <w:r w:rsidRPr="0046612A">
        <w:rPr>
          <w:rFonts w:ascii="Verdana" w:eastAsia="Verdana" w:hAnsi="Verdana" w:cs="Verdana"/>
          <w:spacing w:val="7"/>
          <w:sz w:val="20"/>
          <w:szCs w:val="20"/>
          <w:lang w:val="es-CR"/>
        </w:rPr>
        <w:t>s</w:t>
      </w:r>
      <w:r w:rsidRPr="00F16BE7">
        <w:rPr>
          <w:rFonts w:eastAsia="Verdana" w:cs="Verdana"/>
          <w:spacing w:val="7"/>
          <w:vertAlign w:val="superscript"/>
          <w:lang w:val="es-CR"/>
        </w:rPr>
        <w:footnoteReference w:id="200"/>
      </w:r>
      <w:r w:rsidRPr="0046612A">
        <w:rPr>
          <w:rFonts w:ascii="Verdana" w:eastAsia="Verdana" w:hAnsi="Verdana" w:cs="Verdana"/>
          <w:sz w:val="20"/>
          <w:szCs w:val="20"/>
          <w:lang w:val="es-CR"/>
        </w:rPr>
        <w:t>.</w:t>
      </w:r>
      <w:r>
        <w:rPr>
          <w:rFonts w:ascii="Verdana" w:hAnsi="Verdana"/>
          <w:sz w:val="20"/>
          <w:szCs w:val="20"/>
          <w:lang w:val="es-CR"/>
        </w:rPr>
        <w:t xml:space="preserve"> </w:t>
      </w:r>
    </w:p>
    <w:p w14:paraId="6D172DB2" w14:textId="77777777" w:rsidR="00FB723A" w:rsidRPr="00EB069C" w:rsidRDefault="00FB723A" w:rsidP="001634BF">
      <w:pPr>
        <w:pStyle w:val="ListParagraph"/>
        <w:widowControl w:val="0"/>
        <w:tabs>
          <w:tab w:val="center" w:pos="567"/>
        </w:tabs>
        <w:autoSpaceDE w:val="0"/>
        <w:autoSpaceDN w:val="0"/>
        <w:adjustRightInd w:val="0"/>
        <w:ind w:left="0" w:right="-90"/>
        <w:jc w:val="both"/>
        <w:rPr>
          <w:lang w:val="es-CR"/>
        </w:rPr>
      </w:pPr>
    </w:p>
    <w:p w14:paraId="6D172DB3" w14:textId="756D9614" w:rsidR="00FB723A" w:rsidRPr="00A56CE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En el presente caso, en atención a que la constancia del Estudio Romero-Bueno data de 2014</w:t>
      </w:r>
      <w:r w:rsidRPr="00F16BE7">
        <w:rPr>
          <w:rStyle w:val="FootnoteReference"/>
          <w:szCs w:val="20"/>
          <w:lang w:val="es-CR"/>
        </w:rPr>
        <w:footnoteReference w:id="201"/>
      </w:r>
      <w:r w:rsidRPr="0046612A">
        <w:rPr>
          <w:rFonts w:ascii="Verdana" w:hAnsi="Verdana"/>
          <w:sz w:val="20"/>
          <w:szCs w:val="20"/>
          <w:lang w:val="es-CR"/>
        </w:rPr>
        <w:t xml:space="preserve">, y que es en efecto una constancia emitida a solicitud de la víctima, y no un comprobante de pago de la fecha en que se realizó el pago, sumado al hecho de que los escritos presentados durante el procedimiento ante la Comisión no dan cuenta de que el </w:t>
      </w:r>
      <w:r w:rsidR="00D97991">
        <w:rPr>
          <w:rFonts w:ascii="Verdana" w:hAnsi="Verdana"/>
          <w:sz w:val="20"/>
          <w:szCs w:val="20"/>
          <w:lang w:val="es-CR"/>
        </w:rPr>
        <w:t>Estudio Jurídico</w:t>
      </w:r>
      <w:r w:rsidRPr="0046612A">
        <w:rPr>
          <w:rFonts w:ascii="Verdana" w:hAnsi="Verdana"/>
          <w:sz w:val="20"/>
          <w:szCs w:val="20"/>
          <w:lang w:val="es-CR"/>
        </w:rPr>
        <w:t xml:space="preserve"> Romero Bueno representó a la víctima durante dicho proceso</w:t>
      </w:r>
      <w:r>
        <w:rPr>
          <w:rFonts w:ascii="Verdana" w:hAnsi="Verdana"/>
          <w:sz w:val="20"/>
          <w:szCs w:val="20"/>
          <w:lang w:val="es-CR"/>
        </w:rPr>
        <w:t xml:space="preserve"> interno</w:t>
      </w:r>
      <w:r w:rsidRPr="0046612A">
        <w:rPr>
          <w:rFonts w:ascii="Verdana" w:hAnsi="Verdana"/>
          <w:sz w:val="20"/>
          <w:szCs w:val="20"/>
          <w:lang w:val="es-CR"/>
        </w:rPr>
        <w:t>,</w:t>
      </w:r>
      <w:r w:rsidR="00EB069C">
        <w:rPr>
          <w:rFonts w:ascii="Verdana" w:hAnsi="Verdana"/>
          <w:sz w:val="20"/>
          <w:szCs w:val="20"/>
          <w:lang w:val="es-CR"/>
        </w:rPr>
        <w:t xml:space="preserve"> </w:t>
      </w:r>
      <w:r w:rsidR="00060480">
        <w:rPr>
          <w:rFonts w:ascii="Verdana" w:hAnsi="Verdana"/>
          <w:sz w:val="20"/>
          <w:szCs w:val="20"/>
          <w:lang w:val="es-CR"/>
        </w:rPr>
        <w:t xml:space="preserve">así como las demás objeciones del Estado, </w:t>
      </w:r>
      <w:r w:rsidRPr="0046612A">
        <w:rPr>
          <w:rFonts w:ascii="Verdana" w:hAnsi="Verdana"/>
          <w:sz w:val="20"/>
          <w:szCs w:val="20"/>
          <w:lang w:val="es-CR"/>
        </w:rPr>
        <w:t xml:space="preserve">esta Corte considera que el costo de la asistencia jurídica no </w:t>
      </w:r>
      <w:r w:rsidR="00EB069C">
        <w:rPr>
          <w:rFonts w:ascii="Verdana" w:hAnsi="Verdana"/>
          <w:sz w:val="20"/>
          <w:szCs w:val="20"/>
          <w:lang w:val="es-CR"/>
        </w:rPr>
        <w:t>estuvo</w:t>
      </w:r>
      <w:r w:rsidRPr="0046612A">
        <w:rPr>
          <w:rFonts w:ascii="Verdana" w:hAnsi="Verdana"/>
          <w:sz w:val="20"/>
          <w:szCs w:val="20"/>
          <w:lang w:val="es-CR"/>
        </w:rPr>
        <w:t xml:space="preserve"> suficientemente acreditado. Adicionalmente, en el presente caso e</w:t>
      </w:r>
      <w:r>
        <w:rPr>
          <w:rFonts w:ascii="Verdana" w:hAnsi="Verdana"/>
          <w:sz w:val="20"/>
          <w:szCs w:val="20"/>
          <w:lang w:val="es-CR"/>
        </w:rPr>
        <w:t>l</w:t>
      </w:r>
      <w:r w:rsidRPr="0046612A">
        <w:rPr>
          <w:rFonts w:ascii="Verdana" w:hAnsi="Verdana"/>
          <w:sz w:val="20"/>
          <w:szCs w:val="20"/>
          <w:lang w:val="es-CR"/>
        </w:rPr>
        <w:t xml:space="preserve"> señor Zegarra Marín contó con la representación ante </w:t>
      </w:r>
      <w:r w:rsidR="00060480">
        <w:rPr>
          <w:rFonts w:ascii="Verdana" w:hAnsi="Verdana"/>
          <w:sz w:val="20"/>
          <w:szCs w:val="20"/>
          <w:lang w:val="es-CR"/>
        </w:rPr>
        <w:t>esta</w:t>
      </w:r>
      <w:r w:rsidRPr="0046612A">
        <w:rPr>
          <w:rFonts w:ascii="Verdana" w:hAnsi="Verdana"/>
          <w:sz w:val="20"/>
          <w:szCs w:val="20"/>
          <w:lang w:val="es-CR"/>
        </w:rPr>
        <w:t xml:space="preserve"> Corte de Defensores Públicos Interamericanos. Sin perjuicio de lo anterior, y teniendo en cuenta que se encuentra acreditado que la víctima se representó a sí mismo ante la Comisión</w:t>
      </w:r>
      <w:r w:rsidRPr="00F16BE7">
        <w:rPr>
          <w:rStyle w:val="FootnoteReference"/>
          <w:szCs w:val="20"/>
          <w:lang w:val="es-CR"/>
        </w:rPr>
        <w:footnoteReference w:id="202"/>
      </w:r>
      <w:r w:rsidRPr="0046612A">
        <w:rPr>
          <w:rFonts w:ascii="Verdana" w:hAnsi="Verdana"/>
          <w:sz w:val="20"/>
          <w:szCs w:val="20"/>
          <w:lang w:val="es-CR"/>
        </w:rPr>
        <w:t xml:space="preserve"> y </w:t>
      </w:r>
      <w:r w:rsidRPr="00294B81">
        <w:rPr>
          <w:rFonts w:ascii="Verdana" w:hAnsi="Verdana"/>
          <w:sz w:val="20"/>
          <w:szCs w:val="20"/>
          <w:lang w:val="es-CR"/>
        </w:rPr>
        <w:t>contó con representación letrada en algunos procedimientos internos</w:t>
      </w:r>
      <w:r w:rsidRPr="00294B81">
        <w:rPr>
          <w:rStyle w:val="FootnoteReference"/>
          <w:szCs w:val="20"/>
          <w:lang w:val="es-CR"/>
        </w:rPr>
        <w:footnoteReference w:id="203"/>
      </w:r>
      <w:r w:rsidRPr="00294B81">
        <w:rPr>
          <w:rFonts w:ascii="Verdana" w:hAnsi="Verdana"/>
          <w:sz w:val="20"/>
          <w:szCs w:val="20"/>
          <w:lang w:val="es-CR"/>
        </w:rPr>
        <w:t>, el Tribunal estima pertinente f</w:t>
      </w:r>
      <w:r w:rsidR="00235344" w:rsidRPr="00294B81">
        <w:rPr>
          <w:rFonts w:ascii="Verdana" w:hAnsi="Verdana"/>
          <w:sz w:val="20"/>
          <w:szCs w:val="20"/>
          <w:lang w:val="es-CR"/>
        </w:rPr>
        <w:t xml:space="preserve">ijar un monto razonable de </w:t>
      </w:r>
      <w:r w:rsidR="00235344" w:rsidRPr="006231F4">
        <w:rPr>
          <w:rFonts w:ascii="Verdana" w:hAnsi="Verdana"/>
          <w:sz w:val="20"/>
          <w:szCs w:val="20"/>
          <w:lang w:val="es-CR"/>
        </w:rPr>
        <w:t xml:space="preserve">US$ </w:t>
      </w:r>
      <w:r w:rsidR="00A56CEA" w:rsidRPr="000A0953">
        <w:rPr>
          <w:rFonts w:ascii="Verdana" w:hAnsi="Verdana"/>
          <w:sz w:val="20"/>
          <w:szCs w:val="20"/>
          <w:lang w:val="es-CR"/>
        </w:rPr>
        <w:t>20,000 (veinte mil dólares de los Estados Unidos de América).</w:t>
      </w:r>
      <w:r w:rsidR="00A56CEA" w:rsidRPr="006231F4">
        <w:rPr>
          <w:rFonts w:ascii="Verdana" w:hAnsi="Verdana"/>
          <w:sz w:val="20"/>
          <w:szCs w:val="20"/>
          <w:lang w:val="es-CR"/>
        </w:rPr>
        <w:t xml:space="preserve"> </w:t>
      </w:r>
      <w:r w:rsidRPr="00A56CEA">
        <w:rPr>
          <w:rFonts w:ascii="Verdana" w:hAnsi="Verdana"/>
          <w:sz w:val="20"/>
          <w:szCs w:val="20"/>
          <w:lang w:val="es-CR"/>
        </w:rPr>
        <w:t xml:space="preserve">por </w:t>
      </w:r>
      <w:r w:rsidRPr="00C23A33">
        <w:rPr>
          <w:rFonts w:ascii="Verdana" w:hAnsi="Verdana" w:cs="Verdana"/>
          <w:sz w:val="20"/>
          <w:szCs w:val="20"/>
          <w:lang w:val="es-CR" w:bidi="en-US"/>
        </w:rPr>
        <w:t>concepto de costas y gastos en el litigio del presente caso</w:t>
      </w:r>
      <w:r w:rsidRPr="00A56CEA">
        <w:rPr>
          <w:rFonts w:ascii="Verdana" w:hAnsi="Verdana"/>
          <w:spacing w:val="-2"/>
          <w:sz w:val="20"/>
          <w:szCs w:val="20"/>
          <w:lang w:val="es-CR"/>
        </w:rPr>
        <w:t xml:space="preserve">. Asimismo, la Corte </w:t>
      </w:r>
      <w:r w:rsidRPr="00A56CEA">
        <w:rPr>
          <w:rFonts w:ascii="Verdana" w:hAnsi="Verdana"/>
          <w:sz w:val="20"/>
          <w:szCs w:val="20"/>
          <w:lang w:val="es-CR"/>
        </w:rPr>
        <w:t xml:space="preserve">considera como costas y gastos del procedimiento internacional aquellos incurridos con el objeto de participar en la </w:t>
      </w:r>
      <w:r w:rsidR="00EB069C" w:rsidRPr="00A56CEA">
        <w:rPr>
          <w:rFonts w:ascii="Verdana" w:hAnsi="Verdana"/>
          <w:sz w:val="20"/>
          <w:szCs w:val="20"/>
          <w:lang w:val="es-CR"/>
        </w:rPr>
        <w:t>a</w:t>
      </w:r>
      <w:r w:rsidRPr="00A56CEA">
        <w:rPr>
          <w:rFonts w:ascii="Verdana" w:hAnsi="Verdana"/>
          <w:sz w:val="20"/>
          <w:szCs w:val="20"/>
          <w:lang w:val="es-CR"/>
        </w:rPr>
        <w:t xml:space="preserve">udiencia ante la Comisión. Estos gastos comprenden los pasajes de avión de la víctima y su hija Nelly Zegarra Villar, quien participó junto a su padre en la </w:t>
      </w:r>
      <w:r w:rsidR="00EB069C" w:rsidRPr="00A56CEA">
        <w:rPr>
          <w:rFonts w:ascii="Verdana" w:hAnsi="Verdana"/>
          <w:sz w:val="20"/>
          <w:szCs w:val="20"/>
          <w:lang w:val="es-CR"/>
        </w:rPr>
        <w:t>audiencia</w:t>
      </w:r>
      <w:r w:rsidRPr="00A56CEA">
        <w:rPr>
          <w:rFonts w:ascii="Verdana" w:hAnsi="Verdana"/>
          <w:sz w:val="20"/>
          <w:szCs w:val="20"/>
          <w:lang w:val="es-CR"/>
        </w:rPr>
        <w:t xml:space="preserve"> ante la Comisión</w:t>
      </w:r>
      <w:r w:rsidRPr="00F16BE7">
        <w:rPr>
          <w:rStyle w:val="FootnoteReference"/>
          <w:szCs w:val="20"/>
          <w:lang w:val="es-CR"/>
        </w:rPr>
        <w:footnoteReference w:id="204"/>
      </w:r>
      <w:r w:rsidRPr="00A56CEA">
        <w:rPr>
          <w:rFonts w:ascii="Verdana" w:hAnsi="Verdana"/>
          <w:sz w:val="20"/>
          <w:szCs w:val="20"/>
          <w:lang w:val="es-CR"/>
        </w:rPr>
        <w:t xml:space="preserve"> (US$ 2,138)</w:t>
      </w:r>
      <w:r w:rsidRPr="00F16BE7">
        <w:rPr>
          <w:rStyle w:val="FootnoteReference"/>
          <w:szCs w:val="20"/>
          <w:lang w:val="es-CR"/>
        </w:rPr>
        <w:footnoteReference w:id="205"/>
      </w:r>
      <w:r w:rsidRPr="00A56CEA">
        <w:rPr>
          <w:rFonts w:ascii="Verdana" w:hAnsi="Verdana"/>
          <w:sz w:val="20"/>
          <w:szCs w:val="20"/>
          <w:lang w:val="es-CR"/>
        </w:rPr>
        <w:t>, y el gasto de hotel para las mismas personas (US$ 394)</w:t>
      </w:r>
      <w:r w:rsidRPr="00F16BE7">
        <w:rPr>
          <w:rStyle w:val="FootnoteReference"/>
          <w:szCs w:val="20"/>
          <w:lang w:val="es-CR"/>
        </w:rPr>
        <w:footnoteReference w:id="206"/>
      </w:r>
      <w:r w:rsidRPr="00A56CEA">
        <w:rPr>
          <w:rFonts w:ascii="Verdana" w:hAnsi="Verdana"/>
          <w:sz w:val="20"/>
          <w:szCs w:val="20"/>
          <w:lang w:val="es-CR"/>
        </w:rPr>
        <w:t>. Por tanto</w:t>
      </w:r>
      <w:r w:rsidR="00EB069C" w:rsidRPr="00C23A33">
        <w:rPr>
          <w:rFonts w:ascii="Verdana" w:hAnsi="Verdana"/>
          <w:sz w:val="20"/>
          <w:szCs w:val="20"/>
          <w:lang w:val="es-CR"/>
        </w:rPr>
        <w:t>,</w:t>
      </w:r>
      <w:r w:rsidRPr="00C23A33">
        <w:rPr>
          <w:rFonts w:ascii="Verdana" w:hAnsi="Verdana"/>
          <w:sz w:val="20"/>
          <w:szCs w:val="20"/>
          <w:lang w:val="es-CR"/>
        </w:rPr>
        <w:t xml:space="preserve"> dispone un monto </w:t>
      </w:r>
      <w:r w:rsidR="00631B30">
        <w:rPr>
          <w:rFonts w:ascii="Verdana" w:hAnsi="Verdana"/>
          <w:sz w:val="20"/>
          <w:szCs w:val="20"/>
          <w:lang w:val="es-CR"/>
        </w:rPr>
        <w:t xml:space="preserve">total </w:t>
      </w:r>
      <w:r w:rsidRPr="00C23A33">
        <w:rPr>
          <w:rFonts w:ascii="Verdana" w:hAnsi="Verdana"/>
          <w:sz w:val="20"/>
          <w:szCs w:val="20"/>
          <w:lang w:val="es-CR"/>
        </w:rPr>
        <w:t xml:space="preserve">por concepto de costas y gastos de </w:t>
      </w:r>
      <w:r w:rsidRPr="006231F4">
        <w:rPr>
          <w:rFonts w:ascii="Verdana" w:hAnsi="Verdana"/>
          <w:sz w:val="20"/>
          <w:szCs w:val="20"/>
          <w:lang w:val="es-CR"/>
        </w:rPr>
        <w:t xml:space="preserve">US$ </w:t>
      </w:r>
      <w:r w:rsidR="00573EE4" w:rsidRPr="000A0953">
        <w:rPr>
          <w:rFonts w:ascii="Verdana" w:hAnsi="Verdana"/>
          <w:sz w:val="20"/>
          <w:szCs w:val="20"/>
          <w:lang w:val="es-CR"/>
        </w:rPr>
        <w:t>22</w:t>
      </w:r>
      <w:r w:rsidR="00A56CEA" w:rsidRPr="000A0953">
        <w:rPr>
          <w:rFonts w:ascii="Verdana" w:hAnsi="Verdana"/>
          <w:sz w:val="20"/>
          <w:szCs w:val="20"/>
          <w:lang w:val="es-CR"/>
        </w:rPr>
        <w:t>,532 (</w:t>
      </w:r>
      <w:r w:rsidR="00631B30" w:rsidRPr="000A0953">
        <w:rPr>
          <w:rFonts w:ascii="Verdana" w:hAnsi="Verdana"/>
          <w:sz w:val="20"/>
          <w:szCs w:val="20"/>
          <w:lang w:val="es-CR"/>
        </w:rPr>
        <w:t xml:space="preserve">veinti </w:t>
      </w:r>
      <w:r w:rsidR="00A56CEA" w:rsidRPr="000A0953">
        <w:rPr>
          <w:rFonts w:ascii="Verdana" w:hAnsi="Verdana"/>
          <w:sz w:val="20"/>
          <w:szCs w:val="20"/>
          <w:lang w:val="es-CR"/>
        </w:rPr>
        <w:t>dos</w:t>
      </w:r>
      <w:r w:rsidR="00631B30" w:rsidRPr="000A0953">
        <w:rPr>
          <w:rFonts w:ascii="Verdana" w:hAnsi="Verdana"/>
          <w:sz w:val="20"/>
          <w:szCs w:val="20"/>
          <w:lang w:val="es-CR"/>
        </w:rPr>
        <w:t xml:space="preserve"> </w:t>
      </w:r>
      <w:r w:rsidR="00A56CEA" w:rsidRPr="000A0953">
        <w:rPr>
          <w:rFonts w:ascii="Verdana" w:hAnsi="Verdana"/>
          <w:sz w:val="20"/>
          <w:szCs w:val="20"/>
          <w:lang w:val="es-CR"/>
        </w:rPr>
        <w:t xml:space="preserve">mil </w:t>
      </w:r>
      <w:r w:rsidR="00573EE4" w:rsidRPr="000A0953">
        <w:rPr>
          <w:rFonts w:ascii="Verdana" w:hAnsi="Verdana"/>
          <w:sz w:val="20"/>
          <w:szCs w:val="20"/>
          <w:lang w:val="es-CR"/>
        </w:rPr>
        <w:t>quinientos</w:t>
      </w:r>
      <w:r w:rsidR="00A56CEA" w:rsidRPr="000A0953">
        <w:rPr>
          <w:rFonts w:ascii="Verdana" w:hAnsi="Verdana"/>
          <w:sz w:val="20"/>
          <w:szCs w:val="20"/>
          <w:lang w:val="es-CR"/>
        </w:rPr>
        <w:t xml:space="preserve"> treinta y dos</w:t>
      </w:r>
      <w:r w:rsidR="00A56CEA" w:rsidRPr="00060480">
        <w:rPr>
          <w:rFonts w:ascii="Verdana" w:hAnsi="Verdana"/>
          <w:sz w:val="20"/>
          <w:szCs w:val="20"/>
          <w:lang w:val="es-CR"/>
        </w:rPr>
        <w:t xml:space="preserve"> </w:t>
      </w:r>
      <w:r w:rsidRPr="00411B3B">
        <w:rPr>
          <w:rFonts w:ascii="Verdana" w:hAnsi="Verdana"/>
          <w:sz w:val="20"/>
          <w:szCs w:val="20"/>
          <w:lang w:val="es-CR"/>
        </w:rPr>
        <w:t>dólares de los Estados Unidos de América).</w:t>
      </w:r>
      <w:r w:rsidRPr="00A56CEA">
        <w:rPr>
          <w:rFonts w:ascii="Verdana" w:hAnsi="Verdana"/>
          <w:sz w:val="20"/>
          <w:szCs w:val="20"/>
          <w:lang w:val="es-CR"/>
        </w:rPr>
        <w:t xml:space="preserve"> </w:t>
      </w:r>
      <w:r w:rsidRPr="00A56CEA">
        <w:rPr>
          <w:rFonts w:ascii="Verdana" w:hAnsi="Verdana"/>
          <w:spacing w:val="-2"/>
          <w:sz w:val="20"/>
          <w:szCs w:val="20"/>
          <w:lang w:val="es-CR"/>
        </w:rPr>
        <w:lastRenderedPageBreak/>
        <w:t>Dicho monto deberá ser entregado al señor Zegarra Marín</w:t>
      </w:r>
      <w:r w:rsidR="00EB069C" w:rsidRPr="00A56CEA">
        <w:rPr>
          <w:rFonts w:ascii="Verdana" w:hAnsi="Verdana"/>
          <w:spacing w:val="-2"/>
          <w:sz w:val="20"/>
          <w:szCs w:val="20"/>
          <w:lang w:val="es-CR"/>
        </w:rPr>
        <w:t>,</w:t>
      </w:r>
      <w:r w:rsidRPr="00A56CEA">
        <w:rPr>
          <w:rFonts w:ascii="Verdana" w:hAnsi="Verdana"/>
          <w:spacing w:val="-2"/>
          <w:sz w:val="20"/>
          <w:szCs w:val="20"/>
          <w:lang w:val="es-CR"/>
        </w:rPr>
        <w:t xml:space="preserve"> </w:t>
      </w:r>
      <w:r w:rsidRPr="00A56CEA">
        <w:rPr>
          <w:rFonts w:ascii="Verdana" w:hAnsi="Verdana"/>
          <w:color w:val="000000"/>
          <w:sz w:val="20"/>
          <w:szCs w:val="20"/>
          <w:lang w:val="es-CR"/>
        </w:rPr>
        <w:t xml:space="preserve">quien entregará a sus representantes la cantidad que corresponda, conforme a la asistencia que éstos le hubiesen prestado. </w:t>
      </w:r>
    </w:p>
    <w:p w14:paraId="6D172DB4"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B5"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Como lo ha hecho en otros casos</w:t>
      </w:r>
      <w:r w:rsidRPr="00F16BE7">
        <w:rPr>
          <w:vertAlign w:val="superscript"/>
          <w:lang w:val="es-CR"/>
        </w:rPr>
        <w:footnoteReference w:id="207"/>
      </w:r>
      <w:r w:rsidRPr="0046612A">
        <w:rPr>
          <w:rFonts w:ascii="Verdana" w:hAnsi="Verdana"/>
          <w:sz w:val="20"/>
          <w:szCs w:val="20"/>
          <w:lang w:val="es-CR"/>
        </w:rPr>
        <w:t>, en la etapa de supervisión de cumplimiento de la presente Sentencia, la Corte podrá disponer el reembolso por parte del Estado a las víctimas o sus representantes de gastos posteriores razonables y debidamente compr</w:t>
      </w:r>
      <w:r>
        <w:rPr>
          <w:rFonts w:ascii="Verdana" w:hAnsi="Verdana"/>
          <w:sz w:val="20"/>
          <w:szCs w:val="20"/>
          <w:lang w:val="es-CR"/>
        </w:rPr>
        <w:t xml:space="preserve">obados. </w:t>
      </w:r>
    </w:p>
    <w:p w14:paraId="6D172DB6" w14:textId="77777777" w:rsidR="00FB723A" w:rsidRDefault="00FB723A" w:rsidP="001634BF">
      <w:pPr>
        <w:rPr>
          <w:rFonts w:ascii="Verdana" w:hAnsi="Verdana"/>
          <w:sz w:val="20"/>
          <w:szCs w:val="20"/>
          <w:lang w:val="es-CR"/>
        </w:rPr>
      </w:pPr>
    </w:p>
    <w:p w14:paraId="6D172DB7" w14:textId="77777777" w:rsidR="00FB723A" w:rsidRPr="007A6412" w:rsidRDefault="00FB723A" w:rsidP="00054386">
      <w:pPr>
        <w:pStyle w:val="Heading2"/>
        <w:numPr>
          <w:ilvl w:val="0"/>
          <w:numId w:val="9"/>
        </w:numPr>
        <w:spacing w:before="0"/>
        <w:jc w:val="both"/>
        <w:rPr>
          <w:rFonts w:ascii="Verdana" w:hAnsi="Verdana"/>
          <w:i/>
          <w:color w:val="auto"/>
          <w:sz w:val="20"/>
          <w:szCs w:val="20"/>
          <w:lang w:val="es-CR"/>
        </w:rPr>
      </w:pPr>
      <w:bookmarkStart w:id="98" w:name="_Toc482093078"/>
      <w:r w:rsidRPr="007A6412">
        <w:rPr>
          <w:rFonts w:ascii="Verdana" w:hAnsi="Verdana"/>
          <w:i/>
          <w:color w:val="auto"/>
          <w:sz w:val="20"/>
          <w:szCs w:val="20"/>
        </w:rPr>
        <w:t>Reintegro</w:t>
      </w:r>
      <w:r w:rsidRPr="007A6412">
        <w:rPr>
          <w:rFonts w:ascii="Verdana" w:hAnsi="Verdana"/>
          <w:i/>
          <w:color w:val="auto"/>
          <w:sz w:val="20"/>
          <w:szCs w:val="20"/>
          <w:lang w:val="es-CR"/>
        </w:rPr>
        <w:t xml:space="preserve"> de los gastos al Fondo de Asistencia Legal de Víctimas</w:t>
      </w:r>
      <w:bookmarkEnd w:id="98"/>
    </w:p>
    <w:p w14:paraId="6D172DB8" w14:textId="77777777" w:rsidR="00FB723A" w:rsidRPr="00C83CAD" w:rsidRDefault="00FB723A" w:rsidP="001634BF">
      <w:pPr>
        <w:autoSpaceDE w:val="0"/>
        <w:autoSpaceDN w:val="0"/>
        <w:adjustRightInd w:val="0"/>
        <w:ind w:right="49"/>
        <w:contextualSpacing/>
        <w:jc w:val="both"/>
        <w:rPr>
          <w:rFonts w:ascii="Verdana" w:hAnsi="Verdana" w:cs="Verdana"/>
          <w:sz w:val="20"/>
          <w:szCs w:val="20"/>
          <w:lang w:val="es-CR"/>
        </w:rPr>
      </w:pPr>
    </w:p>
    <w:p w14:paraId="6D172DB9" w14:textId="0CD19AC0" w:rsidR="00FB723A" w:rsidRPr="008B2D07" w:rsidRDefault="00FB723A" w:rsidP="008B2D07">
      <w:pPr>
        <w:pStyle w:val="ListParagraph"/>
        <w:widowControl w:val="0"/>
        <w:numPr>
          <w:ilvl w:val="0"/>
          <w:numId w:val="2"/>
        </w:numPr>
        <w:tabs>
          <w:tab w:val="center" w:pos="567"/>
        </w:tabs>
        <w:autoSpaceDE w:val="0"/>
        <w:autoSpaceDN w:val="0"/>
        <w:adjustRightInd w:val="0"/>
        <w:ind w:left="0" w:right="-90" w:firstLine="0"/>
        <w:jc w:val="both"/>
        <w:rPr>
          <w:rFonts w:ascii="Verdana" w:hAnsi="Verdana" w:cs="Verdana"/>
          <w:color w:val="000000"/>
          <w:sz w:val="20"/>
          <w:szCs w:val="20"/>
          <w:lang w:val="es-CR"/>
        </w:rPr>
      </w:pPr>
      <w:r>
        <w:rPr>
          <w:rFonts w:ascii="Verdana" w:hAnsi="Verdana" w:cs="Verdana"/>
          <w:color w:val="000000"/>
          <w:sz w:val="20"/>
          <w:szCs w:val="20"/>
          <w:lang w:val="es-CR"/>
        </w:rPr>
        <w:t xml:space="preserve"> </w:t>
      </w:r>
      <w:r w:rsidRPr="00C83CAD">
        <w:rPr>
          <w:rFonts w:ascii="Verdana" w:hAnsi="Verdana" w:cs="Verdana"/>
          <w:color w:val="000000"/>
          <w:sz w:val="20"/>
          <w:szCs w:val="20"/>
          <w:lang w:val="es-CR"/>
        </w:rPr>
        <w:t>Los representantes solicitaron acogerse al Fondo de Asistencia de la Corte</w:t>
      </w:r>
      <w:r w:rsidR="00BB134B" w:rsidRPr="00C83CAD">
        <w:rPr>
          <w:rFonts w:ascii="Verdana" w:hAnsi="Verdana" w:cs="Verdana"/>
          <w:color w:val="000000"/>
          <w:sz w:val="20"/>
          <w:szCs w:val="20"/>
          <w:lang w:val="es-CR"/>
        </w:rPr>
        <w:t xml:space="preserve">. </w:t>
      </w:r>
      <w:r w:rsidRPr="00C83CAD">
        <w:rPr>
          <w:rFonts w:ascii="Verdana" w:hAnsi="Verdana" w:cs="Verdana"/>
          <w:color w:val="000000"/>
          <w:sz w:val="20"/>
          <w:szCs w:val="20"/>
          <w:lang w:val="es-CR"/>
        </w:rPr>
        <w:t xml:space="preserve">Mediante Resolución de la Presidencia de </w:t>
      </w:r>
      <w:r w:rsidRPr="00C83CAD">
        <w:rPr>
          <w:rFonts w:ascii="Verdana" w:hAnsi="Verdana" w:cs="Verdana"/>
          <w:sz w:val="20"/>
          <w:szCs w:val="20"/>
          <w:lang w:val="es-CR"/>
        </w:rPr>
        <w:t xml:space="preserve">17 de diciembre de 2015, </w:t>
      </w:r>
      <w:r w:rsidRPr="00C83CAD">
        <w:rPr>
          <w:rFonts w:ascii="Verdana" w:hAnsi="Verdana" w:cs="Verdana"/>
          <w:color w:val="000000"/>
          <w:sz w:val="20"/>
          <w:szCs w:val="20"/>
          <w:lang w:val="es-CR"/>
        </w:rPr>
        <w:t>se dispuso que la asistencia económica estaría asignada para cubrir los gastos</w:t>
      </w:r>
      <w:r w:rsidR="008B2D07">
        <w:rPr>
          <w:rFonts w:ascii="Verdana" w:hAnsi="Verdana" w:cs="Verdana"/>
          <w:color w:val="000000"/>
          <w:sz w:val="20"/>
          <w:szCs w:val="20"/>
          <w:lang w:val="es-CR"/>
        </w:rPr>
        <w:t xml:space="preserve"> </w:t>
      </w:r>
      <w:r w:rsidR="008B2D07" w:rsidRPr="000A0953">
        <w:rPr>
          <w:rFonts w:ascii="Verdana" w:hAnsi="Verdana"/>
          <w:sz w:val="20"/>
          <w:szCs w:val="20"/>
        </w:rPr>
        <w:t>correspondientes al viaje realizado o por realizarse de uno de los defensores interamericanos al Estado de Perú para entrevistarse con la presunta víctima</w:t>
      </w:r>
      <w:r w:rsidR="008B2D07" w:rsidRPr="008B2D07">
        <w:rPr>
          <w:rFonts w:ascii="Verdana" w:hAnsi="Verdana" w:cs="Verdana"/>
          <w:color w:val="000000"/>
          <w:sz w:val="20"/>
          <w:szCs w:val="20"/>
          <w:lang w:val="es-CR"/>
        </w:rPr>
        <w:t xml:space="preserve">, así como gastos </w:t>
      </w:r>
      <w:r w:rsidRPr="008B2D07">
        <w:rPr>
          <w:rFonts w:ascii="Verdana" w:hAnsi="Verdana" w:cs="Verdana"/>
          <w:color w:val="000000"/>
          <w:sz w:val="20"/>
          <w:szCs w:val="20"/>
          <w:lang w:val="es-CR"/>
        </w:rPr>
        <w:t xml:space="preserve">de viaje y estadía necesarios para que los dos defensores interamericanos, la presunta víctima y el perito </w:t>
      </w:r>
      <w:r w:rsidR="00BB134B" w:rsidRPr="008B2D07">
        <w:rPr>
          <w:rFonts w:ascii="Verdana" w:hAnsi="Verdana" w:cs="Verdana"/>
          <w:color w:val="000000"/>
          <w:sz w:val="20"/>
          <w:szCs w:val="20"/>
          <w:lang w:val="es-CR"/>
        </w:rPr>
        <w:t xml:space="preserve">asistieran </w:t>
      </w:r>
      <w:r w:rsidRPr="008B2D07">
        <w:rPr>
          <w:rFonts w:ascii="Verdana" w:hAnsi="Verdana" w:cs="Verdana"/>
          <w:color w:val="000000"/>
          <w:sz w:val="20"/>
          <w:szCs w:val="20"/>
          <w:lang w:val="es-CR"/>
        </w:rPr>
        <w:t>a la audiencia pública, así como los relativos a la formalización y envío de las declaraciones de las dos testigos</w:t>
      </w:r>
      <w:r w:rsidR="00BB134B" w:rsidRPr="008B2D07">
        <w:rPr>
          <w:rFonts w:ascii="Verdana" w:hAnsi="Verdana" w:cs="Verdana"/>
          <w:color w:val="000000"/>
          <w:sz w:val="20"/>
          <w:szCs w:val="20"/>
          <w:lang w:val="es-CR"/>
        </w:rPr>
        <w:t>,</w:t>
      </w:r>
      <w:r w:rsidRPr="008B2D07">
        <w:rPr>
          <w:rFonts w:ascii="Verdana" w:hAnsi="Verdana" w:cs="Verdana"/>
          <w:color w:val="000000"/>
          <w:sz w:val="20"/>
          <w:szCs w:val="20"/>
          <w:lang w:val="es-CR"/>
        </w:rPr>
        <w:t xml:space="preserve"> Nelly Raquel Zegarra y Carmen del Socorro Villar Guerra de Zegarra, que se </w:t>
      </w:r>
      <w:r w:rsidR="00BB134B" w:rsidRPr="008B2D07">
        <w:rPr>
          <w:rFonts w:ascii="Verdana" w:hAnsi="Verdana" w:cs="Verdana"/>
          <w:color w:val="000000"/>
          <w:sz w:val="20"/>
          <w:szCs w:val="20"/>
          <w:lang w:val="es-CR"/>
        </w:rPr>
        <w:t xml:space="preserve">rindieron </w:t>
      </w:r>
      <w:r w:rsidRPr="008B2D07">
        <w:rPr>
          <w:rFonts w:ascii="Verdana" w:hAnsi="Verdana" w:cs="Verdana"/>
          <w:color w:val="000000"/>
          <w:sz w:val="20"/>
          <w:szCs w:val="20"/>
          <w:lang w:val="es-CR"/>
        </w:rPr>
        <w:t>ante fedatario público</w:t>
      </w:r>
      <w:r w:rsidRPr="00C83CAD">
        <w:rPr>
          <w:rStyle w:val="FootnoteReference"/>
          <w:rFonts w:cs="Verdana"/>
          <w:color w:val="000000"/>
          <w:szCs w:val="20"/>
          <w:lang w:val="es-CR"/>
        </w:rPr>
        <w:footnoteReference w:id="208"/>
      </w:r>
      <w:r w:rsidRPr="008B2D07">
        <w:rPr>
          <w:rFonts w:ascii="Verdana" w:hAnsi="Verdana" w:cs="Verdana"/>
          <w:color w:val="000000"/>
          <w:sz w:val="20"/>
          <w:szCs w:val="20"/>
          <w:lang w:val="es-CR"/>
        </w:rPr>
        <w:t>.</w:t>
      </w:r>
    </w:p>
    <w:p w14:paraId="6D172DBA" w14:textId="77777777" w:rsidR="00FB723A" w:rsidRPr="00C83CAD" w:rsidRDefault="00FB723A" w:rsidP="001634BF">
      <w:pPr>
        <w:autoSpaceDE w:val="0"/>
        <w:autoSpaceDN w:val="0"/>
        <w:adjustRightInd w:val="0"/>
        <w:jc w:val="both"/>
        <w:rPr>
          <w:rFonts w:ascii="Verdana" w:hAnsi="Verdana" w:cs="Verdana"/>
          <w:color w:val="000000"/>
          <w:sz w:val="20"/>
          <w:szCs w:val="20"/>
          <w:lang w:val="es-CR"/>
        </w:rPr>
      </w:pPr>
    </w:p>
    <w:p w14:paraId="6D172DBB" w14:textId="2A9801B0" w:rsidR="00FB723A" w:rsidRPr="00C83CAD"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cs="Verdana"/>
          <w:color w:val="000000"/>
          <w:sz w:val="20"/>
          <w:szCs w:val="20"/>
          <w:lang w:val="es-CR"/>
        </w:rPr>
      </w:pPr>
      <w:r>
        <w:rPr>
          <w:rFonts w:ascii="Verdana" w:hAnsi="Verdana" w:cs="Verdana"/>
          <w:color w:val="000000"/>
          <w:sz w:val="20"/>
          <w:szCs w:val="20"/>
          <w:lang w:val="es-CR"/>
        </w:rPr>
        <w:t xml:space="preserve"> </w:t>
      </w:r>
      <w:r w:rsidRPr="00C83CAD">
        <w:rPr>
          <w:rFonts w:ascii="Verdana" w:hAnsi="Verdana" w:cs="Verdana"/>
          <w:color w:val="000000"/>
          <w:sz w:val="20"/>
          <w:szCs w:val="20"/>
          <w:lang w:val="es-CR"/>
        </w:rPr>
        <w:t xml:space="preserve">Mediante nota de Secretaría de la Corte de </w:t>
      </w:r>
      <w:r w:rsidRPr="00C83CAD">
        <w:rPr>
          <w:rFonts w:ascii="Verdana" w:hAnsi="Verdana" w:cs="Verdana"/>
          <w:sz w:val="20"/>
          <w:szCs w:val="20"/>
          <w:lang w:val="es-CR"/>
        </w:rPr>
        <w:t xml:space="preserve">10 de </w:t>
      </w:r>
      <w:r w:rsidR="00BB134B">
        <w:rPr>
          <w:rFonts w:ascii="Verdana" w:hAnsi="Verdana" w:cs="Verdana"/>
          <w:sz w:val="20"/>
          <w:szCs w:val="20"/>
          <w:lang w:val="es-CR"/>
        </w:rPr>
        <w:t>a</w:t>
      </w:r>
      <w:r w:rsidR="00BB134B" w:rsidRPr="00C83CAD">
        <w:rPr>
          <w:rFonts w:ascii="Verdana" w:hAnsi="Verdana" w:cs="Verdana"/>
          <w:sz w:val="20"/>
          <w:szCs w:val="20"/>
          <w:lang w:val="es-CR"/>
        </w:rPr>
        <w:t xml:space="preserve">gosto </w:t>
      </w:r>
      <w:r w:rsidRPr="00C83CAD">
        <w:rPr>
          <w:rFonts w:ascii="Verdana" w:hAnsi="Verdana" w:cs="Verdana"/>
          <w:sz w:val="20"/>
          <w:szCs w:val="20"/>
          <w:lang w:val="es-CR"/>
        </w:rPr>
        <w:t xml:space="preserve">de 2016, </w:t>
      </w:r>
      <w:r w:rsidRPr="00C83CAD">
        <w:rPr>
          <w:rFonts w:ascii="Verdana" w:hAnsi="Verdana" w:cs="Verdana"/>
          <w:color w:val="000000"/>
          <w:sz w:val="20"/>
          <w:szCs w:val="20"/>
          <w:lang w:val="es-CR"/>
        </w:rPr>
        <w:t xml:space="preserve">se remitió un informe al Estado sobre las erogaciones efectuadas en aplicación del Fondo de Asistencia en el presente caso, las cuales ascendieron a la suma de USD </w:t>
      </w:r>
      <w:r w:rsidRPr="00C83CAD">
        <w:rPr>
          <w:rFonts w:ascii="Verdana" w:hAnsi="Verdana" w:cs="Verdana"/>
          <w:sz w:val="20"/>
          <w:szCs w:val="20"/>
          <w:lang w:val="es-CR"/>
        </w:rPr>
        <w:t xml:space="preserve">$8,523.10 (ocho mil quinientos veintitrés dólares de los Estados Unidos de América con diez centavos) </w:t>
      </w:r>
      <w:r w:rsidRPr="00C83CAD">
        <w:rPr>
          <w:rFonts w:ascii="Verdana" w:hAnsi="Verdana" w:cs="Verdana"/>
          <w:color w:val="000000"/>
          <w:sz w:val="20"/>
          <w:szCs w:val="20"/>
          <w:lang w:val="es-CR"/>
        </w:rPr>
        <w:t>y, según lo dispuesto en el artículo 5 del Reglamento de la Corte sobre el Funcionamiento del referido Fondo, se otorgó un plazo para que</w:t>
      </w:r>
      <w:r w:rsidR="00262B2A">
        <w:rPr>
          <w:rFonts w:ascii="Verdana" w:hAnsi="Verdana" w:cs="Verdana"/>
          <w:color w:val="000000"/>
          <w:sz w:val="20"/>
          <w:szCs w:val="20"/>
          <w:lang w:val="es-CR"/>
        </w:rPr>
        <w:t xml:space="preserve"> </w:t>
      </w:r>
      <w:r w:rsidRPr="00C83CAD">
        <w:rPr>
          <w:rFonts w:ascii="Verdana" w:hAnsi="Verdana" w:cs="Verdana"/>
          <w:color w:val="000000"/>
          <w:sz w:val="20"/>
          <w:szCs w:val="20"/>
          <w:lang w:val="es-CR"/>
        </w:rPr>
        <w:t>Perú presentara las observaciones que estimara pertinentes</w:t>
      </w:r>
      <w:r w:rsidR="00262B2A">
        <w:rPr>
          <w:rFonts w:ascii="Verdana" w:hAnsi="Verdana" w:cs="Verdana"/>
          <w:color w:val="000000"/>
          <w:sz w:val="20"/>
          <w:szCs w:val="20"/>
          <w:lang w:val="es-CR"/>
        </w:rPr>
        <w:t>.</w:t>
      </w:r>
      <w:r w:rsidR="000341C0">
        <w:rPr>
          <w:rFonts w:ascii="Verdana" w:hAnsi="Verdana" w:cs="Verdana"/>
          <w:color w:val="000000"/>
          <w:sz w:val="20"/>
          <w:szCs w:val="20"/>
          <w:lang w:val="es-CR"/>
        </w:rPr>
        <w:t xml:space="preserve"> </w:t>
      </w:r>
      <w:r w:rsidRPr="00C83CAD">
        <w:rPr>
          <w:rFonts w:ascii="Verdana" w:hAnsi="Verdana" w:cs="Verdana"/>
          <w:color w:val="000000"/>
          <w:sz w:val="20"/>
          <w:szCs w:val="20"/>
          <w:lang w:val="es-CR"/>
        </w:rPr>
        <w:t xml:space="preserve">El Estado presentó sus observaciones el </w:t>
      </w:r>
      <w:r w:rsidRPr="00C83CAD">
        <w:rPr>
          <w:rFonts w:ascii="Verdana" w:hAnsi="Verdana" w:cs="Verdana"/>
          <w:sz w:val="20"/>
          <w:szCs w:val="20"/>
          <w:lang w:val="es-CR"/>
        </w:rPr>
        <w:t xml:space="preserve">19 de </w:t>
      </w:r>
      <w:r w:rsidR="000341C0">
        <w:rPr>
          <w:rFonts w:ascii="Verdana" w:hAnsi="Verdana" w:cs="Verdana"/>
          <w:sz w:val="20"/>
          <w:szCs w:val="20"/>
          <w:lang w:val="es-CR"/>
        </w:rPr>
        <w:t>a</w:t>
      </w:r>
      <w:r w:rsidR="000341C0" w:rsidRPr="00C83CAD">
        <w:rPr>
          <w:rFonts w:ascii="Verdana" w:hAnsi="Verdana" w:cs="Verdana"/>
          <w:sz w:val="20"/>
          <w:szCs w:val="20"/>
          <w:lang w:val="es-CR"/>
        </w:rPr>
        <w:t xml:space="preserve">gosto </w:t>
      </w:r>
      <w:r w:rsidRPr="00C83CAD">
        <w:rPr>
          <w:rFonts w:ascii="Verdana" w:hAnsi="Verdana" w:cs="Verdana"/>
          <w:sz w:val="20"/>
          <w:szCs w:val="20"/>
          <w:lang w:val="es-CR"/>
        </w:rPr>
        <w:t>de 2016</w:t>
      </w:r>
      <w:r w:rsidR="00262B2A">
        <w:rPr>
          <w:rFonts w:ascii="Verdana" w:hAnsi="Verdana" w:cs="Verdana"/>
          <w:sz w:val="20"/>
          <w:szCs w:val="20"/>
          <w:lang w:val="es-CR"/>
        </w:rPr>
        <w:t>.</w:t>
      </w:r>
    </w:p>
    <w:p w14:paraId="6D172DBC" w14:textId="77777777" w:rsidR="00FB723A" w:rsidRPr="00C83CAD" w:rsidRDefault="00FB723A" w:rsidP="001634BF">
      <w:pPr>
        <w:autoSpaceDE w:val="0"/>
        <w:autoSpaceDN w:val="0"/>
        <w:adjustRightInd w:val="0"/>
        <w:rPr>
          <w:rFonts w:ascii="Verdana" w:hAnsi="Verdana"/>
          <w:sz w:val="20"/>
          <w:szCs w:val="20"/>
          <w:lang w:val="es-CR"/>
        </w:rPr>
      </w:pPr>
    </w:p>
    <w:p w14:paraId="6D172DBD" w14:textId="5DBD4835" w:rsidR="00FB723A" w:rsidRPr="00C83CAD" w:rsidRDefault="00262B2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Pr>
          <w:rFonts w:ascii="Verdana" w:hAnsi="Verdana"/>
          <w:sz w:val="20"/>
          <w:szCs w:val="20"/>
          <w:lang w:val="es-CR"/>
        </w:rPr>
        <w:t xml:space="preserve">Al respecto, el Estado objetó los siguientes rubros: </w:t>
      </w:r>
      <w:r w:rsidR="00FB723A" w:rsidRPr="00C83CAD">
        <w:rPr>
          <w:rFonts w:ascii="Verdana" w:hAnsi="Verdana"/>
          <w:sz w:val="20"/>
          <w:szCs w:val="20"/>
          <w:lang w:val="es-CR"/>
        </w:rPr>
        <w:t>En relación con el sustento sobre el traslado aéreo a la ciudad de San José de Costa Rica de la presunta víctima, el Estado observó que el señor Zegarra Marín presentó el documento de cobranza</w:t>
      </w:r>
      <w:r w:rsidR="00FB723A">
        <w:rPr>
          <w:rStyle w:val="FootnoteReference"/>
          <w:szCs w:val="20"/>
          <w:lang w:val="es-CR"/>
        </w:rPr>
        <w:footnoteReference w:id="209"/>
      </w:r>
      <w:r w:rsidR="00FB723A" w:rsidRPr="00C83CAD">
        <w:rPr>
          <w:rFonts w:ascii="Verdana" w:hAnsi="Verdana"/>
          <w:sz w:val="20"/>
          <w:szCs w:val="20"/>
          <w:lang w:val="es-CR"/>
        </w:rPr>
        <w:t xml:space="preserve"> que acreditaría el gasto por el concepto de pasaje aéreo, documento que, de conformidad con la legislación nacional peruana, no es considerado como comprobante de pago. Además, con relación a los gastos efectuados por la presunta víctima, los Defensores Interamericanos y el perito</w:t>
      </w:r>
      <w:r>
        <w:rPr>
          <w:rFonts w:ascii="Verdana" w:hAnsi="Verdana"/>
          <w:sz w:val="20"/>
          <w:szCs w:val="20"/>
          <w:lang w:val="es-CR"/>
        </w:rPr>
        <w:t>,</w:t>
      </w:r>
      <w:r w:rsidR="00FB723A" w:rsidRPr="00C83CAD">
        <w:rPr>
          <w:rFonts w:ascii="Verdana" w:hAnsi="Verdana"/>
          <w:sz w:val="20"/>
          <w:szCs w:val="20"/>
          <w:lang w:val="es-MX"/>
        </w:rPr>
        <w:t xml:space="preserve"> bajo e</w:t>
      </w:r>
      <w:r w:rsidR="00FB723A" w:rsidRPr="00C83CAD">
        <w:rPr>
          <w:rFonts w:ascii="Verdana" w:hAnsi="Verdana"/>
          <w:sz w:val="20"/>
          <w:szCs w:val="20"/>
          <w:lang w:val="es-CR"/>
        </w:rPr>
        <w:t>l rubro “viáticos y gastos de transporte”, el Perú observó que se presentó el comprobante de recibo de dinero de la Corte que se efectuó teniendo como base de referencia la tabla de viáticos de la Organización de los Estados Americanos (OEA) aplicable a la ciudad de San José de Costa Rica, vigente al mes de febrero de 2016</w:t>
      </w:r>
      <w:r>
        <w:rPr>
          <w:rFonts w:ascii="Verdana" w:hAnsi="Verdana"/>
          <w:sz w:val="20"/>
          <w:szCs w:val="20"/>
          <w:lang w:val="es-CR"/>
        </w:rPr>
        <w:t>.</w:t>
      </w:r>
      <w:r w:rsidR="00FB723A" w:rsidRPr="00C83CAD">
        <w:rPr>
          <w:rFonts w:ascii="Verdana" w:hAnsi="Verdana"/>
          <w:sz w:val="20"/>
          <w:szCs w:val="20"/>
          <w:lang w:val="es-CR"/>
        </w:rPr>
        <w:t xml:space="preserve"> </w:t>
      </w:r>
      <w:r>
        <w:rPr>
          <w:rFonts w:ascii="Verdana" w:hAnsi="Verdana"/>
          <w:sz w:val="20"/>
          <w:szCs w:val="20"/>
          <w:lang w:val="es-CR"/>
        </w:rPr>
        <w:t>S</w:t>
      </w:r>
      <w:r w:rsidR="00FB723A" w:rsidRPr="00C83CAD">
        <w:rPr>
          <w:rFonts w:ascii="Verdana" w:hAnsi="Verdana"/>
          <w:sz w:val="20"/>
          <w:szCs w:val="20"/>
          <w:lang w:val="es-CR"/>
        </w:rPr>
        <w:t xml:space="preserve">in embargo, no se presentó factura o boleta que </w:t>
      </w:r>
      <w:r w:rsidR="003B7F20">
        <w:rPr>
          <w:rFonts w:ascii="Verdana" w:hAnsi="Verdana"/>
          <w:sz w:val="20"/>
          <w:szCs w:val="20"/>
          <w:lang w:val="es-CR"/>
        </w:rPr>
        <w:t>acreditara</w:t>
      </w:r>
      <w:r w:rsidR="003B7F20" w:rsidRPr="00C83CAD">
        <w:rPr>
          <w:rFonts w:ascii="Verdana" w:hAnsi="Verdana"/>
          <w:sz w:val="20"/>
          <w:szCs w:val="20"/>
          <w:lang w:val="es-CR"/>
        </w:rPr>
        <w:t xml:space="preserve"> </w:t>
      </w:r>
      <w:r w:rsidR="00FB723A" w:rsidRPr="00C83CAD">
        <w:rPr>
          <w:rFonts w:ascii="Verdana" w:hAnsi="Verdana"/>
          <w:sz w:val="20"/>
          <w:szCs w:val="20"/>
          <w:lang w:val="es-CR"/>
        </w:rPr>
        <w:t xml:space="preserve">la realización de gastos que correspondan a los viáticos y a los gastos terminales, no siendo suficiente, para el Estado, la sola presentación de los recibos de dinero de la Corte y un cuadro general con la cifra total de gastos en los referidos rubros para acreditar el gasto del monto dinerario recibido. Asimismo y en particular en lo que ve a gastos terminales, señaló que la citada tabla debería consignar también los conceptos y </w:t>
      </w:r>
      <w:r w:rsidR="00FB723A" w:rsidRPr="00C83CAD">
        <w:rPr>
          <w:rFonts w:ascii="Verdana" w:hAnsi="Verdana"/>
          <w:sz w:val="20"/>
          <w:szCs w:val="20"/>
          <w:lang w:val="es-CR"/>
        </w:rPr>
        <w:lastRenderedPageBreak/>
        <w:t xml:space="preserve">montos correspondientes al rubro de tales gastos, lo cual no pudo constatar a partir de la tabla remitida. </w:t>
      </w:r>
    </w:p>
    <w:p w14:paraId="6D172DBE" w14:textId="77777777" w:rsidR="00FB723A" w:rsidRPr="00C83CAD" w:rsidRDefault="00FB723A" w:rsidP="001634BF">
      <w:pPr>
        <w:autoSpaceDE w:val="0"/>
        <w:autoSpaceDN w:val="0"/>
        <w:adjustRightInd w:val="0"/>
        <w:jc w:val="both"/>
        <w:rPr>
          <w:rFonts w:ascii="Verdana" w:hAnsi="Verdana"/>
          <w:sz w:val="20"/>
          <w:szCs w:val="20"/>
          <w:lang w:val="es-CR"/>
        </w:rPr>
      </w:pPr>
    </w:p>
    <w:p w14:paraId="6D172DBF" w14:textId="4053F0A3" w:rsidR="00FB723A" w:rsidRPr="00C83CAD"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color w:val="1F497D"/>
          <w:sz w:val="20"/>
          <w:szCs w:val="20"/>
          <w:lang w:val="es-ES"/>
        </w:rPr>
      </w:pPr>
      <w:r w:rsidRPr="00C83CAD">
        <w:rPr>
          <w:rFonts w:ascii="Verdana" w:hAnsi="Verdana" w:cs="Verdana"/>
          <w:color w:val="000000"/>
          <w:sz w:val="20"/>
          <w:szCs w:val="20"/>
          <w:lang w:val="es-CR"/>
        </w:rPr>
        <w:t xml:space="preserve">Por lo que se refiere al comprobante de los </w:t>
      </w:r>
      <w:r w:rsidRPr="00C83CAD">
        <w:rPr>
          <w:rFonts w:ascii="Verdana" w:hAnsi="Verdana"/>
          <w:sz w:val="20"/>
          <w:szCs w:val="20"/>
          <w:lang w:val="es-CR"/>
        </w:rPr>
        <w:t xml:space="preserve">boletos aéreos y la consignación de los montos por concepto de gastos terminales de la tabla de la OEA, la Secretaría de este Tribunal remitió mediante comunicación de </w:t>
      </w:r>
      <w:r w:rsidR="007A6412">
        <w:rPr>
          <w:rFonts w:ascii="Verdana" w:hAnsi="Verdana"/>
          <w:sz w:val="20"/>
          <w:szCs w:val="20"/>
          <w:lang w:val="es-CR"/>
        </w:rPr>
        <w:t>13 de octubre de 2016</w:t>
      </w:r>
      <w:r w:rsidRPr="00C83CAD">
        <w:rPr>
          <w:rFonts w:ascii="Verdana" w:hAnsi="Verdana"/>
          <w:sz w:val="20"/>
          <w:szCs w:val="20"/>
          <w:lang w:val="es-CR"/>
        </w:rPr>
        <w:t xml:space="preserve"> la documentación solicitada por el Estado, a fin de comprobar los gastos referidos. En cuanto a las objeciones del Estado respecto a la falta de documentación que sustente los montos erogados por concepto de viáticos y gastos terminales, la Corte recuerda que, de conformidad con el artículo 6 del Reglamento de la Corte sobre el Funcionamiento del Fondo de Asistencia Legal de Víctimas, “[a] falta de disposición en [dicho] Reglamento, o en caso de duda sobre su interpretación, la Corte decidirá”. Al respecto, desde que comenzó a funcionar el Fondo</w:t>
      </w:r>
      <w:r w:rsidRPr="00C83CAD">
        <w:rPr>
          <w:rStyle w:val="FootnoteReference"/>
          <w:szCs w:val="20"/>
          <w:lang w:val="es-CR"/>
        </w:rPr>
        <w:footnoteReference w:id="210"/>
      </w:r>
      <w:r w:rsidRPr="00C83CAD">
        <w:rPr>
          <w:rFonts w:ascii="Verdana" w:hAnsi="Verdana"/>
          <w:sz w:val="20"/>
          <w:szCs w:val="20"/>
          <w:lang w:val="es-CR"/>
        </w:rPr>
        <w:t xml:space="preserve">, este Tribunal ha establecido como política entregar a las personas cubiertas por el mismo, un monto fijo de viáticos, lo cual incluye hospedaje y alimentación, tomando como base de referencia la tabla de viáticos vigente de la OEA aplicable a la ciudad de San José, Costa Rica, sin necesidad de que presenten facturas que demuestren los gastos efectuados. Lo anterior, dado que esta tabla refleja el monto que, según la OEA, razonablemente desembolsaría una persona en hospedaje y alimentación en dicha ciudad. Asimismo, la Corte ha considerado que el procedimiento de pedir facturas a los beneficiarios del Fondo de Asistencia por los viáticos recibidos </w:t>
      </w:r>
      <w:r w:rsidRPr="002F2E11">
        <w:rPr>
          <w:rFonts w:ascii="Verdana" w:hAnsi="Verdana"/>
          <w:sz w:val="20"/>
          <w:szCs w:val="20"/>
          <w:lang w:val="es-CR"/>
        </w:rPr>
        <w:t>presentaría serios obstáculos para la correcta y expedita administración del Fondo de Asistencia</w:t>
      </w:r>
      <w:r w:rsidR="002F2E11">
        <w:rPr>
          <w:rStyle w:val="FootnoteReference"/>
          <w:szCs w:val="20"/>
          <w:lang w:val="es-CR"/>
        </w:rPr>
        <w:footnoteReference w:id="211"/>
      </w:r>
      <w:r w:rsidRPr="002F2E11">
        <w:rPr>
          <w:rFonts w:ascii="Verdana" w:hAnsi="Verdana"/>
          <w:sz w:val="20"/>
          <w:szCs w:val="20"/>
          <w:lang w:val="es-CR"/>
        </w:rPr>
        <w:t>. También por esta razón es que, en cuanto a los gastos terminales, es decir, los gastos por trasporte</w:t>
      </w:r>
      <w:r w:rsidRPr="00C83CAD">
        <w:rPr>
          <w:rFonts w:ascii="Verdana" w:hAnsi="Verdana"/>
          <w:sz w:val="20"/>
          <w:szCs w:val="20"/>
          <w:lang w:val="es-CR"/>
        </w:rPr>
        <w:t xml:space="preserve"> para el traslado hacia y desde la estación terminal y otros gastos incidentales, basta con firmar el comprobante de recibo del dinero correspondiente. Por tanto, la Corte desestima las objeciones del Estado. </w:t>
      </w:r>
      <w:r w:rsidRPr="00C83CAD">
        <w:rPr>
          <w:rFonts w:ascii="Verdana" w:hAnsi="Verdana"/>
          <w:color w:val="1F497D"/>
          <w:sz w:val="20"/>
          <w:szCs w:val="20"/>
          <w:lang w:val="es-ES"/>
        </w:rPr>
        <w:t xml:space="preserve"> </w:t>
      </w:r>
    </w:p>
    <w:p w14:paraId="6D172DC0" w14:textId="77777777" w:rsidR="00FB723A" w:rsidRPr="00C83CAD" w:rsidRDefault="00FB723A" w:rsidP="001634BF">
      <w:pPr>
        <w:autoSpaceDE w:val="0"/>
        <w:autoSpaceDN w:val="0"/>
        <w:adjustRightInd w:val="0"/>
        <w:ind w:right="49"/>
        <w:contextualSpacing/>
        <w:jc w:val="both"/>
        <w:rPr>
          <w:rFonts w:ascii="Verdana" w:hAnsi="Verdana"/>
          <w:sz w:val="20"/>
          <w:szCs w:val="20"/>
          <w:lang w:val="es-CR"/>
        </w:rPr>
      </w:pPr>
    </w:p>
    <w:p w14:paraId="6D172DC1" w14:textId="4FA227E4" w:rsidR="00FB723A" w:rsidRPr="00C83CAD"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cs="Verdana"/>
          <w:sz w:val="20"/>
          <w:szCs w:val="20"/>
          <w:lang w:val="es-CR"/>
        </w:rPr>
      </w:pPr>
      <w:r w:rsidRPr="00C83CAD">
        <w:rPr>
          <w:rFonts w:ascii="Verdana" w:hAnsi="Verdana"/>
          <w:sz w:val="20"/>
          <w:szCs w:val="20"/>
          <w:lang w:val="es-CR"/>
        </w:rPr>
        <w:t xml:space="preserve">Con base en lo anterior, en razón de las violaciones declaradas en la presente Sentencia y en aplicación del artículo 5 del Reglamento del Fondo, la Corte ordena al Estado el reintegro de la cantidad de </w:t>
      </w:r>
      <w:r w:rsidR="008B5048">
        <w:rPr>
          <w:rFonts w:ascii="Verdana" w:hAnsi="Verdana" w:cs="Verdana"/>
          <w:sz w:val="20"/>
          <w:szCs w:val="20"/>
          <w:lang w:val="es-CR"/>
        </w:rPr>
        <w:t>USD $8,523</w:t>
      </w:r>
      <w:r w:rsidRPr="00C83CAD">
        <w:rPr>
          <w:rFonts w:ascii="Verdana" w:hAnsi="Verdana" w:cs="Verdana"/>
          <w:sz w:val="20"/>
          <w:szCs w:val="20"/>
          <w:lang w:val="es-CR"/>
        </w:rPr>
        <w:t xml:space="preserve"> (ocho mil quinientos veintitrés dólares de los Estados Unidos de América con diez centavos) </w:t>
      </w:r>
      <w:r w:rsidRPr="00C83CAD">
        <w:rPr>
          <w:rFonts w:ascii="Verdana" w:hAnsi="Verdana"/>
          <w:sz w:val="20"/>
          <w:szCs w:val="20"/>
          <w:lang w:val="es-CR"/>
        </w:rPr>
        <w:t xml:space="preserve">por concepto de gastos realizados para la comparecencia de </w:t>
      </w:r>
      <w:r w:rsidRPr="00C83CAD">
        <w:rPr>
          <w:rFonts w:ascii="Verdana" w:hAnsi="Verdana" w:cs="Verdana"/>
          <w:sz w:val="20"/>
          <w:szCs w:val="20"/>
          <w:lang w:val="es-CR"/>
        </w:rPr>
        <w:t>dos defensores interamericanos, la presunta víctima y un perito</w:t>
      </w:r>
      <w:r w:rsidRPr="00C83CAD">
        <w:rPr>
          <w:rFonts w:ascii="Verdana" w:hAnsi="Verdana"/>
          <w:sz w:val="20"/>
          <w:szCs w:val="20"/>
          <w:lang w:val="es-CR"/>
        </w:rPr>
        <w:t xml:space="preserve"> en la audiencia pública del presente caso; así como para la preparación y envío de dos declaraciones rendidas mediante </w:t>
      </w:r>
      <w:r w:rsidRPr="00C83CAD">
        <w:rPr>
          <w:rFonts w:ascii="Verdana" w:hAnsi="Verdana" w:cs="Verdana"/>
          <w:i/>
          <w:iCs/>
          <w:sz w:val="20"/>
          <w:szCs w:val="20"/>
          <w:lang w:val="es-CR"/>
        </w:rPr>
        <w:t>affidávit</w:t>
      </w:r>
      <w:r w:rsidRPr="00C83CAD">
        <w:rPr>
          <w:rFonts w:ascii="Verdana" w:hAnsi="Verdana" w:cs="Verdana"/>
          <w:sz w:val="20"/>
          <w:szCs w:val="20"/>
          <w:lang w:val="es-CR"/>
        </w:rPr>
        <w:t xml:space="preserve">. Dicha cantidad deberá ser reintegrada </w:t>
      </w:r>
      <w:r w:rsidR="00426510">
        <w:rPr>
          <w:rFonts w:ascii="Verdana" w:hAnsi="Verdana" w:cs="Verdana"/>
          <w:sz w:val="20"/>
          <w:szCs w:val="20"/>
          <w:lang w:val="es-CR"/>
        </w:rPr>
        <w:t xml:space="preserve">al fondo </w:t>
      </w:r>
      <w:r w:rsidRPr="00C83CAD">
        <w:rPr>
          <w:rFonts w:ascii="Verdana" w:hAnsi="Verdana" w:cs="Verdana"/>
          <w:sz w:val="20"/>
          <w:szCs w:val="20"/>
          <w:lang w:val="es-CR"/>
        </w:rPr>
        <w:t xml:space="preserve">en el plazo de noventa días, contados a partir de la notificación del presente Fallo. </w:t>
      </w:r>
    </w:p>
    <w:p w14:paraId="6D172DC2" w14:textId="77777777" w:rsidR="00FB723A" w:rsidRDefault="00FB723A" w:rsidP="001634BF">
      <w:pPr>
        <w:rPr>
          <w:rFonts w:ascii="Verdana" w:hAnsi="Verdana"/>
          <w:sz w:val="20"/>
          <w:szCs w:val="20"/>
          <w:lang w:val="es-CR"/>
        </w:rPr>
      </w:pPr>
    </w:p>
    <w:p w14:paraId="6D172DC3" w14:textId="77777777" w:rsidR="00FB723A" w:rsidRPr="0046612A" w:rsidRDefault="00FB723A" w:rsidP="00054386">
      <w:pPr>
        <w:pStyle w:val="Heading2"/>
        <w:numPr>
          <w:ilvl w:val="0"/>
          <w:numId w:val="9"/>
        </w:numPr>
        <w:spacing w:before="0"/>
        <w:jc w:val="both"/>
        <w:rPr>
          <w:rFonts w:ascii="Verdana" w:hAnsi="Verdana"/>
          <w:i/>
          <w:color w:val="auto"/>
          <w:sz w:val="20"/>
          <w:szCs w:val="20"/>
        </w:rPr>
      </w:pPr>
      <w:bookmarkStart w:id="99" w:name="_Toc405903904"/>
      <w:bookmarkStart w:id="100" w:name="_Toc432072842"/>
      <w:bookmarkStart w:id="101" w:name="_Toc441666211"/>
      <w:bookmarkStart w:id="102" w:name="_Toc482093079"/>
      <w:r w:rsidRPr="0046612A">
        <w:rPr>
          <w:rFonts w:ascii="Verdana" w:hAnsi="Verdana"/>
          <w:i/>
          <w:color w:val="auto"/>
          <w:sz w:val="20"/>
          <w:szCs w:val="20"/>
        </w:rPr>
        <w:t>Modalidad de cumplimiento de los pagos ordenados</w:t>
      </w:r>
      <w:bookmarkEnd w:id="99"/>
      <w:bookmarkEnd w:id="100"/>
      <w:bookmarkEnd w:id="101"/>
      <w:bookmarkEnd w:id="102"/>
    </w:p>
    <w:p w14:paraId="6D172DC4" w14:textId="77777777" w:rsidR="00FB723A" w:rsidRPr="0046612A" w:rsidRDefault="00FB723A" w:rsidP="001634BF">
      <w:pPr>
        <w:rPr>
          <w:rFonts w:ascii="Verdana" w:hAnsi="Verdana"/>
          <w:sz w:val="20"/>
          <w:szCs w:val="20"/>
          <w:lang w:val="es-CR"/>
        </w:rPr>
      </w:pPr>
    </w:p>
    <w:p w14:paraId="6D172DC5"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El Estado deberá efectuar el pago de las indemnizaciones por concepto de daño material e inmaterial, así como el reintegro de las costas y gastos establecidos en la presente Sentencia directamente a las personas indicadas en la misma, dentro del plazo de un año contado a partir de la notificación del presente Fallo, en los términos de los siguientes párrafos.</w:t>
      </w:r>
      <w:r>
        <w:rPr>
          <w:rFonts w:ascii="Verdana" w:hAnsi="Verdana"/>
          <w:sz w:val="20"/>
          <w:szCs w:val="20"/>
          <w:lang w:val="es-CR"/>
        </w:rPr>
        <w:t xml:space="preserve"> </w:t>
      </w:r>
    </w:p>
    <w:p w14:paraId="6D172DC6" w14:textId="77777777" w:rsidR="00FB723A"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C7"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En caso de que el beneficiario fallezca antes de que les sean entregadas las indemnizaciones respectivas, éstas se efectuarán directamente a sus derechohabientes, conforme al derecho interno aplicable.</w:t>
      </w:r>
      <w:r>
        <w:rPr>
          <w:rFonts w:ascii="Verdana" w:hAnsi="Verdana"/>
          <w:sz w:val="20"/>
          <w:szCs w:val="20"/>
          <w:lang w:val="es-CR"/>
        </w:rPr>
        <w:t xml:space="preserve"> </w:t>
      </w:r>
    </w:p>
    <w:p w14:paraId="6D172DC8" w14:textId="77777777" w:rsidR="00FB723A" w:rsidRPr="0046612A" w:rsidRDefault="00FB723A" w:rsidP="001634BF">
      <w:pPr>
        <w:pStyle w:val="ListParagraph"/>
        <w:ind w:left="0"/>
        <w:rPr>
          <w:rFonts w:ascii="Verdana" w:hAnsi="Verdana"/>
          <w:sz w:val="20"/>
          <w:szCs w:val="20"/>
          <w:lang w:val="es-CR"/>
        </w:rPr>
      </w:pPr>
    </w:p>
    <w:p w14:paraId="6D172DC9" w14:textId="49D83032"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El Estado debe cumplir sus obligaciones monetarias mediante el pago en dólares de los Estados Unidos de América</w:t>
      </w:r>
      <w:r w:rsidR="00E632EF">
        <w:rPr>
          <w:rFonts w:ascii="Verdana" w:hAnsi="Verdana"/>
          <w:sz w:val="20"/>
          <w:szCs w:val="20"/>
          <w:lang w:val="es-CR"/>
        </w:rPr>
        <w:t xml:space="preserve"> </w:t>
      </w:r>
      <w:r w:rsidR="00E632EF" w:rsidRPr="000A0953">
        <w:rPr>
          <w:rFonts w:ascii="Verdana" w:hAnsi="Verdana"/>
          <w:sz w:val="20"/>
          <w:szCs w:val="20"/>
          <w:lang w:val="es-CR"/>
        </w:rPr>
        <w:t>o su equivalente en moneda peruana</w:t>
      </w:r>
      <w:r w:rsidRPr="00426510">
        <w:rPr>
          <w:rFonts w:ascii="Verdana" w:hAnsi="Verdana"/>
          <w:sz w:val="20"/>
          <w:szCs w:val="20"/>
          <w:lang w:val="es-CR"/>
        </w:rPr>
        <w:t>,</w:t>
      </w:r>
      <w:r w:rsidRPr="0046612A">
        <w:rPr>
          <w:rFonts w:ascii="Verdana" w:hAnsi="Verdana"/>
          <w:sz w:val="20"/>
          <w:szCs w:val="20"/>
          <w:lang w:val="es-CR"/>
        </w:rPr>
        <w:t xml:space="preserve"> utilizando para el cálculo </w:t>
      </w:r>
      <w:r w:rsidRPr="0046612A">
        <w:rPr>
          <w:rFonts w:ascii="Verdana" w:hAnsi="Verdana"/>
          <w:sz w:val="20"/>
          <w:szCs w:val="20"/>
          <w:lang w:val="es-CR"/>
        </w:rPr>
        <w:lastRenderedPageBreak/>
        <w:t xml:space="preserve">respectivo el tipo de cambio que se encuentre vigente </w:t>
      </w:r>
      <w:r w:rsidRPr="00B446C7">
        <w:rPr>
          <w:rFonts w:ascii="Verdana" w:hAnsi="Verdana"/>
          <w:sz w:val="20"/>
          <w:szCs w:val="20"/>
          <w:lang w:val="es-CR"/>
        </w:rPr>
        <w:t>en la bolsa de Nueva York, Estados Unidos de América,</w:t>
      </w:r>
      <w:r w:rsidRPr="0046612A">
        <w:rPr>
          <w:rFonts w:ascii="Verdana" w:hAnsi="Verdana"/>
          <w:sz w:val="20"/>
          <w:szCs w:val="20"/>
          <w:lang w:val="es-CR"/>
        </w:rPr>
        <w:t xml:space="preserve"> el día anterior al pago.</w:t>
      </w:r>
      <w:r>
        <w:rPr>
          <w:rFonts w:ascii="Verdana" w:hAnsi="Verdana"/>
          <w:sz w:val="20"/>
          <w:szCs w:val="20"/>
          <w:lang w:val="es-CR"/>
        </w:rPr>
        <w:t xml:space="preserve"> </w:t>
      </w:r>
    </w:p>
    <w:p w14:paraId="6D172DCA" w14:textId="77777777" w:rsidR="00FB723A" w:rsidRPr="0046612A" w:rsidRDefault="00FB723A" w:rsidP="001634BF">
      <w:pPr>
        <w:pStyle w:val="ListParagraph"/>
        <w:ind w:left="0"/>
        <w:rPr>
          <w:rFonts w:ascii="Verdana" w:hAnsi="Verdana"/>
          <w:sz w:val="20"/>
          <w:szCs w:val="20"/>
          <w:lang w:val="es-CR"/>
        </w:rPr>
      </w:pPr>
    </w:p>
    <w:p w14:paraId="6D172DCB" w14:textId="77777777" w:rsidR="00FB723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 xml:space="preserve">Si por causas atribuibles al beneficiario de las indemnizaciones o a sus derechohabientes no fuese posible el pago de las cantidades determinadas dentro del plazo indicado, el Estado consignará dichos montos a su favor en una cuenta o certificado de depósito en una institución financiera </w:t>
      </w:r>
      <w:r w:rsidR="00F26CB1">
        <w:rPr>
          <w:rFonts w:ascii="Verdana" w:hAnsi="Verdana"/>
          <w:sz w:val="20"/>
          <w:szCs w:val="20"/>
          <w:lang w:val="es-CR"/>
        </w:rPr>
        <w:t>peruana</w:t>
      </w:r>
      <w:r w:rsidR="00F26CB1" w:rsidRPr="0046612A">
        <w:rPr>
          <w:rFonts w:ascii="Verdana" w:hAnsi="Verdana"/>
          <w:sz w:val="20"/>
          <w:szCs w:val="20"/>
          <w:lang w:val="es-CR"/>
        </w:rPr>
        <w:t xml:space="preserve"> </w:t>
      </w:r>
      <w:r w:rsidRPr="0046612A">
        <w:rPr>
          <w:rFonts w:ascii="Verdana" w:hAnsi="Verdana"/>
          <w:sz w:val="20"/>
          <w:szCs w:val="20"/>
          <w:lang w:val="es-CR"/>
        </w:rPr>
        <w:t>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w:t>
      </w:r>
      <w:r>
        <w:rPr>
          <w:rFonts w:ascii="Verdana" w:hAnsi="Verdana"/>
          <w:sz w:val="20"/>
          <w:szCs w:val="20"/>
          <w:lang w:val="es-CR"/>
        </w:rPr>
        <w:t xml:space="preserve"> </w:t>
      </w:r>
    </w:p>
    <w:p w14:paraId="6D172DCC" w14:textId="77777777" w:rsidR="00FB723A" w:rsidRPr="0046612A" w:rsidRDefault="00FB723A" w:rsidP="001634BF">
      <w:pPr>
        <w:pStyle w:val="ListParagraph"/>
        <w:ind w:left="0"/>
        <w:rPr>
          <w:rFonts w:ascii="Verdana" w:hAnsi="Verdana"/>
          <w:sz w:val="20"/>
          <w:szCs w:val="20"/>
          <w:lang w:val="es-CR"/>
        </w:rPr>
      </w:pPr>
    </w:p>
    <w:p w14:paraId="6D172DCD" w14:textId="77777777" w:rsidR="00FB723A" w:rsidRPr="0046612A" w:rsidRDefault="00FB723A" w:rsidP="006231F4">
      <w:pPr>
        <w:pStyle w:val="ListParagraph"/>
        <w:widowControl w:val="0"/>
        <w:numPr>
          <w:ilvl w:val="0"/>
          <w:numId w:val="2"/>
        </w:numPr>
        <w:tabs>
          <w:tab w:val="center" w:pos="567"/>
        </w:tabs>
        <w:autoSpaceDE w:val="0"/>
        <w:autoSpaceDN w:val="0"/>
        <w:adjustRightInd w:val="0"/>
        <w:ind w:left="0" w:right="-90" w:firstLine="0"/>
        <w:jc w:val="both"/>
        <w:rPr>
          <w:rFonts w:ascii="Verdana" w:hAnsi="Verdana"/>
          <w:sz w:val="20"/>
          <w:szCs w:val="20"/>
          <w:lang w:val="es-CR"/>
        </w:rPr>
      </w:pPr>
      <w:r w:rsidRPr="0046612A">
        <w:rPr>
          <w:rFonts w:ascii="Verdana" w:hAnsi="Verdana"/>
          <w:sz w:val="20"/>
          <w:szCs w:val="20"/>
          <w:lang w:val="es-CR"/>
        </w:rPr>
        <w:t xml:space="preserve">Las cantidades asignadas en la presente Sentencia como indemnización por daño inmaterial, y como reintegro de costas y gastos deberán ser entregadas a las personas indicadas en forma íntegra, conforme a lo establecido en este Fallo, sin reducciones derivadas de eventuales cargas fiscales. </w:t>
      </w:r>
    </w:p>
    <w:p w14:paraId="6D172DCE" w14:textId="77777777" w:rsidR="00FB723A" w:rsidRPr="00C633F2" w:rsidRDefault="00FB723A" w:rsidP="001634BF">
      <w:pPr>
        <w:pStyle w:val="ListParagraph"/>
        <w:widowControl w:val="0"/>
        <w:tabs>
          <w:tab w:val="center" w:pos="567"/>
        </w:tabs>
        <w:autoSpaceDE w:val="0"/>
        <w:autoSpaceDN w:val="0"/>
        <w:adjustRightInd w:val="0"/>
        <w:ind w:left="0" w:right="-90"/>
        <w:jc w:val="both"/>
        <w:rPr>
          <w:rFonts w:ascii="Verdana" w:hAnsi="Verdana"/>
          <w:sz w:val="20"/>
          <w:szCs w:val="20"/>
          <w:lang w:val="es-CR"/>
        </w:rPr>
      </w:pPr>
    </w:p>
    <w:p w14:paraId="6D172DCF" w14:textId="77777777" w:rsidR="00FB723A" w:rsidRPr="00594501" w:rsidRDefault="00FB723A" w:rsidP="006231F4">
      <w:pPr>
        <w:pStyle w:val="ListParagraph"/>
        <w:widowControl w:val="0"/>
        <w:numPr>
          <w:ilvl w:val="0"/>
          <w:numId w:val="2"/>
        </w:numPr>
        <w:tabs>
          <w:tab w:val="center" w:pos="567"/>
        </w:tabs>
        <w:autoSpaceDE w:val="0"/>
        <w:autoSpaceDN w:val="0"/>
        <w:adjustRightInd w:val="0"/>
        <w:ind w:left="0" w:right="-90" w:firstLine="0"/>
        <w:jc w:val="both"/>
        <w:rPr>
          <w:lang w:val="es-ES"/>
        </w:rPr>
      </w:pPr>
      <w:r w:rsidRPr="009C7422">
        <w:rPr>
          <w:rFonts w:ascii="Verdana" w:hAnsi="Verdana"/>
          <w:spacing w:val="-2"/>
          <w:sz w:val="20"/>
          <w:szCs w:val="20"/>
        </w:rPr>
        <w:t>En caso de que el Estado incurriera en mora</w:t>
      </w:r>
      <w:r w:rsidRPr="009C7422">
        <w:rPr>
          <w:rFonts w:ascii="Verdana" w:hAnsi="Verdana" w:cs="Verdana"/>
          <w:spacing w:val="-2"/>
          <w:sz w:val="20"/>
          <w:szCs w:val="20"/>
        </w:rPr>
        <w:t>, incluyendo en el reintegro de los gastos al Fondo de Asistencia Legal de Víctimas</w:t>
      </w:r>
      <w:r w:rsidRPr="009C7422">
        <w:rPr>
          <w:rFonts w:ascii="Verdana" w:hAnsi="Verdana"/>
          <w:spacing w:val="-2"/>
          <w:sz w:val="20"/>
          <w:szCs w:val="20"/>
        </w:rPr>
        <w:t>, deberá pagar un interés sobre la cantidad adeudada, correspondiente al interés bancario moratorio en la República del Perú.</w:t>
      </w:r>
    </w:p>
    <w:p w14:paraId="6D172DD4" w14:textId="77777777" w:rsidR="006171B3" w:rsidRDefault="006171B3" w:rsidP="009C7067">
      <w:pPr>
        <w:keepNext/>
        <w:keepLines/>
        <w:tabs>
          <w:tab w:val="left" w:pos="851"/>
        </w:tabs>
        <w:outlineLvl w:val="0"/>
        <w:rPr>
          <w:rFonts w:ascii="Verdana" w:hAnsi="Verdana" w:cs="Verdana"/>
          <w:b/>
          <w:bCs/>
          <w:caps/>
          <w:snapToGrid w:val="0"/>
          <w:kern w:val="32"/>
          <w:sz w:val="20"/>
          <w:szCs w:val="20"/>
        </w:rPr>
      </w:pPr>
      <w:bookmarkStart w:id="103" w:name="_Toc459158160"/>
      <w:bookmarkStart w:id="104" w:name="_Toc375517156"/>
    </w:p>
    <w:p w14:paraId="6D172DD5" w14:textId="77777777" w:rsidR="00DE33F2" w:rsidRPr="00054386" w:rsidRDefault="00FB723A" w:rsidP="00054386">
      <w:pPr>
        <w:pStyle w:val="Heading1"/>
        <w:tabs>
          <w:tab w:val="left" w:pos="851"/>
        </w:tabs>
        <w:spacing w:before="0"/>
        <w:jc w:val="center"/>
        <w:rPr>
          <w:rFonts w:ascii="Verdana" w:hAnsi="Verdana" w:cs="Verdana"/>
          <w:caps/>
          <w:snapToGrid w:val="0"/>
          <w:color w:val="auto"/>
          <w:sz w:val="20"/>
          <w:szCs w:val="20"/>
        </w:rPr>
      </w:pPr>
      <w:bookmarkStart w:id="105" w:name="_Toc482093080"/>
      <w:r w:rsidRPr="00054386">
        <w:rPr>
          <w:rFonts w:ascii="Verdana" w:hAnsi="Verdana" w:cs="Verdana"/>
          <w:caps/>
          <w:snapToGrid w:val="0"/>
          <w:color w:val="auto"/>
          <w:sz w:val="20"/>
          <w:szCs w:val="20"/>
        </w:rPr>
        <w:t>X</w:t>
      </w:r>
      <w:r w:rsidRPr="00054386">
        <w:rPr>
          <w:rFonts w:ascii="Verdana" w:hAnsi="Verdana" w:cs="Verdana"/>
          <w:caps/>
          <w:snapToGrid w:val="0"/>
          <w:color w:val="auto"/>
          <w:sz w:val="20"/>
          <w:szCs w:val="20"/>
        </w:rPr>
        <w:br/>
        <w:t>PUNTOS RESOLUTIVOS</w:t>
      </w:r>
      <w:bookmarkEnd w:id="103"/>
      <w:bookmarkEnd w:id="104"/>
      <w:bookmarkEnd w:id="105"/>
    </w:p>
    <w:p w14:paraId="6D172DD6" w14:textId="77777777" w:rsidR="009C7067" w:rsidRPr="00AD2165" w:rsidRDefault="009C7067" w:rsidP="009C7067">
      <w:pPr>
        <w:pStyle w:val="Prrafodelista2"/>
        <w:tabs>
          <w:tab w:val="left" w:pos="0"/>
          <w:tab w:val="num" w:pos="12305"/>
        </w:tabs>
        <w:ind w:left="0" w:right="-90"/>
        <w:jc w:val="both"/>
      </w:pPr>
      <w:r w:rsidRPr="00AD2165">
        <w:t xml:space="preserve">Por tanto, </w:t>
      </w:r>
    </w:p>
    <w:p w14:paraId="6D172DD7" w14:textId="77777777" w:rsidR="009C7067" w:rsidRPr="00AD2165" w:rsidRDefault="009C7067" w:rsidP="009C7067">
      <w:pPr>
        <w:pStyle w:val="Prrafodelista2"/>
        <w:tabs>
          <w:tab w:val="left" w:pos="720"/>
        </w:tabs>
        <w:ind w:right="-90"/>
        <w:contextualSpacing/>
      </w:pPr>
    </w:p>
    <w:p w14:paraId="6D172DD8" w14:textId="77777777" w:rsidR="009C7067" w:rsidRPr="00AD2165" w:rsidRDefault="009C7067" w:rsidP="009C7067">
      <w:pPr>
        <w:pStyle w:val="Prrafodelista2"/>
        <w:tabs>
          <w:tab w:val="left" w:pos="720"/>
        </w:tabs>
        <w:ind w:left="0" w:right="-90"/>
        <w:contextualSpacing/>
      </w:pPr>
      <w:r w:rsidRPr="00AD2165">
        <w:rPr>
          <w:b/>
          <w:bCs/>
        </w:rPr>
        <w:t xml:space="preserve">LA CORTE </w:t>
      </w:r>
    </w:p>
    <w:p w14:paraId="6D172DD9" w14:textId="77777777" w:rsidR="009C7067" w:rsidRPr="00AD2165" w:rsidRDefault="009C7067" w:rsidP="009C7067">
      <w:pPr>
        <w:pStyle w:val="Prrafodelista2"/>
        <w:tabs>
          <w:tab w:val="left" w:pos="720"/>
        </w:tabs>
        <w:ind w:left="0" w:right="-90"/>
        <w:contextualSpacing/>
      </w:pPr>
    </w:p>
    <w:p w14:paraId="6D172DDA" w14:textId="77777777" w:rsidR="009C7067" w:rsidRPr="00AD2165" w:rsidRDefault="009C7067" w:rsidP="009C7067">
      <w:pPr>
        <w:pStyle w:val="Prrafodelista2"/>
        <w:tabs>
          <w:tab w:val="left" w:pos="720"/>
        </w:tabs>
        <w:ind w:left="0" w:right="-90"/>
        <w:contextualSpacing/>
        <w:rPr>
          <w:b/>
        </w:rPr>
      </w:pPr>
      <w:r w:rsidRPr="00AD2165">
        <w:rPr>
          <w:b/>
        </w:rPr>
        <w:t xml:space="preserve">DECIDE, </w:t>
      </w:r>
    </w:p>
    <w:p w14:paraId="6D172DDB" w14:textId="77777777" w:rsidR="009C7067" w:rsidRPr="00AD2165" w:rsidRDefault="009C7067" w:rsidP="009C7067">
      <w:pPr>
        <w:pStyle w:val="Prrafodelista2"/>
        <w:tabs>
          <w:tab w:val="left" w:pos="720"/>
        </w:tabs>
        <w:ind w:left="0" w:right="-90"/>
        <w:contextualSpacing/>
      </w:pPr>
      <w:r w:rsidRPr="00AD2165">
        <w:t xml:space="preserve"> </w:t>
      </w:r>
    </w:p>
    <w:p w14:paraId="6D172DDC" w14:textId="5A3EDC19" w:rsidR="009C7067" w:rsidRPr="00A8512D" w:rsidRDefault="009C7067" w:rsidP="009C7067">
      <w:pPr>
        <w:pStyle w:val="Prrafodelista2"/>
        <w:tabs>
          <w:tab w:val="left" w:pos="720"/>
        </w:tabs>
        <w:ind w:left="0" w:right="-90"/>
        <w:contextualSpacing/>
      </w:pPr>
      <w:r w:rsidRPr="00AD2165">
        <w:t xml:space="preserve">Por </w:t>
      </w:r>
      <w:r w:rsidR="00F636EB">
        <w:t>unanimidad</w:t>
      </w:r>
      <w:r w:rsidR="00F636EB" w:rsidRPr="00A8512D">
        <w:t xml:space="preserve">, </w:t>
      </w:r>
    </w:p>
    <w:p w14:paraId="6D172DDD" w14:textId="77777777" w:rsidR="009C7067" w:rsidRPr="00AD2165" w:rsidRDefault="009C7067" w:rsidP="009C7067">
      <w:pPr>
        <w:pStyle w:val="Prrafodelista2"/>
        <w:tabs>
          <w:tab w:val="left" w:pos="720"/>
        </w:tabs>
        <w:ind w:right="-90"/>
        <w:contextualSpacing/>
        <w:jc w:val="center"/>
      </w:pPr>
    </w:p>
    <w:p w14:paraId="6D172DDE" w14:textId="574A06C5" w:rsidR="009C7067" w:rsidRPr="00AD2165"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rPr>
      </w:pPr>
      <w:r w:rsidRPr="00A8512D">
        <w:rPr>
          <w:rFonts w:ascii="Verdana" w:eastAsia="MS Mincho" w:hAnsi="Verdana"/>
          <w:sz w:val="20"/>
          <w:szCs w:val="20"/>
        </w:rPr>
        <w:t>Desestimar</w:t>
      </w:r>
      <w:r w:rsidRPr="00A8512D">
        <w:rPr>
          <w:rFonts w:ascii="Verdana" w:hAnsi="Verdana"/>
          <w:sz w:val="20"/>
          <w:szCs w:val="20"/>
        </w:rPr>
        <w:t xml:space="preserve"> </w:t>
      </w:r>
      <w:r w:rsidRPr="00A8512D">
        <w:rPr>
          <w:rFonts w:ascii="Verdana" w:hAnsi="Verdana" w:cs="Verdana Bold"/>
          <w:bCs/>
          <w:sz w:val="20"/>
          <w:szCs w:val="20"/>
          <w:lang w:val="es-ES"/>
        </w:rPr>
        <w:t>por extemporánea</w:t>
      </w:r>
      <w:r>
        <w:rPr>
          <w:rFonts w:ascii="Verdana" w:hAnsi="Verdana" w:cs="Verdana Bold"/>
          <w:bCs/>
          <w:sz w:val="20"/>
          <w:szCs w:val="20"/>
          <w:lang w:val="es-ES"/>
        </w:rPr>
        <w:t>s</w:t>
      </w:r>
      <w:r w:rsidRPr="00A8512D">
        <w:rPr>
          <w:rFonts w:ascii="Verdana" w:hAnsi="Verdana" w:cs="Verdana Bold"/>
          <w:bCs/>
          <w:sz w:val="20"/>
          <w:szCs w:val="20"/>
          <w:lang w:val="es-ES"/>
        </w:rPr>
        <w:t xml:space="preserve"> </w:t>
      </w:r>
      <w:r w:rsidRPr="00AD2165">
        <w:rPr>
          <w:rFonts w:ascii="Verdana" w:hAnsi="Verdana"/>
          <w:sz w:val="20"/>
          <w:szCs w:val="20"/>
        </w:rPr>
        <w:t>la</w:t>
      </w:r>
      <w:r w:rsidR="003B11EB">
        <w:rPr>
          <w:rFonts w:ascii="Verdana" w:hAnsi="Verdana"/>
          <w:sz w:val="20"/>
          <w:szCs w:val="20"/>
        </w:rPr>
        <w:t>s</w:t>
      </w:r>
      <w:r w:rsidRPr="00AD2165">
        <w:rPr>
          <w:rFonts w:ascii="Verdana" w:hAnsi="Verdana"/>
          <w:sz w:val="20"/>
          <w:szCs w:val="20"/>
        </w:rPr>
        <w:t xml:space="preserve"> excepci</w:t>
      </w:r>
      <w:r>
        <w:rPr>
          <w:rFonts w:ascii="Verdana" w:hAnsi="Verdana"/>
          <w:sz w:val="20"/>
          <w:szCs w:val="20"/>
        </w:rPr>
        <w:t>ones</w:t>
      </w:r>
      <w:r w:rsidRPr="00AD2165">
        <w:rPr>
          <w:rFonts w:ascii="Verdana" w:hAnsi="Verdana"/>
          <w:sz w:val="20"/>
          <w:szCs w:val="20"/>
        </w:rPr>
        <w:t xml:space="preserve"> preliminar</w:t>
      </w:r>
      <w:r>
        <w:rPr>
          <w:rFonts w:ascii="Verdana" w:hAnsi="Verdana"/>
          <w:sz w:val="20"/>
          <w:szCs w:val="20"/>
        </w:rPr>
        <w:t>es</w:t>
      </w:r>
      <w:r w:rsidRPr="00AD2165">
        <w:rPr>
          <w:rFonts w:ascii="Verdana" w:hAnsi="Verdana"/>
          <w:sz w:val="20"/>
          <w:szCs w:val="20"/>
        </w:rPr>
        <w:t xml:space="preserve"> interpuesta</w:t>
      </w:r>
      <w:r>
        <w:rPr>
          <w:rFonts w:ascii="Verdana" w:hAnsi="Verdana"/>
          <w:sz w:val="20"/>
          <w:szCs w:val="20"/>
        </w:rPr>
        <w:t>s</w:t>
      </w:r>
      <w:r w:rsidRPr="00AD2165">
        <w:rPr>
          <w:rFonts w:ascii="Verdana" w:hAnsi="Verdana"/>
          <w:sz w:val="20"/>
          <w:szCs w:val="20"/>
        </w:rPr>
        <w:t xml:space="preserve"> por el Estado relativa</w:t>
      </w:r>
      <w:r>
        <w:rPr>
          <w:rFonts w:ascii="Verdana" w:hAnsi="Verdana"/>
          <w:sz w:val="20"/>
          <w:szCs w:val="20"/>
        </w:rPr>
        <w:t>s</w:t>
      </w:r>
      <w:r w:rsidRPr="00AD2165">
        <w:rPr>
          <w:rFonts w:ascii="Verdana" w:hAnsi="Verdana"/>
          <w:sz w:val="20"/>
          <w:szCs w:val="20"/>
        </w:rPr>
        <w:t xml:space="preserve"> a la alegada falta de agot</w:t>
      </w:r>
      <w:r>
        <w:rPr>
          <w:rFonts w:ascii="Verdana" w:hAnsi="Verdana"/>
          <w:sz w:val="20"/>
          <w:szCs w:val="20"/>
        </w:rPr>
        <w:t>amiento de los recursos internos</w:t>
      </w:r>
      <w:r w:rsidRPr="00AD2165">
        <w:rPr>
          <w:rFonts w:ascii="Verdana" w:hAnsi="Verdana"/>
          <w:sz w:val="20"/>
          <w:szCs w:val="20"/>
        </w:rPr>
        <w:t>,</w:t>
      </w:r>
      <w:r>
        <w:rPr>
          <w:rFonts w:ascii="Verdana" w:hAnsi="Verdana"/>
          <w:sz w:val="20"/>
          <w:szCs w:val="20"/>
        </w:rPr>
        <w:t xml:space="preserve"> así como </w:t>
      </w:r>
      <w:r w:rsidRPr="00AD2165">
        <w:rPr>
          <w:rFonts w:ascii="Verdana" w:hAnsi="Verdana"/>
          <w:sz w:val="20"/>
          <w:szCs w:val="20"/>
        </w:rPr>
        <w:t xml:space="preserve">al alegado </w:t>
      </w:r>
      <w:r w:rsidRPr="00A8512D">
        <w:rPr>
          <w:rFonts w:ascii="Verdana" w:hAnsi="Verdana"/>
          <w:sz w:val="20"/>
          <w:szCs w:val="20"/>
          <w:lang w:val="es-MX"/>
        </w:rPr>
        <w:t>vencimiento del plazo de seis meses para interponer la petición</w:t>
      </w:r>
      <w:r w:rsidRPr="00AD2165">
        <w:rPr>
          <w:rFonts w:ascii="Verdana" w:hAnsi="Verdana"/>
          <w:sz w:val="20"/>
          <w:szCs w:val="20"/>
        </w:rPr>
        <w:t xml:space="preserve">, en los términos de los párrafos </w:t>
      </w:r>
      <w:r w:rsidR="0014783E">
        <w:rPr>
          <w:rFonts w:ascii="Verdana" w:hAnsi="Verdana"/>
          <w:sz w:val="20"/>
          <w:szCs w:val="20"/>
        </w:rPr>
        <w:t xml:space="preserve">20 a </w:t>
      </w:r>
      <w:r w:rsidRPr="000A0953">
        <w:rPr>
          <w:rFonts w:ascii="Verdana" w:hAnsi="Verdana"/>
          <w:sz w:val="20"/>
          <w:szCs w:val="20"/>
        </w:rPr>
        <w:t>2</w:t>
      </w:r>
      <w:r w:rsidR="0014783E">
        <w:rPr>
          <w:rFonts w:ascii="Verdana" w:hAnsi="Verdana"/>
          <w:sz w:val="20"/>
          <w:szCs w:val="20"/>
        </w:rPr>
        <w:t>4</w:t>
      </w:r>
      <w:r w:rsidRPr="000A0953">
        <w:rPr>
          <w:rFonts w:ascii="Verdana" w:hAnsi="Verdana"/>
          <w:sz w:val="20"/>
          <w:szCs w:val="20"/>
        </w:rPr>
        <w:t xml:space="preserve"> </w:t>
      </w:r>
      <w:r w:rsidR="0014783E">
        <w:rPr>
          <w:rFonts w:ascii="Verdana" w:hAnsi="Verdana"/>
          <w:sz w:val="20"/>
          <w:szCs w:val="20"/>
        </w:rPr>
        <w:t>y</w:t>
      </w:r>
      <w:r w:rsidRPr="000A0953">
        <w:rPr>
          <w:rFonts w:ascii="Verdana" w:hAnsi="Verdana"/>
          <w:sz w:val="20"/>
          <w:szCs w:val="20"/>
        </w:rPr>
        <w:t xml:space="preserve"> </w:t>
      </w:r>
      <w:r w:rsidR="0014783E">
        <w:rPr>
          <w:rFonts w:ascii="Verdana" w:hAnsi="Verdana"/>
          <w:sz w:val="20"/>
          <w:szCs w:val="20"/>
        </w:rPr>
        <w:t xml:space="preserve">28 a </w:t>
      </w:r>
      <w:r w:rsidR="0014783E" w:rsidRPr="0014783E">
        <w:rPr>
          <w:rFonts w:ascii="Verdana" w:hAnsi="Verdana"/>
          <w:sz w:val="20"/>
          <w:szCs w:val="20"/>
        </w:rPr>
        <w:t>2</w:t>
      </w:r>
      <w:r w:rsidR="0014783E">
        <w:rPr>
          <w:rFonts w:ascii="Verdana" w:hAnsi="Verdana"/>
          <w:sz w:val="20"/>
          <w:szCs w:val="20"/>
        </w:rPr>
        <w:t>9</w:t>
      </w:r>
      <w:r w:rsidRPr="00260B88">
        <w:rPr>
          <w:rFonts w:ascii="Verdana" w:hAnsi="Verdana"/>
          <w:sz w:val="20"/>
          <w:szCs w:val="20"/>
        </w:rPr>
        <w:t xml:space="preserve"> de</w:t>
      </w:r>
      <w:r w:rsidRPr="00AD2165">
        <w:rPr>
          <w:rFonts w:ascii="Verdana" w:hAnsi="Verdana"/>
          <w:sz w:val="20"/>
          <w:szCs w:val="20"/>
        </w:rPr>
        <w:t xml:space="preserve"> la presente Sentencia</w:t>
      </w:r>
      <w:r w:rsidR="00FC6E62">
        <w:rPr>
          <w:rFonts w:ascii="Verdana" w:hAnsi="Verdana"/>
          <w:sz w:val="20"/>
          <w:szCs w:val="20"/>
        </w:rPr>
        <w:t>.</w:t>
      </w:r>
    </w:p>
    <w:p w14:paraId="6D172DDF" w14:textId="77777777" w:rsidR="009C7067" w:rsidRPr="00AD2165" w:rsidRDefault="009C7067" w:rsidP="009C7067">
      <w:pPr>
        <w:pStyle w:val="ListParagraph"/>
        <w:widowControl w:val="0"/>
        <w:tabs>
          <w:tab w:val="center" w:pos="567"/>
        </w:tabs>
        <w:autoSpaceDE w:val="0"/>
        <w:autoSpaceDN w:val="0"/>
        <w:adjustRightInd w:val="0"/>
        <w:ind w:right="-90"/>
        <w:jc w:val="both"/>
      </w:pPr>
    </w:p>
    <w:p w14:paraId="6D172DE0" w14:textId="77777777" w:rsidR="009C7067" w:rsidRPr="00AD2165"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rPr>
      </w:pPr>
      <w:r w:rsidRPr="00AD2165">
        <w:rPr>
          <w:rFonts w:ascii="Verdana" w:hAnsi="Verdana"/>
          <w:sz w:val="20"/>
          <w:szCs w:val="20"/>
        </w:rPr>
        <w:t xml:space="preserve">Desestimar la objeción interpuesta por el Estado referente a la </w:t>
      </w:r>
      <w:r w:rsidR="008C64F3">
        <w:rPr>
          <w:rFonts w:ascii="Verdana" w:hAnsi="Verdana"/>
          <w:sz w:val="20"/>
          <w:szCs w:val="20"/>
        </w:rPr>
        <w:t>alegada cuarta instancia</w:t>
      </w:r>
      <w:r>
        <w:rPr>
          <w:rFonts w:ascii="Verdana" w:hAnsi="Verdana"/>
          <w:sz w:val="20"/>
          <w:szCs w:val="20"/>
        </w:rPr>
        <w:t>,</w:t>
      </w:r>
      <w:r w:rsidRPr="00AD2165">
        <w:rPr>
          <w:rFonts w:ascii="Verdana" w:hAnsi="Verdana"/>
          <w:sz w:val="20"/>
          <w:szCs w:val="20"/>
        </w:rPr>
        <w:t xml:space="preserve"> en los términos de los párrafos </w:t>
      </w:r>
      <w:r w:rsidRPr="000A0953">
        <w:rPr>
          <w:rFonts w:ascii="Verdana" w:hAnsi="Verdana"/>
          <w:sz w:val="20"/>
          <w:szCs w:val="20"/>
        </w:rPr>
        <w:t>33 a 36</w:t>
      </w:r>
      <w:r w:rsidRPr="00AD2165">
        <w:rPr>
          <w:rFonts w:ascii="Verdana" w:hAnsi="Verdana"/>
          <w:sz w:val="20"/>
          <w:szCs w:val="20"/>
        </w:rPr>
        <w:t xml:space="preserve"> de la presente Sentencia.</w:t>
      </w:r>
    </w:p>
    <w:p w14:paraId="6D172DE1" w14:textId="77777777" w:rsidR="009C7067" w:rsidRPr="00AD2165" w:rsidRDefault="009C7067" w:rsidP="009C7067">
      <w:pPr>
        <w:pStyle w:val="Prrafodelista2"/>
        <w:tabs>
          <w:tab w:val="left" w:pos="720"/>
        </w:tabs>
        <w:ind w:left="0" w:right="-90"/>
        <w:contextualSpacing/>
        <w:jc w:val="both"/>
        <w:rPr>
          <w:rFonts w:cs="Verdana"/>
          <w:snapToGrid w:val="0"/>
        </w:rPr>
      </w:pPr>
    </w:p>
    <w:p w14:paraId="6D172DE2" w14:textId="4DF293EC" w:rsidR="009C7067" w:rsidRPr="00D562BE" w:rsidRDefault="001E0665"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rPr>
      </w:pPr>
      <w:r w:rsidRPr="000A0953">
        <w:rPr>
          <w:rFonts w:ascii="Verdana" w:hAnsi="Verdana"/>
          <w:sz w:val="20"/>
          <w:szCs w:val="20"/>
        </w:rPr>
        <w:t xml:space="preserve">Admitir </w:t>
      </w:r>
      <w:r w:rsidR="009C7067" w:rsidRPr="00D562BE">
        <w:rPr>
          <w:rFonts w:ascii="Verdana" w:hAnsi="Verdana"/>
          <w:sz w:val="20"/>
          <w:szCs w:val="20"/>
        </w:rPr>
        <w:t xml:space="preserve">la objeción planteada por el Estado relativa a la privación de libertad, en los términos de los </w:t>
      </w:r>
      <w:r w:rsidR="009C7067" w:rsidRPr="0014783E">
        <w:rPr>
          <w:rFonts w:ascii="Verdana" w:hAnsi="Verdana"/>
          <w:sz w:val="20"/>
          <w:szCs w:val="20"/>
        </w:rPr>
        <w:t xml:space="preserve">párrafos </w:t>
      </w:r>
      <w:r w:rsidR="009C7067" w:rsidRPr="000A0953">
        <w:rPr>
          <w:rFonts w:ascii="Verdana" w:hAnsi="Verdana"/>
          <w:sz w:val="20"/>
          <w:szCs w:val="20"/>
        </w:rPr>
        <w:t>41 a 4</w:t>
      </w:r>
      <w:r w:rsidR="0014783E" w:rsidRPr="000A0953">
        <w:rPr>
          <w:rFonts w:ascii="Verdana" w:hAnsi="Verdana"/>
          <w:sz w:val="20"/>
          <w:szCs w:val="20"/>
        </w:rPr>
        <w:t>8</w:t>
      </w:r>
      <w:r w:rsidR="009C7067" w:rsidRPr="00D562BE">
        <w:rPr>
          <w:rFonts w:ascii="Verdana" w:hAnsi="Verdana"/>
          <w:sz w:val="20"/>
          <w:szCs w:val="20"/>
        </w:rPr>
        <w:t xml:space="preserve"> de la presente Sentencia. </w:t>
      </w:r>
    </w:p>
    <w:p w14:paraId="6D172DE3" w14:textId="77777777" w:rsidR="009C7067" w:rsidRPr="00D562BE" w:rsidRDefault="009C7067" w:rsidP="009C7067">
      <w:pPr>
        <w:pStyle w:val="ListParagraph"/>
        <w:widowControl w:val="0"/>
        <w:tabs>
          <w:tab w:val="center" w:pos="567"/>
        </w:tabs>
        <w:autoSpaceDE w:val="0"/>
        <w:autoSpaceDN w:val="0"/>
        <w:adjustRightInd w:val="0"/>
        <w:ind w:right="-90"/>
        <w:jc w:val="both"/>
        <w:rPr>
          <w:rFonts w:ascii="Verdana" w:hAnsi="Verdana"/>
          <w:sz w:val="20"/>
          <w:szCs w:val="20"/>
        </w:rPr>
      </w:pPr>
    </w:p>
    <w:p w14:paraId="6D172DE4" w14:textId="1E315805" w:rsidR="009C7067" w:rsidRPr="00D562BE"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rPr>
      </w:pPr>
      <w:r w:rsidRPr="00D562BE">
        <w:rPr>
          <w:rFonts w:ascii="Verdana" w:hAnsi="Verdana"/>
          <w:sz w:val="20"/>
          <w:szCs w:val="20"/>
        </w:rPr>
        <w:t xml:space="preserve">Declarar la inadmisibilidad de los hechos relacionados con el pase a retiro </w:t>
      </w:r>
      <w:r w:rsidR="008C64F3">
        <w:rPr>
          <w:rFonts w:ascii="Verdana" w:hAnsi="Verdana"/>
          <w:sz w:val="20"/>
          <w:szCs w:val="20"/>
        </w:rPr>
        <w:t>y cuadro de mérito</w:t>
      </w:r>
      <w:r w:rsidRPr="00D562BE">
        <w:rPr>
          <w:rFonts w:ascii="Verdana" w:hAnsi="Verdana"/>
          <w:sz w:val="20"/>
          <w:szCs w:val="20"/>
        </w:rPr>
        <w:t xml:space="preserve">, en los términos de los párrafos </w:t>
      </w:r>
      <w:r w:rsidRPr="000A0953">
        <w:rPr>
          <w:rFonts w:ascii="Verdana" w:hAnsi="Verdana"/>
          <w:sz w:val="20"/>
          <w:szCs w:val="20"/>
        </w:rPr>
        <w:t>5</w:t>
      </w:r>
      <w:r w:rsidR="0014783E" w:rsidRPr="000A0953">
        <w:rPr>
          <w:rFonts w:ascii="Verdana" w:hAnsi="Verdana"/>
          <w:sz w:val="20"/>
          <w:szCs w:val="20"/>
        </w:rPr>
        <w:t>2</w:t>
      </w:r>
      <w:r w:rsidRPr="000A0953">
        <w:rPr>
          <w:rFonts w:ascii="Verdana" w:hAnsi="Verdana"/>
          <w:sz w:val="20"/>
          <w:szCs w:val="20"/>
        </w:rPr>
        <w:t xml:space="preserve"> a 5</w:t>
      </w:r>
      <w:r w:rsidR="0014783E" w:rsidRPr="000A0953">
        <w:rPr>
          <w:rFonts w:ascii="Verdana" w:hAnsi="Verdana"/>
          <w:sz w:val="20"/>
          <w:szCs w:val="20"/>
        </w:rPr>
        <w:t>6</w:t>
      </w:r>
      <w:r w:rsidRPr="00D562BE">
        <w:rPr>
          <w:rFonts w:ascii="Verdana" w:hAnsi="Verdana"/>
          <w:sz w:val="20"/>
          <w:szCs w:val="20"/>
        </w:rPr>
        <w:t xml:space="preserve"> de la presente Sentencia. </w:t>
      </w:r>
    </w:p>
    <w:p w14:paraId="6D172DE5" w14:textId="77777777" w:rsidR="009C7067" w:rsidRPr="00464C90" w:rsidRDefault="009C7067" w:rsidP="009C7067">
      <w:pPr>
        <w:pStyle w:val="Prrafodelista2"/>
        <w:tabs>
          <w:tab w:val="left" w:pos="720"/>
        </w:tabs>
        <w:ind w:left="0" w:right="-90"/>
        <w:contextualSpacing/>
        <w:rPr>
          <w:b/>
          <w:bCs/>
        </w:rPr>
      </w:pPr>
    </w:p>
    <w:p w14:paraId="6D172DE6" w14:textId="660A8045" w:rsidR="009C7067" w:rsidRPr="00FB6A50" w:rsidRDefault="009C7067" w:rsidP="009C7067">
      <w:pPr>
        <w:pStyle w:val="Prrafodelista2"/>
        <w:tabs>
          <w:tab w:val="left" w:pos="720"/>
        </w:tabs>
        <w:ind w:left="0" w:right="-90"/>
        <w:contextualSpacing/>
      </w:pPr>
      <w:r w:rsidRPr="00464C90">
        <w:rPr>
          <w:b/>
          <w:bCs/>
        </w:rPr>
        <w:t>DECLARA</w:t>
      </w:r>
      <w:r w:rsidR="00426510">
        <w:rPr>
          <w:b/>
          <w:bCs/>
        </w:rPr>
        <w:t>,</w:t>
      </w:r>
      <w:r w:rsidRPr="00464C90">
        <w:rPr>
          <w:b/>
          <w:bCs/>
        </w:rPr>
        <w:t xml:space="preserve"> </w:t>
      </w:r>
    </w:p>
    <w:p w14:paraId="6D172DE7" w14:textId="77777777" w:rsidR="009C7067" w:rsidRPr="008059FF" w:rsidRDefault="009C7067" w:rsidP="009C7067">
      <w:pPr>
        <w:pStyle w:val="Prrafodelista2"/>
        <w:tabs>
          <w:tab w:val="left" w:pos="720"/>
        </w:tabs>
        <w:ind w:left="0" w:right="-90"/>
        <w:contextualSpacing/>
      </w:pPr>
    </w:p>
    <w:p w14:paraId="6D172DE8" w14:textId="5045EF9E" w:rsidR="009C7067" w:rsidRPr="00A8512D" w:rsidRDefault="009C7067" w:rsidP="009C7067">
      <w:pPr>
        <w:pStyle w:val="Prrafodelista2"/>
        <w:ind w:left="0" w:right="-90"/>
        <w:contextualSpacing/>
      </w:pPr>
      <w:r w:rsidRPr="008059FF">
        <w:t xml:space="preserve">Por </w:t>
      </w:r>
      <w:r w:rsidR="00F636EB">
        <w:t>unanimidad</w:t>
      </w:r>
      <w:r w:rsidR="00F636EB" w:rsidRPr="00A8512D">
        <w:t xml:space="preserve">, </w:t>
      </w:r>
      <w:r w:rsidRPr="00A8512D">
        <w:t>que:</w:t>
      </w:r>
    </w:p>
    <w:p w14:paraId="6D172DE9" w14:textId="77777777" w:rsidR="009C7067" w:rsidRPr="00AD2165" w:rsidRDefault="009C7067" w:rsidP="009C7067">
      <w:pPr>
        <w:pStyle w:val="Prrafodelista2"/>
        <w:ind w:left="0" w:right="-90"/>
        <w:contextualSpacing/>
      </w:pPr>
    </w:p>
    <w:p w14:paraId="6D172DEA" w14:textId="76CCA33E" w:rsidR="009C7067" w:rsidRPr="00A8512D"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rPr>
      </w:pPr>
      <w:r w:rsidRPr="00A8512D">
        <w:rPr>
          <w:rFonts w:ascii="Verdana" w:hAnsi="Verdana"/>
          <w:sz w:val="20"/>
          <w:szCs w:val="20"/>
        </w:rPr>
        <w:t xml:space="preserve">El Estado es responsable por la violación del derecho a las garantías judiciales, en particular del principio de presunción de inocencia </w:t>
      </w:r>
      <w:r w:rsidR="008C64F3">
        <w:rPr>
          <w:rFonts w:ascii="Verdana" w:hAnsi="Verdana"/>
          <w:sz w:val="20"/>
          <w:szCs w:val="20"/>
        </w:rPr>
        <w:t>en relación con e</w:t>
      </w:r>
      <w:r w:rsidRPr="00A8512D">
        <w:rPr>
          <w:rFonts w:ascii="Verdana" w:hAnsi="Verdana"/>
          <w:sz w:val="20"/>
          <w:szCs w:val="20"/>
        </w:rPr>
        <w:t xml:space="preserve">l deber de motivar las resoluciones judiciales y </w:t>
      </w:r>
      <w:r>
        <w:rPr>
          <w:rFonts w:ascii="Verdana" w:hAnsi="Verdana"/>
          <w:sz w:val="20"/>
          <w:szCs w:val="20"/>
        </w:rPr>
        <w:t xml:space="preserve">el derecho a </w:t>
      </w:r>
      <w:r w:rsidRPr="00A8512D">
        <w:rPr>
          <w:rFonts w:ascii="Verdana" w:hAnsi="Verdana"/>
          <w:sz w:val="20"/>
          <w:szCs w:val="20"/>
        </w:rPr>
        <w:t xml:space="preserve">obtener un fallo razonado, </w:t>
      </w:r>
      <w:r w:rsidR="008C64F3">
        <w:rPr>
          <w:rFonts w:ascii="Verdana" w:hAnsi="Verdana"/>
          <w:sz w:val="20"/>
          <w:szCs w:val="20"/>
        </w:rPr>
        <w:t>establecidos</w:t>
      </w:r>
      <w:r w:rsidRPr="00A8512D">
        <w:rPr>
          <w:rFonts w:ascii="Verdana" w:hAnsi="Verdana"/>
          <w:sz w:val="20"/>
          <w:szCs w:val="20"/>
        </w:rPr>
        <w:t xml:space="preserve"> en los artículos 8.1 y 8.2 de la Convención Americana sobre Derechos Humanos, en relación con el artículo </w:t>
      </w:r>
      <w:r w:rsidRPr="00A8512D">
        <w:rPr>
          <w:rFonts w:ascii="Verdana" w:hAnsi="Verdana"/>
          <w:sz w:val="20"/>
          <w:szCs w:val="20"/>
        </w:rPr>
        <w:lastRenderedPageBreak/>
        <w:t>1.1 de la misma, en perjuicio de Agustín Bladimiro Zegarra Marín</w:t>
      </w:r>
      <w:r w:rsidRPr="00A8512D">
        <w:rPr>
          <w:rFonts w:ascii="Verdana" w:eastAsia="Batang" w:hAnsi="Verdana"/>
          <w:bCs/>
          <w:color w:val="000000"/>
          <w:spacing w:val="-2"/>
          <w:sz w:val="20"/>
          <w:szCs w:val="20"/>
          <w:lang w:val="es-PR"/>
        </w:rPr>
        <w:t>,</w:t>
      </w:r>
      <w:r w:rsidRPr="00A8512D">
        <w:rPr>
          <w:rFonts w:ascii="Verdana" w:eastAsia="Batang" w:hAnsi="Verdana"/>
          <w:color w:val="000000"/>
          <w:spacing w:val="-2"/>
          <w:sz w:val="20"/>
          <w:szCs w:val="20"/>
        </w:rPr>
        <w:t xml:space="preserve"> en los términos de los párrafos </w:t>
      </w:r>
      <w:r w:rsidRPr="000A0953">
        <w:rPr>
          <w:rFonts w:ascii="Verdana" w:hAnsi="Verdana"/>
          <w:sz w:val="20"/>
          <w:szCs w:val="20"/>
        </w:rPr>
        <w:t>11</w:t>
      </w:r>
      <w:r w:rsidR="0014783E" w:rsidRPr="000A0953">
        <w:rPr>
          <w:rFonts w:ascii="Verdana" w:hAnsi="Verdana"/>
          <w:sz w:val="20"/>
          <w:szCs w:val="20"/>
        </w:rPr>
        <w:t>9</w:t>
      </w:r>
      <w:r w:rsidRPr="000A0953">
        <w:rPr>
          <w:rFonts w:ascii="Verdana" w:hAnsi="Verdana"/>
          <w:sz w:val="20"/>
          <w:szCs w:val="20"/>
        </w:rPr>
        <w:t xml:space="preserve"> a 15</w:t>
      </w:r>
      <w:r w:rsidR="0014783E" w:rsidRPr="000A0953">
        <w:rPr>
          <w:rFonts w:ascii="Verdana" w:hAnsi="Verdana"/>
          <w:sz w:val="20"/>
          <w:szCs w:val="20"/>
        </w:rPr>
        <w:t>9</w:t>
      </w:r>
      <w:r w:rsidR="002F2E11">
        <w:rPr>
          <w:rFonts w:ascii="Verdana" w:hAnsi="Verdana"/>
          <w:sz w:val="20"/>
          <w:szCs w:val="20"/>
        </w:rPr>
        <w:t xml:space="preserve"> </w:t>
      </w:r>
      <w:r w:rsidRPr="00A8512D">
        <w:rPr>
          <w:rFonts w:ascii="Verdana" w:hAnsi="Verdana"/>
          <w:sz w:val="20"/>
          <w:szCs w:val="20"/>
        </w:rPr>
        <w:t>de la presente Sentencia.</w:t>
      </w:r>
    </w:p>
    <w:p w14:paraId="6D172DEB" w14:textId="77777777" w:rsidR="009C7067" w:rsidRPr="00A8512D" w:rsidRDefault="009C7067" w:rsidP="009C7067">
      <w:pPr>
        <w:tabs>
          <w:tab w:val="left" w:pos="720"/>
        </w:tabs>
        <w:ind w:right="-90"/>
        <w:contextualSpacing/>
        <w:rPr>
          <w:sz w:val="20"/>
          <w:szCs w:val="20"/>
        </w:rPr>
      </w:pPr>
    </w:p>
    <w:p w14:paraId="6D172DEC" w14:textId="4C72D751" w:rsidR="009C7067" w:rsidRPr="00A8512D"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rPr>
      </w:pPr>
      <w:r w:rsidRPr="00A8512D">
        <w:rPr>
          <w:rFonts w:ascii="Verdana" w:hAnsi="Verdana"/>
          <w:sz w:val="20"/>
          <w:szCs w:val="20"/>
        </w:rPr>
        <w:t>El Estado es responsable por la violación del derecho a las garantías judiciales, en particular del derecho a recurrir el fallo ante juez o tribunal superior, dispuesto en el artículo 8.2</w:t>
      </w:r>
      <w:r w:rsidR="0014783E">
        <w:rPr>
          <w:rFonts w:ascii="Verdana" w:hAnsi="Verdana"/>
          <w:sz w:val="20"/>
          <w:szCs w:val="20"/>
        </w:rPr>
        <w:t xml:space="preserve"> </w:t>
      </w:r>
      <w:r w:rsidRPr="00A8512D">
        <w:rPr>
          <w:rFonts w:ascii="Verdana" w:hAnsi="Verdana"/>
          <w:sz w:val="20"/>
          <w:szCs w:val="20"/>
        </w:rPr>
        <w:t xml:space="preserve">(h) </w:t>
      </w:r>
      <w:r w:rsidR="00F8248A" w:rsidRPr="00A8512D">
        <w:rPr>
          <w:rFonts w:ascii="Verdana" w:hAnsi="Verdana"/>
          <w:sz w:val="20"/>
          <w:szCs w:val="20"/>
        </w:rPr>
        <w:t>de la Convención Americana</w:t>
      </w:r>
      <w:r w:rsidR="008C64F3">
        <w:rPr>
          <w:rFonts w:ascii="Verdana" w:hAnsi="Verdana"/>
          <w:sz w:val="20"/>
          <w:szCs w:val="20"/>
        </w:rPr>
        <w:t xml:space="preserve"> </w:t>
      </w:r>
      <w:r w:rsidR="008C64F3" w:rsidRPr="00A8512D">
        <w:rPr>
          <w:rFonts w:ascii="Verdana" w:hAnsi="Verdana"/>
          <w:sz w:val="20"/>
          <w:szCs w:val="20"/>
        </w:rPr>
        <w:t>sobre Derechos Humanos</w:t>
      </w:r>
      <w:r w:rsidR="00F8248A">
        <w:rPr>
          <w:rFonts w:ascii="Verdana" w:hAnsi="Verdana"/>
          <w:sz w:val="20"/>
          <w:szCs w:val="20"/>
        </w:rPr>
        <w:t>,</w:t>
      </w:r>
      <w:r w:rsidR="00F8248A" w:rsidRPr="00A8512D">
        <w:rPr>
          <w:rFonts w:ascii="Verdana" w:hAnsi="Verdana"/>
          <w:sz w:val="20"/>
          <w:szCs w:val="20"/>
        </w:rPr>
        <w:t xml:space="preserve"> </w:t>
      </w:r>
      <w:r w:rsidR="00F8248A">
        <w:rPr>
          <w:rFonts w:ascii="Verdana" w:hAnsi="Verdana"/>
          <w:sz w:val="20"/>
          <w:szCs w:val="20"/>
        </w:rPr>
        <w:t>así como del artículo 25.1 de la misma</w:t>
      </w:r>
      <w:r w:rsidR="00F228A0">
        <w:rPr>
          <w:rFonts w:ascii="Verdana" w:hAnsi="Verdana"/>
          <w:sz w:val="20"/>
          <w:szCs w:val="20"/>
        </w:rPr>
        <w:t xml:space="preserve"> por la falta de protección judicial</w:t>
      </w:r>
      <w:r w:rsidRPr="00A8512D">
        <w:rPr>
          <w:rFonts w:ascii="Verdana" w:hAnsi="Verdana"/>
          <w:sz w:val="20"/>
          <w:szCs w:val="20"/>
        </w:rPr>
        <w:t>, en perjuicio de Agustín Bladimiro Zegarra Marín</w:t>
      </w:r>
      <w:r w:rsidRPr="00A8512D">
        <w:rPr>
          <w:rFonts w:ascii="Verdana" w:eastAsia="Batang" w:hAnsi="Verdana"/>
          <w:bCs/>
          <w:color w:val="000000"/>
          <w:spacing w:val="-2"/>
          <w:sz w:val="20"/>
          <w:szCs w:val="20"/>
          <w:lang w:val="es-PR"/>
        </w:rPr>
        <w:t>,</w:t>
      </w:r>
      <w:r w:rsidRPr="00A8512D">
        <w:rPr>
          <w:rFonts w:ascii="Verdana" w:eastAsia="Batang" w:hAnsi="Verdana"/>
          <w:color w:val="000000"/>
          <w:spacing w:val="-2"/>
          <w:sz w:val="20"/>
          <w:szCs w:val="20"/>
        </w:rPr>
        <w:t xml:space="preserve"> en los términos de los párrafos </w:t>
      </w:r>
      <w:r w:rsidRPr="000A0953">
        <w:rPr>
          <w:rFonts w:ascii="Verdana" w:hAnsi="Verdana"/>
          <w:sz w:val="20"/>
          <w:szCs w:val="20"/>
        </w:rPr>
        <w:t>16</w:t>
      </w:r>
      <w:r w:rsidR="0014783E" w:rsidRPr="000A0953">
        <w:rPr>
          <w:rFonts w:ascii="Verdana" w:hAnsi="Verdana"/>
          <w:sz w:val="20"/>
          <w:szCs w:val="20"/>
        </w:rPr>
        <w:t>8</w:t>
      </w:r>
      <w:r w:rsidRPr="000A0953">
        <w:rPr>
          <w:rFonts w:ascii="Verdana" w:hAnsi="Verdana"/>
          <w:sz w:val="20"/>
          <w:szCs w:val="20"/>
        </w:rPr>
        <w:t xml:space="preserve"> a 1</w:t>
      </w:r>
      <w:r w:rsidR="0014783E" w:rsidRPr="0014783E">
        <w:rPr>
          <w:rFonts w:ascii="Verdana" w:hAnsi="Verdana"/>
          <w:sz w:val="20"/>
          <w:szCs w:val="20"/>
        </w:rPr>
        <w:t>8</w:t>
      </w:r>
      <w:r w:rsidR="0014783E">
        <w:rPr>
          <w:rFonts w:ascii="Verdana" w:hAnsi="Verdana"/>
          <w:sz w:val="20"/>
          <w:szCs w:val="20"/>
        </w:rPr>
        <w:t xml:space="preserve">2 </w:t>
      </w:r>
      <w:r w:rsidRPr="00A8512D">
        <w:rPr>
          <w:rFonts w:ascii="Verdana" w:hAnsi="Verdana"/>
          <w:sz w:val="20"/>
          <w:szCs w:val="20"/>
        </w:rPr>
        <w:t>de la presente Sentencia.</w:t>
      </w:r>
    </w:p>
    <w:p w14:paraId="6D172DEF" w14:textId="77777777" w:rsidR="00F8248A" w:rsidRDefault="00F8248A" w:rsidP="00DA360D">
      <w:pPr>
        <w:pStyle w:val="ListParagraph"/>
        <w:widowControl w:val="0"/>
        <w:tabs>
          <w:tab w:val="center" w:pos="567"/>
        </w:tabs>
        <w:autoSpaceDE w:val="0"/>
        <w:autoSpaceDN w:val="0"/>
        <w:adjustRightInd w:val="0"/>
        <w:ind w:left="0" w:right="-90"/>
        <w:jc w:val="both"/>
        <w:rPr>
          <w:rFonts w:ascii="Verdana" w:hAnsi="Verdana"/>
          <w:sz w:val="20"/>
          <w:szCs w:val="20"/>
        </w:rPr>
      </w:pPr>
    </w:p>
    <w:p w14:paraId="6D172DF0" w14:textId="56BC5CAF" w:rsidR="00F8248A" w:rsidRPr="00F8248A" w:rsidRDefault="009C7067" w:rsidP="00F8248A">
      <w:pPr>
        <w:pStyle w:val="ListParagraph"/>
        <w:widowControl w:val="0"/>
        <w:numPr>
          <w:ilvl w:val="0"/>
          <w:numId w:val="16"/>
        </w:numPr>
        <w:tabs>
          <w:tab w:val="center" w:pos="567"/>
        </w:tabs>
        <w:autoSpaceDE w:val="0"/>
        <w:autoSpaceDN w:val="0"/>
        <w:adjustRightInd w:val="0"/>
        <w:ind w:left="0" w:right="-90" w:hanging="11"/>
        <w:jc w:val="both"/>
        <w:rPr>
          <w:rFonts w:ascii="Verdana" w:hAnsi="Verdana"/>
          <w:sz w:val="20"/>
          <w:szCs w:val="20"/>
        </w:rPr>
      </w:pPr>
      <w:r w:rsidRPr="00A8512D">
        <w:rPr>
          <w:rFonts w:ascii="Verdana" w:hAnsi="Verdana"/>
          <w:sz w:val="20"/>
          <w:szCs w:val="20"/>
        </w:rPr>
        <w:t xml:space="preserve">El Estado no es responsable por la violación del derecho a la protección judicial, establecido en el artículo 25.1 de la Convención Americana sobre Derechos Humanos, respecto del recurso de revisión, en los términos de los párrafos </w:t>
      </w:r>
      <w:r w:rsidRPr="000A0953">
        <w:rPr>
          <w:rFonts w:ascii="Verdana" w:hAnsi="Verdana"/>
          <w:sz w:val="20"/>
          <w:szCs w:val="20"/>
        </w:rPr>
        <w:t>18</w:t>
      </w:r>
      <w:r w:rsidR="0014783E" w:rsidRPr="000A0953">
        <w:rPr>
          <w:rFonts w:ascii="Verdana" w:hAnsi="Verdana"/>
          <w:sz w:val="20"/>
          <w:szCs w:val="20"/>
        </w:rPr>
        <w:t>3</w:t>
      </w:r>
      <w:r w:rsidRPr="000A0953">
        <w:rPr>
          <w:rFonts w:ascii="Verdana" w:hAnsi="Verdana"/>
          <w:sz w:val="20"/>
          <w:szCs w:val="20"/>
        </w:rPr>
        <w:t xml:space="preserve"> a 1</w:t>
      </w:r>
      <w:r w:rsidR="002F2E11" w:rsidRPr="000A0953">
        <w:rPr>
          <w:rFonts w:ascii="Verdana" w:hAnsi="Verdana"/>
          <w:sz w:val="20"/>
          <w:szCs w:val="20"/>
        </w:rPr>
        <w:t>8</w:t>
      </w:r>
      <w:r w:rsidR="0014783E" w:rsidRPr="000A0953">
        <w:rPr>
          <w:rFonts w:ascii="Verdana" w:hAnsi="Verdana"/>
          <w:sz w:val="20"/>
          <w:szCs w:val="20"/>
        </w:rPr>
        <w:t>9</w:t>
      </w:r>
      <w:r w:rsidRPr="00A8512D">
        <w:rPr>
          <w:rFonts w:ascii="Verdana" w:hAnsi="Verdana"/>
          <w:sz w:val="20"/>
          <w:szCs w:val="20"/>
        </w:rPr>
        <w:t xml:space="preserve"> de la presente Sentencia.</w:t>
      </w:r>
    </w:p>
    <w:p w14:paraId="6D172DF1" w14:textId="77777777" w:rsidR="009C7067" w:rsidRDefault="009C7067" w:rsidP="009C7067">
      <w:pPr>
        <w:pStyle w:val="ListParagraph"/>
        <w:widowControl w:val="0"/>
        <w:tabs>
          <w:tab w:val="center" w:pos="567"/>
        </w:tabs>
        <w:autoSpaceDE w:val="0"/>
        <w:autoSpaceDN w:val="0"/>
        <w:adjustRightInd w:val="0"/>
        <w:ind w:left="0" w:right="-90"/>
        <w:jc w:val="both"/>
        <w:rPr>
          <w:rFonts w:ascii="Verdana" w:hAnsi="Verdana"/>
          <w:sz w:val="20"/>
          <w:szCs w:val="20"/>
        </w:rPr>
      </w:pPr>
    </w:p>
    <w:p w14:paraId="6D172DF2" w14:textId="133C7BBF" w:rsidR="009C7067" w:rsidRPr="006A44AD" w:rsidRDefault="009C7067" w:rsidP="009C7067">
      <w:pPr>
        <w:pStyle w:val="Prrafodelista2"/>
        <w:tabs>
          <w:tab w:val="left" w:pos="720"/>
        </w:tabs>
        <w:ind w:left="0" w:right="-90"/>
        <w:contextualSpacing/>
        <w:jc w:val="both"/>
        <w:rPr>
          <w:b/>
          <w:bCs/>
        </w:rPr>
      </w:pPr>
      <w:r w:rsidRPr="006A44AD">
        <w:rPr>
          <w:b/>
          <w:bCs/>
        </w:rPr>
        <w:t>Y DISPONE</w:t>
      </w:r>
      <w:r w:rsidR="00426510">
        <w:rPr>
          <w:b/>
          <w:bCs/>
        </w:rPr>
        <w:t>,</w:t>
      </w:r>
    </w:p>
    <w:p w14:paraId="6D172DF3" w14:textId="77777777" w:rsidR="009C7067" w:rsidRPr="006A44AD" w:rsidRDefault="009C7067" w:rsidP="009C7067">
      <w:pPr>
        <w:pStyle w:val="Prrafodelista2"/>
        <w:tabs>
          <w:tab w:val="left" w:pos="720"/>
        </w:tabs>
        <w:ind w:left="0" w:right="-90"/>
        <w:contextualSpacing/>
        <w:jc w:val="both"/>
        <w:rPr>
          <w:b/>
          <w:bCs/>
        </w:rPr>
      </w:pPr>
    </w:p>
    <w:p w14:paraId="6D172DF4" w14:textId="4DCA7ED3" w:rsidR="009C7067" w:rsidRPr="006A44AD" w:rsidRDefault="009C7067" w:rsidP="009C7067">
      <w:pPr>
        <w:pStyle w:val="Prrafodelista2"/>
        <w:tabs>
          <w:tab w:val="left" w:pos="720"/>
        </w:tabs>
        <w:ind w:left="0" w:right="-90"/>
        <w:contextualSpacing/>
        <w:jc w:val="both"/>
        <w:rPr>
          <w:bCs/>
        </w:rPr>
      </w:pPr>
      <w:r w:rsidRPr="006A44AD">
        <w:t xml:space="preserve">Por </w:t>
      </w:r>
      <w:r w:rsidR="00F636EB">
        <w:t>unanimidad</w:t>
      </w:r>
      <w:r w:rsidR="00F636EB" w:rsidRPr="006A44AD">
        <w:t>,</w:t>
      </w:r>
      <w:r w:rsidR="00F636EB" w:rsidRPr="006A44AD">
        <w:rPr>
          <w:bCs/>
        </w:rPr>
        <w:t xml:space="preserve"> </w:t>
      </w:r>
      <w:r w:rsidRPr="006A44AD">
        <w:rPr>
          <w:bCs/>
        </w:rPr>
        <w:t>que:</w:t>
      </w:r>
    </w:p>
    <w:p w14:paraId="6D172DF5" w14:textId="77777777" w:rsidR="009C7067" w:rsidRPr="006A44AD" w:rsidRDefault="009C7067" w:rsidP="009C7067">
      <w:pPr>
        <w:pStyle w:val="Prrafodelista2"/>
        <w:tabs>
          <w:tab w:val="left" w:pos="720"/>
        </w:tabs>
        <w:ind w:left="0" w:right="-90"/>
        <w:contextualSpacing/>
        <w:jc w:val="both"/>
        <w:rPr>
          <w:bCs/>
        </w:rPr>
      </w:pPr>
    </w:p>
    <w:p w14:paraId="6D172DF6" w14:textId="54A92EBC" w:rsidR="009C7067" w:rsidRPr="009C7067" w:rsidRDefault="009C7067" w:rsidP="009C7067">
      <w:pPr>
        <w:numPr>
          <w:ilvl w:val="0"/>
          <w:numId w:val="16"/>
        </w:numPr>
        <w:tabs>
          <w:tab w:val="left" w:pos="720"/>
        </w:tabs>
        <w:ind w:right="-90"/>
        <w:contextualSpacing/>
        <w:jc w:val="both"/>
        <w:rPr>
          <w:rFonts w:ascii="Verdana" w:hAnsi="Verdana"/>
          <w:bCs/>
          <w:sz w:val="20"/>
          <w:szCs w:val="20"/>
        </w:rPr>
      </w:pPr>
      <w:r w:rsidRPr="009C7067">
        <w:rPr>
          <w:rFonts w:ascii="Verdana" w:hAnsi="Verdana"/>
          <w:sz w:val="20"/>
          <w:szCs w:val="20"/>
        </w:rPr>
        <w:t>Esta</w:t>
      </w:r>
      <w:r w:rsidRPr="009C7067">
        <w:rPr>
          <w:rFonts w:ascii="Verdana" w:hAnsi="Verdana"/>
          <w:bCs/>
          <w:sz w:val="20"/>
          <w:szCs w:val="20"/>
        </w:rPr>
        <w:t xml:space="preserve"> Sentencia constituye,</w:t>
      </w:r>
      <w:r w:rsidR="00426510">
        <w:rPr>
          <w:rFonts w:ascii="Verdana" w:hAnsi="Verdana"/>
          <w:bCs/>
          <w:sz w:val="20"/>
          <w:szCs w:val="20"/>
        </w:rPr>
        <w:t xml:space="preserve"> por sí misma, </w:t>
      </w:r>
      <w:r w:rsidRPr="009C7067">
        <w:rPr>
          <w:rFonts w:ascii="Verdana" w:hAnsi="Verdana"/>
          <w:bCs/>
          <w:sz w:val="20"/>
          <w:szCs w:val="20"/>
        </w:rPr>
        <w:t>una forma de reparación.</w:t>
      </w:r>
    </w:p>
    <w:p w14:paraId="6D172DF7" w14:textId="77777777" w:rsidR="009C7067" w:rsidRPr="006A44AD" w:rsidRDefault="009C7067" w:rsidP="009C7067">
      <w:pPr>
        <w:pStyle w:val="Prrafodelista2"/>
        <w:ind w:left="0" w:right="-90"/>
        <w:contextualSpacing/>
        <w:jc w:val="both"/>
        <w:rPr>
          <w:bCs/>
        </w:rPr>
      </w:pPr>
    </w:p>
    <w:p w14:paraId="6D172DF8" w14:textId="6A3B1DBD" w:rsidR="009C7067" w:rsidRPr="00D562BE"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bCs/>
          <w:sz w:val="20"/>
          <w:szCs w:val="20"/>
        </w:rPr>
      </w:pPr>
      <w:r w:rsidRPr="00D562BE">
        <w:rPr>
          <w:rFonts w:ascii="Verdana" w:hAnsi="Verdana"/>
          <w:sz w:val="20"/>
          <w:szCs w:val="20"/>
        </w:rPr>
        <w:t>E</w:t>
      </w:r>
      <w:r w:rsidRPr="00D562BE">
        <w:rPr>
          <w:rFonts w:ascii="Verdana" w:hAnsi="Verdana"/>
          <w:bCs/>
          <w:sz w:val="20"/>
          <w:szCs w:val="20"/>
        </w:rPr>
        <w:t xml:space="preserve">l Estado debe, dentro del plazo de </w:t>
      </w:r>
      <w:r w:rsidR="00426510">
        <w:rPr>
          <w:rFonts w:ascii="Verdana" w:hAnsi="Verdana"/>
          <w:bCs/>
          <w:sz w:val="20"/>
          <w:szCs w:val="20"/>
        </w:rPr>
        <w:t>un año</w:t>
      </w:r>
      <w:r w:rsidRPr="00D562BE">
        <w:rPr>
          <w:rFonts w:ascii="Verdana" w:hAnsi="Verdana"/>
          <w:bCs/>
          <w:sz w:val="20"/>
          <w:szCs w:val="20"/>
        </w:rPr>
        <w:t xml:space="preserve"> a partir de la n</w:t>
      </w:r>
      <w:r w:rsidR="008C64F3">
        <w:rPr>
          <w:rFonts w:ascii="Verdana" w:hAnsi="Verdana"/>
          <w:bCs/>
          <w:sz w:val="20"/>
          <w:szCs w:val="20"/>
        </w:rPr>
        <w:t xml:space="preserve">otificación de esta Sentencia, </w:t>
      </w:r>
      <w:r w:rsidRPr="00D562BE">
        <w:rPr>
          <w:rFonts w:ascii="Verdana" w:hAnsi="Verdana"/>
          <w:sz w:val="20"/>
          <w:szCs w:val="20"/>
          <w:lang w:val="es-CR"/>
        </w:rPr>
        <w:t>dejar sin efectos</w:t>
      </w:r>
      <w:r w:rsidR="008C64F3">
        <w:rPr>
          <w:rFonts w:ascii="Verdana" w:hAnsi="Verdana"/>
          <w:sz w:val="20"/>
          <w:szCs w:val="20"/>
        </w:rPr>
        <w:t xml:space="preserve"> la sentencia condenatoria</w:t>
      </w:r>
      <w:r w:rsidR="003043E9">
        <w:rPr>
          <w:rFonts w:ascii="Verdana" w:hAnsi="Verdana"/>
          <w:bCs/>
          <w:sz w:val="20"/>
          <w:szCs w:val="20"/>
        </w:rPr>
        <w:t xml:space="preserve"> </w:t>
      </w:r>
      <w:r w:rsidR="003043E9" w:rsidRPr="000A0953">
        <w:rPr>
          <w:rFonts w:ascii="Verdana" w:hAnsi="Verdana"/>
          <w:bCs/>
          <w:sz w:val="20"/>
          <w:szCs w:val="20"/>
        </w:rPr>
        <w:t>y eliminar los antecedes penales de la víctima</w:t>
      </w:r>
      <w:r w:rsidR="003043E9" w:rsidRPr="00426510">
        <w:rPr>
          <w:rFonts w:ascii="Verdana" w:hAnsi="Verdana"/>
          <w:bCs/>
          <w:sz w:val="20"/>
          <w:szCs w:val="20"/>
        </w:rPr>
        <w:t>,</w:t>
      </w:r>
      <w:r w:rsidRPr="00D562BE">
        <w:rPr>
          <w:rFonts w:ascii="Verdana" w:hAnsi="Verdana"/>
          <w:bCs/>
          <w:sz w:val="20"/>
          <w:szCs w:val="20"/>
        </w:rPr>
        <w:t xml:space="preserve"> de conformidad con lo establecido en los párrafos </w:t>
      </w:r>
      <w:r w:rsidR="002F2E11" w:rsidRPr="000A0953">
        <w:rPr>
          <w:rFonts w:ascii="Verdana" w:hAnsi="Verdana"/>
          <w:bCs/>
          <w:sz w:val="20"/>
          <w:szCs w:val="20"/>
        </w:rPr>
        <w:t>2</w:t>
      </w:r>
      <w:r w:rsidR="0014783E" w:rsidRPr="000A0953">
        <w:rPr>
          <w:rFonts w:ascii="Verdana" w:hAnsi="Verdana"/>
          <w:bCs/>
          <w:sz w:val="20"/>
          <w:szCs w:val="20"/>
        </w:rPr>
        <w:t>00</w:t>
      </w:r>
      <w:r w:rsidR="002F2E11" w:rsidRPr="000A0953">
        <w:rPr>
          <w:rFonts w:ascii="Verdana" w:hAnsi="Verdana"/>
          <w:bCs/>
          <w:sz w:val="20"/>
          <w:szCs w:val="20"/>
        </w:rPr>
        <w:t xml:space="preserve"> a 2</w:t>
      </w:r>
      <w:r w:rsidR="0014783E" w:rsidRPr="0014783E">
        <w:rPr>
          <w:rFonts w:ascii="Verdana" w:hAnsi="Verdana"/>
          <w:bCs/>
          <w:sz w:val="20"/>
          <w:szCs w:val="20"/>
        </w:rPr>
        <w:t>02</w:t>
      </w:r>
      <w:r w:rsidR="00CD62E3">
        <w:rPr>
          <w:rFonts w:ascii="Verdana" w:hAnsi="Verdana"/>
          <w:bCs/>
          <w:sz w:val="20"/>
          <w:szCs w:val="20"/>
        </w:rPr>
        <w:t xml:space="preserve"> de la presente Sentencia</w:t>
      </w:r>
      <w:r w:rsidRPr="00D562BE">
        <w:rPr>
          <w:rFonts w:ascii="Verdana" w:hAnsi="Verdana"/>
          <w:bCs/>
          <w:sz w:val="20"/>
          <w:szCs w:val="20"/>
        </w:rPr>
        <w:t>.</w:t>
      </w:r>
    </w:p>
    <w:p w14:paraId="6D172DF9" w14:textId="77777777" w:rsidR="009C7067" w:rsidRPr="006A44AD" w:rsidRDefault="009C7067" w:rsidP="00D41349">
      <w:pPr>
        <w:pStyle w:val="Prrafodelista2"/>
        <w:ind w:left="0" w:right="-90"/>
        <w:contextualSpacing/>
        <w:rPr>
          <w:bCs/>
          <w:color w:val="FF0000"/>
          <w:lang w:val="es-CR"/>
        </w:rPr>
      </w:pPr>
    </w:p>
    <w:p w14:paraId="6D172DFA" w14:textId="2021F962" w:rsidR="009C7067" w:rsidRPr="006A44AD"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bCs/>
          <w:sz w:val="20"/>
          <w:szCs w:val="20"/>
          <w:lang w:val="es-CR"/>
        </w:rPr>
      </w:pPr>
      <w:r w:rsidRPr="006A44AD">
        <w:rPr>
          <w:rFonts w:ascii="Verdana" w:hAnsi="Verdana"/>
          <w:bCs/>
          <w:sz w:val="20"/>
          <w:szCs w:val="20"/>
        </w:rPr>
        <w:t xml:space="preserve">El </w:t>
      </w:r>
      <w:r w:rsidRPr="00844B42">
        <w:rPr>
          <w:rFonts w:ascii="Verdana" w:hAnsi="Verdana"/>
          <w:bCs/>
          <w:sz w:val="20"/>
          <w:szCs w:val="20"/>
        </w:rPr>
        <w:t>Estado</w:t>
      </w:r>
      <w:r w:rsidRPr="006A44AD">
        <w:rPr>
          <w:rFonts w:ascii="Verdana" w:hAnsi="Verdana"/>
          <w:bCs/>
          <w:sz w:val="20"/>
          <w:szCs w:val="20"/>
        </w:rPr>
        <w:t xml:space="preserve"> debe realizar las publicaciones indicadas en el párrafo </w:t>
      </w:r>
      <w:r w:rsidRPr="000A0953">
        <w:rPr>
          <w:rFonts w:ascii="Verdana" w:hAnsi="Verdana"/>
          <w:bCs/>
          <w:sz w:val="20"/>
          <w:szCs w:val="20"/>
        </w:rPr>
        <w:t>2</w:t>
      </w:r>
      <w:r w:rsidR="0014783E" w:rsidRPr="000A0953">
        <w:rPr>
          <w:rFonts w:ascii="Verdana" w:hAnsi="Verdana"/>
          <w:bCs/>
          <w:sz w:val="20"/>
          <w:szCs w:val="20"/>
        </w:rPr>
        <w:t>05</w:t>
      </w:r>
      <w:r w:rsidRPr="006A44AD">
        <w:rPr>
          <w:rFonts w:ascii="Verdana" w:hAnsi="Verdana"/>
          <w:bCs/>
          <w:sz w:val="20"/>
          <w:szCs w:val="20"/>
        </w:rPr>
        <w:t xml:space="preserve"> e informar a esta Corte de tales publicaciones, conforme lo indicado en el párrafo </w:t>
      </w:r>
      <w:r w:rsidRPr="000A0953">
        <w:rPr>
          <w:rFonts w:ascii="Verdana" w:hAnsi="Verdana"/>
          <w:bCs/>
          <w:sz w:val="20"/>
          <w:szCs w:val="20"/>
        </w:rPr>
        <w:t>2</w:t>
      </w:r>
      <w:r w:rsidR="0014783E" w:rsidRPr="000A0953">
        <w:rPr>
          <w:rFonts w:ascii="Verdana" w:hAnsi="Verdana"/>
          <w:bCs/>
          <w:sz w:val="20"/>
          <w:szCs w:val="20"/>
        </w:rPr>
        <w:t>06</w:t>
      </w:r>
      <w:r w:rsidRPr="006A44AD">
        <w:rPr>
          <w:rFonts w:ascii="Verdana" w:hAnsi="Verdana"/>
          <w:bCs/>
          <w:sz w:val="20"/>
          <w:szCs w:val="20"/>
        </w:rPr>
        <w:t xml:space="preserve"> de esta Sentencia.</w:t>
      </w:r>
    </w:p>
    <w:p w14:paraId="6D172DFB" w14:textId="77777777" w:rsidR="009C7067" w:rsidRPr="006A44AD" w:rsidRDefault="009C7067" w:rsidP="009C7067">
      <w:pPr>
        <w:pStyle w:val="Prrafodelista2"/>
        <w:ind w:left="0" w:right="-90"/>
        <w:contextualSpacing/>
        <w:jc w:val="both"/>
        <w:rPr>
          <w:bCs/>
          <w:lang w:val="es-CR"/>
        </w:rPr>
      </w:pPr>
    </w:p>
    <w:p w14:paraId="6D172DFC" w14:textId="25928BD8" w:rsidR="009C7067" w:rsidRPr="006A44AD"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bCs/>
          <w:sz w:val="20"/>
          <w:szCs w:val="20"/>
        </w:rPr>
      </w:pPr>
      <w:r w:rsidRPr="00844B42">
        <w:rPr>
          <w:rFonts w:ascii="Verdana" w:hAnsi="Verdana"/>
          <w:bCs/>
          <w:sz w:val="20"/>
          <w:szCs w:val="20"/>
        </w:rPr>
        <w:t xml:space="preserve">El </w:t>
      </w:r>
      <w:r w:rsidRPr="00844B42">
        <w:rPr>
          <w:rFonts w:ascii="Verdana" w:hAnsi="Verdana"/>
          <w:sz w:val="20"/>
          <w:szCs w:val="20"/>
        </w:rPr>
        <w:t>Estado</w:t>
      </w:r>
      <w:r w:rsidRPr="00844B42">
        <w:rPr>
          <w:rFonts w:ascii="Verdana" w:hAnsi="Verdana"/>
          <w:bCs/>
          <w:sz w:val="20"/>
          <w:szCs w:val="20"/>
        </w:rPr>
        <w:t xml:space="preserve"> </w:t>
      </w:r>
      <w:r w:rsidRPr="00844B42">
        <w:rPr>
          <w:rFonts w:ascii="Verdana" w:hAnsi="Verdana"/>
          <w:sz w:val="20"/>
          <w:szCs w:val="20"/>
        </w:rPr>
        <w:t>debe</w:t>
      </w:r>
      <w:r w:rsidRPr="00844B42">
        <w:rPr>
          <w:rFonts w:ascii="Verdana" w:hAnsi="Verdana"/>
          <w:bCs/>
          <w:sz w:val="20"/>
          <w:szCs w:val="20"/>
        </w:rPr>
        <w:t xml:space="preserve"> pagar las cantidades fijadas en los párrafos </w:t>
      </w:r>
      <w:r w:rsidRPr="000A0953">
        <w:rPr>
          <w:rFonts w:ascii="Verdana" w:hAnsi="Verdana"/>
          <w:bCs/>
          <w:sz w:val="20"/>
          <w:szCs w:val="20"/>
        </w:rPr>
        <w:t>2</w:t>
      </w:r>
      <w:r w:rsidR="0014783E" w:rsidRPr="000A0953">
        <w:rPr>
          <w:rFonts w:ascii="Verdana" w:hAnsi="Verdana"/>
          <w:bCs/>
          <w:sz w:val="20"/>
          <w:szCs w:val="20"/>
        </w:rPr>
        <w:t>26</w:t>
      </w:r>
      <w:r w:rsidRPr="000A0953">
        <w:rPr>
          <w:rFonts w:ascii="Verdana" w:hAnsi="Verdana"/>
          <w:bCs/>
          <w:sz w:val="20"/>
          <w:szCs w:val="20"/>
        </w:rPr>
        <w:t xml:space="preserve"> y </w:t>
      </w:r>
      <w:r w:rsidR="0014783E" w:rsidRPr="000A0953">
        <w:rPr>
          <w:rFonts w:ascii="Verdana" w:hAnsi="Verdana"/>
          <w:bCs/>
          <w:sz w:val="20"/>
          <w:szCs w:val="20"/>
        </w:rPr>
        <w:t>231</w:t>
      </w:r>
      <w:r w:rsidRPr="00844B42">
        <w:rPr>
          <w:rFonts w:ascii="Verdana" w:hAnsi="Verdana"/>
          <w:bCs/>
          <w:sz w:val="20"/>
          <w:szCs w:val="20"/>
        </w:rPr>
        <w:t xml:space="preserve"> de la presente Sentencia, por concepto de compensación por daño inmaterial y por el reintegro de  costas y gastos, en los términos de los referidos párrafos y de lo previsto en los párrafos </w:t>
      </w:r>
      <w:r w:rsidR="002F2E11" w:rsidRPr="000D4816">
        <w:rPr>
          <w:rFonts w:ascii="Verdana" w:hAnsi="Verdana"/>
          <w:bCs/>
          <w:sz w:val="20"/>
          <w:szCs w:val="20"/>
        </w:rPr>
        <w:t>2</w:t>
      </w:r>
      <w:r w:rsidR="0014783E" w:rsidRPr="000D4816">
        <w:rPr>
          <w:rFonts w:ascii="Verdana" w:hAnsi="Verdana"/>
          <w:bCs/>
          <w:sz w:val="20"/>
          <w:szCs w:val="20"/>
        </w:rPr>
        <w:t>38</w:t>
      </w:r>
      <w:r w:rsidR="002F2E11" w:rsidRPr="000D4816">
        <w:rPr>
          <w:rFonts w:ascii="Verdana" w:hAnsi="Verdana"/>
          <w:bCs/>
          <w:sz w:val="20"/>
          <w:szCs w:val="20"/>
        </w:rPr>
        <w:t xml:space="preserve"> </w:t>
      </w:r>
      <w:r w:rsidR="00FC0CCC" w:rsidRPr="000D4816">
        <w:rPr>
          <w:rFonts w:ascii="Verdana" w:hAnsi="Verdana"/>
          <w:bCs/>
          <w:sz w:val="20"/>
          <w:szCs w:val="20"/>
        </w:rPr>
        <w:t>a</w:t>
      </w:r>
      <w:r w:rsidRPr="000D4816">
        <w:rPr>
          <w:rFonts w:ascii="Verdana" w:hAnsi="Verdana"/>
          <w:bCs/>
          <w:sz w:val="20"/>
          <w:szCs w:val="20"/>
        </w:rPr>
        <w:t xml:space="preserve"> </w:t>
      </w:r>
      <w:r w:rsidR="00FC0CCC" w:rsidRPr="000D4816">
        <w:rPr>
          <w:rFonts w:ascii="Verdana" w:hAnsi="Verdana"/>
          <w:bCs/>
          <w:sz w:val="20"/>
          <w:szCs w:val="20"/>
        </w:rPr>
        <w:t>243</w:t>
      </w:r>
      <w:r w:rsidRPr="00844B42">
        <w:rPr>
          <w:rFonts w:ascii="Verdana" w:hAnsi="Verdana"/>
          <w:bCs/>
          <w:sz w:val="20"/>
          <w:szCs w:val="20"/>
        </w:rPr>
        <w:t xml:space="preserve"> </w:t>
      </w:r>
      <w:r w:rsidRPr="006A44AD">
        <w:rPr>
          <w:rFonts w:ascii="Verdana" w:hAnsi="Verdana"/>
          <w:bCs/>
          <w:sz w:val="20"/>
          <w:szCs w:val="20"/>
        </w:rPr>
        <w:t>de esta Sentencia.</w:t>
      </w:r>
    </w:p>
    <w:p w14:paraId="6D172DFD" w14:textId="77777777" w:rsidR="009C7067" w:rsidRPr="006A44AD" w:rsidRDefault="009C7067" w:rsidP="009C7067">
      <w:pPr>
        <w:pStyle w:val="Prrafodelista2"/>
        <w:ind w:left="0" w:right="-90"/>
        <w:contextualSpacing/>
        <w:jc w:val="both"/>
        <w:rPr>
          <w:bCs/>
          <w:color w:val="FF0000"/>
          <w:lang w:val="es-CR"/>
        </w:rPr>
      </w:pPr>
    </w:p>
    <w:p w14:paraId="6D172DFE" w14:textId="12AA2FBC" w:rsidR="009C7067" w:rsidRPr="006A44AD"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spacing w:val="-2"/>
          <w:sz w:val="20"/>
          <w:szCs w:val="20"/>
          <w:lang w:val="es-GT"/>
        </w:rPr>
      </w:pPr>
      <w:r w:rsidRPr="006A44AD">
        <w:rPr>
          <w:rFonts w:ascii="Verdana" w:hAnsi="Verdana"/>
          <w:spacing w:val="-2"/>
          <w:sz w:val="20"/>
          <w:szCs w:val="20"/>
          <w:lang w:val="es-GT"/>
        </w:rPr>
        <w:t xml:space="preserve">El Estado debe reintegrar al Fondo de Asistencia Legal de Víctimas de la Corte Interamericana de </w:t>
      </w:r>
      <w:r w:rsidRPr="00844B42">
        <w:rPr>
          <w:rFonts w:ascii="Verdana" w:hAnsi="Verdana"/>
          <w:sz w:val="20"/>
          <w:szCs w:val="20"/>
        </w:rPr>
        <w:t>Derechos</w:t>
      </w:r>
      <w:r w:rsidRPr="006A44AD">
        <w:rPr>
          <w:rFonts w:ascii="Verdana" w:hAnsi="Verdana"/>
          <w:spacing w:val="-2"/>
          <w:sz w:val="20"/>
          <w:szCs w:val="20"/>
          <w:lang w:val="es-GT"/>
        </w:rPr>
        <w:t xml:space="preserve"> Humanos la cantidad erogada durante la tramitación del presente caso, en los términos del párrafo </w:t>
      </w:r>
      <w:r w:rsidRPr="000A0953">
        <w:rPr>
          <w:rFonts w:ascii="Verdana" w:hAnsi="Verdana"/>
          <w:spacing w:val="-2"/>
          <w:sz w:val="20"/>
          <w:szCs w:val="20"/>
          <w:lang w:val="es-GT"/>
        </w:rPr>
        <w:t>2</w:t>
      </w:r>
      <w:r w:rsidR="0014783E" w:rsidRPr="000A0953">
        <w:rPr>
          <w:rFonts w:ascii="Verdana" w:hAnsi="Verdana"/>
          <w:spacing w:val="-2"/>
          <w:sz w:val="20"/>
          <w:szCs w:val="20"/>
          <w:lang w:val="es-GT"/>
        </w:rPr>
        <w:t>37</w:t>
      </w:r>
      <w:r w:rsidRPr="006A44AD">
        <w:rPr>
          <w:rFonts w:ascii="Verdana" w:hAnsi="Verdana"/>
          <w:spacing w:val="-2"/>
          <w:sz w:val="20"/>
          <w:szCs w:val="20"/>
          <w:lang w:val="es-GT"/>
        </w:rPr>
        <w:t xml:space="preserve"> de esta Sentencia.</w:t>
      </w:r>
    </w:p>
    <w:p w14:paraId="6D172DFF" w14:textId="77777777" w:rsidR="009C7067" w:rsidRPr="006A44AD" w:rsidRDefault="009C7067" w:rsidP="009C7067">
      <w:pPr>
        <w:pStyle w:val="Prrafodelista2"/>
        <w:ind w:left="0" w:right="-90"/>
        <w:contextualSpacing/>
        <w:jc w:val="both"/>
        <w:rPr>
          <w:bCs/>
          <w:lang w:val="es-GT"/>
        </w:rPr>
      </w:pPr>
    </w:p>
    <w:p w14:paraId="6D172E00" w14:textId="1DF7A7EE" w:rsidR="009C7067" w:rsidRPr="006A44AD"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bCs/>
          <w:sz w:val="20"/>
          <w:szCs w:val="20"/>
          <w:lang w:val="es-CR"/>
        </w:rPr>
      </w:pPr>
      <w:r w:rsidRPr="00844B42">
        <w:rPr>
          <w:rFonts w:ascii="Verdana" w:hAnsi="Verdana"/>
          <w:bCs/>
          <w:sz w:val="20"/>
          <w:szCs w:val="20"/>
        </w:rPr>
        <w:t xml:space="preserve">El </w:t>
      </w:r>
      <w:r w:rsidRPr="00844B42">
        <w:rPr>
          <w:rFonts w:ascii="Verdana" w:hAnsi="Verdana"/>
          <w:sz w:val="20"/>
          <w:szCs w:val="20"/>
        </w:rPr>
        <w:t>Estado</w:t>
      </w:r>
      <w:r w:rsidRPr="00844B42">
        <w:rPr>
          <w:rFonts w:ascii="Verdana" w:hAnsi="Verdana"/>
          <w:bCs/>
          <w:sz w:val="20"/>
          <w:szCs w:val="20"/>
        </w:rPr>
        <w:t xml:space="preserve"> debe, dentro del plazo de un año contado a partir de la notificación de esta Sentencia, rendir al Tribunal un informe sobre las medidas adoptadas para cumplir con la misma, sin perjuicio de lo establecido en el párrafo </w:t>
      </w:r>
      <w:r w:rsidR="00FC0CCC" w:rsidRPr="000A0953">
        <w:rPr>
          <w:rFonts w:ascii="Verdana" w:hAnsi="Verdana"/>
          <w:bCs/>
          <w:sz w:val="20"/>
          <w:szCs w:val="20"/>
        </w:rPr>
        <w:t>206</w:t>
      </w:r>
      <w:r w:rsidRPr="00844B42">
        <w:rPr>
          <w:rFonts w:ascii="Verdana" w:hAnsi="Verdana"/>
          <w:bCs/>
          <w:sz w:val="20"/>
          <w:szCs w:val="20"/>
        </w:rPr>
        <w:t xml:space="preserve"> </w:t>
      </w:r>
      <w:r w:rsidRPr="006A44AD">
        <w:rPr>
          <w:rFonts w:ascii="Verdana" w:hAnsi="Verdana"/>
          <w:bCs/>
          <w:sz w:val="20"/>
          <w:szCs w:val="20"/>
        </w:rPr>
        <w:t>de la presente Sentencia.</w:t>
      </w:r>
    </w:p>
    <w:p w14:paraId="6D172E01" w14:textId="77777777" w:rsidR="009C7067" w:rsidRPr="006A44AD" w:rsidRDefault="009C7067" w:rsidP="009C7067">
      <w:pPr>
        <w:pStyle w:val="Prrafodelista2"/>
        <w:ind w:left="0" w:right="-90"/>
        <w:contextualSpacing/>
        <w:jc w:val="both"/>
        <w:rPr>
          <w:bCs/>
          <w:lang w:val="es-CR"/>
        </w:rPr>
      </w:pPr>
    </w:p>
    <w:p w14:paraId="6D172E02" w14:textId="77777777" w:rsidR="009C7067" w:rsidRPr="006A44AD" w:rsidRDefault="009C7067" w:rsidP="009C7067">
      <w:pPr>
        <w:pStyle w:val="ListParagraph"/>
        <w:widowControl w:val="0"/>
        <w:numPr>
          <w:ilvl w:val="0"/>
          <w:numId w:val="16"/>
        </w:numPr>
        <w:tabs>
          <w:tab w:val="center" w:pos="567"/>
        </w:tabs>
        <w:autoSpaceDE w:val="0"/>
        <w:autoSpaceDN w:val="0"/>
        <w:adjustRightInd w:val="0"/>
        <w:ind w:left="0" w:right="-90" w:hanging="11"/>
        <w:jc w:val="both"/>
        <w:rPr>
          <w:rFonts w:ascii="Verdana" w:hAnsi="Verdana"/>
          <w:bCs/>
          <w:sz w:val="20"/>
          <w:szCs w:val="20"/>
          <w:lang w:val="es-CR"/>
        </w:rPr>
      </w:pPr>
      <w:r w:rsidRPr="006A44AD">
        <w:rPr>
          <w:rFonts w:ascii="Verdana" w:hAnsi="Verdana"/>
          <w:bCs/>
          <w:sz w:val="20"/>
          <w:szCs w:val="20"/>
        </w:rPr>
        <w:t xml:space="preserve">La </w:t>
      </w:r>
      <w:r w:rsidRPr="00844B42">
        <w:rPr>
          <w:rFonts w:ascii="Verdana" w:hAnsi="Verdana"/>
          <w:sz w:val="20"/>
          <w:szCs w:val="20"/>
        </w:rPr>
        <w:t>Corte</w:t>
      </w:r>
      <w:r w:rsidRPr="006A44AD">
        <w:rPr>
          <w:rFonts w:ascii="Verdana" w:hAnsi="Verdana"/>
          <w:bCs/>
          <w:sz w:val="20"/>
          <w:szCs w:val="20"/>
        </w:rPr>
        <w:t xml:space="preserv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751D1A18" w14:textId="77777777" w:rsidR="009D373B" w:rsidRDefault="009D373B" w:rsidP="009C7067">
      <w:pPr>
        <w:tabs>
          <w:tab w:val="left" w:pos="720"/>
        </w:tabs>
        <w:ind w:right="-90"/>
        <w:contextualSpacing/>
        <w:jc w:val="both"/>
        <w:rPr>
          <w:rFonts w:ascii="Verdana" w:hAnsi="Verdana"/>
          <w:bCs/>
          <w:sz w:val="20"/>
          <w:szCs w:val="20"/>
        </w:rPr>
      </w:pPr>
    </w:p>
    <w:p w14:paraId="38342865" w14:textId="77777777" w:rsidR="00F63134" w:rsidRDefault="00F63134" w:rsidP="009C7067">
      <w:pPr>
        <w:tabs>
          <w:tab w:val="left" w:pos="720"/>
        </w:tabs>
        <w:ind w:right="-90"/>
        <w:contextualSpacing/>
        <w:jc w:val="both"/>
        <w:rPr>
          <w:rFonts w:ascii="Verdana" w:hAnsi="Verdana"/>
          <w:bCs/>
          <w:sz w:val="20"/>
          <w:szCs w:val="20"/>
        </w:rPr>
      </w:pPr>
    </w:p>
    <w:p w14:paraId="43FE8F52" w14:textId="77777777" w:rsidR="00F63134" w:rsidRDefault="00F63134" w:rsidP="009C7067">
      <w:pPr>
        <w:tabs>
          <w:tab w:val="left" w:pos="720"/>
        </w:tabs>
        <w:ind w:right="-90"/>
        <w:contextualSpacing/>
        <w:jc w:val="both"/>
        <w:rPr>
          <w:rFonts w:ascii="Verdana" w:hAnsi="Verdana"/>
          <w:bCs/>
          <w:sz w:val="20"/>
          <w:szCs w:val="20"/>
        </w:rPr>
      </w:pPr>
    </w:p>
    <w:p w14:paraId="17CD1475" w14:textId="77777777" w:rsidR="00F63134" w:rsidRDefault="00F63134" w:rsidP="009C7067">
      <w:pPr>
        <w:tabs>
          <w:tab w:val="left" w:pos="720"/>
        </w:tabs>
        <w:ind w:right="-90"/>
        <w:contextualSpacing/>
        <w:jc w:val="both"/>
        <w:rPr>
          <w:rFonts w:ascii="Verdana" w:hAnsi="Verdana"/>
          <w:bCs/>
          <w:sz w:val="20"/>
          <w:szCs w:val="20"/>
        </w:rPr>
      </w:pPr>
    </w:p>
    <w:p w14:paraId="6D172E06" w14:textId="1FA9D83C" w:rsidR="009C7067" w:rsidRPr="00032C01" w:rsidRDefault="00426510" w:rsidP="009C7067">
      <w:pPr>
        <w:tabs>
          <w:tab w:val="left" w:pos="720"/>
        </w:tabs>
        <w:ind w:right="-90"/>
        <w:contextualSpacing/>
        <w:jc w:val="both"/>
        <w:rPr>
          <w:rFonts w:ascii="Verdana" w:hAnsi="Verdana"/>
          <w:bCs/>
          <w:sz w:val="20"/>
          <w:szCs w:val="20"/>
        </w:rPr>
      </w:pPr>
      <w:r w:rsidRPr="000A0953">
        <w:rPr>
          <w:rFonts w:ascii="Verdana" w:hAnsi="Verdana"/>
          <w:bCs/>
          <w:sz w:val="20"/>
          <w:szCs w:val="20"/>
        </w:rPr>
        <w:t xml:space="preserve">Emitida </w:t>
      </w:r>
      <w:r w:rsidR="009C7067" w:rsidRPr="00032C01">
        <w:rPr>
          <w:rFonts w:ascii="Verdana" w:hAnsi="Verdana"/>
          <w:bCs/>
          <w:sz w:val="20"/>
          <w:szCs w:val="20"/>
        </w:rPr>
        <w:t>en español en S</w:t>
      </w:r>
      <w:r w:rsidR="002A2421">
        <w:rPr>
          <w:rFonts w:ascii="Verdana" w:hAnsi="Verdana"/>
          <w:bCs/>
          <w:sz w:val="20"/>
          <w:szCs w:val="20"/>
        </w:rPr>
        <w:t xml:space="preserve">an José, Costa Rica, el </w:t>
      </w:r>
      <w:r w:rsidR="00F636EB">
        <w:rPr>
          <w:rFonts w:ascii="Verdana" w:hAnsi="Verdana"/>
          <w:bCs/>
          <w:sz w:val="20"/>
          <w:szCs w:val="20"/>
        </w:rPr>
        <w:t xml:space="preserve">15 </w:t>
      </w:r>
      <w:r w:rsidR="002A2421">
        <w:rPr>
          <w:rFonts w:ascii="Verdana" w:hAnsi="Verdana"/>
          <w:bCs/>
          <w:sz w:val="20"/>
          <w:szCs w:val="20"/>
        </w:rPr>
        <w:t>de febrero</w:t>
      </w:r>
      <w:r w:rsidR="009C7067" w:rsidRPr="00032C01">
        <w:rPr>
          <w:rFonts w:ascii="Verdana" w:hAnsi="Verdana"/>
          <w:bCs/>
          <w:sz w:val="20"/>
          <w:szCs w:val="20"/>
        </w:rPr>
        <w:t xml:space="preserve"> de </w:t>
      </w:r>
      <w:r w:rsidR="00FC6E62">
        <w:rPr>
          <w:rFonts w:ascii="Verdana" w:hAnsi="Verdana"/>
          <w:bCs/>
          <w:sz w:val="20"/>
          <w:szCs w:val="20"/>
        </w:rPr>
        <w:t>2017</w:t>
      </w:r>
      <w:r>
        <w:rPr>
          <w:rFonts w:ascii="Verdana" w:hAnsi="Verdana"/>
          <w:bCs/>
          <w:sz w:val="20"/>
          <w:szCs w:val="20"/>
        </w:rPr>
        <w:t>.</w:t>
      </w:r>
    </w:p>
    <w:p w14:paraId="6D172E07" w14:textId="77777777" w:rsidR="00032C01" w:rsidRDefault="00032C01" w:rsidP="00ED116F">
      <w:pPr>
        <w:jc w:val="both"/>
        <w:rPr>
          <w:rFonts w:ascii="Verdana" w:hAnsi="Verdana"/>
          <w:sz w:val="20"/>
          <w:szCs w:val="20"/>
          <w:lang w:val="es-ES"/>
        </w:rPr>
      </w:pPr>
    </w:p>
    <w:p w14:paraId="3BD45690" w14:textId="77777777" w:rsidR="009D373B" w:rsidRPr="00ED116F" w:rsidRDefault="009D373B" w:rsidP="004F4222">
      <w:pPr>
        <w:spacing w:after="200" w:line="276" w:lineRule="auto"/>
        <w:rPr>
          <w:rFonts w:ascii="Verdana" w:hAnsi="Verdana"/>
          <w:sz w:val="20"/>
          <w:szCs w:val="20"/>
          <w:lang w:val="es-ES"/>
        </w:rPr>
      </w:pPr>
    </w:p>
    <w:p w14:paraId="6D172E08" w14:textId="23B6369B" w:rsidR="009C7067" w:rsidRDefault="009C7067" w:rsidP="00ED116F">
      <w:pPr>
        <w:jc w:val="both"/>
        <w:rPr>
          <w:rFonts w:ascii="Verdana" w:hAnsi="Verdana"/>
          <w:sz w:val="20"/>
          <w:szCs w:val="20"/>
          <w:lang w:val="es-ES"/>
        </w:rPr>
      </w:pPr>
      <w:r w:rsidRPr="000A0953">
        <w:rPr>
          <w:rFonts w:ascii="Verdana" w:hAnsi="Verdana"/>
          <w:sz w:val="20"/>
          <w:lang w:val="pt-BR"/>
        </w:rPr>
        <w:lastRenderedPageBreak/>
        <w:t xml:space="preserve">Corte </w:t>
      </w:r>
      <w:r w:rsidR="00426510" w:rsidRPr="000A0953">
        <w:rPr>
          <w:rFonts w:ascii="Verdana" w:hAnsi="Verdana"/>
          <w:sz w:val="20"/>
          <w:lang w:val="pt-BR"/>
        </w:rPr>
        <w:t>IDH</w:t>
      </w:r>
      <w:r w:rsidRPr="000A0953">
        <w:rPr>
          <w:rFonts w:ascii="Verdana" w:hAnsi="Verdana"/>
          <w:sz w:val="20"/>
          <w:lang w:val="pt-BR"/>
        </w:rPr>
        <w:t xml:space="preserve">. </w:t>
      </w:r>
      <w:r w:rsidRPr="000A0953">
        <w:rPr>
          <w:rFonts w:ascii="Verdana" w:hAnsi="Verdana"/>
          <w:i/>
          <w:sz w:val="20"/>
          <w:lang w:val="pt-BR"/>
        </w:rPr>
        <w:t xml:space="preserve">Caso Zegarra Marín Vs. </w:t>
      </w:r>
      <w:r w:rsidRPr="000A0953">
        <w:rPr>
          <w:rFonts w:ascii="Verdana" w:hAnsi="Verdana"/>
          <w:i/>
          <w:sz w:val="20"/>
          <w:szCs w:val="20"/>
          <w:lang w:val="es-ES"/>
        </w:rPr>
        <w:t>Perú. Excepciones Preliminares, Fondo, Reparaciones y Costas.</w:t>
      </w:r>
      <w:r w:rsidR="00426510">
        <w:rPr>
          <w:rFonts w:ascii="Verdana" w:hAnsi="Verdana"/>
          <w:i/>
          <w:sz w:val="20"/>
          <w:szCs w:val="20"/>
          <w:lang w:val="es-ES"/>
        </w:rPr>
        <w:t xml:space="preserve"> </w:t>
      </w:r>
      <w:r w:rsidR="00426510">
        <w:rPr>
          <w:rFonts w:ascii="Verdana" w:hAnsi="Verdana"/>
          <w:sz w:val="20"/>
          <w:szCs w:val="20"/>
          <w:lang w:val="es-ES"/>
        </w:rPr>
        <w:t xml:space="preserve">Sentencia de 15 de febrero de 2017. </w:t>
      </w:r>
    </w:p>
    <w:p w14:paraId="02A04723" w14:textId="77777777" w:rsidR="00F94990" w:rsidRDefault="00F94990" w:rsidP="00ED116F">
      <w:pPr>
        <w:jc w:val="both"/>
        <w:rPr>
          <w:rFonts w:ascii="Verdana" w:hAnsi="Verdana"/>
          <w:sz w:val="20"/>
          <w:szCs w:val="20"/>
          <w:lang w:val="es-ES"/>
        </w:rPr>
      </w:pPr>
    </w:p>
    <w:p w14:paraId="59D5C369" w14:textId="77777777" w:rsidR="00F94990" w:rsidRDefault="00F94990" w:rsidP="00ED116F">
      <w:pPr>
        <w:jc w:val="both"/>
        <w:rPr>
          <w:rFonts w:ascii="Verdana" w:hAnsi="Verdana"/>
          <w:sz w:val="20"/>
          <w:szCs w:val="20"/>
        </w:rPr>
      </w:pPr>
    </w:p>
    <w:p w14:paraId="15580B12" w14:textId="77777777" w:rsidR="00F94990" w:rsidRDefault="00F94990" w:rsidP="00ED116F">
      <w:pPr>
        <w:jc w:val="both"/>
        <w:rPr>
          <w:rFonts w:ascii="Verdana" w:hAnsi="Verdana"/>
          <w:sz w:val="20"/>
          <w:szCs w:val="20"/>
        </w:rPr>
      </w:pPr>
    </w:p>
    <w:p w14:paraId="32DD7B89" w14:textId="77777777" w:rsidR="00F94990" w:rsidRDefault="00F94990" w:rsidP="00F94990">
      <w:pPr>
        <w:rPr>
          <w:rFonts w:ascii="Verdana" w:hAnsi="Verdana"/>
          <w:sz w:val="20"/>
        </w:rPr>
      </w:pPr>
    </w:p>
    <w:p w14:paraId="75D90D75" w14:textId="77777777" w:rsidR="00F94990" w:rsidRDefault="00F94990" w:rsidP="00F94990">
      <w:pPr>
        <w:jc w:val="center"/>
        <w:rPr>
          <w:rFonts w:ascii="Verdana" w:hAnsi="Verdana"/>
          <w:sz w:val="20"/>
        </w:rPr>
      </w:pPr>
      <w:r>
        <w:rPr>
          <w:rFonts w:ascii="Verdana" w:hAnsi="Verdana"/>
          <w:sz w:val="20"/>
          <w:lang w:val="es-CR"/>
        </w:rPr>
        <w:t>Roberto F. Caldas</w:t>
      </w:r>
    </w:p>
    <w:p w14:paraId="22E647C7" w14:textId="77777777" w:rsidR="00F94990" w:rsidRDefault="00F94990" w:rsidP="00F94990">
      <w:pPr>
        <w:jc w:val="center"/>
        <w:rPr>
          <w:rFonts w:ascii="Verdana" w:hAnsi="Verdana"/>
          <w:sz w:val="20"/>
        </w:rPr>
      </w:pPr>
      <w:r>
        <w:rPr>
          <w:rFonts w:ascii="Verdana" w:hAnsi="Verdana"/>
          <w:sz w:val="20"/>
        </w:rPr>
        <w:t xml:space="preserve">Presidente </w:t>
      </w:r>
    </w:p>
    <w:p w14:paraId="775C63F3" w14:textId="77777777" w:rsidR="00F94990" w:rsidRDefault="00F94990" w:rsidP="00F94990">
      <w:pPr>
        <w:jc w:val="both"/>
        <w:rPr>
          <w:rFonts w:ascii="Verdana" w:hAnsi="Verdana"/>
          <w:sz w:val="20"/>
        </w:rPr>
      </w:pPr>
    </w:p>
    <w:p w14:paraId="2E734622" w14:textId="77777777" w:rsidR="00F94990" w:rsidRDefault="00F94990" w:rsidP="00F94990">
      <w:pPr>
        <w:jc w:val="both"/>
        <w:rPr>
          <w:rFonts w:ascii="Verdana" w:hAnsi="Verdana"/>
          <w:sz w:val="20"/>
        </w:rPr>
      </w:pPr>
    </w:p>
    <w:p w14:paraId="17564C90" w14:textId="77777777" w:rsidR="00F94990" w:rsidRDefault="00F94990" w:rsidP="00F94990">
      <w:pPr>
        <w:jc w:val="both"/>
        <w:rPr>
          <w:rFonts w:ascii="Verdana" w:hAnsi="Verdana"/>
          <w:sz w:val="20"/>
        </w:rPr>
      </w:pPr>
    </w:p>
    <w:p w14:paraId="64C3EB5B" w14:textId="77777777" w:rsidR="00F94990" w:rsidRDefault="00F94990" w:rsidP="00F94990">
      <w:pPr>
        <w:jc w:val="both"/>
        <w:rPr>
          <w:rFonts w:ascii="Verdana" w:hAnsi="Verdana"/>
          <w:sz w:val="20"/>
        </w:rPr>
      </w:pPr>
    </w:p>
    <w:p w14:paraId="4B28E0FE" w14:textId="77777777" w:rsidR="00F94990" w:rsidRDefault="00F94990" w:rsidP="00F94990">
      <w:pPr>
        <w:jc w:val="both"/>
        <w:rPr>
          <w:rFonts w:ascii="Verdana" w:hAnsi="Verdana"/>
          <w:sz w:val="20"/>
        </w:rPr>
      </w:pPr>
    </w:p>
    <w:p w14:paraId="7A4C4F6E" w14:textId="54817E9F" w:rsidR="00F94990" w:rsidRDefault="00F94990" w:rsidP="00F94990">
      <w:pPr>
        <w:jc w:val="both"/>
        <w:rPr>
          <w:rFonts w:ascii="Verdana" w:hAnsi="Verdana"/>
          <w:sz w:val="20"/>
          <w:lang w:val="es-CR"/>
        </w:rPr>
      </w:pPr>
      <w:r>
        <w:rPr>
          <w:rFonts w:ascii="Verdana" w:hAnsi="Verdana"/>
          <w:sz w:val="20"/>
          <w:lang w:val="es-CR"/>
        </w:rPr>
        <w:t>Eduardo Ferrer Mac-Gregor Poisot</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Eduardo Vio Grossi</w:t>
      </w:r>
    </w:p>
    <w:p w14:paraId="5C902306" w14:textId="77777777" w:rsidR="00F94990" w:rsidRDefault="00F94990" w:rsidP="00F94990">
      <w:pPr>
        <w:jc w:val="both"/>
        <w:rPr>
          <w:rFonts w:ascii="Verdana" w:hAnsi="Verdana"/>
          <w:sz w:val="20"/>
          <w:lang w:val="es-CR"/>
        </w:rPr>
      </w:pPr>
    </w:p>
    <w:p w14:paraId="209C84F5" w14:textId="77777777" w:rsidR="00F94990" w:rsidRDefault="00F94990" w:rsidP="00F94990">
      <w:pPr>
        <w:jc w:val="both"/>
        <w:rPr>
          <w:rFonts w:ascii="Verdana" w:hAnsi="Verdana"/>
          <w:sz w:val="20"/>
          <w:lang w:val="es-CR"/>
        </w:rPr>
      </w:pPr>
    </w:p>
    <w:p w14:paraId="2FA5746F" w14:textId="77777777" w:rsidR="00F94990" w:rsidRDefault="00F94990" w:rsidP="00F94990">
      <w:pPr>
        <w:jc w:val="both"/>
        <w:rPr>
          <w:rFonts w:ascii="Verdana" w:hAnsi="Verdana"/>
          <w:sz w:val="20"/>
          <w:lang w:val="es-CR"/>
        </w:rPr>
      </w:pPr>
    </w:p>
    <w:p w14:paraId="7970A076" w14:textId="77777777" w:rsidR="00F94990" w:rsidRDefault="00F94990" w:rsidP="00F94990">
      <w:pPr>
        <w:jc w:val="both"/>
        <w:rPr>
          <w:rFonts w:ascii="Verdana" w:hAnsi="Verdana"/>
          <w:sz w:val="20"/>
          <w:lang w:val="es-CR"/>
        </w:rPr>
      </w:pPr>
    </w:p>
    <w:p w14:paraId="70C8BC69" w14:textId="77777777" w:rsidR="00F94990" w:rsidRDefault="00F94990" w:rsidP="00F94990">
      <w:pPr>
        <w:jc w:val="both"/>
        <w:rPr>
          <w:rFonts w:ascii="Verdana" w:hAnsi="Verdana"/>
          <w:sz w:val="20"/>
          <w:lang w:val="es-CR"/>
        </w:rPr>
      </w:pPr>
    </w:p>
    <w:p w14:paraId="5FF0F769" w14:textId="5E55526F" w:rsidR="00F94990" w:rsidRPr="003D7CEE" w:rsidRDefault="00F94990" w:rsidP="00F94990">
      <w:pPr>
        <w:jc w:val="both"/>
        <w:rPr>
          <w:rFonts w:ascii="Verdana" w:hAnsi="Verdana"/>
          <w:sz w:val="20"/>
          <w:lang w:val="es-CR"/>
        </w:rPr>
      </w:pPr>
      <w:r>
        <w:rPr>
          <w:rFonts w:ascii="Verdana" w:hAnsi="Verdana"/>
          <w:sz w:val="20"/>
          <w:lang w:val="es-CR"/>
        </w:rPr>
        <w:t>Humberto Antonio Sierra Porto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Elizabeth Odio Benito</w:t>
      </w:r>
    </w:p>
    <w:p w14:paraId="3A506D4F" w14:textId="77777777" w:rsidR="00F94990" w:rsidRDefault="00F94990" w:rsidP="00F94990">
      <w:pPr>
        <w:jc w:val="center"/>
        <w:rPr>
          <w:rFonts w:ascii="Verdana" w:hAnsi="Verdana"/>
          <w:sz w:val="20"/>
        </w:rPr>
      </w:pPr>
    </w:p>
    <w:p w14:paraId="3A7E3456" w14:textId="77777777" w:rsidR="00F94990" w:rsidRDefault="00F94990" w:rsidP="00F94990">
      <w:pPr>
        <w:jc w:val="center"/>
        <w:rPr>
          <w:rFonts w:ascii="Verdana" w:hAnsi="Verdana"/>
          <w:sz w:val="20"/>
        </w:rPr>
      </w:pPr>
    </w:p>
    <w:p w14:paraId="16AA8968" w14:textId="77777777" w:rsidR="00F94990" w:rsidRDefault="00F94990" w:rsidP="00F94990">
      <w:pPr>
        <w:jc w:val="center"/>
        <w:rPr>
          <w:rFonts w:ascii="Verdana" w:hAnsi="Verdana"/>
          <w:sz w:val="20"/>
        </w:rPr>
      </w:pPr>
    </w:p>
    <w:p w14:paraId="27661D2B" w14:textId="77777777" w:rsidR="00F94990" w:rsidRDefault="00F94990" w:rsidP="00F94990">
      <w:pPr>
        <w:jc w:val="center"/>
        <w:rPr>
          <w:rFonts w:ascii="Verdana" w:hAnsi="Verdana"/>
          <w:sz w:val="20"/>
        </w:rPr>
      </w:pPr>
    </w:p>
    <w:p w14:paraId="1379D1EA" w14:textId="77777777" w:rsidR="00F94990" w:rsidRDefault="00F94990" w:rsidP="00F94990">
      <w:pPr>
        <w:rPr>
          <w:rFonts w:ascii="Verdana" w:hAnsi="Verdana"/>
          <w:sz w:val="20"/>
          <w:lang w:val="es-CR"/>
        </w:rPr>
      </w:pPr>
      <w:r>
        <w:rPr>
          <w:rFonts w:ascii="Verdana" w:hAnsi="Verdana"/>
          <w:sz w:val="20"/>
          <w:lang w:val="es-CR"/>
        </w:rPr>
        <w:tab/>
      </w:r>
      <w:r>
        <w:rPr>
          <w:rFonts w:ascii="Verdana" w:hAnsi="Verdana"/>
          <w:sz w:val="20"/>
          <w:lang w:val="es-CR"/>
        </w:rPr>
        <w:tab/>
      </w:r>
    </w:p>
    <w:p w14:paraId="4376C8F0" w14:textId="0A4865B6" w:rsidR="00F94990" w:rsidRDefault="00F94990" w:rsidP="00F94990">
      <w:pPr>
        <w:rPr>
          <w:rFonts w:ascii="Verdana" w:hAnsi="Verdana"/>
          <w:sz w:val="20"/>
          <w:lang w:val="es-CR"/>
        </w:rPr>
      </w:pPr>
      <w:r>
        <w:rPr>
          <w:rFonts w:ascii="Verdana" w:hAnsi="Verdana"/>
          <w:sz w:val="20"/>
          <w:lang w:val="es-CR"/>
        </w:rPr>
        <w:t>Eugenio Raúl Zaffaroni</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L. Patricio Pazmiño Freire</w:t>
      </w:r>
    </w:p>
    <w:p w14:paraId="3F076B3D" w14:textId="77777777" w:rsidR="00F94990" w:rsidRDefault="00F94990" w:rsidP="00F94990">
      <w:pPr>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1AA9EB03" w14:textId="77777777" w:rsidR="00F94990" w:rsidRDefault="00F94990" w:rsidP="00F94990">
      <w:pPr>
        <w:rPr>
          <w:rFonts w:ascii="Verdana" w:hAnsi="Verdana"/>
          <w:sz w:val="20"/>
          <w:lang w:val="es-CR"/>
        </w:rPr>
      </w:pPr>
    </w:p>
    <w:p w14:paraId="03A9A27E" w14:textId="77777777" w:rsidR="00F94990" w:rsidRDefault="00F94990" w:rsidP="00F94990">
      <w:pPr>
        <w:rPr>
          <w:rFonts w:ascii="Verdana" w:hAnsi="Verdana"/>
          <w:sz w:val="20"/>
          <w:lang w:val="es-CR"/>
        </w:rPr>
      </w:pPr>
    </w:p>
    <w:p w14:paraId="1DCB6B6E" w14:textId="77777777" w:rsidR="00F94990" w:rsidRDefault="00F94990" w:rsidP="00F94990">
      <w:pPr>
        <w:tabs>
          <w:tab w:val="left" w:pos="8460"/>
          <w:tab w:val="left" w:pos="8640"/>
        </w:tabs>
        <w:jc w:val="both"/>
        <w:rPr>
          <w:rFonts w:ascii="Verdana" w:hAnsi="Verdana"/>
          <w:sz w:val="20"/>
          <w:lang w:val="es-CR"/>
        </w:rPr>
      </w:pPr>
    </w:p>
    <w:p w14:paraId="1FE52285" w14:textId="77777777" w:rsidR="00F94990" w:rsidRPr="00274D2F" w:rsidRDefault="00F94990" w:rsidP="00F94990">
      <w:pPr>
        <w:tabs>
          <w:tab w:val="left" w:pos="8460"/>
          <w:tab w:val="left" w:pos="8640"/>
        </w:tabs>
        <w:jc w:val="both"/>
        <w:rPr>
          <w:rFonts w:ascii="Verdana" w:hAnsi="Verdana"/>
          <w:sz w:val="20"/>
          <w:lang w:val="es-CR"/>
        </w:rPr>
      </w:pPr>
    </w:p>
    <w:p w14:paraId="346A0DB3" w14:textId="77777777" w:rsidR="00F94990" w:rsidRDefault="00F94990" w:rsidP="00F94990">
      <w:pPr>
        <w:tabs>
          <w:tab w:val="left" w:pos="8460"/>
          <w:tab w:val="left" w:pos="8640"/>
        </w:tabs>
        <w:jc w:val="center"/>
        <w:rPr>
          <w:rFonts w:ascii="Verdana" w:hAnsi="Verdana"/>
          <w:sz w:val="20"/>
        </w:rPr>
      </w:pPr>
      <w:r>
        <w:rPr>
          <w:rFonts w:ascii="Verdana" w:hAnsi="Verdana"/>
          <w:sz w:val="20"/>
        </w:rPr>
        <w:t>Pablo Saavedra Alessandri</w:t>
      </w:r>
    </w:p>
    <w:p w14:paraId="639C6D82" w14:textId="77777777" w:rsidR="00F94990" w:rsidRDefault="00F94990" w:rsidP="00F94990">
      <w:pPr>
        <w:tabs>
          <w:tab w:val="left" w:pos="8460"/>
          <w:tab w:val="left" w:pos="8640"/>
        </w:tabs>
        <w:jc w:val="center"/>
        <w:rPr>
          <w:rFonts w:ascii="Verdana" w:hAnsi="Verdana"/>
          <w:sz w:val="20"/>
        </w:rPr>
      </w:pPr>
      <w:r>
        <w:rPr>
          <w:rFonts w:ascii="Verdana" w:hAnsi="Verdana"/>
          <w:sz w:val="20"/>
        </w:rPr>
        <w:t>Secretario</w:t>
      </w:r>
    </w:p>
    <w:p w14:paraId="0321FA22" w14:textId="77777777" w:rsidR="00F94990" w:rsidRDefault="00F94990" w:rsidP="00F94990">
      <w:pPr>
        <w:tabs>
          <w:tab w:val="left" w:pos="8460"/>
          <w:tab w:val="left" w:pos="8640"/>
        </w:tabs>
        <w:jc w:val="both"/>
        <w:rPr>
          <w:rFonts w:ascii="Verdana" w:hAnsi="Verdana"/>
          <w:sz w:val="20"/>
        </w:rPr>
      </w:pPr>
    </w:p>
    <w:p w14:paraId="49859F07" w14:textId="77777777" w:rsidR="00F94990" w:rsidRDefault="00F94990" w:rsidP="00F94990">
      <w:pPr>
        <w:jc w:val="both"/>
        <w:rPr>
          <w:rFonts w:ascii="Verdana" w:hAnsi="Verdana"/>
          <w:sz w:val="20"/>
        </w:rPr>
      </w:pPr>
    </w:p>
    <w:p w14:paraId="26329D9F" w14:textId="77777777" w:rsidR="00F94990" w:rsidRDefault="00F94990" w:rsidP="00F94990">
      <w:pPr>
        <w:tabs>
          <w:tab w:val="left" w:pos="8460"/>
          <w:tab w:val="left" w:pos="8640"/>
        </w:tabs>
        <w:jc w:val="both"/>
        <w:rPr>
          <w:rFonts w:ascii="Verdana" w:hAnsi="Verdana"/>
          <w:sz w:val="20"/>
        </w:rPr>
      </w:pPr>
      <w:r>
        <w:rPr>
          <w:rFonts w:ascii="Verdana" w:hAnsi="Verdana"/>
          <w:sz w:val="20"/>
        </w:rPr>
        <w:t>Comuníquese y ejecútese,</w:t>
      </w:r>
    </w:p>
    <w:p w14:paraId="7ED5B194" w14:textId="77777777" w:rsidR="00F94990" w:rsidRDefault="00F94990" w:rsidP="00F94990">
      <w:pPr>
        <w:tabs>
          <w:tab w:val="left" w:pos="8460"/>
          <w:tab w:val="left" w:pos="8640"/>
        </w:tabs>
        <w:jc w:val="both"/>
        <w:rPr>
          <w:rFonts w:ascii="Verdana" w:hAnsi="Verdana"/>
          <w:sz w:val="20"/>
        </w:rPr>
      </w:pPr>
    </w:p>
    <w:p w14:paraId="670A6C48" w14:textId="77777777" w:rsidR="00F94990" w:rsidRDefault="00F94990" w:rsidP="00F94990">
      <w:pPr>
        <w:tabs>
          <w:tab w:val="left" w:pos="8460"/>
          <w:tab w:val="left" w:pos="8640"/>
        </w:tabs>
        <w:jc w:val="both"/>
        <w:rPr>
          <w:rFonts w:ascii="Verdana" w:hAnsi="Verdana"/>
          <w:sz w:val="20"/>
        </w:rPr>
      </w:pPr>
    </w:p>
    <w:p w14:paraId="15E8E731" w14:textId="77777777" w:rsidR="00F94990" w:rsidRDefault="00F94990" w:rsidP="00F94990">
      <w:pPr>
        <w:tabs>
          <w:tab w:val="left" w:pos="8460"/>
          <w:tab w:val="left" w:pos="8640"/>
        </w:tabs>
        <w:jc w:val="both"/>
        <w:rPr>
          <w:rFonts w:ascii="Verdana" w:hAnsi="Verdana"/>
          <w:sz w:val="20"/>
        </w:rPr>
      </w:pPr>
    </w:p>
    <w:p w14:paraId="22F9FEE5" w14:textId="77777777" w:rsidR="00F94990" w:rsidRDefault="00F94990" w:rsidP="00F94990">
      <w:pPr>
        <w:tabs>
          <w:tab w:val="left" w:pos="8460"/>
          <w:tab w:val="left" w:pos="8640"/>
        </w:tabs>
        <w:jc w:val="both"/>
        <w:rPr>
          <w:rFonts w:ascii="Verdana" w:hAnsi="Verdana"/>
          <w:sz w:val="20"/>
        </w:rPr>
      </w:pPr>
    </w:p>
    <w:p w14:paraId="6BB46497" w14:textId="77777777" w:rsidR="00F94990" w:rsidRDefault="00F94990" w:rsidP="00F94990">
      <w:pPr>
        <w:ind w:firstLine="720"/>
        <w:jc w:val="right"/>
        <w:rPr>
          <w:rFonts w:ascii="Verdana" w:hAnsi="Verdana"/>
          <w:sz w:val="20"/>
        </w:rPr>
      </w:pPr>
      <w:r>
        <w:rPr>
          <w:rFonts w:ascii="Verdana" w:hAnsi="Verdana"/>
          <w:sz w:val="20"/>
          <w:lang w:val="es-CR"/>
        </w:rPr>
        <w:t xml:space="preserve">                  Roberto F. Caldas</w:t>
      </w:r>
    </w:p>
    <w:p w14:paraId="0283E70D" w14:textId="77777777" w:rsidR="00F94990" w:rsidRDefault="00F94990" w:rsidP="00F94990">
      <w:pPr>
        <w:ind w:right="360"/>
        <w:jc w:val="right"/>
        <w:rPr>
          <w:rFonts w:ascii="Verdana" w:hAnsi="Verdana"/>
          <w:sz w:val="20"/>
        </w:rPr>
      </w:pPr>
      <w:r>
        <w:rPr>
          <w:rFonts w:ascii="Verdana" w:hAnsi="Verdana"/>
          <w:sz w:val="20"/>
        </w:rPr>
        <w:t xml:space="preserve">Presidente </w:t>
      </w:r>
    </w:p>
    <w:p w14:paraId="19438A4F" w14:textId="77777777" w:rsidR="00F94990" w:rsidRDefault="00F94990" w:rsidP="00F94990">
      <w:pPr>
        <w:tabs>
          <w:tab w:val="left" w:pos="8460"/>
          <w:tab w:val="left" w:pos="8640"/>
        </w:tabs>
        <w:jc w:val="both"/>
        <w:rPr>
          <w:rFonts w:ascii="Verdana" w:hAnsi="Verdana"/>
          <w:sz w:val="20"/>
        </w:rPr>
      </w:pPr>
    </w:p>
    <w:p w14:paraId="4F1DAF19" w14:textId="77777777" w:rsidR="00F94990" w:rsidRDefault="00F94990" w:rsidP="00F94990">
      <w:pPr>
        <w:tabs>
          <w:tab w:val="left" w:pos="8460"/>
          <w:tab w:val="left" w:pos="8640"/>
        </w:tabs>
        <w:jc w:val="both"/>
        <w:rPr>
          <w:rFonts w:ascii="Verdana" w:hAnsi="Verdana"/>
          <w:sz w:val="20"/>
        </w:rPr>
      </w:pPr>
    </w:p>
    <w:p w14:paraId="40D33DFB" w14:textId="77777777" w:rsidR="00F94990" w:rsidRDefault="00F94990" w:rsidP="00F94990">
      <w:pPr>
        <w:tabs>
          <w:tab w:val="left" w:pos="8460"/>
          <w:tab w:val="left" w:pos="8640"/>
        </w:tabs>
        <w:jc w:val="both"/>
        <w:rPr>
          <w:rFonts w:ascii="Verdana" w:hAnsi="Verdana"/>
          <w:sz w:val="20"/>
        </w:rPr>
      </w:pPr>
    </w:p>
    <w:p w14:paraId="02FD8F3E" w14:textId="77777777" w:rsidR="00F94990" w:rsidRDefault="00F94990" w:rsidP="00F94990">
      <w:pPr>
        <w:tabs>
          <w:tab w:val="left" w:pos="8460"/>
          <w:tab w:val="left" w:pos="8640"/>
        </w:tabs>
        <w:jc w:val="both"/>
        <w:rPr>
          <w:rFonts w:ascii="Verdana" w:hAnsi="Verdana"/>
          <w:sz w:val="20"/>
        </w:rPr>
      </w:pPr>
    </w:p>
    <w:p w14:paraId="546CF4D2" w14:textId="77777777" w:rsidR="00F94990" w:rsidRDefault="00F94990" w:rsidP="00F94990">
      <w:pPr>
        <w:tabs>
          <w:tab w:val="left" w:pos="8460"/>
          <w:tab w:val="left" w:pos="8640"/>
        </w:tabs>
        <w:jc w:val="both"/>
        <w:rPr>
          <w:rFonts w:ascii="Verdana" w:hAnsi="Verdana"/>
          <w:sz w:val="20"/>
        </w:rPr>
      </w:pPr>
      <w:r>
        <w:rPr>
          <w:rFonts w:ascii="Verdana" w:hAnsi="Verdana"/>
          <w:sz w:val="20"/>
        </w:rPr>
        <w:t>Pablo Saavedra Alessandri</w:t>
      </w:r>
    </w:p>
    <w:p w14:paraId="72F8F813" w14:textId="77777777" w:rsidR="00F94990" w:rsidRDefault="00F94990" w:rsidP="00F94990">
      <w:pPr>
        <w:tabs>
          <w:tab w:val="left" w:pos="8640"/>
        </w:tabs>
        <w:ind w:left="720"/>
        <w:rPr>
          <w:rFonts w:ascii="Verdana" w:hAnsi="Verdana"/>
          <w:sz w:val="20"/>
        </w:rPr>
      </w:pPr>
      <w:r>
        <w:rPr>
          <w:rFonts w:ascii="Verdana" w:hAnsi="Verdana"/>
          <w:sz w:val="20"/>
        </w:rPr>
        <w:t xml:space="preserve">  Secretario</w:t>
      </w:r>
    </w:p>
    <w:p w14:paraId="6DAD77E5" w14:textId="77777777" w:rsidR="00F94990" w:rsidRPr="00426510" w:rsidRDefault="00F94990" w:rsidP="00ED116F">
      <w:pPr>
        <w:jc w:val="both"/>
        <w:rPr>
          <w:rFonts w:ascii="Verdana" w:hAnsi="Verdana"/>
          <w:sz w:val="20"/>
          <w:szCs w:val="20"/>
        </w:rPr>
      </w:pPr>
      <w:bookmarkStart w:id="106" w:name="_GoBack"/>
      <w:bookmarkEnd w:id="106"/>
    </w:p>
    <w:sectPr w:rsidR="00F94990" w:rsidRPr="00426510" w:rsidSect="00CB2424">
      <w:headerReference w:type="default" r:id="rId12"/>
      <w:footerReference w:type="default" r:id="rId13"/>
      <w:headerReference w:type="first" r:id="rId14"/>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EB96" w14:textId="77777777" w:rsidR="0074038D" w:rsidRDefault="0074038D" w:rsidP="00FB723A">
      <w:r>
        <w:separator/>
      </w:r>
    </w:p>
  </w:endnote>
  <w:endnote w:type="continuationSeparator" w:id="0">
    <w:p w14:paraId="2E5BC64B" w14:textId="77777777" w:rsidR="0074038D" w:rsidRDefault="0074038D" w:rsidP="00FB723A">
      <w:r>
        <w:continuationSeparator/>
      </w:r>
    </w:p>
  </w:endnote>
  <w:endnote w:type="continuationNotice" w:id="1">
    <w:p w14:paraId="63831C2F" w14:textId="77777777" w:rsidR="0074038D" w:rsidRDefault="00740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Bold">
    <w:altName w:val="Tahoma"/>
    <w:charset w:val="00"/>
    <w:family w:val="auto"/>
    <w:pitch w:val="variable"/>
    <w:sig w:usb0="00000001"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3" w:usb1="00000000" w:usb2="00000000" w:usb3="00000000" w:csb0="00000001" w:csb1="00000000"/>
  </w:font>
  <w:font w:name="MSTT3132dbeaafO05102100">
    <w:panose1 w:val="00000000000000000000"/>
    <w:charset w:val="00"/>
    <w:family w:val="auto"/>
    <w:notTrueType/>
    <w:pitch w:val="default"/>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2E11" w14:textId="77777777" w:rsidR="0074038D" w:rsidRPr="00D925D7" w:rsidRDefault="0074038D">
    <w:pPr>
      <w:pStyle w:val="Footer"/>
      <w:jc w:val="center"/>
      <w:rPr>
        <w:rFonts w:ascii="Verdana" w:hAnsi="Verdana"/>
        <w:sz w:val="20"/>
        <w:szCs w:val="20"/>
      </w:rPr>
    </w:pPr>
  </w:p>
  <w:p w14:paraId="6D172E12" w14:textId="77777777" w:rsidR="0074038D" w:rsidRDefault="00740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99AAD" w14:textId="77777777" w:rsidR="0074038D" w:rsidRDefault="0074038D" w:rsidP="00FB723A">
      <w:r>
        <w:separator/>
      </w:r>
    </w:p>
  </w:footnote>
  <w:footnote w:type="continuationSeparator" w:id="0">
    <w:p w14:paraId="306A5100" w14:textId="77777777" w:rsidR="0074038D" w:rsidRDefault="0074038D" w:rsidP="00FB723A">
      <w:r>
        <w:continuationSeparator/>
      </w:r>
    </w:p>
  </w:footnote>
  <w:footnote w:type="continuationNotice" w:id="1">
    <w:p w14:paraId="4338671C" w14:textId="77777777" w:rsidR="0074038D" w:rsidRDefault="0074038D"/>
  </w:footnote>
  <w:footnote w:id="2">
    <w:p w14:paraId="6D172E17" w14:textId="26A3F636" w:rsidR="0074038D" w:rsidRPr="00CB2424" w:rsidRDefault="0074038D" w:rsidP="00761CF6">
      <w:pPr>
        <w:pStyle w:val="FootnoteText"/>
      </w:pPr>
      <w:r w:rsidRPr="00CB2424">
        <w:rPr>
          <w:rStyle w:val="FootnoteReference"/>
          <w:sz w:val="16"/>
        </w:rPr>
        <w:footnoteRef/>
      </w:r>
      <w:r w:rsidRPr="00CB2424">
        <w:t xml:space="preserve"> </w:t>
      </w:r>
      <w:r w:rsidRPr="00CB2424">
        <w:tab/>
        <w:t xml:space="preserve">La Comisión designó al Comisionado James Louis Cavallaro y al Secretario Ejecutivo Emilio Álvarez Icaza, como sus delegados; y a Elizabeth Abi-Mershed, Secretaria Ejecutiva Adjunta, y Silvia Serrano Guzmán, abogada de la Secretaría Ejecutiva de la CIDH, como asesoras legales. </w:t>
      </w:r>
    </w:p>
  </w:footnote>
  <w:footnote w:id="3">
    <w:p w14:paraId="6D172E18" w14:textId="7A4D3382" w:rsidR="0074038D" w:rsidRPr="00CB2424" w:rsidRDefault="0074038D" w:rsidP="00761CF6">
      <w:pPr>
        <w:widowControl w:val="0"/>
        <w:suppressLineNumbers/>
        <w:tabs>
          <w:tab w:val="left" w:pos="567"/>
        </w:tabs>
        <w:suppressAutoHyphens/>
        <w:autoSpaceDE w:val="0"/>
        <w:autoSpaceDN w:val="0"/>
        <w:adjustRightInd w:val="0"/>
        <w:spacing w:before="60" w:after="60"/>
        <w:jc w:val="both"/>
        <w:rPr>
          <w:rFonts w:ascii="Verdana" w:eastAsiaTheme="minorHAnsi" w:hAnsi="Verdana" w:cs="Arial"/>
          <w:sz w:val="16"/>
          <w:szCs w:val="16"/>
          <w:lang w:val="es-CR"/>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t xml:space="preserve">Posteriormente, mediante comunicación de 23 de marzo de 2016 la </w:t>
      </w:r>
      <w:r w:rsidRPr="00CB2424">
        <w:rPr>
          <w:rFonts w:ascii="Verdana" w:eastAsiaTheme="minorHAnsi" w:hAnsi="Verdana" w:cs="Arial"/>
          <w:sz w:val="16"/>
          <w:szCs w:val="16"/>
          <w:lang w:val="es-CR"/>
        </w:rPr>
        <w:t>Coordinadora General de la AIDEF informó que el señor De La Vega fue sustituido por l</w:t>
      </w:r>
      <w:r w:rsidRPr="00CB2424">
        <w:rPr>
          <w:rFonts w:ascii="Verdana" w:eastAsiaTheme="minorHAnsi" w:hAnsi="Verdana" w:cs="Arial"/>
          <w:color w:val="000000"/>
          <w:sz w:val="16"/>
          <w:szCs w:val="16"/>
          <w:lang w:val="es-CR"/>
        </w:rPr>
        <w:t xml:space="preserve">a señora </w:t>
      </w:r>
      <w:r w:rsidRPr="00CB2424">
        <w:rPr>
          <w:rFonts w:ascii="Verdana" w:eastAsiaTheme="minorHAnsi" w:hAnsi="Verdana" w:cs="Arial"/>
          <w:bCs/>
          <w:color w:val="000000"/>
          <w:sz w:val="16"/>
          <w:szCs w:val="16"/>
          <w:lang w:val="es-CR"/>
        </w:rPr>
        <w:t xml:space="preserve">Lisy Bogado (Paraguay) </w:t>
      </w:r>
      <w:r w:rsidRPr="00CB2424">
        <w:rPr>
          <w:rFonts w:ascii="Verdana" w:eastAsiaTheme="minorHAnsi" w:hAnsi="Verdana" w:cs="Arial"/>
          <w:color w:val="000000"/>
          <w:sz w:val="16"/>
          <w:szCs w:val="16"/>
          <w:lang w:val="es-CR"/>
        </w:rPr>
        <w:t>para la representación legal del señor Zegarra Marín, junto con la señora Silvia Martínez (expediente de fondo, folio 1106).</w:t>
      </w:r>
    </w:p>
  </w:footnote>
  <w:footnote w:id="4">
    <w:p w14:paraId="6D172E19" w14:textId="7EBE0C2B" w:rsidR="0074038D" w:rsidRPr="00CB2424" w:rsidRDefault="0074038D" w:rsidP="00761CF6">
      <w:pPr>
        <w:pStyle w:val="FootnoteText"/>
      </w:pPr>
      <w:r w:rsidRPr="00CB2424">
        <w:rPr>
          <w:rStyle w:val="FootnoteReference"/>
          <w:sz w:val="16"/>
        </w:rPr>
        <w:footnoteRef/>
      </w:r>
      <w:r w:rsidRPr="00CB2424">
        <w:t xml:space="preserve"> </w:t>
      </w:r>
      <w:r w:rsidRPr="00CB2424">
        <w:tab/>
        <w:t>Mediante comunicación de 5 de noviembre de 2014 el Estado informó la designación del señor Luis Huerta Guerrero como agente titular del Estado ante la Corte (expediente de fondo, folios 68 y 69).</w:t>
      </w:r>
      <w:r w:rsidRPr="00CB2424" w:rsidDel="00960A82">
        <w:t xml:space="preserve"> </w:t>
      </w:r>
    </w:p>
  </w:footnote>
  <w:footnote w:id="5">
    <w:p w14:paraId="6D172E1A" w14:textId="49B0D3F4"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i/>
        </w:rPr>
        <w:t>Caso Zegarra Marín Vs. Perú</w:t>
      </w:r>
      <w:r w:rsidRPr="00CB2424">
        <w:t xml:space="preserve">. </w:t>
      </w:r>
      <w:r w:rsidRPr="00CB2424">
        <w:rPr>
          <w:i/>
        </w:rPr>
        <w:t>Convocatoria de audiencia.</w:t>
      </w:r>
      <w:r w:rsidRPr="00CB2424">
        <w:t xml:space="preserve"> Resolución del Presidente de la Corte Interamericana de Derechos Humanos de 17 de diciembre de 2015. Disponible en:</w:t>
      </w:r>
      <w:r w:rsidRPr="00CB2424">
        <w:rPr>
          <w:rStyle w:val="Strong"/>
          <w:color w:val="000000"/>
          <w:shd w:val="clear" w:color="auto" w:fill="FFFFFF"/>
        </w:rPr>
        <w:t xml:space="preserve"> </w:t>
      </w:r>
      <w:hyperlink r:id="rId1" w:history="1">
        <w:r w:rsidRPr="00CB2424">
          <w:rPr>
            <w:rStyle w:val="Hyperlink"/>
          </w:rPr>
          <w:t>http://www.corteidh.or.cr/docs/asuntos/zegarra_17_12_15.pdf</w:t>
        </w:r>
      </w:hyperlink>
      <w:r w:rsidRPr="00CB2424">
        <w:t xml:space="preserve"> </w:t>
      </w:r>
    </w:p>
  </w:footnote>
  <w:footnote w:id="6">
    <w:p w14:paraId="6D172E1B" w14:textId="16A650FA" w:rsidR="0074038D" w:rsidRPr="00CB2424" w:rsidRDefault="0074038D" w:rsidP="00761CF6">
      <w:pPr>
        <w:pStyle w:val="FootnoteText"/>
      </w:pPr>
      <w:r w:rsidRPr="00CB2424">
        <w:rPr>
          <w:rStyle w:val="FootnoteReference"/>
          <w:sz w:val="16"/>
        </w:rPr>
        <w:footnoteRef/>
      </w:r>
      <w:r w:rsidRPr="00CB2424">
        <w:t xml:space="preserve"> </w:t>
      </w:r>
      <w:r w:rsidRPr="00CB2424">
        <w:tab/>
        <w:t xml:space="preserve">El Presidente del Tribunal aprobó que se otorgara la asistencia económica necesaria para la presentación en la audiencia pública de la presunta víctima, sus representantes y un perito, así como para cubrir los gastos relativos a formalización y envío de las declaraciones de dos testigos por </w:t>
      </w:r>
      <w:r w:rsidRPr="00CB2424">
        <w:rPr>
          <w:i/>
        </w:rPr>
        <w:t>affidávit</w:t>
      </w:r>
      <w:r w:rsidRPr="00CB2424">
        <w:t>.</w:t>
      </w:r>
    </w:p>
  </w:footnote>
  <w:footnote w:id="7">
    <w:p w14:paraId="6D172E1C" w14:textId="1FAC1E40" w:rsidR="0074038D" w:rsidRPr="00CB2424" w:rsidRDefault="0074038D" w:rsidP="00761CF6">
      <w:pPr>
        <w:widowControl w:val="0"/>
        <w:suppressLineNumbers/>
        <w:tabs>
          <w:tab w:val="left" w:pos="567"/>
        </w:tabs>
        <w:suppressAutoHyphens/>
        <w:spacing w:before="60" w:after="60"/>
        <w:jc w:val="both"/>
        <w:rPr>
          <w:rFonts w:ascii="Verdana" w:hAnsi="Verdana"/>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t>A esta audiencia comparecieron: a) por la Comisión Interamericana:</w:t>
      </w:r>
      <w:r w:rsidRPr="00CB2424">
        <w:rPr>
          <w:rFonts w:ascii="Verdana" w:hAnsi="Verdana"/>
          <w:sz w:val="16"/>
          <w:szCs w:val="16"/>
          <w:lang w:val="es-CR"/>
        </w:rPr>
        <w:t xml:space="preserve"> </w:t>
      </w:r>
      <w:r w:rsidRPr="00CB2424">
        <w:rPr>
          <w:rFonts w:ascii="Verdana" w:hAnsi="Verdana"/>
          <w:sz w:val="16"/>
          <w:szCs w:val="16"/>
          <w:lang w:val="es-ES"/>
        </w:rPr>
        <w:t>Enrique Gil Botero</w:t>
      </w:r>
      <w:r w:rsidRPr="00CB2424">
        <w:rPr>
          <w:rFonts w:ascii="Verdana" w:hAnsi="Verdana"/>
          <w:sz w:val="16"/>
          <w:szCs w:val="16"/>
          <w:lang w:val="es-CR"/>
        </w:rPr>
        <w:t>, Comisionado</w:t>
      </w:r>
      <w:r w:rsidRPr="00CB2424">
        <w:rPr>
          <w:rFonts w:ascii="Verdana" w:hAnsi="Verdana"/>
          <w:sz w:val="16"/>
          <w:szCs w:val="16"/>
        </w:rPr>
        <w:t xml:space="preserve">, </w:t>
      </w:r>
      <w:r w:rsidRPr="00CB2424">
        <w:rPr>
          <w:rFonts w:ascii="Verdana" w:hAnsi="Verdana"/>
          <w:sz w:val="16"/>
          <w:szCs w:val="16"/>
          <w:lang w:val="es-CR"/>
        </w:rPr>
        <w:t>Silvia Serrano Guzmán</w:t>
      </w:r>
      <w:r w:rsidRPr="00CB2424">
        <w:rPr>
          <w:rFonts w:ascii="Verdana" w:hAnsi="Verdana"/>
          <w:sz w:val="16"/>
          <w:szCs w:val="16"/>
        </w:rPr>
        <w:t>,</w:t>
      </w:r>
      <w:r w:rsidRPr="00CB2424">
        <w:rPr>
          <w:rFonts w:ascii="Verdana" w:hAnsi="Verdana"/>
          <w:sz w:val="16"/>
          <w:szCs w:val="16"/>
          <w:lang w:val="es-CR"/>
        </w:rPr>
        <w:t xml:space="preserve"> Asesora</w:t>
      </w:r>
      <w:r w:rsidRPr="00CB2424">
        <w:rPr>
          <w:rFonts w:ascii="Verdana" w:hAnsi="Verdana"/>
          <w:sz w:val="16"/>
          <w:szCs w:val="16"/>
        </w:rPr>
        <w:t>; b) por los representantes de la presunta víctima:</w:t>
      </w:r>
      <w:r w:rsidRPr="00CB2424">
        <w:rPr>
          <w:rFonts w:ascii="Verdana" w:hAnsi="Verdana"/>
          <w:sz w:val="16"/>
          <w:szCs w:val="16"/>
          <w:lang w:val="es-CR"/>
        </w:rPr>
        <w:t xml:space="preserve"> Edwin Daniel De La Vega y Silvia Edith Martinez</w:t>
      </w:r>
      <w:r w:rsidRPr="00CB2424">
        <w:rPr>
          <w:rFonts w:ascii="Verdana" w:hAnsi="Verdana"/>
          <w:sz w:val="16"/>
          <w:szCs w:val="16"/>
        </w:rPr>
        <w:t xml:space="preserve">, y c) por el Estado: </w:t>
      </w:r>
      <w:r w:rsidRPr="00CB2424">
        <w:rPr>
          <w:rFonts w:ascii="Verdana" w:hAnsi="Verdana"/>
          <w:sz w:val="16"/>
          <w:szCs w:val="16"/>
          <w:lang w:val="es-ES"/>
        </w:rPr>
        <w:t>Luis Alberto Huerta Guerrero y Doris Margarita Yalle Jorges</w:t>
      </w:r>
      <w:r w:rsidRPr="00CB2424">
        <w:rPr>
          <w:rFonts w:ascii="Verdana" w:hAnsi="Verdana"/>
          <w:sz w:val="16"/>
          <w:szCs w:val="16"/>
        </w:rPr>
        <w:t>.</w:t>
      </w:r>
    </w:p>
  </w:footnote>
  <w:footnote w:id="8">
    <w:p w14:paraId="6D172E1D" w14:textId="27965FE8" w:rsidR="0074038D" w:rsidRPr="00CB2424" w:rsidRDefault="0074038D" w:rsidP="00761CF6">
      <w:pPr>
        <w:pStyle w:val="FootnoteText"/>
      </w:pPr>
      <w:r w:rsidRPr="00CB2424">
        <w:rPr>
          <w:rStyle w:val="FootnoteReference"/>
          <w:rFonts w:cs="Times"/>
          <w:sz w:val="16"/>
        </w:rPr>
        <w:footnoteRef/>
      </w:r>
      <w:r w:rsidRPr="00CB2424">
        <w:tab/>
      </w:r>
      <w:r w:rsidRPr="000D4816">
        <w:rPr>
          <w:i/>
        </w:rPr>
        <w:t>Cfr.</w:t>
      </w:r>
      <w:r w:rsidRPr="00761CF6">
        <w:rPr>
          <w:i/>
        </w:rPr>
        <w:t xml:space="preserve"> Caso Las Palmeras Vs. Colombia</w:t>
      </w:r>
      <w:r w:rsidRPr="00CB2424">
        <w:t xml:space="preserve">. Excepciones Preliminares. Sentencia de 4 de febrero de 2000. Serie C No. 67, párr. 34, y </w:t>
      </w:r>
      <w:r w:rsidRPr="00761CF6">
        <w:rPr>
          <w:i/>
        </w:rPr>
        <w:t>Caso Valencia Hinojosa y otra Vs. Ecuador</w:t>
      </w:r>
      <w:r w:rsidRPr="00CB2424">
        <w:t>. Excepciones Preliminares, Fondo, Reparaciones y Costas. Sentencia de 29 de noviembre de 2016. Serie C No. 327, párr. 17.</w:t>
      </w:r>
    </w:p>
  </w:footnote>
  <w:footnote w:id="9">
    <w:p w14:paraId="6D172E1E" w14:textId="77777777" w:rsidR="0074038D" w:rsidRPr="00CB2424" w:rsidRDefault="0074038D" w:rsidP="00761CF6">
      <w:pPr>
        <w:pStyle w:val="FootnoteText"/>
      </w:pPr>
      <w:r w:rsidRPr="00CB2424">
        <w:rPr>
          <w:rStyle w:val="FootnoteReference"/>
          <w:rFonts w:eastAsiaTheme="majorEastAsia"/>
          <w:sz w:val="16"/>
        </w:rPr>
        <w:footnoteRef/>
      </w:r>
      <w:r w:rsidRPr="00CB2424">
        <w:t xml:space="preserve"> </w:t>
      </w:r>
      <w:r w:rsidRPr="00CB2424">
        <w:tab/>
        <w:t>El artículo 200 de la Constitución Política de Perú establece lo siguiente: “Son garantías constitucionales: […] 2. La Acción de Amparo, que procede contra el hecho u omisión, por parte de cualquier autoridad, funcionario o persona, que vulnera o amenaza los demás derechos reconocidos por la Constitución, con excepción de los señalados en el inciso siguiente. No procede contra normas legales ni contra Resoluciones Judiciales emanadas de procedimiento regular”.</w:t>
      </w:r>
    </w:p>
  </w:footnote>
  <w:footnote w:id="10">
    <w:p w14:paraId="6D172E1F" w14:textId="05F74018" w:rsidR="0074038D" w:rsidRPr="00CB2424" w:rsidRDefault="0074038D" w:rsidP="00761CF6">
      <w:pPr>
        <w:widowControl w:val="0"/>
        <w:suppressLineNumbers/>
        <w:tabs>
          <w:tab w:val="left" w:pos="0"/>
          <w:tab w:val="left" w:pos="567"/>
        </w:tabs>
        <w:suppressAutoHyphens/>
        <w:spacing w:before="60" w:after="60"/>
        <w:jc w:val="both"/>
        <w:rPr>
          <w:rFonts w:ascii="Verdana" w:hAnsi="Verdana"/>
          <w:sz w:val="16"/>
          <w:szCs w:val="16"/>
          <w:lang w:val="es-CR"/>
        </w:rPr>
      </w:pPr>
      <w:r w:rsidRPr="00CB2424">
        <w:rPr>
          <w:rStyle w:val="FootnoteReference"/>
          <w:rFonts w:cs="Times"/>
          <w:sz w:val="16"/>
          <w:szCs w:val="16"/>
          <w:lang w:val="es-CR"/>
        </w:rPr>
        <w:footnoteRef/>
      </w:r>
      <w:r w:rsidRPr="00CB2424">
        <w:rPr>
          <w:rFonts w:ascii="Verdana" w:hAnsi="Verdana"/>
          <w:sz w:val="16"/>
          <w:szCs w:val="16"/>
          <w:lang w:val="es-CR"/>
        </w:rPr>
        <w:tab/>
      </w:r>
      <w:r w:rsidRPr="000D4816">
        <w:rPr>
          <w:rFonts w:ascii="Verdana" w:hAnsi="Verdana"/>
          <w:i/>
          <w:sz w:val="16"/>
          <w:szCs w:val="16"/>
          <w:lang w:val="es-CR"/>
        </w:rPr>
        <w:t>Cfr.</w:t>
      </w:r>
      <w:r w:rsidRPr="00CB2424">
        <w:rPr>
          <w:rFonts w:ascii="Verdana" w:hAnsi="Verdana"/>
          <w:i/>
          <w:sz w:val="16"/>
          <w:szCs w:val="16"/>
          <w:lang w:val="es-CR"/>
        </w:rPr>
        <w:t xml:space="preserve"> Caso Velásquez Rodríguez Vs. Honduras. Excepciones Preliminares. </w:t>
      </w:r>
      <w:r w:rsidRPr="00CB2424">
        <w:rPr>
          <w:rFonts w:ascii="Verdana" w:hAnsi="Verdana"/>
          <w:sz w:val="16"/>
          <w:szCs w:val="16"/>
          <w:lang w:val="es-CR"/>
        </w:rPr>
        <w:t xml:space="preserve">Sentencia de 26 de junio de 1987. Serie C No. 1, párr. 85, y </w:t>
      </w:r>
      <w:r w:rsidRPr="00CB2424">
        <w:rPr>
          <w:rFonts w:ascii="Verdana" w:hAnsi="Verdana"/>
          <w:i/>
          <w:sz w:val="16"/>
          <w:szCs w:val="16"/>
          <w:lang w:val="es-CR"/>
        </w:rPr>
        <w:t>Caso I.V. Vs. Bolivia. Excepciones Preliminares, Fondo, Reparaciones y Costas.</w:t>
      </w:r>
      <w:r w:rsidRPr="00CB2424">
        <w:rPr>
          <w:rFonts w:ascii="Verdana" w:hAnsi="Verdana"/>
          <w:sz w:val="16"/>
          <w:szCs w:val="16"/>
          <w:lang w:val="es-CR"/>
        </w:rPr>
        <w:t xml:space="preserve"> Sentencia de 30 de noviembre de 2016. Serie C No. 329, párr. 30</w:t>
      </w:r>
      <w:r w:rsidRPr="00CB2424">
        <w:rPr>
          <w:rFonts w:ascii="Verdana" w:hAnsi="Verdana"/>
          <w:sz w:val="16"/>
          <w:szCs w:val="16"/>
        </w:rPr>
        <w:t>.</w:t>
      </w:r>
    </w:p>
  </w:footnote>
  <w:footnote w:id="11">
    <w:p w14:paraId="6D172E20" w14:textId="5527A625" w:rsidR="0074038D" w:rsidRPr="00CB2424" w:rsidRDefault="0074038D" w:rsidP="00761CF6">
      <w:pPr>
        <w:widowControl w:val="0"/>
        <w:suppressLineNumbers/>
        <w:tabs>
          <w:tab w:val="left" w:pos="0"/>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cs="Verdana"/>
          <w:sz w:val="16"/>
          <w:szCs w:val="16"/>
          <w:lang w:val="es-ES"/>
        </w:rPr>
        <w:tab/>
      </w:r>
      <w:r w:rsidRPr="000D4816">
        <w:rPr>
          <w:rFonts w:ascii="Verdana" w:hAnsi="Verdana" w:cs="Verdana"/>
          <w:i/>
          <w:sz w:val="16"/>
          <w:szCs w:val="16"/>
          <w:lang w:val="es-ES"/>
        </w:rPr>
        <w:t>Cfr.</w:t>
      </w:r>
      <w:r w:rsidRPr="00CB2424">
        <w:rPr>
          <w:rFonts w:ascii="Verdana" w:hAnsi="Verdana" w:cs="Verdana"/>
          <w:i/>
          <w:sz w:val="16"/>
          <w:szCs w:val="16"/>
          <w:lang w:val="es-ES"/>
        </w:rPr>
        <w:t xml:space="preserve"> Caso Velásquez Rodríguez</w:t>
      </w:r>
      <w:r w:rsidRPr="00CB2424">
        <w:rPr>
          <w:rFonts w:ascii="Verdana" w:hAnsi="Verdana"/>
          <w:i/>
          <w:sz w:val="16"/>
          <w:szCs w:val="16"/>
          <w:lang w:val="es-CR"/>
        </w:rPr>
        <w:t xml:space="preserve"> Vs. Honduras</w:t>
      </w:r>
      <w:r w:rsidRPr="00CB2424">
        <w:rPr>
          <w:rFonts w:ascii="Verdana" w:hAnsi="Verdana" w:cs="Verdana"/>
          <w:i/>
          <w:sz w:val="16"/>
          <w:szCs w:val="16"/>
          <w:lang w:val="es-ES"/>
        </w:rPr>
        <w:t xml:space="preserve">. Excepciones Preliminares, </w:t>
      </w:r>
      <w:r w:rsidRPr="000D4816">
        <w:rPr>
          <w:rFonts w:ascii="Verdana" w:hAnsi="Verdana" w:cs="Verdana"/>
          <w:i/>
          <w:sz w:val="16"/>
          <w:szCs w:val="16"/>
          <w:lang w:val="es-ES"/>
        </w:rPr>
        <w:t>supra</w:t>
      </w:r>
      <w:r w:rsidRPr="00CB2424">
        <w:rPr>
          <w:rFonts w:ascii="Verdana" w:hAnsi="Verdana" w:cs="Verdana"/>
          <w:i/>
          <w:sz w:val="16"/>
          <w:szCs w:val="16"/>
          <w:lang w:val="es-ES"/>
        </w:rPr>
        <w:t xml:space="preserve">, </w:t>
      </w:r>
      <w:r w:rsidRPr="00CB2424">
        <w:rPr>
          <w:rFonts w:ascii="Verdana" w:hAnsi="Verdana" w:cs="Verdana"/>
          <w:sz w:val="16"/>
          <w:szCs w:val="16"/>
          <w:lang w:val="es-ES"/>
        </w:rPr>
        <w:t xml:space="preserve">párr. 88, </w:t>
      </w:r>
      <w:r w:rsidRPr="00CB2424">
        <w:rPr>
          <w:rFonts w:ascii="Verdana" w:hAnsi="Verdana" w:cs="Verdana"/>
          <w:sz w:val="16"/>
          <w:szCs w:val="16"/>
          <w:lang w:val="es-CR"/>
        </w:rPr>
        <w:t>y</w:t>
      </w:r>
      <w:r w:rsidRPr="00CB2424">
        <w:rPr>
          <w:rFonts w:ascii="Verdana" w:hAnsi="Verdana"/>
          <w:sz w:val="16"/>
          <w:szCs w:val="16"/>
        </w:rPr>
        <w:t xml:space="preserve"> </w:t>
      </w:r>
      <w:r w:rsidRPr="00CB2424">
        <w:rPr>
          <w:rFonts w:ascii="Verdana" w:hAnsi="Verdana"/>
          <w:i/>
          <w:sz w:val="16"/>
          <w:szCs w:val="16"/>
        </w:rPr>
        <w:t xml:space="preserve">Caso I.V. Vs. Bolivia, </w:t>
      </w:r>
      <w:r w:rsidRPr="000D4816">
        <w:rPr>
          <w:rFonts w:ascii="Verdana" w:hAnsi="Verdana"/>
          <w:i/>
          <w:sz w:val="16"/>
          <w:szCs w:val="16"/>
        </w:rPr>
        <w:t>supra</w:t>
      </w:r>
      <w:r w:rsidRPr="00CB2424">
        <w:rPr>
          <w:rFonts w:ascii="Verdana" w:hAnsi="Verdana"/>
          <w:i/>
          <w:sz w:val="16"/>
          <w:szCs w:val="16"/>
        </w:rPr>
        <w:t xml:space="preserve">, </w:t>
      </w:r>
      <w:r w:rsidRPr="00CB2424">
        <w:rPr>
          <w:rFonts w:ascii="Verdana" w:hAnsi="Verdana"/>
          <w:sz w:val="16"/>
          <w:szCs w:val="16"/>
        </w:rPr>
        <w:t>párr. 31.</w:t>
      </w:r>
    </w:p>
  </w:footnote>
  <w:footnote w:id="12">
    <w:p w14:paraId="6D172E21" w14:textId="28F4D180"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Caso Mémoli Vs. Argentina. Excepciones Preliminares, Fondo, Reparaciones y Costas. Sentencia de 22 de agosto de 2013. Serie C No. 265, párr. 47, y Caso I.V. Vs. Bolivia, </w:t>
      </w:r>
      <w:r w:rsidRPr="000D4816">
        <w:rPr>
          <w:i/>
        </w:rPr>
        <w:t>supra</w:t>
      </w:r>
      <w:r w:rsidRPr="00CB2424">
        <w:t>, párr. 31.</w:t>
      </w:r>
    </w:p>
  </w:footnote>
  <w:footnote w:id="13">
    <w:p w14:paraId="6D172E22" w14:textId="0A1BF72E"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rPr>
          <w:i/>
        </w:rPr>
        <w:t xml:space="preserve"> </w:t>
      </w:r>
      <w:r w:rsidRPr="00CB2424">
        <w:t>Escrito del Estado de 20 de junio de 2003 (expediente de trámite ante la Comisión, folio 515).</w:t>
      </w:r>
    </w:p>
  </w:footnote>
  <w:footnote w:id="14">
    <w:p w14:paraId="6D172E23" w14:textId="39FAD420"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rPr>
          <w:i/>
        </w:rPr>
        <w:t xml:space="preserve"> </w:t>
      </w:r>
      <w:r w:rsidRPr="00CB2424">
        <w:t>Escrito del Estado de 29 de abril de 2005 (expediente de trámite ante la Comisión, folios 164 a 173); Escrito del Estado de 28 de mayo de 2008 (expediente de trámite ante la Comisión, folios 869 a 873).</w:t>
      </w:r>
    </w:p>
  </w:footnote>
  <w:footnote w:id="15">
    <w:p w14:paraId="6D172E24" w14:textId="6DE79E01" w:rsidR="0074038D" w:rsidRPr="00CB2424" w:rsidRDefault="0074038D" w:rsidP="00761CF6">
      <w:pPr>
        <w:pStyle w:val="FootnoteText"/>
        <w:rPr>
          <w:rFonts w:cs="Times"/>
          <w:noProof/>
          <w:lang w:val="es-ES_tradnl" w:eastAsia="en-US"/>
        </w:rPr>
      </w:pPr>
      <w:r w:rsidRPr="00CB2424">
        <w:rPr>
          <w:rStyle w:val="FootnoteReference"/>
          <w:sz w:val="16"/>
        </w:rPr>
        <w:footnoteRef/>
      </w:r>
      <w:r w:rsidRPr="00CB2424">
        <w:t xml:space="preserve"> </w:t>
      </w:r>
      <w:r w:rsidRPr="00CB2424">
        <w:tab/>
      </w:r>
      <w:r w:rsidRPr="000D4816">
        <w:rPr>
          <w:i/>
        </w:rPr>
        <w:t>Cfr.</w:t>
      </w:r>
      <w:r w:rsidRPr="00CB2424">
        <w:t xml:space="preserve"> </w:t>
      </w:r>
      <w:r w:rsidRPr="00761CF6">
        <w:rPr>
          <w:i/>
        </w:rPr>
        <w:t>Caso Furlan y Familiares Vs. Argentina</w:t>
      </w:r>
      <w:r w:rsidRPr="00CB2424">
        <w:t xml:space="preserve">. Excepciones Preliminares, Fondo, Reparaciones y Costas. Sentencia de 31 de agosto de 2012. Serie C No. 246, párr. 29, y </w:t>
      </w:r>
      <w:r w:rsidRPr="00761CF6">
        <w:rPr>
          <w:i/>
        </w:rPr>
        <w:t>Caso Valencia Hinojosa y otra Vs. Ecuador</w:t>
      </w:r>
      <w:r w:rsidRPr="00CB2424">
        <w:t xml:space="preserve">, </w:t>
      </w:r>
      <w:r w:rsidRPr="000D4816">
        <w:rPr>
          <w:i/>
        </w:rPr>
        <w:t>supra</w:t>
      </w:r>
      <w:r w:rsidRPr="00CB2424">
        <w:t>, párr. 29.</w:t>
      </w:r>
    </w:p>
  </w:footnote>
  <w:footnote w:id="16">
    <w:p w14:paraId="6D172E25" w14:textId="0F36A69E"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761CF6">
        <w:rPr>
          <w:i/>
        </w:rPr>
        <w:t>Caso Velásquez Rodríguez Vs. Honduras</w:t>
      </w:r>
      <w:r w:rsidRPr="00CB2424">
        <w:t xml:space="preserve">. Fondo. Sentencia de 29 de julio de 1988. Serie C No. 4, párr. 61, y </w:t>
      </w:r>
      <w:r w:rsidRPr="00761CF6">
        <w:rPr>
          <w:i/>
        </w:rPr>
        <w:t>Caso Valencia Hinojosa y otra Vs. Ecuador</w:t>
      </w:r>
      <w:r w:rsidRPr="00CB2424">
        <w:t>. Excepciones Preliminares, Fondo, Reparaciones y Costas. Sentencia de 29 de noviembre de 2016. Serie C No. 327, párr. 23.</w:t>
      </w:r>
    </w:p>
  </w:footnote>
  <w:footnote w:id="17">
    <w:p w14:paraId="6D172E26" w14:textId="00300F2A" w:rsidR="0074038D" w:rsidRPr="00CB2424" w:rsidRDefault="0074038D" w:rsidP="00761CF6">
      <w:pPr>
        <w:widowControl w:val="0"/>
        <w:suppressLineNumbers/>
        <w:tabs>
          <w:tab w:val="left" w:pos="567"/>
          <w:tab w:val="left" w:pos="720"/>
        </w:tabs>
        <w:suppressAutoHyphens/>
        <w:spacing w:before="60" w:after="60"/>
        <w:jc w:val="both"/>
        <w:rPr>
          <w:rFonts w:ascii="Verdana" w:hAnsi="Verdana" w:cs="Verdana"/>
          <w:bCs/>
          <w:i/>
          <w:iCs/>
          <w:snapToGrid w:val="0"/>
          <w:color w:val="FF0000"/>
          <w:spacing w:val="-2"/>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r>
      <w:r w:rsidRPr="000D4816">
        <w:rPr>
          <w:rFonts w:ascii="Verdana" w:hAnsi="Verdana"/>
          <w:i/>
          <w:sz w:val="16"/>
          <w:szCs w:val="16"/>
        </w:rPr>
        <w:t>Cfr.</w:t>
      </w:r>
      <w:r w:rsidRPr="00CB2424">
        <w:rPr>
          <w:rFonts w:ascii="Verdana" w:hAnsi="Verdana"/>
          <w:i/>
          <w:sz w:val="16"/>
          <w:szCs w:val="16"/>
        </w:rPr>
        <w:t xml:space="preserve"> </w:t>
      </w:r>
      <w:r w:rsidRPr="00CB2424">
        <w:rPr>
          <w:rFonts w:ascii="Verdana" w:hAnsi="Verdana"/>
          <w:i/>
          <w:sz w:val="16"/>
          <w:szCs w:val="16"/>
          <w:lang w:val="es-ES"/>
        </w:rPr>
        <w:t>Cabrera García y Montiel Flores Vs. México. Excepción Preliminar, Fondo, Reparaciones y Costas</w:t>
      </w:r>
      <w:r w:rsidRPr="00CB2424">
        <w:rPr>
          <w:rFonts w:ascii="Verdana" w:hAnsi="Verdana"/>
          <w:sz w:val="16"/>
          <w:szCs w:val="16"/>
          <w:lang w:val="es-ES"/>
        </w:rPr>
        <w:t>. Sentencia de 26 de noviembre de 2010. Serie C No. 220</w:t>
      </w:r>
      <w:r w:rsidRPr="00CB2424">
        <w:rPr>
          <w:rFonts w:ascii="Verdana" w:hAnsi="Verdana"/>
          <w:sz w:val="16"/>
          <w:szCs w:val="16"/>
        </w:rPr>
        <w:t xml:space="preserve">, párr. 16, y </w:t>
      </w:r>
      <w:r w:rsidRPr="00CB2424">
        <w:rPr>
          <w:rFonts w:ascii="Verdana" w:hAnsi="Verdana"/>
          <w:i/>
          <w:sz w:val="16"/>
          <w:szCs w:val="16"/>
        </w:rPr>
        <w:t xml:space="preserve">Caso I.V. Vs. Bolivia, </w:t>
      </w:r>
      <w:r w:rsidRPr="000D4816">
        <w:rPr>
          <w:rFonts w:ascii="Verdana" w:hAnsi="Verdana"/>
          <w:i/>
          <w:sz w:val="16"/>
          <w:szCs w:val="16"/>
        </w:rPr>
        <w:t>supra</w:t>
      </w:r>
      <w:r w:rsidRPr="00CB2424">
        <w:rPr>
          <w:rFonts w:ascii="Verdana" w:hAnsi="Verdana"/>
          <w:i/>
          <w:sz w:val="16"/>
          <w:szCs w:val="16"/>
        </w:rPr>
        <w:t xml:space="preserve">, </w:t>
      </w:r>
      <w:r w:rsidRPr="00CB2424">
        <w:rPr>
          <w:rFonts w:ascii="Verdana" w:hAnsi="Verdana"/>
          <w:sz w:val="16"/>
          <w:szCs w:val="16"/>
        </w:rPr>
        <w:t>párr. 289.</w:t>
      </w:r>
    </w:p>
  </w:footnote>
  <w:footnote w:id="18">
    <w:p w14:paraId="6D172E27" w14:textId="16A0134E" w:rsidR="0074038D" w:rsidRPr="00CB2424" w:rsidRDefault="0074038D" w:rsidP="00761CF6">
      <w:pPr>
        <w:pStyle w:val="FootnoteText"/>
      </w:pPr>
      <w:r w:rsidRPr="00CB2424">
        <w:rPr>
          <w:rStyle w:val="Smbolodenotaalpie"/>
        </w:rPr>
        <w:footnoteRef/>
      </w:r>
      <w:r w:rsidRPr="00CB2424">
        <w:tab/>
      </w:r>
      <w:r w:rsidRPr="000D4816">
        <w:rPr>
          <w:i/>
          <w:lang w:val="es-GT"/>
        </w:rPr>
        <w:t>Cfr.</w:t>
      </w:r>
      <w:r w:rsidRPr="00761CF6">
        <w:rPr>
          <w:i/>
          <w:lang w:val="es-GT"/>
        </w:rPr>
        <w:t xml:space="preserve"> </w:t>
      </w:r>
      <w:r w:rsidRPr="00761CF6">
        <w:rPr>
          <w:i/>
        </w:rPr>
        <w:t>Caso Cabrera García y Montiel Flores Vs. México</w:t>
      </w:r>
      <w:r w:rsidRPr="00CB2424">
        <w:t xml:space="preserve">, </w:t>
      </w:r>
      <w:r w:rsidRPr="000D4816">
        <w:rPr>
          <w:i/>
        </w:rPr>
        <w:t>supra</w:t>
      </w:r>
      <w:r w:rsidRPr="00761CF6">
        <w:rPr>
          <w:i/>
        </w:rPr>
        <w:t>,</w:t>
      </w:r>
      <w:r w:rsidRPr="00CB2424">
        <w:t xml:space="preserve"> párr. 18, y </w:t>
      </w:r>
      <w:r w:rsidRPr="00761CF6">
        <w:rPr>
          <w:i/>
        </w:rPr>
        <w:t>Caso I.V. Vs. Bolivia</w:t>
      </w:r>
      <w:r w:rsidRPr="00CB2424">
        <w:t xml:space="preserve">, </w:t>
      </w:r>
      <w:r w:rsidRPr="000D4816">
        <w:rPr>
          <w:i/>
        </w:rPr>
        <w:t>supra</w:t>
      </w:r>
      <w:r w:rsidRPr="00CB2424">
        <w:t>, párr. 289.</w:t>
      </w:r>
    </w:p>
  </w:footnote>
  <w:footnote w:id="19">
    <w:p w14:paraId="6D172E28" w14:textId="347D908C" w:rsidR="0074038D" w:rsidRPr="00CB2424" w:rsidRDefault="0074038D" w:rsidP="00761CF6">
      <w:pPr>
        <w:pStyle w:val="FootnoteText"/>
        <w:rPr>
          <w:lang w:val="es-ES_tradnl"/>
        </w:rPr>
      </w:pPr>
      <w:r w:rsidRPr="00CB2424">
        <w:rPr>
          <w:rStyle w:val="FootnoteReference"/>
          <w:sz w:val="16"/>
        </w:rPr>
        <w:footnoteRef/>
      </w:r>
      <w:r w:rsidRPr="00CB2424">
        <w:t xml:space="preserve"> </w:t>
      </w:r>
      <w:r w:rsidRPr="00CB2424">
        <w:tab/>
      </w:r>
      <w:r w:rsidRPr="000D4816">
        <w:rPr>
          <w:i/>
        </w:rPr>
        <w:t>Cfr.</w:t>
      </w:r>
      <w:r w:rsidRPr="00CB2424">
        <w:t xml:space="preserve"> </w:t>
      </w:r>
      <w:r w:rsidRPr="00761CF6">
        <w:rPr>
          <w:i/>
        </w:rPr>
        <w:t>Caso Cabrera García y Montiel Flores Vs. México</w:t>
      </w:r>
      <w:r w:rsidRPr="00CB2424">
        <w:t xml:space="preserve">, </w:t>
      </w:r>
      <w:r w:rsidRPr="000D4816">
        <w:rPr>
          <w:i/>
        </w:rPr>
        <w:t>supra</w:t>
      </w:r>
      <w:r w:rsidRPr="00CB2424">
        <w:t xml:space="preserve">, párr. 16, y </w:t>
      </w:r>
      <w:r w:rsidRPr="00761CF6">
        <w:rPr>
          <w:i/>
        </w:rPr>
        <w:t xml:space="preserve">Caso Valencia Hinojosa y otra Vs. Ecuador, </w:t>
      </w:r>
      <w:r w:rsidRPr="000D4816">
        <w:rPr>
          <w:i/>
        </w:rPr>
        <w:t>supra</w:t>
      </w:r>
      <w:r w:rsidRPr="00761CF6">
        <w:rPr>
          <w:i/>
        </w:rPr>
        <w:t>,</w:t>
      </w:r>
      <w:r w:rsidRPr="00CB2424">
        <w:t xml:space="preserve"> párr. 22.</w:t>
      </w:r>
    </w:p>
  </w:footnote>
  <w:footnote w:id="20">
    <w:p w14:paraId="6D172E29" w14:textId="57034ADC" w:rsidR="0074038D" w:rsidRPr="00CB2424" w:rsidRDefault="0074038D" w:rsidP="00761CF6">
      <w:pPr>
        <w:pStyle w:val="FootnoteText"/>
        <w:rPr>
          <w:color w:val="FF0000"/>
        </w:rPr>
      </w:pPr>
      <w:r w:rsidRPr="00CB2424">
        <w:rPr>
          <w:rStyle w:val="FootnoteReference"/>
          <w:sz w:val="16"/>
        </w:rPr>
        <w:footnoteRef/>
      </w:r>
      <w:r w:rsidRPr="00CB2424">
        <w:t xml:space="preserve"> </w:t>
      </w:r>
      <w:r w:rsidRPr="00CB2424">
        <w:tab/>
      </w:r>
      <w:r w:rsidRPr="000D4816">
        <w:rPr>
          <w:i/>
        </w:rPr>
        <w:t>Cfr.</w:t>
      </w:r>
      <w:r w:rsidRPr="00CB2424">
        <w:t xml:space="preserve"> </w:t>
      </w:r>
      <w:r w:rsidRPr="00761CF6">
        <w:rPr>
          <w:i/>
        </w:rPr>
        <w:t>Caso de los “Niños de la Calle” (Villagrán Morales y otros) Vs. Guatemala.</w:t>
      </w:r>
      <w:r w:rsidRPr="00CB2424">
        <w:t xml:space="preserve"> Fondo. Sentencia de 19 de noviembre de 1999. Serie C No. 63, párr. 222, </w:t>
      </w:r>
      <w:r w:rsidRPr="00761CF6">
        <w:rPr>
          <w:i/>
        </w:rPr>
        <w:t xml:space="preserve">y Caso Valencia Hinojosa y otra Vs. Ecuador, </w:t>
      </w:r>
      <w:r w:rsidRPr="000D4816">
        <w:rPr>
          <w:i/>
        </w:rPr>
        <w:t>supra</w:t>
      </w:r>
      <w:r w:rsidRPr="00CB2424">
        <w:t>, párr. 22.</w:t>
      </w:r>
    </w:p>
  </w:footnote>
  <w:footnote w:id="21">
    <w:p w14:paraId="6D172E2B" w14:textId="3FE350CB" w:rsidR="0074038D" w:rsidRPr="00CB2424" w:rsidRDefault="0074038D" w:rsidP="00761CF6">
      <w:pPr>
        <w:pStyle w:val="FootnoteText"/>
      </w:pPr>
      <w:r w:rsidRPr="00CB2424">
        <w:rPr>
          <w:rStyle w:val="FootnoteReference"/>
          <w:sz w:val="16"/>
        </w:rPr>
        <w:footnoteRef/>
      </w:r>
      <w:r w:rsidRPr="00CB2424">
        <w:rPr>
          <w:lang w:val="es-CR"/>
        </w:rPr>
        <w:tab/>
      </w:r>
      <w:r w:rsidRPr="000D4816">
        <w:rPr>
          <w:i/>
          <w:color w:val="000000"/>
          <w:lang w:val="es-CR"/>
        </w:rPr>
        <w:t>Cfr.</w:t>
      </w:r>
      <w:r w:rsidRPr="00761CF6">
        <w:rPr>
          <w:i/>
        </w:rPr>
        <w:t>Caso “Cinco Pensionistas” Vs. Perú</w:t>
      </w:r>
      <w:r>
        <w:t xml:space="preserve">. </w:t>
      </w:r>
      <w:r w:rsidRPr="00CB2424">
        <w:t>Fondo, Reparaciones y Costas</w:t>
      </w:r>
      <w:r>
        <w:t xml:space="preserve">. </w:t>
      </w:r>
      <w:r w:rsidRPr="00CB2424">
        <w:t xml:space="preserve">Sentencia de 28 de febrero de 2003. Serie C No. 98, párr. 155, y </w:t>
      </w:r>
      <w:r w:rsidRPr="00761CF6">
        <w:rPr>
          <w:i/>
        </w:rPr>
        <w:t xml:space="preserve">Caso I.V. Vs. Bolivia, </w:t>
      </w:r>
      <w:r w:rsidRPr="000D4816">
        <w:rPr>
          <w:i/>
        </w:rPr>
        <w:t>supra</w:t>
      </w:r>
      <w:r w:rsidRPr="00CB2424">
        <w:t>, párr. 48.</w:t>
      </w:r>
    </w:p>
  </w:footnote>
  <w:footnote w:id="22">
    <w:p w14:paraId="6D172E2C" w14:textId="77777777" w:rsidR="0074038D" w:rsidRPr="00CB2424" w:rsidRDefault="0074038D" w:rsidP="00761CF6">
      <w:pPr>
        <w:pStyle w:val="FootnoteText"/>
      </w:pPr>
      <w:r w:rsidRPr="00CB2424">
        <w:rPr>
          <w:rStyle w:val="FootnoteReference"/>
          <w:sz w:val="16"/>
        </w:rPr>
        <w:footnoteRef/>
      </w:r>
      <w:r w:rsidRPr="00CB2424">
        <w:t xml:space="preserve"> </w:t>
      </w:r>
      <w:r w:rsidRPr="00CB2424">
        <w:tab/>
        <w:t>Informe de Admisibilidad No. 20/09 de 19 de marzo de 2009, rendido en la petición 235-00, relacionada con el señor Agustin Bladimiro Zegarra Marín (anexos a las observaciones a las excepciones preliminares, folio 2443).</w:t>
      </w:r>
    </w:p>
  </w:footnote>
  <w:footnote w:id="23">
    <w:p w14:paraId="6D172E2D" w14:textId="108C59B6" w:rsidR="0074038D" w:rsidRPr="00CB2424" w:rsidRDefault="0074038D" w:rsidP="00761CF6">
      <w:pPr>
        <w:pStyle w:val="FootnoteText"/>
      </w:pPr>
      <w:r w:rsidRPr="00CB2424">
        <w:rPr>
          <w:rStyle w:val="FootnoteReference"/>
          <w:rFonts w:eastAsia="Calibri"/>
          <w:sz w:val="16"/>
        </w:rPr>
        <w:footnoteRef/>
      </w:r>
      <w:r w:rsidRPr="00CB2424">
        <w:tab/>
      </w:r>
      <w:r w:rsidRPr="000D4816">
        <w:rPr>
          <w:i/>
        </w:rPr>
        <w:t>Cfr.</w:t>
      </w:r>
      <w:r w:rsidRPr="00CB2424">
        <w:t xml:space="preserve"> </w:t>
      </w:r>
      <w:r w:rsidRPr="00761CF6">
        <w:rPr>
          <w:i/>
        </w:rPr>
        <w:t xml:space="preserve">Caso Díaz Peña Vs. Venezuela. </w:t>
      </w:r>
      <w:r w:rsidRPr="00CB2424">
        <w:t xml:space="preserve">Excepción Preliminar, Fondo, Reparaciones y Costas. Sentencia de 26 de junio de 2012. Serie C No. 244, párr. 44, y </w:t>
      </w:r>
      <w:r w:rsidRPr="00761CF6">
        <w:rPr>
          <w:i/>
        </w:rPr>
        <w:t>Caso I.V. Vs. Bolivia</w:t>
      </w:r>
      <w:r w:rsidRPr="00761CF6">
        <w:t xml:space="preserve">, </w:t>
      </w:r>
      <w:r w:rsidRPr="000D4816">
        <w:rPr>
          <w:i/>
        </w:rPr>
        <w:t>supra</w:t>
      </w:r>
      <w:r w:rsidRPr="00761CF6">
        <w:t>,</w:t>
      </w:r>
      <w:r w:rsidRPr="00CB2424">
        <w:t xml:space="preserve"> párr. 48.</w:t>
      </w:r>
    </w:p>
  </w:footnote>
  <w:footnote w:id="24">
    <w:p w14:paraId="6D172E2E" w14:textId="6CDEB3DC" w:rsidR="0074038D" w:rsidRPr="00CB2424" w:rsidRDefault="0074038D" w:rsidP="00761CF6">
      <w:pPr>
        <w:pStyle w:val="FootnoteText"/>
        <w:rPr>
          <w:lang w:val="es-CR"/>
        </w:rPr>
      </w:pPr>
      <w:r w:rsidRPr="00CB2424">
        <w:rPr>
          <w:rStyle w:val="FootnoteReference"/>
          <w:rFonts w:eastAsia="Calibri"/>
          <w:sz w:val="16"/>
        </w:rPr>
        <w:footnoteRef/>
      </w:r>
      <w:r w:rsidRPr="00CB2424">
        <w:rPr>
          <w:lang w:val="es-CR"/>
        </w:rPr>
        <w:tab/>
      </w:r>
      <w:r w:rsidRPr="000D4816">
        <w:rPr>
          <w:i/>
        </w:rPr>
        <w:t>Cfr.</w:t>
      </w:r>
      <w:r w:rsidRPr="00CB2424">
        <w:t xml:space="preserve"> </w:t>
      </w:r>
      <w:r w:rsidRPr="00761CF6">
        <w:rPr>
          <w:i/>
        </w:rPr>
        <w:t>Caso Bueno Alves Vs. Argentina</w:t>
      </w:r>
      <w:r w:rsidRPr="00CB2424">
        <w:t xml:space="preserve">. Fondo, Reparaciones y Costas. Sentencia de 11 de mayo de 2007. Serie C No. 164, párr. 70, y </w:t>
      </w:r>
      <w:r w:rsidRPr="00761CF6">
        <w:rPr>
          <w:i/>
        </w:rPr>
        <w:t>Caso I.V. Vs. Bolivia</w:t>
      </w:r>
      <w:r w:rsidRPr="00CB2424">
        <w:t xml:space="preserve">, </w:t>
      </w:r>
      <w:r w:rsidRPr="000D4816">
        <w:rPr>
          <w:i/>
        </w:rPr>
        <w:t>supra</w:t>
      </w:r>
      <w:r w:rsidRPr="00CB2424">
        <w:t>, párr. 48.</w:t>
      </w:r>
    </w:p>
  </w:footnote>
  <w:footnote w:id="25">
    <w:p w14:paraId="6D172E2F" w14:textId="3CEFDEE5" w:rsidR="0074038D" w:rsidRPr="00CB2424" w:rsidRDefault="0074038D" w:rsidP="00761CF6">
      <w:pPr>
        <w:pStyle w:val="FootnoteText"/>
        <w:rPr>
          <w:lang w:val="es-GT"/>
        </w:rPr>
      </w:pPr>
      <w:r w:rsidRPr="00CB2424">
        <w:rPr>
          <w:rStyle w:val="FootnoteReference"/>
          <w:rFonts w:eastAsia="Calibri"/>
          <w:sz w:val="16"/>
        </w:rPr>
        <w:footnoteRef/>
      </w:r>
      <w:r w:rsidRPr="00CB2424">
        <w:tab/>
      </w:r>
      <w:r w:rsidRPr="000D4816">
        <w:rPr>
          <w:i/>
        </w:rPr>
        <w:t>Cfr.</w:t>
      </w:r>
      <w:r w:rsidRPr="00CB2424">
        <w:rPr>
          <w:iCs/>
        </w:rPr>
        <w:t xml:space="preserve"> </w:t>
      </w:r>
      <w:r w:rsidRPr="00761CF6">
        <w:rPr>
          <w:i/>
        </w:rPr>
        <w:t>Caso de los Hermanos Gómez Paquiyauri Vs. Perú.</w:t>
      </w:r>
      <w:r w:rsidRPr="00CB2424">
        <w:t xml:space="preserve"> Fondo, Reparaciones y Costas. Sentencia de 8 de julio de 2004. Serie C No. 110, párr. 179, </w:t>
      </w:r>
      <w:r w:rsidRPr="00761CF6">
        <w:rPr>
          <w:i/>
        </w:rPr>
        <w:t>y</w:t>
      </w:r>
      <w:r w:rsidRPr="00761CF6">
        <w:rPr>
          <w:i/>
          <w:lang w:val="es-GT"/>
        </w:rPr>
        <w:t xml:space="preserve"> </w:t>
      </w:r>
      <w:r w:rsidRPr="00761CF6">
        <w:rPr>
          <w:i/>
        </w:rPr>
        <w:t xml:space="preserve">Caso </w:t>
      </w:r>
      <w:r w:rsidRPr="00761CF6">
        <w:rPr>
          <w:i/>
          <w:lang w:val="es-GT"/>
        </w:rPr>
        <w:t xml:space="preserve">I.V. Vs. Bolivia, </w:t>
      </w:r>
      <w:r w:rsidRPr="000D4816">
        <w:rPr>
          <w:i/>
          <w:lang w:val="es-GT"/>
        </w:rPr>
        <w:t>supra</w:t>
      </w:r>
      <w:r w:rsidRPr="00CB2424">
        <w:rPr>
          <w:lang w:val="es-GT"/>
        </w:rPr>
        <w:t>, párr. 151.</w:t>
      </w:r>
    </w:p>
  </w:footnote>
  <w:footnote w:id="26">
    <w:p w14:paraId="6D172E30" w14:textId="15194DB1" w:rsidR="0074038D" w:rsidRPr="00CB2424" w:rsidRDefault="0074038D" w:rsidP="00761CF6">
      <w:pPr>
        <w:pStyle w:val="FootnoteText"/>
      </w:pPr>
      <w:r w:rsidRPr="00CB2424">
        <w:rPr>
          <w:rStyle w:val="FootnoteReference"/>
          <w:sz w:val="16"/>
        </w:rPr>
        <w:footnoteRef/>
      </w:r>
      <w:r w:rsidRPr="00CB2424">
        <w:t xml:space="preserve"> </w:t>
      </w:r>
      <w:r w:rsidRPr="00CB2424">
        <w:tab/>
        <w:t xml:space="preserve">Informe de Admisibilidad No. 20/09 </w:t>
      </w:r>
      <w:r w:rsidRPr="000D4816">
        <w:rPr>
          <w:i/>
        </w:rPr>
        <w:t>supra</w:t>
      </w:r>
      <w:r w:rsidRPr="00CB2424">
        <w:rPr>
          <w:i/>
        </w:rPr>
        <w:t xml:space="preserve">. </w:t>
      </w:r>
      <w:r w:rsidRPr="00CB2424">
        <w:t xml:space="preserve">(anexos a las observaciones a las excepciones preliminares, folio 2443). </w:t>
      </w:r>
    </w:p>
  </w:footnote>
  <w:footnote w:id="27">
    <w:p w14:paraId="6D172E31" w14:textId="4D0D330A" w:rsidR="0074038D" w:rsidRPr="00CB2424" w:rsidRDefault="0074038D" w:rsidP="00761CF6">
      <w:pPr>
        <w:pStyle w:val="FootnoteText"/>
      </w:pPr>
      <w:r w:rsidRPr="00CB2424">
        <w:rPr>
          <w:rStyle w:val="FootnoteReference"/>
          <w:sz w:val="16"/>
        </w:rPr>
        <w:footnoteRef/>
      </w:r>
      <w:r w:rsidRPr="00CB2424">
        <w:t xml:space="preserve"> </w:t>
      </w:r>
      <w:r w:rsidRPr="00CB2424">
        <w:tab/>
        <w:t>TEDH</w:t>
      </w:r>
      <w:r w:rsidRPr="00CB2424">
        <w:rPr>
          <w:i/>
        </w:rPr>
        <w:t xml:space="preserve">, Caso Gavril Yosifov Vs. Bulgaria, </w:t>
      </w:r>
      <w:r w:rsidRPr="00CB2424">
        <w:t>No. 74012/01. Sentencia de 6 de noviembre de 2008, párr.42 y</w:t>
      </w:r>
      <w:r w:rsidRPr="00CB2424">
        <w:rPr>
          <w:i/>
        </w:rPr>
        <w:t xml:space="preserve"> Caso Lawniczak Vs Polonia</w:t>
      </w:r>
      <w:r w:rsidRPr="00CB2424">
        <w:t>, No. 22857/07. Sentencia de 23 de octubre de 2012, párrs. 41-44.</w:t>
      </w:r>
    </w:p>
  </w:footnote>
  <w:footnote w:id="28">
    <w:p w14:paraId="6D172E32" w14:textId="0A0DB144" w:rsidR="0074038D" w:rsidRPr="00CB2424" w:rsidRDefault="0074038D" w:rsidP="00761CF6">
      <w:pPr>
        <w:pStyle w:val="FootnoteText"/>
        <w:rPr>
          <w:b/>
        </w:rPr>
      </w:pPr>
      <w:r w:rsidRPr="00CB2424">
        <w:rPr>
          <w:rStyle w:val="FootnoteReference"/>
          <w:sz w:val="16"/>
        </w:rPr>
        <w:footnoteRef/>
      </w:r>
      <w:r w:rsidRPr="00CB2424">
        <w:t xml:space="preserve"> </w:t>
      </w:r>
      <w:r w:rsidRPr="00CB2424">
        <w:tab/>
      </w:r>
      <w:r w:rsidRPr="000D4816">
        <w:rPr>
          <w:i/>
        </w:rPr>
        <w:t>Cfr.</w:t>
      </w:r>
      <w:r w:rsidRPr="00CB2424">
        <w:t xml:space="preserve"> </w:t>
      </w:r>
      <w:r w:rsidRPr="00761CF6">
        <w:rPr>
          <w:i/>
        </w:rPr>
        <w:t>Caso “Cinco Pensionistas” Vs. Perú</w:t>
      </w:r>
      <w:r w:rsidRPr="00CB2424">
        <w:t xml:space="preserve">, </w:t>
      </w:r>
      <w:r w:rsidRPr="000D4816">
        <w:rPr>
          <w:i/>
        </w:rPr>
        <w:t>supra</w:t>
      </w:r>
      <w:r w:rsidRPr="00CB2424">
        <w:t xml:space="preserve">, párr. 153, y </w:t>
      </w:r>
      <w:r w:rsidRPr="00761CF6">
        <w:rPr>
          <w:i/>
        </w:rPr>
        <w:t>Caso I.V. Vs. Bolivia</w:t>
      </w:r>
      <w:r w:rsidRPr="00CB2424">
        <w:t xml:space="preserve">, </w:t>
      </w:r>
      <w:r w:rsidRPr="000D4816">
        <w:rPr>
          <w:i/>
        </w:rPr>
        <w:t>supra</w:t>
      </w:r>
      <w:r w:rsidRPr="00CB2424">
        <w:t xml:space="preserve">, párr. 45. </w:t>
      </w:r>
    </w:p>
  </w:footnote>
  <w:footnote w:id="29">
    <w:p w14:paraId="6D172E33" w14:textId="498B8E1C" w:rsidR="0074038D" w:rsidRPr="00CB2424" w:rsidRDefault="0074038D" w:rsidP="00761CF6">
      <w:pPr>
        <w:pStyle w:val="FootnoteText"/>
      </w:pPr>
      <w:r w:rsidRPr="00CB2424">
        <w:rPr>
          <w:rStyle w:val="FootnoteReference"/>
          <w:sz w:val="16"/>
        </w:rPr>
        <w:footnoteRef/>
      </w:r>
      <w:r w:rsidRPr="00CB2424">
        <w:t xml:space="preserve"> </w:t>
      </w:r>
      <w:r w:rsidRPr="00CB2424">
        <w:tab/>
        <w:t xml:space="preserve">Informe de Admisibilidad No. 20/09 </w:t>
      </w:r>
      <w:r w:rsidRPr="000D4816">
        <w:rPr>
          <w:i/>
        </w:rPr>
        <w:t>supra</w:t>
      </w:r>
      <w:r w:rsidRPr="00CB2424">
        <w:t>, folio 2442.</w:t>
      </w:r>
    </w:p>
  </w:footnote>
  <w:footnote w:id="30">
    <w:p w14:paraId="6D172E34" w14:textId="696CCF14" w:rsidR="0074038D" w:rsidRPr="00CB2424" w:rsidRDefault="0074038D" w:rsidP="00761CF6">
      <w:pPr>
        <w:pStyle w:val="FootnoteText"/>
      </w:pPr>
      <w:r w:rsidRPr="00CB2424">
        <w:rPr>
          <w:rStyle w:val="FootnoteReference"/>
          <w:sz w:val="16"/>
        </w:rPr>
        <w:footnoteRef/>
      </w:r>
      <w:r w:rsidRPr="00CB2424">
        <w:t xml:space="preserve"> </w:t>
      </w:r>
      <w:r w:rsidRPr="00CB2424">
        <w:tab/>
        <w:t xml:space="preserve">Resolución emitida por la Sala Civil Permanente de la Corte Suprema de Justicia de 26 de enero de 2000 declaró infundada la demanda al considerar que efectivamente el recurso de reconsideración fue interpuesto extemporáneamente y, que de otro lado, la Resolución Suprema N° 0037-95-IN/PNP no adolecía de falta de motivación y la causal de renovación para el pase a retiro estaba prevista en la ley y tenía respaldo constitucional, por lo que no se encontraba entre las causales de nulidad previstas en el Código Procesal Civil. </w:t>
      </w:r>
      <w:r w:rsidRPr="000D4816">
        <w:rPr>
          <w:i/>
        </w:rPr>
        <w:t>Cfr.</w:t>
      </w:r>
      <w:r w:rsidRPr="00CB2424">
        <w:t xml:space="preserve"> Resolución de 26 de enero de 2000 de la Sala Civil Permanente de la Corte Suprema de Justicia (expediente de anexos a los alegatos finales escritos del Estado, folios 2491 a 2495).</w:t>
      </w:r>
    </w:p>
  </w:footnote>
  <w:footnote w:id="31">
    <w:p w14:paraId="6D172E36" w14:textId="56FF5155"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rPr>
          <w:lang w:val="es-CR"/>
        </w:rPr>
        <w:tab/>
      </w:r>
      <w:r w:rsidRPr="000D4816">
        <w:rPr>
          <w:i/>
          <w:lang w:val="es-CR"/>
        </w:rPr>
        <w:t>Cfr.</w:t>
      </w:r>
      <w:r w:rsidRPr="00CB2424">
        <w:rPr>
          <w:lang w:val="es-CR"/>
        </w:rPr>
        <w:t xml:space="preserve"> </w:t>
      </w:r>
      <w:r w:rsidRPr="00CB2424">
        <w:rPr>
          <w:i/>
        </w:rPr>
        <w:t>Caso Zegarra Marín Vs. Perú</w:t>
      </w:r>
      <w:r w:rsidRPr="00CB2424">
        <w:t xml:space="preserve">. </w:t>
      </w:r>
      <w:r w:rsidRPr="00CB2424">
        <w:rPr>
          <w:i/>
        </w:rPr>
        <w:t>Convocatoria de audiencia.</w:t>
      </w:r>
      <w:r w:rsidRPr="00CB2424">
        <w:t xml:space="preserve"> Resolución del Presidente de la Corte Interamericana de Derechos Humanos de 17 de diciembre de 2015. Disponible en:</w:t>
      </w:r>
      <w:r w:rsidRPr="00CB2424">
        <w:rPr>
          <w:rStyle w:val="Strong"/>
          <w:color w:val="000000"/>
          <w:shd w:val="clear" w:color="auto" w:fill="FFFFFF"/>
        </w:rPr>
        <w:t xml:space="preserve"> </w:t>
      </w:r>
      <w:hyperlink r:id="rId2" w:history="1">
        <w:r w:rsidRPr="00CB2424">
          <w:rPr>
            <w:rStyle w:val="Hyperlink"/>
          </w:rPr>
          <w:t>http://www.corteidh.or.cr/docs/asuntos/zegarra_17_12_15.pdf</w:t>
        </w:r>
      </w:hyperlink>
    </w:p>
  </w:footnote>
  <w:footnote w:id="32">
    <w:p w14:paraId="6D172E37" w14:textId="3E5C2BC9" w:rsidR="0074038D" w:rsidRPr="00CB2424" w:rsidRDefault="0074038D" w:rsidP="00761CF6">
      <w:pPr>
        <w:widowControl w:val="0"/>
        <w:suppressLineNumbers/>
        <w:suppressAutoHyphens/>
        <w:autoSpaceDE w:val="0"/>
        <w:autoSpaceDN w:val="0"/>
        <w:adjustRightInd w:val="0"/>
        <w:spacing w:before="60" w:after="60"/>
        <w:jc w:val="both"/>
        <w:rPr>
          <w:rFonts w:ascii="Verdana" w:hAnsi="Verdana" w:cs="Arial"/>
          <w:sz w:val="16"/>
          <w:szCs w:val="16"/>
          <w:lang w:val="es-CR"/>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r>
      <w:r w:rsidRPr="00CB2424">
        <w:rPr>
          <w:rFonts w:ascii="Verdana" w:hAnsi="Verdana" w:cs="Arial"/>
          <w:sz w:val="16"/>
          <w:szCs w:val="16"/>
        </w:rPr>
        <w:t xml:space="preserve">La Corte toma nota de las objeciones del Estado respecto de los siguientes anexos: Anexo </w:t>
      </w:r>
      <w:r w:rsidRPr="00CB2424">
        <w:rPr>
          <w:rFonts w:ascii="Verdana" w:hAnsi="Verdana" w:cs="Arial"/>
          <w:sz w:val="16"/>
          <w:szCs w:val="16"/>
          <w:lang w:val="es-CR"/>
        </w:rPr>
        <w:t xml:space="preserve">II: Recortes periodísticos varios, los cuales señaló que carecen del valor probatorio que los representantes de la presunta víctima pretenden asignar, al ser la versión periodística prueba auxiliar que demuestra el registro mediático del hecho y, por sí mismas, no constituyen plena prueba de una situación que describen ni determina la responsabilidad legal de las personas; Anexo III: Constancia de denuncia presentada por el señor Zegarra Marín ante las autoridades del establecimiento carcelario en el que se encontraba, en razón de las amenazas sufridas, y nota dirigida al Jefe de la División de Secuestros y firmada por el señor. Zegarra en la que se da cuenta de una carta que recibiera su esposa en su domicilio y que indicaba que podrían secuestrar a su hija Nelly. El Estado señaló que dichos documentos no habían sido presentados en el momento procesal oportuno, por lo que solicitó a la Corte que fuesen declarados inadmisibles por ser extemporáneos. </w:t>
      </w:r>
    </w:p>
  </w:footnote>
  <w:footnote w:id="33">
    <w:p w14:paraId="6D172E38" w14:textId="7D404CE6"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761CF6">
        <w:rPr>
          <w:i/>
        </w:rPr>
        <w:t>Caso Velásquez Rodríguez Vs. Honduras</w:t>
      </w:r>
      <w:r w:rsidRPr="00CB2424">
        <w:t xml:space="preserve">. Fondo, </w:t>
      </w:r>
      <w:r w:rsidRPr="000D4816">
        <w:rPr>
          <w:i/>
        </w:rPr>
        <w:t>supra</w:t>
      </w:r>
      <w:r w:rsidRPr="00CB2424">
        <w:t>, párr. 140, y</w:t>
      </w:r>
      <w:r w:rsidRPr="00CB2424">
        <w:rPr>
          <w:rStyle w:val="apple-converted-space"/>
        </w:rPr>
        <w:t xml:space="preserve"> </w:t>
      </w:r>
      <w:r w:rsidRPr="00761CF6">
        <w:rPr>
          <w:i/>
        </w:rPr>
        <w:t xml:space="preserve">Caso </w:t>
      </w:r>
      <w:r w:rsidRPr="00761CF6">
        <w:rPr>
          <w:rStyle w:val="apple-converted-space"/>
          <w:i/>
        </w:rPr>
        <w:t>I.V. Vs. Bolivia</w:t>
      </w:r>
      <w:r w:rsidRPr="00CB2424">
        <w:rPr>
          <w:rStyle w:val="apple-converted-space"/>
          <w:i/>
        </w:rPr>
        <w:t xml:space="preserve">, </w:t>
      </w:r>
      <w:r w:rsidRPr="000D4816">
        <w:rPr>
          <w:rStyle w:val="apple-converted-space"/>
          <w:i/>
        </w:rPr>
        <w:t>supra</w:t>
      </w:r>
      <w:r w:rsidRPr="00CB2424">
        <w:rPr>
          <w:rStyle w:val="apple-converted-space"/>
        </w:rPr>
        <w:t xml:space="preserve"> párr. 52.</w:t>
      </w:r>
    </w:p>
  </w:footnote>
  <w:footnote w:id="34">
    <w:p w14:paraId="6D172E39" w14:textId="321359ED" w:rsidR="0074038D" w:rsidRPr="00CB2424" w:rsidRDefault="0074038D" w:rsidP="00761CF6">
      <w:pPr>
        <w:pStyle w:val="FootnoteText"/>
      </w:pPr>
      <w:r w:rsidRPr="00CB2424">
        <w:rPr>
          <w:rStyle w:val="FootnoteReference"/>
          <w:spacing w:val="-4"/>
          <w:sz w:val="16"/>
        </w:rPr>
        <w:footnoteRef/>
      </w:r>
      <w:r w:rsidRPr="00CB2424">
        <w:t xml:space="preserve"> </w:t>
      </w:r>
      <w:r w:rsidRPr="00CB2424">
        <w:tab/>
        <w:t>La Corte observa que las notas de prensa aportadas en el momento procesal oportuno fueron las siguientes: Nota publicada en el Diario “Ojo” el 22 de octubre de 1994, titulada “Por fuga de Manrique dan de baja a policías”; Nota publicada el 18 de diciembre de 2001, titulada “Acusan penalmente a 12 ex magistrados cómplices de la mafia”, y Nota publicada el 3 de abril de 2007 por la Oficina de Comunicación Social del Ministerio del Interior, titulada “Ministro del Interior reconoce y reincorpora a personal policial pasado al retiro de manera arbitraria” (anexos al escrito de solicitudes y argumentos, folios 1450 a 1452). Las notas aportadas extemporáneamente fueron: Nota publicada en el Diario “El Comercio” el 22 de diciembre de 1994, titulada “Piden separar de sus cargos a altas autoridades de asuntos migratorios”; Nota publicada en el Diario “Ojo” el 15 de octubre de 1994, titulada “Altos mandos pagaran por tremenda fuga de Manrique”; Nota publicada en el Diario “Ojo” el 20 de octubre de 1994, titulada “Mafiosos no confiesan”; Nota publicada en el Diario “Ojo” el 16 de octubre de 1994, titulada “5 detenidos por mafia que dejo escapar a Manrique”; Nota publicada en el Diario “Ojo” el 19 de octubre de 1994, titulada “Policía no duerme buscando capos en mafia de pasaportes”, y Nota s/f publicada en el Diario “El Comercio”, titulada “Policías que facilitaron pasaporte a Manrique están gozando de libertad” (expediente de anexos a los alegatos finales de los representantes, folios 3380 a 3388).</w:t>
      </w:r>
    </w:p>
  </w:footnote>
  <w:footnote w:id="35">
    <w:p w14:paraId="6D172E3A" w14:textId="09CC751C"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iCs/>
        </w:rPr>
        <w:t>Cfr.</w:t>
      </w:r>
      <w:r w:rsidRPr="00CB2424">
        <w:rPr>
          <w:i/>
          <w:iCs/>
        </w:rPr>
        <w:t xml:space="preserve"> </w:t>
      </w:r>
      <w:r w:rsidRPr="00CB2424">
        <w:t>Reportaje de 11 de septiembre de 1994 presentado en el Programa “La Revista Dominical” de Canal 4 TV (anexos al escrito de contestación del Estado, folio 1568). Informe del Estado No. 40/15 de 16 de marzo de 2015, párr. 69.</w:t>
      </w:r>
    </w:p>
  </w:footnote>
  <w:footnote w:id="36">
    <w:p w14:paraId="6D172E3B" w14:textId="62AE0EC6"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w:t>
      </w:r>
      <w:r w:rsidRPr="00761CF6">
        <w:rPr>
          <w:i/>
        </w:rPr>
        <w:t>Caso Ríos y otros Vs. Venezuela</w:t>
      </w:r>
      <w:r w:rsidRPr="00CB2424">
        <w:t xml:space="preserve">. Excepciones Preliminares, Fondo, Reparaciones y Costas. Sentencia de 28 de enero de 2009. Serie C No. 194, párr. 93, y </w:t>
      </w:r>
      <w:r w:rsidRPr="00761CF6">
        <w:rPr>
          <w:i/>
        </w:rPr>
        <w:t>Caso I.V. Vs. Bolivia</w:t>
      </w:r>
      <w:r w:rsidRPr="00CB2424">
        <w:t xml:space="preserve">, </w:t>
      </w:r>
      <w:r w:rsidRPr="000D4816">
        <w:rPr>
          <w:i/>
        </w:rPr>
        <w:t>supra</w:t>
      </w:r>
      <w:r w:rsidRPr="00CB2424">
        <w:t xml:space="preserve">, </w:t>
      </w:r>
      <w:r>
        <w:t>párr. 53.</w:t>
      </w:r>
    </w:p>
  </w:footnote>
  <w:footnote w:id="37">
    <w:p w14:paraId="6D172E3C" w14:textId="0DB7A1D5" w:rsidR="0074038D" w:rsidRPr="00CB2424" w:rsidRDefault="0074038D" w:rsidP="00761CF6">
      <w:pPr>
        <w:widowControl w:val="0"/>
        <w:suppressLineNumbers/>
        <w:tabs>
          <w:tab w:val="left" w:pos="567"/>
          <w:tab w:val="left" w:pos="709"/>
        </w:tabs>
        <w:suppressAutoHyphens/>
        <w:spacing w:before="60" w:after="60"/>
        <w:jc w:val="both"/>
        <w:rPr>
          <w:rFonts w:ascii="Verdana" w:hAnsi="Verdana"/>
          <w:i/>
          <w:sz w:val="16"/>
          <w:szCs w:val="16"/>
        </w:rPr>
      </w:pPr>
      <w:r w:rsidRPr="00CB2424">
        <w:rPr>
          <w:rStyle w:val="FootnoteReference"/>
          <w:sz w:val="16"/>
          <w:szCs w:val="16"/>
        </w:rPr>
        <w:footnoteRef/>
      </w:r>
      <w:r w:rsidRPr="00CB2424">
        <w:rPr>
          <w:rFonts w:ascii="Verdana" w:hAnsi="Verdana"/>
          <w:sz w:val="16"/>
          <w:szCs w:val="16"/>
          <w:vertAlign w:val="superscript"/>
        </w:rPr>
        <w:t xml:space="preserve"> </w:t>
      </w:r>
      <w:r w:rsidRPr="00CB2424">
        <w:rPr>
          <w:rFonts w:ascii="Verdana" w:hAnsi="Verdana"/>
          <w:sz w:val="16"/>
          <w:szCs w:val="16"/>
        </w:rPr>
        <w:tab/>
      </w:r>
      <w:r w:rsidRPr="000D4816">
        <w:rPr>
          <w:rFonts w:ascii="Verdana" w:hAnsi="Verdana"/>
          <w:i/>
          <w:sz w:val="16"/>
          <w:szCs w:val="16"/>
        </w:rPr>
        <w:t>Cfr.</w:t>
      </w:r>
      <w:r w:rsidRPr="00CB2424">
        <w:rPr>
          <w:rFonts w:ascii="Verdana" w:hAnsi="Verdana"/>
          <w:sz w:val="16"/>
          <w:szCs w:val="16"/>
        </w:rPr>
        <w:t xml:space="preserve"> </w:t>
      </w:r>
      <w:r w:rsidRPr="00CB2424">
        <w:rPr>
          <w:rFonts w:ascii="Verdana" w:hAnsi="Verdana"/>
          <w:i/>
          <w:sz w:val="16"/>
          <w:szCs w:val="16"/>
        </w:rPr>
        <w:t xml:space="preserve">Caso de la “Panel Blanca” (Paniagua Morales y otros) Vs. Guatemala. Fondo. </w:t>
      </w:r>
      <w:r w:rsidRPr="00CB2424">
        <w:rPr>
          <w:rFonts w:ascii="Verdana" w:hAnsi="Verdana"/>
          <w:sz w:val="16"/>
          <w:szCs w:val="16"/>
        </w:rPr>
        <w:t>Sentencia de 8 de marzo de 1998. Serie C No. 37, párr. 76, y</w:t>
      </w:r>
      <w:r w:rsidRPr="00CB2424">
        <w:rPr>
          <w:rStyle w:val="apple-converted-space"/>
          <w:rFonts w:ascii="Verdana" w:hAnsi="Verdana"/>
          <w:sz w:val="16"/>
          <w:szCs w:val="16"/>
        </w:rPr>
        <w:t xml:space="preserve"> </w:t>
      </w:r>
      <w:r w:rsidRPr="00CB2424">
        <w:rPr>
          <w:rStyle w:val="apple-converted-space"/>
          <w:rFonts w:ascii="Verdana" w:hAnsi="Verdana"/>
          <w:i/>
          <w:sz w:val="16"/>
          <w:szCs w:val="16"/>
        </w:rPr>
        <w:t xml:space="preserve">Caso I.V. Vs. Bolivia, </w:t>
      </w:r>
      <w:r w:rsidRPr="000D4816">
        <w:rPr>
          <w:rStyle w:val="apple-converted-space"/>
          <w:rFonts w:ascii="Verdana" w:hAnsi="Verdana"/>
          <w:i/>
          <w:sz w:val="16"/>
          <w:szCs w:val="16"/>
        </w:rPr>
        <w:t>supra</w:t>
      </w:r>
      <w:r w:rsidRPr="00CB2424">
        <w:rPr>
          <w:rStyle w:val="apple-converted-space"/>
          <w:rFonts w:ascii="Verdana" w:hAnsi="Verdana"/>
          <w:i/>
          <w:sz w:val="16"/>
          <w:szCs w:val="16"/>
        </w:rPr>
        <w:t xml:space="preserve">, </w:t>
      </w:r>
      <w:r w:rsidRPr="00CB2424">
        <w:rPr>
          <w:rStyle w:val="apple-converted-space"/>
          <w:rFonts w:ascii="Verdana" w:hAnsi="Verdana"/>
          <w:sz w:val="16"/>
          <w:szCs w:val="16"/>
        </w:rPr>
        <w:t>párr. 59</w:t>
      </w:r>
      <w:r w:rsidRPr="000D4816">
        <w:rPr>
          <w:rStyle w:val="apple-converted-space"/>
          <w:rFonts w:ascii="Verdana" w:hAnsi="Verdana"/>
          <w:i/>
          <w:sz w:val="16"/>
          <w:szCs w:val="16"/>
        </w:rPr>
        <w:t>.</w:t>
      </w:r>
    </w:p>
  </w:footnote>
  <w:footnote w:id="38">
    <w:p w14:paraId="6D172E3D" w14:textId="0BA2A73F" w:rsidR="0074038D" w:rsidRPr="00CB2424" w:rsidRDefault="0074038D" w:rsidP="00761CF6">
      <w:pPr>
        <w:widowControl w:val="0"/>
        <w:suppressLineNumbers/>
        <w:tabs>
          <w:tab w:val="left" w:pos="567"/>
          <w:tab w:val="left" w:pos="709"/>
        </w:tabs>
        <w:suppressAutoHyphens/>
        <w:spacing w:before="60" w:after="60"/>
        <w:jc w:val="both"/>
        <w:rPr>
          <w:rFonts w:ascii="Verdana" w:hAnsi="Verdana"/>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r>
      <w:r w:rsidRPr="000D4816">
        <w:rPr>
          <w:rFonts w:ascii="Verdana" w:hAnsi="Verdana"/>
          <w:i/>
          <w:sz w:val="16"/>
          <w:szCs w:val="16"/>
        </w:rPr>
        <w:t>Cfr.</w:t>
      </w:r>
      <w:r w:rsidRPr="00CB2424">
        <w:rPr>
          <w:rFonts w:ascii="Verdana" w:hAnsi="Verdana"/>
          <w:i/>
          <w:sz w:val="16"/>
          <w:szCs w:val="16"/>
        </w:rPr>
        <w:t xml:space="preserve"> Caso Loayza Tamayo Vs. Perú. Fondo. </w:t>
      </w:r>
      <w:r w:rsidRPr="00CB2424">
        <w:rPr>
          <w:rFonts w:ascii="Verdana" w:hAnsi="Verdana"/>
          <w:sz w:val="16"/>
          <w:szCs w:val="16"/>
        </w:rPr>
        <w:t xml:space="preserve">Sentencia de 17 de septiembre de 1997. Serie C No. 33, párr. 43, y </w:t>
      </w:r>
      <w:r w:rsidRPr="00CB2424">
        <w:rPr>
          <w:rFonts w:ascii="Verdana" w:hAnsi="Verdana"/>
          <w:i/>
          <w:sz w:val="16"/>
          <w:szCs w:val="16"/>
        </w:rPr>
        <w:t xml:space="preserve">Caso I.V. Vs. Bolivia, </w:t>
      </w:r>
      <w:r w:rsidRPr="000D4816">
        <w:rPr>
          <w:rFonts w:ascii="Verdana" w:hAnsi="Verdana"/>
          <w:i/>
          <w:sz w:val="16"/>
          <w:szCs w:val="16"/>
        </w:rPr>
        <w:t>supra</w:t>
      </w:r>
      <w:r w:rsidRPr="00CB2424">
        <w:rPr>
          <w:rFonts w:ascii="Verdana" w:hAnsi="Verdana"/>
          <w:i/>
          <w:sz w:val="16"/>
          <w:szCs w:val="16"/>
        </w:rPr>
        <w:t xml:space="preserve">, </w:t>
      </w:r>
      <w:r w:rsidRPr="00CB2424">
        <w:rPr>
          <w:rFonts w:ascii="Verdana" w:hAnsi="Verdana"/>
          <w:sz w:val="16"/>
          <w:szCs w:val="16"/>
        </w:rPr>
        <w:t>párr. 60.</w:t>
      </w:r>
    </w:p>
  </w:footnote>
  <w:footnote w:id="39">
    <w:p w14:paraId="6D172E3E" w14:textId="0AA3A9CD"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Declaración testimonial de José Alberto Matayoshi Matayoshi, Director de Migraciones y Naturalización del Ministerio del Interior de 24 de noviembre de 1994 (expediente de anexos a la contestación, folio 2042). </w:t>
      </w:r>
    </w:p>
  </w:footnote>
  <w:footnote w:id="40">
    <w:p w14:paraId="6D172E3F" w14:textId="2F7A1ED5"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Acusación Fiscal emitida por la Quinta Fiscalía Superior Penal de Lima de 2 de mayo de 1996 (expediente de anexos al Informe de Fondo, folio 71).</w:t>
      </w:r>
    </w:p>
  </w:footnote>
  <w:footnote w:id="41">
    <w:p w14:paraId="6D172E40" w14:textId="6EBB6ABD"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Manual de Organización y Funciones de la Dirección General de Gobierno Interior aprobado mediante Resolución Directoral No. 550-93-DGGI/OPL de 14 de julio de 1993 (expediente de anexos a la contestación, folios 1608 a 1680).</w:t>
      </w:r>
    </w:p>
  </w:footnote>
  <w:footnote w:id="42">
    <w:p w14:paraId="6D172E41" w14:textId="7FF8B1B3" w:rsidR="0074038D" w:rsidRPr="00CB2424" w:rsidRDefault="0074038D" w:rsidP="00761CF6">
      <w:pPr>
        <w:pStyle w:val="FootnoteText"/>
      </w:pPr>
      <w:r w:rsidRPr="00CB2424">
        <w:rPr>
          <w:rStyle w:val="FootnoteReference"/>
          <w:sz w:val="16"/>
        </w:rPr>
        <w:footnoteRef/>
      </w:r>
      <w:r w:rsidRPr="00CB2424">
        <w:rPr>
          <w:lang w:val="es-GT"/>
        </w:rPr>
        <w:t xml:space="preserve"> </w:t>
      </w:r>
      <w:r w:rsidRPr="00CB2424">
        <w:rPr>
          <w:lang w:val="es-GT"/>
        </w:rPr>
        <w:tab/>
      </w:r>
      <w:r w:rsidRPr="000D4816">
        <w:rPr>
          <w:i/>
        </w:rPr>
        <w:t>Cfr.</w:t>
      </w:r>
      <w:r w:rsidRPr="00CB2424">
        <w:t xml:space="preserve"> Manual de Organización y Funciones de la Dirección General de Gobierno Interior, </w:t>
      </w:r>
      <w:r w:rsidRPr="000D4816">
        <w:rPr>
          <w:i/>
        </w:rPr>
        <w:t>supra</w:t>
      </w:r>
      <w:r w:rsidRPr="00CB2424">
        <w:rPr>
          <w:i/>
        </w:rPr>
        <w:t>,</w:t>
      </w:r>
      <w:r w:rsidRPr="00CB2424">
        <w:t xml:space="preserve"> artículo 248: (expediente de anexos a la contestación, folios 1633 a 1634).</w:t>
      </w:r>
    </w:p>
  </w:footnote>
  <w:footnote w:id="43">
    <w:p w14:paraId="6D172E42" w14:textId="072B1976"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Organigrama de la Dirección de Migraciones y Naturalización (expediente de anexos al escrito de argumentos y pruebas, folios 1411 a 1412).</w:t>
      </w:r>
    </w:p>
  </w:footnote>
  <w:footnote w:id="44">
    <w:p w14:paraId="6D172E43" w14:textId="3A8B4A7D"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Declaraciones testimoniales del Comisionado Civil Raúl Víctor Salcedo Silva de 19 de enero de 1995, del Sub Director de Control Migratorio LC de 9 de diciembre de 1994, del Jefe de Bóveda Ramiro Araujo Sánchez de 10 de enero de 1996, y del Coronel José Alberto Matayoshi Matayoshi de 24 de noviembre de 1994 (expediente de anexos a la contestación, folios 2052 a 2056; 2105 a 2107; 1896 y 1897, así como 1900 y 1901, y 2042 a 2048, respectivamente). </w:t>
      </w:r>
      <w:r w:rsidRPr="000D4816">
        <w:rPr>
          <w:i/>
        </w:rPr>
        <w:t>Cfr.</w:t>
      </w:r>
      <w:r w:rsidRPr="00CB2424">
        <w:t xml:space="preserve"> Declaraciones instructivas de Agustín Zegarra Marín de 3 de noviembre de 1994, y de CH de 25 de octubre de 1994 (expediente de anexos a la contestación, folios 1807 y 1808, así como 1745 y 1746, respectivamente). </w:t>
      </w:r>
    </w:p>
  </w:footnote>
  <w:footnote w:id="45">
    <w:p w14:paraId="6D172E44" w14:textId="029236AD"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Oficio No. 145-OM-TUM de 31 de marzo de 1994 remitido por el Jefe de la Oficina de Migraciones de Tumbes (CH) al Sub Director de Control Migratorio (LC) por medio del cual solicitó "[...] la asignación de 500 pasaportes para cubrir la actual demanda de los mismos" (expediente de anexos a la contestación, folio 1560). </w:t>
      </w:r>
      <w:r w:rsidRPr="000D4816">
        <w:rPr>
          <w:i/>
        </w:rPr>
        <w:t>Cfr.</w:t>
      </w:r>
      <w:r w:rsidRPr="00CB2424">
        <w:t xml:space="preserve"> Declaración de Zegarra Marín durante la audiencia pública celebrada ante la Corte Interamericana el 19 y 20 de febrero de 2016 (transcripción de la declaración, pág.16); continuación de la declaración instructiva de CH de 25 de octubre de 1994 (expediente de anexos a la contestación, folios 1745 y 1746); declaración testimonial del Coronel José Alberto Matayoshi Matayoshi de 24 de noviembre de 1994 (expediente de anexos a la contestación, folios 2042 a 2043 y 2047 a 2048); declaración testimonial de LC de 9 de diciembre de 1994 (expediente de anexos a la contestación, folio 2105).</w:t>
      </w:r>
    </w:p>
  </w:footnote>
  <w:footnote w:id="46">
    <w:p w14:paraId="6D172E45" w14:textId="71C8A7A3"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Declaración testimonial del Jefe de Bóveda Ramiro Araujo Sánchez de 10 de enero de 1996 (expediente de anexos a la contestación, folio 1896).</w:t>
      </w:r>
    </w:p>
  </w:footnote>
  <w:footnote w:id="47">
    <w:p w14:paraId="6D172E46" w14:textId="18CDB1A4"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Declaraciones testimoniales del Coronel José Alberto Matayoshi Matayoshi de 24 de noviembre de 1994, y del Jefe de Bóveda Ramiro Araujo Sánchez de 10 de enero de 1996 (expediente de anexos a la contestación, folios 2042 y 2043, así como 2047 y 2048, y 1896, respectivamente).</w:t>
      </w:r>
    </w:p>
  </w:footnote>
  <w:footnote w:id="48">
    <w:p w14:paraId="6D172E47" w14:textId="65AC7F1B"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Declaración testimonial del Jefe de Bóveda Ramiro Araujo Sánchez de 10 de enero de 1996 (expediente de anexos a la contestación, folios 1897 a 1899).</w:t>
      </w:r>
    </w:p>
  </w:footnote>
  <w:footnote w:id="49">
    <w:p w14:paraId="6D172E48" w14:textId="71CCEDA4"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Oficio No. 251-SDP-DIRMIN de 5 de abril de 1994 remitido por el Sub Director de Pasaportes (Agustín Zegarra Marín) al Sub Director de Control Migratorio (LC) por medio del cual le envió "[...] Quinientos Veinticinco (525) Pasaportes peruanos comunes de color guinda de la serie 0415876 al 0416400, para que sean expedidos en la OM-TUMBES, con conocimiento del DIRIMIN" (expediente de anexos a la contestación, folio 1562). </w:t>
      </w:r>
      <w:r w:rsidRPr="000D4816">
        <w:rPr>
          <w:i/>
        </w:rPr>
        <w:t>Cfr.</w:t>
      </w:r>
      <w:r w:rsidRPr="00CB2424">
        <w:t xml:space="preserve"> Declaraciones testimoniales del Coronel José Alberto Matayoshi Matayoshi de 24 de noviembre de 1994; del Jefe de Bóveda Ramiro Araujo Sánchez de 10 de enero de 1996, y del Comisionado Civil Víctor Raúl Salcedo Silva de 19 de enero de 1995 (expediente de anexos a la contestación, folios 2042 y 2043, así como 2047 y 2048; 1896 y 1897, así como 1900 y 1901, y 2052, 2053 y 2055, respectivamente).</w:t>
      </w:r>
    </w:p>
  </w:footnote>
  <w:footnote w:id="50">
    <w:p w14:paraId="6D172E49" w14:textId="040C4033"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Declaración testimonial del Jefe de Bóveda Ramiro Araujo Sánchez de 10 de enero de 1996 (expediente de anexos a la contestación, folios 1897 a 1899), y declaración instructiva de Zegarra Marín de 3 de noviembre de 1994 (expediente de anexos a la contestación, folios 1807 y 1808).</w:t>
      </w:r>
    </w:p>
  </w:footnote>
  <w:footnote w:id="51">
    <w:p w14:paraId="6D172E4A" w14:textId="29FD2D0A"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Declaraciones testimoniales del Coronel José Alberto Matayoshi Matayoshi de 24 de noviembre de 1994, y del Jefe de Bóveda Ramiro Araujo Sánchez de 10 de enero de 1996 (expediente de anexos a la contestación, folios 2042 y 2043; 2047 y 2048; 1898 y 1899, respectivamente). </w:t>
      </w:r>
      <w:r w:rsidRPr="000D4816">
        <w:rPr>
          <w:i/>
        </w:rPr>
        <w:t>Cfr.</w:t>
      </w:r>
      <w:r w:rsidRPr="00CB2424">
        <w:t xml:space="preserve"> Declaraciones instructivas de Agustín Zegarra Marín de 3 de noviembre de 1994, y de CH de 25 de octubre de 1994 (expediente de anexos a la contestación, folios 1807 a 1808, y 1746, respectivamente).</w:t>
      </w:r>
    </w:p>
  </w:footnote>
  <w:footnote w:id="52">
    <w:p w14:paraId="6D172E4B" w14:textId="057E3E48"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Oficio No. 141-94 de 6 de abril de 1994 remitido por el Sub Director de Control Migratorio (LC) al Jefe de la Oficina de Migraciones de Tumbes (CH) por medio del cual le envió "[...] Quinientos Veinticinco (525) Pasaportes peruanos de color guinda de la serie 0415876 al 0416400 para ser expedidos en la Oficina de Migraciones de Tumbes" (expediente de anexos a la contestación, folio 1564).</w:t>
      </w:r>
    </w:p>
  </w:footnote>
  <w:footnote w:id="53">
    <w:p w14:paraId="67063CC3" w14:textId="32688ED2"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Continuación a la declaración instructiva de CH de 25 de octubre de 1994 (expediente de anexos a la contestación, folio 1746); declaración testimonial de LC de 9 de diciembre de 1994 (expediente de anexos a la contestación, folios 2105 y 2106), y declaración testimonial del Comisionado Civil Víctor Raúl Salcedo Silva de 19 de enero de 1995 (expediente de anexos a la contestación, folios 2052, 2053 y 2055).</w:t>
      </w:r>
    </w:p>
  </w:footnote>
  <w:footnote w:id="54">
    <w:p w14:paraId="6D172E4D" w14:textId="452E0CB2"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Oficio No. 145-OM-TUM de 31 de marzo de 1994 remitido por el Jefe de Oficina de Migraciones de Tumbes (CH) al Sub Director de Control Migratorio (LC) (expediente de anexos a la contestación, folio 1560).</w:t>
      </w:r>
    </w:p>
  </w:footnote>
  <w:footnote w:id="55">
    <w:p w14:paraId="6D172E4E" w14:textId="19830AA0"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Oficio No. 251-SDP-DIRMIN de 5 de abril de 1994 remitido por el Sub Director de Pasaportes (Agustín Zegarra Marín) al Sub Director de Control Migratorio (LC) (expediente de anexos a la contestación, folio 1562).</w:t>
      </w:r>
    </w:p>
  </w:footnote>
  <w:footnote w:id="56">
    <w:p w14:paraId="6D172E4F" w14:textId="2786004E"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Oficio No. 141-94 de 6 de abril de 1994 remitido por el Sub Director de Control Migratorio (LC) al Jefe de la Oficina de Migraciones de Tumbes (CH) (expediente de anexos a la contestación, folio 1564).</w:t>
      </w:r>
    </w:p>
  </w:footnote>
  <w:footnote w:id="57">
    <w:p w14:paraId="6D172E50" w14:textId="0C7EFFBB"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Declaración instructiva de CH de 25 de octubre de 1994 (expediente de anexos a la contestación, folio 1746 y 1747); declaración testimonial del Comisionado Civil Víctor Raúl Salcedo Silva de 19 de enero de 1995 (expediente de anexos a la contestación, folios 2053 a 2055), y cuaderno de cargo de recepción de pasaportes de 6 de abril de 1994 en donde figura la firma del señor Salcedo Silva, el comisionado encargado de recibir los pasaportes del Jefe de Bóveda y entregárselos al encargado de migraciones en provincias (expediente de anexos al escrito de argumentos y pruebas, folio 1415).  </w:t>
      </w:r>
    </w:p>
  </w:footnote>
  <w:footnote w:id="58">
    <w:p w14:paraId="6D172E51" w14:textId="597EE0FC"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Declaración instructiva de CH de 25 de octubre de 1994 (expediente de anexos a la contestación, folio 1746 y 1747).</w:t>
      </w:r>
    </w:p>
  </w:footnote>
  <w:footnote w:id="59">
    <w:p w14:paraId="6D172E52" w14:textId="11E13896" w:rsidR="0074038D" w:rsidRPr="00CB2424" w:rsidRDefault="0074038D" w:rsidP="00761CF6">
      <w:pPr>
        <w:widowControl w:val="0"/>
        <w:suppressLineNumbers/>
        <w:tabs>
          <w:tab w:val="left" w:pos="567"/>
        </w:tabs>
        <w:suppressAutoHyphens/>
        <w:autoSpaceDE w:val="0"/>
        <w:autoSpaceDN w:val="0"/>
        <w:adjustRightInd w:val="0"/>
        <w:spacing w:before="60" w:after="60"/>
        <w:jc w:val="both"/>
        <w:rPr>
          <w:rFonts w:ascii="Verdana" w:hAnsi="Verdana"/>
          <w:strike/>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r>
      <w:r w:rsidRPr="000D4816">
        <w:rPr>
          <w:rFonts w:ascii="Verdana" w:hAnsi="Verdana"/>
          <w:i/>
          <w:sz w:val="16"/>
          <w:szCs w:val="16"/>
        </w:rPr>
        <w:t>Cfr.</w:t>
      </w:r>
      <w:r w:rsidRPr="00CB2424">
        <w:rPr>
          <w:rFonts w:ascii="Verdana" w:hAnsi="Verdana"/>
          <w:sz w:val="16"/>
          <w:szCs w:val="16"/>
        </w:rPr>
        <w:t xml:space="preserve"> Reportaje de fecha 11 de septiembre de 1994 presentado en el Programa “La Revista Dominical” de Canal 4 TV (Anexo 10 del Escrito de Contestación del Estado, folio 1568). Del minuto 0:28 a 2:51 del reportaje enviado por el Estado, una agente de la DEA. (expediente de prueba folios 1400-1401).</w:t>
      </w:r>
    </w:p>
  </w:footnote>
  <w:footnote w:id="60">
    <w:p w14:paraId="6D172E53" w14:textId="629707C7" w:rsidR="0074038D" w:rsidRPr="00CB2424" w:rsidRDefault="0074038D" w:rsidP="00761CF6">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rPr>
        <w:t xml:space="preserve"> </w:t>
      </w:r>
      <w:r>
        <w:rPr>
          <w:rFonts w:ascii="Verdana" w:hAnsi="Verdana"/>
          <w:sz w:val="16"/>
          <w:szCs w:val="16"/>
        </w:rPr>
        <w:tab/>
      </w:r>
      <w:r w:rsidRPr="000D4816">
        <w:rPr>
          <w:rFonts w:ascii="Verdana" w:hAnsi="Verdana"/>
          <w:i/>
          <w:sz w:val="16"/>
          <w:szCs w:val="16"/>
        </w:rPr>
        <w:t>Cfr.</w:t>
      </w:r>
      <w:r w:rsidRPr="00CB2424">
        <w:rPr>
          <w:rFonts w:ascii="Verdana" w:hAnsi="Verdana"/>
          <w:sz w:val="16"/>
          <w:szCs w:val="16"/>
        </w:rPr>
        <w:t xml:space="preserve"> Nota publicada en el diario “Perú 21” el 29 de abril de 2015, titulada “CLAE: A 23 años del fin de la estafa piramidal más grande del Perú”, disponible en: </w:t>
      </w:r>
      <w:hyperlink r:id="rId3" w:history="1">
        <w:r w:rsidRPr="00CB2424">
          <w:rPr>
            <w:rStyle w:val="Hyperlink"/>
            <w:rFonts w:ascii="Verdana" w:hAnsi="Verdana"/>
            <w:sz w:val="16"/>
            <w:szCs w:val="16"/>
          </w:rPr>
          <w:t>http://peru21.pe/economia/23-anos-despues-clae-todavia-sigues-creyendo-empresas-que-te-estafan-2217766</w:t>
        </w:r>
      </w:hyperlink>
      <w:r w:rsidRPr="00CB2424">
        <w:rPr>
          <w:rFonts w:ascii="Verdana" w:hAnsi="Verdana"/>
          <w:sz w:val="16"/>
          <w:szCs w:val="16"/>
        </w:rPr>
        <w:t xml:space="preserve">. Procedente de la Oficina Central Nacional de Lima, se recibió la nota informativa No. 44-IP/94, relacionada con CRMC, la misma tenía como referencia el caso CLAE. Ante ello, oficiales de la policía de la delegación policial de Nueva York, se constituyeron en el hotel “Palladin Inn” en donde hablaron con CRMC, quien se identificó con el pasaporte peruano No. 0415913. </w:t>
      </w:r>
      <w:r w:rsidRPr="000D4816">
        <w:rPr>
          <w:rFonts w:ascii="Verdana" w:hAnsi="Verdana"/>
          <w:i/>
          <w:sz w:val="16"/>
          <w:szCs w:val="16"/>
        </w:rPr>
        <w:t>Cfr.</w:t>
      </w:r>
      <w:r w:rsidRPr="00CB2424">
        <w:rPr>
          <w:rFonts w:ascii="Verdana" w:hAnsi="Verdana"/>
          <w:sz w:val="16"/>
          <w:szCs w:val="16"/>
        </w:rPr>
        <w:t xml:space="preserve"> Atestado Policial No. 079-IC-DIVISE de 21 de octubre de 1994 (expediente de anexos al ESAP, folios 1267 y 1268).</w:t>
      </w:r>
    </w:p>
  </w:footnote>
  <w:footnote w:id="61">
    <w:p w14:paraId="6D172E55" w14:textId="7F572738"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Formalización de Denuncia Penal del Ministerio Público de 21 de octubre de 1994 (expediente de anexos al Informe de Fondo, folios 3 a 5).</w:t>
      </w:r>
    </w:p>
  </w:footnote>
  <w:footnote w:id="62">
    <w:p w14:paraId="6D172E56" w14:textId="0D256685"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Informe No. 09-SDP-DIRMIN de 24 de agosto de 1994, firmado por el Comandante Agustín Bladimiro Zegarra Marín (expediente de anexos al escrito de argumentos y pruebas, folios 1400 a 1401).</w:t>
      </w:r>
    </w:p>
  </w:footnote>
  <w:footnote w:id="63">
    <w:p w14:paraId="6D172E57" w14:textId="13610CD0" w:rsidR="0074038D" w:rsidRPr="00CB2424" w:rsidRDefault="0074038D" w:rsidP="00761CF6">
      <w:pPr>
        <w:pStyle w:val="FootnoteText"/>
      </w:pPr>
      <w:r w:rsidRPr="00CB2424">
        <w:rPr>
          <w:rStyle w:val="FootnoteReference"/>
          <w:sz w:val="16"/>
        </w:rPr>
        <w:footnoteRef/>
      </w:r>
      <w:r w:rsidRPr="00CB2424">
        <w:t xml:space="preserve"> </w:t>
      </w:r>
      <w:r w:rsidRPr="00CB2424">
        <w:tab/>
        <w:t xml:space="preserve">Conforme a su declaración instructiva, el señor Zegarra Marín declaró haber ejercido el cargo de Sub Director de Control Migratorio sin especificar las fechas, pero señaló haber sido nombrado en la división de migraciones en abril de 1993. Asimismo, su superior, el Director de Migraciones y Naturalización desde el 15 de diciembre de 1993, José Alberto Matayoshi Matayoshi, declaró que el señor Zegarra Marín se encontraba ejerciendo el puesto de Sub Director de Control Migratorio al momento de su nombramiento. </w:t>
      </w:r>
      <w:r w:rsidRPr="000D4816">
        <w:rPr>
          <w:i/>
        </w:rPr>
        <w:t>Cfr.</w:t>
      </w:r>
      <w:r w:rsidRPr="00CB2424">
        <w:t xml:space="preserve"> Continuación de la declaración instructiva de Zegarra Marín de 3 de noviembre de 1994</w:t>
      </w:r>
      <w:r>
        <w:t xml:space="preserve"> </w:t>
      </w:r>
      <w:r w:rsidRPr="00CB2424">
        <w:t xml:space="preserve">(expediente de anexos a la contestación, folios 1801 y 1804), y declaración testimonial del Coronel José Alberto Matayoshi Matayoshi (expediente de anexos a la contestación, folios 2037 y 2042). </w:t>
      </w:r>
    </w:p>
  </w:footnote>
  <w:footnote w:id="64">
    <w:p w14:paraId="6D172E58" w14:textId="6F7E14B3"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Informe No. 036-SDP-DIRMIN</w:t>
      </w:r>
      <w:r w:rsidRPr="00CB2424" w:rsidDel="001C396F">
        <w:t xml:space="preserve"> </w:t>
      </w:r>
      <w:r w:rsidRPr="00CB2424">
        <w:t>de 12 de septiembre de 1994, firmado por el Comandante Zegarra Marín (expediente de anexos al escrito de argumentos y pruebas, folios 1402 a 1403).</w:t>
      </w:r>
      <w:r w:rsidRPr="00CB2424" w:rsidDel="001C396F">
        <w:t xml:space="preserve"> </w:t>
      </w:r>
    </w:p>
  </w:footnote>
  <w:footnote w:id="65">
    <w:p w14:paraId="6D172E59" w14:textId="1AA612DD" w:rsidR="0074038D" w:rsidRPr="00CB2424" w:rsidRDefault="0074038D" w:rsidP="00761CF6">
      <w:pPr>
        <w:widowControl w:val="0"/>
        <w:suppressLineNumbers/>
        <w:tabs>
          <w:tab w:val="left" w:pos="567"/>
        </w:tabs>
        <w:suppressAutoHyphens/>
        <w:spacing w:before="60" w:after="60"/>
        <w:jc w:val="both"/>
        <w:rPr>
          <w:rFonts w:ascii="Verdana" w:hAnsi="Verdana"/>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r>
      <w:r w:rsidRPr="000D4816">
        <w:rPr>
          <w:rFonts w:ascii="Verdana" w:hAnsi="Verdana"/>
          <w:i/>
          <w:sz w:val="16"/>
          <w:szCs w:val="16"/>
        </w:rPr>
        <w:t>Cfr.</w:t>
      </w:r>
      <w:r w:rsidRPr="00CB2424">
        <w:rPr>
          <w:rFonts w:ascii="Verdana" w:hAnsi="Verdana"/>
          <w:sz w:val="16"/>
          <w:szCs w:val="16"/>
        </w:rPr>
        <w:t xml:space="preserve"> Informe No. 023-94-IN/OCI.0.INV de 6 de octubre de 1994, emitido por la Inspectoría General del Ministerio del Interior (expediente de anexos al ESAP, folios 1405 a 1409). Asimismo, se llevaron a cabo otras investigaciones referidas a la emisión irregular de pasaportes: Parte No. </w:t>
      </w:r>
      <w:r w:rsidRPr="00CB2424">
        <w:rPr>
          <w:rFonts w:ascii="Verdana" w:eastAsia="HiddenHorzOCR" w:hAnsi="Verdana" w:cs="HiddenHorzOCR"/>
          <w:sz w:val="16"/>
          <w:szCs w:val="16"/>
        </w:rPr>
        <w:t xml:space="preserve">138-UCI-DlRIMIN, </w:t>
      </w:r>
      <w:r w:rsidRPr="00CB2424">
        <w:rPr>
          <w:rFonts w:ascii="Verdana" w:hAnsi="Verdana"/>
          <w:sz w:val="16"/>
          <w:szCs w:val="16"/>
        </w:rPr>
        <w:t xml:space="preserve">de 19 de enero de 1995, expedido </w:t>
      </w:r>
      <w:r w:rsidRPr="00CB2424">
        <w:rPr>
          <w:rFonts w:ascii="Verdana" w:hAnsi="Verdana" w:cs="Arial"/>
          <w:iCs/>
          <w:sz w:val="16"/>
          <w:szCs w:val="16"/>
        </w:rPr>
        <w:t>por</w:t>
      </w:r>
      <w:r w:rsidRPr="00CB2424">
        <w:rPr>
          <w:rFonts w:ascii="Verdana" w:hAnsi="Verdana" w:cs="Arial"/>
          <w:i/>
          <w:iCs/>
          <w:sz w:val="16"/>
          <w:szCs w:val="16"/>
        </w:rPr>
        <w:t xml:space="preserve"> </w:t>
      </w:r>
      <w:r w:rsidRPr="00CB2424">
        <w:rPr>
          <w:rFonts w:ascii="Verdana" w:hAnsi="Verdana"/>
          <w:sz w:val="16"/>
          <w:szCs w:val="16"/>
        </w:rPr>
        <w:t xml:space="preserve">el Instructor de la Dirección de Migraciones </w:t>
      </w:r>
      <w:r w:rsidRPr="00CB2424">
        <w:rPr>
          <w:rFonts w:ascii="Verdana" w:hAnsi="Verdana" w:cs="Arial"/>
          <w:sz w:val="16"/>
          <w:szCs w:val="16"/>
        </w:rPr>
        <w:t xml:space="preserve">y </w:t>
      </w:r>
      <w:r w:rsidRPr="00CB2424">
        <w:rPr>
          <w:rFonts w:ascii="Verdana" w:hAnsi="Verdana"/>
          <w:sz w:val="16"/>
          <w:szCs w:val="16"/>
        </w:rPr>
        <w:t xml:space="preserve">Naturalización; Informe </w:t>
      </w:r>
      <w:r w:rsidRPr="00CB2424">
        <w:rPr>
          <w:rFonts w:ascii="Verdana" w:hAnsi="Verdana"/>
          <w:iCs/>
          <w:sz w:val="16"/>
          <w:szCs w:val="16"/>
        </w:rPr>
        <w:t>No.</w:t>
      </w:r>
      <w:r w:rsidRPr="00CB2424">
        <w:rPr>
          <w:rFonts w:ascii="Verdana" w:hAnsi="Verdana"/>
          <w:i/>
          <w:iCs/>
          <w:sz w:val="16"/>
          <w:szCs w:val="16"/>
        </w:rPr>
        <w:t xml:space="preserve"> </w:t>
      </w:r>
      <w:r w:rsidRPr="00CB2424">
        <w:rPr>
          <w:rFonts w:ascii="Verdana" w:hAnsi="Verdana"/>
          <w:sz w:val="16"/>
          <w:szCs w:val="16"/>
        </w:rPr>
        <w:t xml:space="preserve">70-95-JN-030102020000, de 26 de junio de 1995, el Director de la Oficina de Inspectoría de la Dirección General de Gobierno Interior. </w:t>
      </w:r>
      <w:r w:rsidRPr="000D4816">
        <w:rPr>
          <w:rFonts w:ascii="Verdana" w:hAnsi="Verdana"/>
          <w:i/>
          <w:sz w:val="16"/>
          <w:szCs w:val="16"/>
        </w:rPr>
        <w:t>Cfr.</w:t>
      </w:r>
      <w:r w:rsidRPr="00CB2424">
        <w:rPr>
          <w:rFonts w:ascii="Verdana" w:hAnsi="Verdana"/>
          <w:sz w:val="16"/>
          <w:szCs w:val="16"/>
        </w:rPr>
        <w:t xml:space="preserve"> Informe </w:t>
      </w:r>
      <w:r w:rsidRPr="00CB2424">
        <w:rPr>
          <w:rFonts w:ascii="Verdana" w:hAnsi="Verdana"/>
          <w:iCs/>
          <w:sz w:val="16"/>
          <w:szCs w:val="16"/>
        </w:rPr>
        <w:t>No.</w:t>
      </w:r>
      <w:r w:rsidRPr="00CB2424">
        <w:rPr>
          <w:rFonts w:ascii="Verdana" w:hAnsi="Verdana"/>
          <w:i/>
          <w:iCs/>
          <w:sz w:val="16"/>
          <w:szCs w:val="16"/>
        </w:rPr>
        <w:t xml:space="preserve"> </w:t>
      </w:r>
      <w:r w:rsidRPr="00CB2424">
        <w:rPr>
          <w:rFonts w:ascii="Verdana" w:hAnsi="Verdana"/>
          <w:sz w:val="16"/>
          <w:szCs w:val="16"/>
        </w:rPr>
        <w:t>70-95-JN-030102020000 de fecha 26 de junio de 1995 (expediente de anexos a la contestación, folios 1694 a 1696).</w:t>
      </w:r>
    </w:p>
  </w:footnote>
  <w:footnote w:id="66">
    <w:p w14:paraId="6D172E5A" w14:textId="3E0A336F"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Resolución de la Fiscalía de la Nación No. 550-94-MP-FN de 12 de septiembre de 1994 (anexos a los alegatos finales escritos, folio 2460).</w:t>
      </w:r>
    </w:p>
  </w:footnote>
  <w:footnote w:id="67">
    <w:p w14:paraId="6D172E5B" w14:textId="1F83F7D0"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Atestado Policial No. 079-IC-DIVISE (expediente de anexos al ESAP, folio 1265).</w:t>
      </w:r>
    </w:p>
  </w:footnote>
  <w:footnote w:id="68">
    <w:p w14:paraId="3F34A4FC" w14:textId="7346B556" w:rsidR="0074038D" w:rsidRPr="00CB2424" w:rsidRDefault="0074038D" w:rsidP="00761CF6">
      <w:pPr>
        <w:pStyle w:val="FootnoteText"/>
      </w:pPr>
      <w:r w:rsidRPr="00CB2424">
        <w:rPr>
          <w:rStyle w:val="FootnoteReference"/>
          <w:sz w:val="16"/>
        </w:rPr>
        <w:footnoteRef/>
      </w:r>
      <w:r w:rsidRPr="00CB2424">
        <w:t xml:space="preserve"> </w:t>
      </w:r>
      <w:r w:rsidRPr="00CB2424">
        <w:tab/>
        <w:t xml:space="preserve">Conforme a dicho atestado, las diligencias realizadas a nivel policial consistieron en: i) el arresto preventivo de diversos integrantes de la PNP; ii) la coordinación y participación desde el inicio de la investigación del Fiscal Tony Washington García Cano para el caso “CLAE”; iii) el viaje realizado a la localidad de Trujillo para verificar la presencia de Mario Eduardo Calderon Sánchez (cuyo nombre figuraba en el pasaporte con el que fue atrapado el señor CRMC en New York); iv) la toma de 7 declaraciones indagatorias, y v) diversas solicitudes de información que realizaron conjuntamente el personal de la División de Investigación de Secuestros (en adelante “DIVISE”) y el Fiscal Tony Washington García Cano a diversas autoridades electorales, municipales, migratorias así como al registro público relativa a los portadores de pasaportes irregulares así como de los detenidos. </w:t>
      </w:r>
      <w:r w:rsidRPr="000D4816">
        <w:rPr>
          <w:i/>
        </w:rPr>
        <w:t>Cfr.</w:t>
      </w:r>
      <w:r w:rsidRPr="00CB2424">
        <w:t xml:space="preserve"> Atestado Policial No. 079-IC-DIVISE (expediente de anexos al ESAP, folios 1269, 1270 y 1276).</w:t>
      </w:r>
    </w:p>
  </w:footnote>
  <w:footnote w:id="69">
    <w:p w14:paraId="6D172E5F" w14:textId="08D5E3C6"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Declaraciones indagatorias de CH de 14 y 15 de octubre de 1994, y de MP de 14 y 15 de octubre de 1994 (expediente de anexos a la contestación, folios 1725 a 1732, y 1882 a 1890, respectivamente).</w:t>
      </w:r>
    </w:p>
  </w:footnote>
  <w:footnote w:id="70">
    <w:p w14:paraId="6D172E60" w14:textId="78916BEB"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Declaración rendida ante fedatario público del Fiscal Tony Washington García Cano de 29 de enero de 2016 (expediente de fondo, folio 547).</w:t>
      </w:r>
    </w:p>
  </w:footnote>
  <w:footnote w:id="71">
    <w:p w14:paraId="6D172E61" w14:textId="7B4E0191"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Declaraciones indagatorias de CH y MP, ambas de 20 de octubre de 1994 (expediente de anexos a la contestación, folios 1699 y 1702, respectivamente).</w:t>
      </w:r>
    </w:p>
  </w:footnote>
  <w:footnote w:id="72">
    <w:p w14:paraId="6D172E65" w14:textId="40FA0BCD" w:rsidR="0074038D" w:rsidRPr="00CB2424" w:rsidRDefault="0074038D" w:rsidP="00761CF6">
      <w:pPr>
        <w:pStyle w:val="FootnoteText"/>
        <w:rPr>
          <w:lang w:val="es-CR"/>
        </w:rPr>
      </w:pPr>
      <w:r w:rsidRPr="00CB2424">
        <w:rPr>
          <w:rStyle w:val="FootnoteReference"/>
          <w:sz w:val="16"/>
        </w:rPr>
        <w:footnoteRef/>
      </w:r>
      <w:r w:rsidRPr="00CB2424">
        <w:t xml:space="preserve"> </w:t>
      </w:r>
      <w:r w:rsidRPr="000D4816">
        <w:rPr>
          <w:i/>
        </w:rPr>
        <w:t>Cfr.</w:t>
      </w:r>
      <w:r w:rsidRPr="00CB2424">
        <w:t xml:space="preserve"> Declaración indagatoria de MP, de 20 de octubre de 1994 (expediente de anexo a la contestación, folios 1702 y 1703).</w:t>
      </w:r>
    </w:p>
  </w:footnote>
  <w:footnote w:id="73">
    <w:p w14:paraId="6D172E66" w14:textId="2A9D6DCA" w:rsidR="0074038D" w:rsidRPr="00CB2424" w:rsidRDefault="0074038D" w:rsidP="00761CF6">
      <w:pPr>
        <w:pStyle w:val="FootnoteText"/>
        <w:rPr>
          <w:lang w:val="es-ES_tradnl"/>
        </w:rPr>
      </w:pPr>
      <w:r w:rsidRPr="00CB2424">
        <w:rPr>
          <w:rStyle w:val="FootnoteReference"/>
          <w:sz w:val="16"/>
        </w:rPr>
        <w:footnoteRef/>
      </w:r>
      <w:r w:rsidRPr="00CB2424">
        <w:t xml:space="preserve"> </w:t>
      </w:r>
      <w:r w:rsidRPr="00CB2424">
        <w:tab/>
      </w:r>
      <w:r w:rsidRPr="000D4816">
        <w:rPr>
          <w:i/>
        </w:rPr>
        <w:t>Cfr.</w:t>
      </w:r>
      <w:r w:rsidRPr="00CB2424">
        <w:t xml:space="preserve"> Declaración rendida ante fedatario público del Fiscal Tony Washington García Cano de 29 de enero de 2016 (expediente de fondo, folios 547 y 548). Señaló que “el 20 de octubre de 1994, cuando la autoridad policial elaboraba el Atestado Policial en referencia, […] personas que decían ser familiares de los principales involucrados Capitán CH y Sub Oficial MP, se me acercaron y me expresaron que dichos investigados deseaban proporcionar información muy importante respecto al caso, ya que durante sus manifestaciones policiales no habían expresado la verdad pues habían recibido ofrecimientos de apoyo y ayuda por parte de algunas personas con el objeto de no involucrar a un alto oficial de la Policía Nacional que había participado en los hechos y, además, se habían sentido amedrentados, y querían declarar solo ante el Fiscal por razones de desconfianza a la policía y por seguridad, […].</w:t>
      </w:r>
    </w:p>
  </w:footnote>
  <w:footnote w:id="74">
    <w:p w14:paraId="6D172E67" w14:textId="7F71A1EA" w:rsidR="0074038D" w:rsidRPr="00CB2424" w:rsidRDefault="0074038D" w:rsidP="00761CF6">
      <w:pPr>
        <w:pStyle w:val="FootnoteText"/>
      </w:pPr>
      <w:r w:rsidRPr="00CB2424">
        <w:rPr>
          <w:rStyle w:val="FootnoteReference"/>
          <w:sz w:val="16"/>
        </w:rPr>
        <w:footnoteRef/>
      </w:r>
      <w:r w:rsidRPr="00CB2424">
        <w:t xml:space="preserve"> </w:t>
      </w:r>
      <w:r w:rsidRPr="00CB2424">
        <w:tab/>
      </w:r>
      <w:r w:rsidRPr="00CB2424">
        <w:rPr>
          <w:i/>
        </w:rPr>
        <w:t>Ibíd.</w:t>
      </w:r>
      <w:r w:rsidRPr="00CB2424">
        <w:t>, folios 549 y 550.</w:t>
      </w:r>
    </w:p>
  </w:footnote>
  <w:footnote w:id="75">
    <w:p w14:paraId="6D172E6A" w14:textId="249A0052"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Formalización de Denuncia Penal del Ministerio Público de 21 de octubre de 1994 (expediente de anexos al Informe de Fondo, folio 3). Los siguientes delitos: delito contra la administración de justicia, encubrimiento personal; delito contra la fe pública, falsificación de documentos en general, así como corrupción de funcionarios – corrupción pasiva contra miembros de la policía, y corrupción activa contra los civiles denunciados-, en agravio del Estado.</w:t>
      </w:r>
    </w:p>
  </w:footnote>
  <w:footnote w:id="76">
    <w:p w14:paraId="6D172E6B" w14:textId="2EC13AD6" w:rsidR="0074038D" w:rsidRPr="00CB2424" w:rsidRDefault="0074038D" w:rsidP="00761CF6">
      <w:pPr>
        <w:pStyle w:val="FootnoteText"/>
      </w:pPr>
      <w:r w:rsidRPr="00CB2424">
        <w:rPr>
          <w:rStyle w:val="FootnoteReference"/>
          <w:sz w:val="16"/>
        </w:rPr>
        <w:footnoteRef/>
      </w:r>
      <w:r w:rsidRPr="00CB2424">
        <w:t xml:space="preserve"> </w:t>
      </w:r>
      <w:r w:rsidRPr="00CB2424">
        <w:tab/>
      </w:r>
      <w:r w:rsidRPr="00CB2424">
        <w:rPr>
          <w:i/>
        </w:rPr>
        <w:t>Ibíd.</w:t>
      </w:r>
      <w:r w:rsidRPr="00CB2424">
        <w:t>, folios 3 y 4.</w:t>
      </w:r>
    </w:p>
  </w:footnote>
  <w:footnote w:id="77">
    <w:p w14:paraId="6D172E6C" w14:textId="1BB93C4E"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Formalización de Denuncia Penal del Ministerio Público de 21 de octubre de 1994 (expediente de anexos al Informe de Fondo, folios 4 y 5). </w:t>
      </w:r>
    </w:p>
  </w:footnote>
  <w:footnote w:id="78">
    <w:p w14:paraId="6D172E6D" w14:textId="50A00F13" w:rsidR="0074038D" w:rsidRPr="00CB2424" w:rsidRDefault="0074038D" w:rsidP="00761CF6">
      <w:pPr>
        <w:pStyle w:val="FootnoteText"/>
      </w:pPr>
      <w:r w:rsidRPr="00CB2424">
        <w:rPr>
          <w:rStyle w:val="FootnoteReference"/>
          <w:sz w:val="16"/>
        </w:rPr>
        <w:footnoteRef/>
      </w:r>
      <w:r w:rsidRPr="00CB2424">
        <w:t xml:space="preserve"> </w:t>
      </w:r>
      <w:r w:rsidRPr="00CB2424">
        <w:tab/>
        <w:t>Código Penal de 1991, Decreto Legislativo No. 635, promulgado el 3 de abril de 1991 y publicado el 8 de abril siguiente. El texto de los artículos que establecían tales delitos en Código Penal vigente en la época de los hechos narrados, era el siguiente:</w:t>
      </w:r>
    </w:p>
    <w:p w14:paraId="6D172E6E" w14:textId="67C77B8D" w:rsidR="0074038D" w:rsidRPr="00CB2424" w:rsidRDefault="0074038D" w:rsidP="00761CF6">
      <w:pPr>
        <w:pStyle w:val="FootnoteText"/>
      </w:pPr>
      <w:r w:rsidRPr="00CB2424">
        <w:t xml:space="preserve">“- </w:t>
      </w:r>
      <w:r w:rsidRPr="00CB2424">
        <w:rPr>
          <w:i/>
        </w:rPr>
        <w:t>Encubrimiento personal “Artículo 404.-</w:t>
      </w:r>
      <w:r w:rsidRPr="00CB2424">
        <w:t xml:space="preserve"> El que sustrae a una persona de la persecución penal o a la ejecución de una pena o de otra medida ordenada por la justicia, será reprimido con pena privativa de libertad no menor de tres ni mayor de seis años. […]</w:t>
      </w:r>
    </w:p>
    <w:p w14:paraId="6D172E6F" w14:textId="114DDEA3" w:rsidR="0074038D" w:rsidRPr="00CB2424" w:rsidRDefault="0074038D" w:rsidP="00761CF6">
      <w:pPr>
        <w:pStyle w:val="FootnoteText"/>
      </w:pPr>
      <w:r w:rsidRPr="00CB2424">
        <w:t>Si el autor del encubrimiento personal es funcionario o servidor público encargado de la investigación del delito o de la custodia del delincuente, la pena será privativa de libertad no menor de diez ni mayor de quince años.</w:t>
      </w:r>
    </w:p>
    <w:p w14:paraId="6D172E70" w14:textId="2DAFD106" w:rsidR="0074038D" w:rsidRPr="00CB2424" w:rsidRDefault="0074038D" w:rsidP="00761CF6">
      <w:pPr>
        <w:pStyle w:val="FootnoteText"/>
      </w:pPr>
      <w:r w:rsidRPr="00CB2424">
        <w:t xml:space="preserve">- </w:t>
      </w:r>
      <w:r w:rsidRPr="00CB2424">
        <w:rPr>
          <w:i/>
        </w:rPr>
        <w:t>Falsificación de documentos. Artículo 427.-</w:t>
      </w:r>
      <w:r w:rsidRPr="00CB2424">
        <w:t xml:space="preserve"> El que hace, en todo o en parte, un documento falso o adultera uno verdadero que pueda dar origen a derecho u obligación o servir para probar un hecho, con el propósito de utilizar el documento, será reprimido, si de su uso puede resultar algún perjuicio, con pena privativa de libertad no menor de dos ni mayor de diez años y con treinta a noventa días-multa si se trata de un documento público, registro público, título auténtico o cualquier otro trasmisible por endoso o al portador y con pena privativa de libertad no menor de dos ni mayor de cuatro años, y con ciento ochenta a trescientos sesenticinco días-multa, si se trata de un documento privado.</w:t>
      </w:r>
    </w:p>
    <w:p w14:paraId="6D172E73" w14:textId="413730FD" w:rsidR="0074038D" w:rsidRPr="00CB2424" w:rsidRDefault="0074038D" w:rsidP="00761CF6">
      <w:pPr>
        <w:pStyle w:val="FootnoteText"/>
      </w:pPr>
      <w:r w:rsidRPr="00CB2424">
        <w:rPr>
          <w:b/>
        </w:rPr>
        <w:t xml:space="preserve">- </w:t>
      </w:r>
      <w:r w:rsidRPr="00CB2424">
        <w:rPr>
          <w:i/>
        </w:rPr>
        <w:t>Cohecho propio. Artículo 393.-</w:t>
      </w:r>
      <w:r w:rsidRPr="00CB2424">
        <w:rPr>
          <w:b/>
        </w:rPr>
        <w:t xml:space="preserve"> </w:t>
      </w:r>
      <w:r w:rsidRPr="00CB2424">
        <w:t>El funcionario o servidor público que solicita o acepta donativo, promesa o cualquier otra ventaja, para realizar u omitir un acto en violación de sus obligaciones o el que las acepta a consecuencia de haber faltado a sus deberes, será reprimido con pena privativa de libertad no menor de tres ni mayor de seis años.</w:t>
      </w:r>
    </w:p>
  </w:footnote>
  <w:footnote w:id="79">
    <w:p w14:paraId="5D12D068" w14:textId="5ACF57BC" w:rsidR="0074038D" w:rsidRPr="00CB2424" w:rsidRDefault="0074038D" w:rsidP="00761CF6">
      <w:pPr>
        <w:pStyle w:val="NormalWeb"/>
        <w:widowControl w:val="0"/>
        <w:suppressLineNumbers/>
        <w:tabs>
          <w:tab w:val="left" w:pos="567"/>
        </w:tabs>
        <w:suppressAutoHyphens/>
        <w:spacing w:before="60" w:beforeAutospacing="0" w:after="60" w:afterAutospacing="0"/>
        <w:jc w:val="both"/>
        <w:rPr>
          <w:rFonts w:ascii="Verdana" w:hAnsi="Verdana"/>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r>
      <w:r w:rsidRPr="000D4816">
        <w:rPr>
          <w:rFonts w:ascii="Verdana" w:hAnsi="Verdana"/>
          <w:i/>
          <w:sz w:val="16"/>
          <w:szCs w:val="16"/>
        </w:rPr>
        <w:t>Cfr.</w:t>
      </w:r>
      <w:r w:rsidRPr="00CB2424">
        <w:rPr>
          <w:rFonts w:ascii="Verdana" w:hAnsi="Verdana"/>
          <w:sz w:val="16"/>
          <w:szCs w:val="16"/>
        </w:rPr>
        <w:t xml:space="preserve"> Resolución del Trigésimo Séptimo Juzgado Penal de la Corte Superior de Justicia de Lima de 21 de octubre de 1994 (expediente de anexos a la contestación, folio 1588). El artículo 77 del Código de Procedimientos Penales de 1940, Ley No. 9024, vigente en la época de los hechos establecía lo siguiente: </w:t>
      </w:r>
    </w:p>
    <w:p w14:paraId="6D172E77" w14:textId="78976548" w:rsidR="0074038D" w:rsidRPr="00CB2424" w:rsidRDefault="0074038D" w:rsidP="00761CF6">
      <w:pPr>
        <w:pStyle w:val="NormalWeb"/>
        <w:widowControl w:val="0"/>
        <w:suppressLineNumbers/>
        <w:tabs>
          <w:tab w:val="left" w:pos="567"/>
        </w:tabs>
        <w:suppressAutoHyphens/>
        <w:spacing w:before="60" w:beforeAutospacing="0" w:after="60" w:afterAutospacing="0"/>
        <w:jc w:val="both"/>
        <w:rPr>
          <w:rFonts w:ascii="Verdana" w:hAnsi="Verdana" w:cs="Arial"/>
          <w:color w:val="000000"/>
          <w:sz w:val="16"/>
          <w:szCs w:val="16"/>
        </w:rPr>
      </w:pPr>
      <w:r w:rsidRPr="00CB2424">
        <w:rPr>
          <w:rFonts w:ascii="Verdana" w:hAnsi="Verdana"/>
          <w:i/>
          <w:sz w:val="16"/>
          <w:szCs w:val="16"/>
        </w:rPr>
        <w:t>“</w:t>
      </w:r>
      <w:r w:rsidRPr="00CB2424">
        <w:rPr>
          <w:rFonts w:ascii="Verdana" w:hAnsi="Verdana" w:cs="Arial"/>
          <w:bCs/>
          <w:i/>
          <w:iCs/>
          <w:color w:val="000000"/>
          <w:sz w:val="16"/>
          <w:szCs w:val="16"/>
        </w:rPr>
        <w:t>Artículo 77.-</w:t>
      </w:r>
      <w:r w:rsidRPr="00CB2424">
        <w:rPr>
          <w:rFonts w:ascii="Verdana" w:hAnsi="Verdana" w:cs="Arial"/>
          <w:iCs/>
          <w:color w:val="000000"/>
          <w:sz w:val="16"/>
          <w:szCs w:val="16"/>
        </w:rPr>
        <w:t>Recibida la denuncia, el Juez Instructor sólo abrirá la instrucción si considera que el hecho denunciado constituye delito, que se ha individualizado a su presunto autor y que la acción penal no ha prescrito. El auto contendrá en forma precisa, la motivación y fundamentos, y expresará la calificación de modo específico del delito o los delitos que se imputan al denunciado y la orden de que debe concurrir a que preste su instructiva. Tratándose de delitos perseguidos por acción privada, el Juez para calificar la denuncia podrá de oficio practicar diligencias previas dentro de los 10 primeros días de recibida la misma. Si considera que no procede la acción expedirá un auto de NO HA LUGAR. Asimismo, devolverá la denuncia si estima que le falta algún elemento de procebilidad expresamente señalado por la Ley. Contra estas Resoluciones procede recurso de apelación. El tribunal absolverá el grado dentro del plazo de tres días de recibido el dictamen fiscal, el que deberá ser emitido en igual plazo. En todos los casos el Juez deberá pronunciarse dentro de un plazo no mayor de 15 días de recibida la denuncia”. El Código de Procedimientos Penales entró en vigencia el 18 de marzo de 1940 (expedientes de anexos a los alegatos finales del Estado, folios 2982 y ss).</w:t>
      </w:r>
    </w:p>
  </w:footnote>
  <w:footnote w:id="80">
    <w:p w14:paraId="6D172E78" w14:textId="3E8DB8F4" w:rsidR="0074038D" w:rsidRPr="00CB2424" w:rsidRDefault="0074038D" w:rsidP="00E14C81">
      <w:pPr>
        <w:pStyle w:val="FootnoteText"/>
        <w:spacing w:after="0"/>
      </w:pPr>
      <w:r w:rsidRPr="00CB2424">
        <w:rPr>
          <w:rStyle w:val="FootnoteReference"/>
          <w:sz w:val="16"/>
        </w:rPr>
        <w:footnoteRef/>
      </w:r>
      <w:r w:rsidRPr="00CB2424">
        <w:t xml:space="preserve"> </w:t>
      </w:r>
      <w:r w:rsidRPr="00CB2424">
        <w:tab/>
        <w:t>El artículo 135 del Código Procesal Penal de 1991, Decreto Legislativo No. 638, promulgado el 25 de abril de 1991 y publicado el 27 de abril siguiente, vigente en la época de los hechos establecía lo siguiente: “Artículo 135.-</w:t>
      </w:r>
      <w:r w:rsidRPr="00CB2424">
        <w:rPr>
          <w:b/>
        </w:rPr>
        <w:t xml:space="preserve"> </w:t>
      </w:r>
      <w:r w:rsidRPr="00CB2424">
        <w:t>El juez puede dictar mandato de detención si atendiendo a los primeros recaudos acompañados por el Fiscal Provincial sea posible de determinar: 1. Que existen suficientes elementos probatorios de la comisión de un delito doloso que vincule al imputado como autor o partícipe del mismo. No constituye elemento probatorio suficiente la condición de miembro de directorio, gerente, socio, accionista, directivo o asociado cuando el delito imputado se haya cometido en el ejercicio de una actividad realizada por una persona jurídica de derecho privado; 2. Que la sanción a imponerse sea superior a los cuatro años de pena privativa de libertad, y 3. Que existen suficientes elementos probatorios para concluir que el imputado intenta eludir la acción de la justicia o perturbar la actividad probatoria. No constituye criterio suficiente para establecer la intención de eludir a la justicia, la pena prevista en la Ley para el delito que se le imputa.</w:t>
      </w:r>
    </w:p>
    <w:p w14:paraId="6D172E79" w14:textId="45BBC057" w:rsidR="0074038D" w:rsidRPr="00CB2424" w:rsidRDefault="0074038D" w:rsidP="00E14C81">
      <w:pPr>
        <w:pStyle w:val="FootnoteText"/>
        <w:spacing w:after="0"/>
      </w:pPr>
      <w:r w:rsidRPr="00CB2424">
        <w:t xml:space="preserve">En todo caso, el Juez Penal podrá revocar de oficio el mandato de detención previamente ordenado cuando nuevos actos de investigación pongan en cuestión la suficiencia de las pruebas que dieron lugar a la medida”. El Código Procesal Penal de 1991 fue publicado el 27 de abril de 1991 pero no en su totalidad, sino ciertos artículos, entre ellos el artículo 135. Este código coexistió y coexiste en la actualidad con el Código de Procedimientos Penales de 1940, los cuales rigen en las jurisdicciones que corresponda conforme a la entrada en vigencia progresiva del nuevo Código Procesal Penal de 2004 en todo el territorio nacional, el cual convirtió el sistema procesal penal peruano en un sistema de tipo acusatorio. Disponible en: http://spij.minjus.gob.pe/CLP/contenidos.dll?f=templates&amp;fn=default-codprocpenales.htm&amp;vid=Ciclope:CLPdemo. </w:t>
      </w:r>
    </w:p>
  </w:footnote>
  <w:footnote w:id="81">
    <w:p w14:paraId="6D172E7C" w14:textId="5A257EE7"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Resolución del Trigésimo Séptimo Juzgado Penal de la Corte Superior de Justicia de Lima de 21 de octubre de 1994 (expediente de anexos a la contestación, folios 1590 a 1596).</w:t>
      </w:r>
    </w:p>
  </w:footnote>
  <w:footnote w:id="82">
    <w:p w14:paraId="6D172E7E" w14:textId="7E48CFFD"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Incidente de apelación al mandato de detención, Expediente No. 987-94-D, Auto de apelación emitido por la Quinta Sala Penal de la Corte Superior de Justicia de Lima, 15 de diciembre de 1994, notificado el 5 de enero de 1995 (expediente de anexos al Informe de Fondo, folio 82).</w:t>
      </w:r>
    </w:p>
  </w:footnote>
  <w:footnote w:id="83">
    <w:p w14:paraId="6D172E7F" w14:textId="4F472F56" w:rsidR="0074038D" w:rsidRPr="00CB2424" w:rsidRDefault="0074038D" w:rsidP="00761CF6">
      <w:pPr>
        <w:pStyle w:val="NormalWeb"/>
        <w:widowControl w:val="0"/>
        <w:suppressLineNumbers/>
        <w:tabs>
          <w:tab w:val="left" w:pos="567"/>
        </w:tabs>
        <w:suppressAutoHyphens/>
        <w:spacing w:before="60" w:beforeAutospacing="0" w:after="60" w:afterAutospacing="0"/>
        <w:jc w:val="both"/>
        <w:rPr>
          <w:rFonts w:ascii="Verdana" w:hAnsi="Verdana" w:cs="Arial"/>
          <w:color w:val="000000"/>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t>El artículo 182 del Código Procesal Penal de 1991, Decreto Legislativo No. 638, vigente en la época de los hechos establecía lo siguiente: “</w:t>
      </w:r>
      <w:r w:rsidRPr="00CB2424">
        <w:rPr>
          <w:rFonts w:ascii="Verdana" w:hAnsi="Verdana" w:cs="Arial"/>
          <w:bCs/>
          <w:color w:val="000000"/>
          <w:sz w:val="16"/>
          <w:szCs w:val="16"/>
        </w:rPr>
        <w:t>Artículo 182.-</w:t>
      </w:r>
      <w:r w:rsidRPr="00CB2424">
        <w:rPr>
          <w:rStyle w:val="apple-converted-space"/>
          <w:rFonts w:ascii="Verdana" w:eastAsia="Calibri" w:hAnsi="Verdana" w:cs="Arial"/>
          <w:bCs/>
          <w:color w:val="000000"/>
          <w:sz w:val="16"/>
          <w:szCs w:val="16"/>
        </w:rPr>
        <w:t> </w:t>
      </w:r>
      <w:r w:rsidRPr="00CB2424">
        <w:rPr>
          <w:rFonts w:ascii="Verdana" w:hAnsi="Verdana" w:cs="Arial"/>
          <w:color w:val="000000"/>
          <w:sz w:val="16"/>
          <w:szCs w:val="16"/>
        </w:rPr>
        <w:t>El procesado que se encuentra cumpliendo detención podrá solicitar libertad provisional, cuando nuevos elementos de juicio permitan razonablemente prever que:</w:t>
      </w:r>
      <w:r w:rsidRPr="00CB2424">
        <w:rPr>
          <w:rStyle w:val="apple-converted-space"/>
          <w:rFonts w:ascii="Verdana" w:eastAsia="Calibri" w:hAnsi="Verdana" w:cs="Arial"/>
          <w:color w:val="000000"/>
          <w:sz w:val="16"/>
          <w:szCs w:val="16"/>
        </w:rPr>
        <w:t> </w:t>
      </w:r>
      <w:r w:rsidRPr="00CB2424">
        <w:rPr>
          <w:rFonts w:ascii="Verdana" w:hAnsi="Verdana" w:cs="Arial"/>
          <w:color w:val="000000"/>
          <w:sz w:val="16"/>
          <w:szCs w:val="16"/>
        </w:rPr>
        <w:t>1. La pena privativa de libertad a imponérsele no será mayor de cuatro años, o que el inculpado esté sufriendo una detención mayor a las dos terceras partes de la pena solicitada por el Fiscal en su acusación escrita. 2. Se haya desvanecido la probabilidad de que el procesado eluda la acción de la justicia o perturbe la actividad probatoria. 3. Que el procesado cumpla con la caución fijada o, en su caso, el insolvente ofrezca fianza personal”.</w:t>
      </w:r>
    </w:p>
  </w:footnote>
  <w:footnote w:id="84">
    <w:p w14:paraId="6D172E82" w14:textId="664F1C00" w:rsidR="0074038D" w:rsidRPr="00CB2424" w:rsidRDefault="0074038D" w:rsidP="00761CF6">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Incidente de libertad provisional, expediente No. 987-94-K, auto de libertad provisional emitido por la Quinta Sala Penal de la Corte Superior de Justicia de Lima, 22 de junio de 1995, notificado el 30 de junio de 1995 (expediente de anexos al Informe de Fondo, folios 21 y 22).</w:t>
      </w:r>
    </w:p>
  </w:footnote>
  <w:footnote w:id="85">
    <w:p w14:paraId="6D172E83" w14:textId="60843FED" w:rsidR="0074038D" w:rsidRPr="00CB2424" w:rsidRDefault="0074038D" w:rsidP="00761CF6">
      <w:pPr>
        <w:pStyle w:val="FootnoteText"/>
        <w:rPr>
          <w:lang w:val="es-CR"/>
        </w:rPr>
      </w:pPr>
      <w:r w:rsidRPr="00CB2424">
        <w:rPr>
          <w:rStyle w:val="FootnoteReference"/>
          <w:sz w:val="16"/>
        </w:rPr>
        <w:footnoteRef/>
      </w:r>
      <w:r w:rsidRPr="00CB2424">
        <w:t xml:space="preserve"> Documento con firma ilegible que dispone abrir la instrucción en la vía ordinaria y disponer de la detención de la presunta víctima, emitido en la ciudad de Li</w:t>
      </w:r>
      <w:r>
        <w:t>ma el 21 de noviembre de 1994 (escrito de argumentos y pruebas, folio 1290, y escrito de s</w:t>
      </w:r>
      <w:r w:rsidRPr="00CB2424">
        <w:t>ometimiento e Informe Nro. 9/14 de la CIDH, folio 14).</w:t>
      </w:r>
    </w:p>
  </w:footnote>
  <w:footnote w:id="86">
    <w:p w14:paraId="6D172E84" w14:textId="6EE562E9" w:rsidR="0074038D" w:rsidRPr="00CB2424" w:rsidRDefault="0074038D" w:rsidP="00761CF6">
      <w:pPr>
        <w:pStyle w:val="FootnoteText"/>
        <w:rPr>
          <w:lang w:val="es-CR"/>
        </w:rPr>
      </w:pPr>
      <w:r w:rsidRPr="00CB2424">
        <w:rPr>
          <w:rStyle w:val="FootnoteReference"/>
          <w:sz w:val="16"/>
        </w:rPr>
        <w:footnoteRef/>
      </w:r>
      <w:r w:rsidRPr="00CB2424">
        <w:t xml:space="preserve"> Incidente de Libertad Provisional. Notificación que da cuenta que se concede la libertad provisional. Expediente 987-94-k firmado por el</w:t>
      </w:r>
      <w:r>
        <w:t xml:space="preserve"> escribano Saúl Guevara Burga (escrito de argumentos y pruebas, folio 1355, y e</w:t>
      </w:r>
      <w:r w:rsidRPr="00CB2424">
        <w:t>scrito de sometimiento e Informe Nro. 9/14 de la CIDH, folio 23).</w:t>
      </w:r>
    </w:p>
  </w:footnote>
  <w:footnote w:id="87">
    <w:p w14:paraId="6D172E85" w14:textId="0DF49CCC"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Dictamen Pericial de Grafotecnia No. 709/96 emitido por la División de Criminalística de la PNP el 1 de marzo de 1996 a solicitud del Trigésimo Juzgad</w:t>
      </w:r>
      <w:r>
        <w:t>o Penal de Lima (anexo alegatos finales del Estado</w:t>
      </w:r>
      <w:r w:rsidRPr="00CB2424">
        <w:t xml:space="preserve">, folio 3373). </w:t>
      </w:r>
    </w:p>
  </w:footnote>
  <w:footnote w:id="88">
    <w:p w14:paraId="22281EF9" w14:textId="62F61761"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Acusación Fiscal, Expediente No. 987-94, emitida por la Quinta Fiscalía Superior en lo Penal de Lima, 2</w:t>
      </w:r>
      <w:r>
        <w:t xml:space="preserve"> de mayo de 1996, recepcionada </w:t>
      </w:r>
      <w:r w:rsidRPr="00CB2424">
        <w:t>por la Quinta Sala Penal al día siguiente (expediente de anexos al Informe de Fondo, folios 71, 74, 77, 78 y 79).</w:t>
      </w:r>
    </w:p>
  </w:footnote>
  <w:footnote w:id="89">
    <w:p w14:paraId="6D172E88" w14:textId="1268DA1A"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Sentencia de la Quinta Sala Penal de la Corte Superior de Justicia de Lima de 8 de noviembre de 1996 (expediente de anexos a la contestación, folios 1530 y 1532).</w:t>
      </w:r>
    </w:p>
  </w:footnote>
  <w:footnote w:id="90">
    <w:p w14:paraId="6D172E8B" w14:textId="6A3D6F35"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Sentencia de la Quinta Sala Penal de la Corte Superior de Justicia de Lima de 8 de noviembre de 1996 (expediente de anexos a la contestación, folios 1511 a 1515).</w:t>
      </w:r>
    </w:p>
  </w:footnote>
  <w:footnote w:id="91">
    <w:p w14:paraId="6D172E8C" w14:textId="57124418" w:rsidR="0074038D" w:rsidRPr="00CB2424" w:rsidRDefault="0074038D" w:rsidP="00B66E4D">
      <w:pPr>
        <w:pStyle w:val="NormalWeb"/>
        <w:widowControl w:val="0"/>
        <w:suppressLineNumbers/>
        <w:tabs>
          <w:tab w:val="left" w:pos="567"/>
        </w:tabs>
        <w:suppressAutoHyphens/>
        <w:spacing w:before="60" w:beforeAutospacing="0" w:after="60" w:afterAutospacing="0"/>
        <w:jc w:val="both"/>
        <w:rPr>
          <w:rFonts w:ascii="Verdana" w:hAnsi="Verdana" w:cs="Arial"/>
          <w:color w:val="000000"/>
          <w:sz w:val="16"/>
          <w:szCs w:val="16"/>
        </w:rPr>
      </w:pPr>
      <w:r w:rsidRPr="00CB2424">
        <w:rPr>
          <w:rStyle w:val="FootnoteReference"/>
          <w:sz w:val="16"/>
          <w:szCs w:val="16"/>
        </w:rPr>
        <w:footnoteRef/>
      </w:r>
      <w:r w:rsidRPr="00CB2424">
        <w:rPr>
          <w:rFonts w:ascii="Verdana" w:hAnsi="Verdana"/>
          <w:sz w:val="16"/>
          <w:szCs w:val="16"/>
        </w:rPr>
        <w:t xml:space="preserve"> </w:t>
      </w:r>
      <w:r>
        <w:rPr>
          <w:rFonts w:ascii="Verdana" w:hAnsi="Verdana"/>
          <w:sz w:val="16"/>
          <w:szCs w:val="16"/>
        </w:rPr>
        <w:tab/>
      </w:r>
      <w:r w:rsidRPr="00CB2424">
        <w:rPr>
          <w:rFonts w:ascii="Verdana" w:hAnsi="Verdana"/>
          <w:sz w:val="16"/>
          <w:szCs w:val="16"/>
        </w:rPr>
        <w:t xml:space="preserve">La pena privativa de libertad puede ser suspendida de manera condicional conforme al artículo 57 del Código Penal de 1991, vigente en el momento de la emisión de la sentencia condenatoria. Este artículo estableció que </w:t>
      </w:r>
      <w:r w:rsidRPr="00CB2424">
        <w:rPr>
          <w:rFonts w:ascii="Verdana" w:hAnsi="Verdana" w:cs="Arial"/>
          <w:bCs/>
          <w:color w:val="000000"/>
          <w:sz w:val="16"/>
          <w:szCs w:val="16"/>
        </w:rPr>
        <w:t>“</w:t>
      </w:r>
      <w:r w:rsidRPr="00CB2424">
        <w:rPr>
          <w:rFonts w:ascii="Verdana" w:hAnsi="Verdana" w:cs="Arial"/>
          <w:iCs/>
          <w:color w:val="000000"/>
          <w:sz w:val="16"/>
          <w:szCs w:val="16"/>
        </w:rPr>
        <w:t>El Juez podrá suspender la ejecución de la pena siempre que se reúnan los requisitos siguientes:</w:t>
      </w:r>
      <w:r w:rsidRPr="00CB2424">
        <w:rPr>
          <w:rFonts w:ascii="Verdana" w:hAnsi="Verdana" w:cs="Arial"/>
          <w:color w:val="000000"/>
          <w:sz w:val="16"/>
          <w:szCs w:val="16"/>
        </w:rPr>
        <w:t xml:space="preserve"> </w:t>
      </w:r>
      <w:r w:rsidRPr="00CB2424">
        <w:rPr>
          <w:rFonts w:ascii="Verdana" w:hAnsi="Verdana" w:cs="Arial"/>
          <w:iCs/>
          <w:color w:val="000000"/>
          <w:sz w:val="16"/>
          <w:szCs w:val="16"/>
        </w:rPr>
        <w:t>1. Que la condena se refiera a pena privativa de libertad no mayor de cuatro años; y</w:t>
      </w:r>
      <w:r w:rsidRPr="00CB2424">
        <w:rPr>
          <w:rFonts w:ascii="Verdana" w:hAnsi="Verdana" w:cs="Arial"/>
          <w:color w:val="000000"/>
          <w:sz w:val="16"/>
          <w:szCs w:val="16"/>
        </w:rPr>
        <w:t xml:space="preserve"> </w:t>
      </w:r>
      <w:r w:rsidRPr="00CB2424">
        <w:rPr>
          <w:rFonts w:ascii="Verdana" w:hAnsi="Verdana" w:cs="Arial"/>
          <w:iCs/>
          <w:color w:val="000000"/>
          <w:sz w:val="16"/>
          <w:szCs w:val="16"/>
        </w:rPr>
        <w:t>2. Que la naturaleza, modalidad del hecho punible y la personalidad del agente hiciera prever que esta medida le impedirá cometer nuevo delito.</w:t>
      </w:r>
      <w:r w:rsidRPr="00CB2424">
        <w:rPr>
          <w:rFonts w:ascii="Verdana" w:hAnsi="Verdana" w:cs="Arial"/>
          <w:color w:val="000000"/>
          <w:sz w:val="16"/>
          <w:szCs w:val="16"/>
        </w:rPr>
        <w:t xml:space="preserve"> </w:t>
      </w:r>
      <w:r w:rsidRPr="00CB2424">
        <w:rPr>
          <w:rFonts w:ascii="Verdana" w:hAnsi="Verdana" w:cs="Arial"/>
          <w:iCs/>
          <w:color w:val="000000"/>
          <w:sz w:val="16"/>
          <w:szCs w:val="16"/>
        </w:rPr>
        <w:t>El plazo de suspensión es de uno a tres años</w:t>
      </w:r>
      <w:r w:rsidRPr="00CB2424">
        <w:rPr>
          <w:rFonts w:ascii="Verdana" w:hAnsi="Verdana" w:cs="Arial"/>
          <w:color w:val="000000"/>
          <w:sz w:val="16"/>
          <w:szCs w:val="16"/>
        </w:rPr>
        <w:t>”.</w:t>
      </w:r>
    </w:p>
  </w:footnote>
  <w:footnote w:id="92">
    <w:p w14:paraId="6D172E8D" w14:textId="1EDDE5A9"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Sentencia de la Quinta Sala Penal de la Corte Superior de Justicia de Lima de 8 de noviembre de 1996 (expediente de anexos a la contestación, folios 1530 y 1531). </w:t>
      </w:r>
    </w:p>
  </w:footnote>
  <w:footnote w:id="93">
    <w:p w14:paraId="6D172E8E" w14:textId="20B87137" w:rsidR="0074038D" w:rsidRPr="00CB2424" w:rsidRDefault="0074038D" w:rsidP="00B66E4D">
      <w:pPr>
        <w:pStyle w:val="NormalWeb"/>
        <w:widowControl w:val="0"/>
        <w:suppressLineNumbers/>
        <w:tabs>
          <w:tab w:val="left" w:pos="567"/>
        </w:tabs>
        <w:suppressAutoHyphens/>
        <w:spacing w:before="60" w:beforeAutospacing="0" w:after="60" w:afterAutospacing="0"/>
        <w:jc w:val="both"/>
        <w:rPr>
          <w:rFonts w:ascii="Verdana" w:hAnsi="Verdana" w:cs="Arial"/>
          <w:bCs/>
          <w:color w:val="000000"/>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t>Artículos 58 y 59 del Código Penal de 1991, vigentes en el momento de la emisión de la sentencia condenatoria</w:t>
      </w:r>
      <w:r w:rsidRPr="00CB2424">
        <w:rPr>
          <w:rFonts w:ascii="Verdana" w:hAnsi="Verdana" w:cs="Arial"/>
          <w:iCs/>
          <w:color w:val="000000"/>
          <w:sz w:val="16"/>
          <w:szCs w:val="16"/>
        </w:rPr>
        <w:t>.</w:t>
      </w:r>
    </w:p>
  </w:footnote>
  <w:footnote w:id="94">
    <w:p w14:paraId="6D172E8F" w14:textId="069692E7"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Sentencia de la Quinta Sala Penal de la Corte Superior de Justicia de Lima de 8 de noviembre de 1996 (expediente de anexos a la contestación, folio 1531).</w:t>
      </w:r>
    </w:p>
  </w:footnote>
  <w:footnote w:id="95">
    <w:p w14:paraId="6D172E90" w14:textId="00501836" w:rsidR="0074038D" w:rsidRPr="00CB2424" w:rsidRDefault="0074038D" w:rsidP="00B66E4D">
      <w:pPr>
        <w:widowControl w:val="0"/>
        <w:suppressLineNumbers/>
        <w:tabs>
          <w:tab w:val="left" w:pos="567"/>
        </w:tabs>
        <w:suppressAutoHyphens/>
        <w:spacing w:before="60" w:after="60"/>
        <w:jc w:val="both"/>
        <w:rPr>
          <w:rFonts w:ascii="Verdana" w:hAnsi="Verdana"/>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t>Código de Procedimientos Penales de 1940. Decreto Ley No. 9024, promulgado el 18 de marzo de 1940.</w:t>
      </w:r>
    </w:p>
  </w:footnote>
  <w:footnote w:id="96">
    <w:p w14:paraId="6D172E91" w14:textId="45692275" w:rsidR="0074038D" w:rsidRPr="00CB2424" w:rsidRDefault="0074038D" w:rsidP="00B66E4D">
      <w:pPr>
        <w:widowControl w:val="0"/>
        <w:suppressLineNumbers/>
        <w:tabs>
          <w:tab w:val="left" w:pos="567"/>
        </w:tabs>
        <w:suppressAutoHyphens/>
        <w:spacing w:before="60" w:after="60"/>
        <w:jc w:val="both"/>
        <w:rPr>
          <w:rFonts w:ascii="Verdana" w:hAnsi="Verdana"/>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r>
      <w:r w:rsidRPr="00CB2424">
        <w:rPr>
          <w:rFonts w:ascii="Verdana" w:eastAsia="Times New Roman" w:hAnsi="Verdana"/>
          <w:sz w:val="16"/>
          <w:szCs w:val="16"/>
          <w:lang w:val="es-CR"/>
        </w:rPr>
        <w:t xml:space="preserve">Zegarra Marín y otros dos </w:t>
      </w:r>
      <w:r w:rsidRPr="00CB2424">
        <w:rPr>
          <w:rFonts w:ascii="Verdana" w:hAnsi="Verdana"/>
          <w:sz w:val="16"/>
          <w:szCs w:val="16"/>
          <w:lang w:val="es-CR"/>
        </w:rPr>
        <w:t>interpusieron recurso de nulidad en la audiencia, así como el Fiscal Superior en el extremo de absolución de dos personas, reservándose el derecho a interponer recurso de nulidad en el extremo de las condenas interpuestas.</w:t>
      </w:r>
      <w:r w:rsidRPr="00CB2424">
        <w:rPr>
          <w:rFonts w:ascii="Verdana" w:eastAsia="Times New Roman" w:hAnsi="Verdana"/>
          <w:sz w:val="16"/>
          <w:szCs w:val="16"/>
          <w:lang w:val="es-CR"/>
        </w:rPr>
        <w:t xml:space="preserve"> </w:t>
      </w:r>
      <w:r w:rsidRPr="000D4816">
        <w:rPr>
          <w:rFonts w:ascii="Verdana" w:hAnsi="Verdana"/>
          <w:i/>
          <w:sz w:val="16"/>
          <w:szCs w:val="16"/>
        </w:rPr>
        <w:t>Cfr.</w:t>
      </w:r>
      <w:r w:rsidRPr="00CB2424">
        <w:rPr>
          <w:rFonts w:ascii="Verdana" w:hAnsi="Verdana"/>
          <w:sz w:val="16"/>
          <w:szCs w:val="16"/>
        </w:rPr>
        <w:t xml:space="preserve"> Acta de audiencia de la Quinta Sala Penal de la Corte Superior de Justicia de Lima de 8 de noviembre de 1996 (expediente de anexos a la contestación, folios 2125 y 2126).</w:t>
      </w:r>
      <w:r w:rsidRPr="00CB2424" w:rsidDel="002579A7">
        <w:rPr>
          <w:rFonts w:ascii="Verdana" w:hAnsi="Verdana"/>
          <w:strike/>
          <w:sz w:val="16"/>
          <w:szCs w:val="16"/>
        </w:rPr>
        <w:t xml:space="preserve"> </w:t>
      </w:r>
    </w:p>
  </w:footnote>
  <w:footnote w:id="97">
    <w:p w14:paraId="6D172E92" w14:textId="74B11DFD"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Escrito de interposición de recurso de nulidad firmado por la presunta víctima, presentado al Presidente de la Primera Sala Penal de Corte Suprema de Justicia de la República el 10 de julio de 1997 (expediente de anexos a la contestación, folios 2326 a 2338). </w:t>
      </w:r>
    </w:p>
  </w:footnote>
  <w:footnote w:id="98">
    <w:p w14:paraId="6D172E93" w14:textId="5FD25C7B" w:rsidR="0074038D" w:rsidRPr="00CB2424" w:rsidRDefault="0074038D" w:rsidP="00B66E4D">
      <w:pPr>
        <w:widowControl w:val="0"/>
        <w:suppressLineNumbers/>
        <w:tabs>
          <w:tab w:val="left" w:pos="567"/>
        </w:tabs>
        <w:suppressAutoHyphens/>
        <w:spacing w:before="60" w:after="60"/>
        <w:jc w:val="both"/>
        <w:rPr>
          <w:rFonts w:ascii="Verdana" w:hAnsi="Verdana"/>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t>La Quinta Fiscalía Superior en lo Penal de Lima en su acusación fiscal de 2 de mayo de 1996 contra el señor Zegarra Marín, indicó lo siguiente: “[...] obra la instructiva de AGUSTIN BLADIMIRO ZEGARRA MARIN, quien ejercía el cargo de Sub Director de [P]asaportes de la Dirección de Migraciones y [N]aturalización hasta el 28 de septiembre de 1994, cuya función era la de controlar, organizar las funciones del personal y de los funcionarios, firmar pasaportes, asesorar a la Dirección en asuntos de su competencia; conoce a CH, MP, declara no haber tomado conocimiento del pasaporte falso que portaba el ciudadano chino intervenido en el Aeropuerto Internacional "Jorge Chávez", documento que fue expedido en Tumbes, dice que el Comandante de la PNP, Murazzo Castillo, nunca le dio cuenta de las irregularidades que venían ocurriendo en Tumbes, dice no haber recibido comunicación alguna por parte de CH, no acepta la versión de este último quien manifestó que cobraba cinco dólares por cada pasaporte expedido Ilegalmente, tampoco acepta el dicho de este en cuanto a que "Zegarra Marín estaba envarado con el hermano del Presidente Fujimori'', precisando que con este no han tenido contacto desde 1986; en cuanto a los 525 pasaportes deben responder el Capitán PNP, Ramiro Arauja Sánchez y Víctor Salcedo, dice que Peceras Vargas le falsificaba la firma y tenía sellos."</w:t>
      </w:r>
    </w:p>
    <w:p w14:paraId="6D172E94" w14:textId="0FB971CD" w:rsidR="0074038D" w:rsidRPr="00CB2424" w:rsidRDefault="0074038D" w:rsidP="00B66E4D">
      <w:pPr>
        <w:pStyle w:val="FootnoteText"/>
      </w:pPr>
      <w:r w:rsidRPr="00CB2424">
        <w:t xml:space="preserve">“[...] corre la confrontación entre Zegarra Marín y CH, donde Zegarra Marín desmiente categóricamente la versión de CH sobre la relación de tener conocimiento de [la] ilegal expedición de pasaportes en la Oficina de Migraciones de Tumbes, ratificándose en ello CH, quien también aseveró haber hecho entrega de regalos y pagar cinco dólares por cada pasaporte que expedían y que a nivel policial no lo mencionó porque este le prometió ayuda, que en cuanto al pasaporte que se le halló al ciudadano Chino, este hizo su propia investigación, concluyendo que dicho pasaporte fue entregado en Tumbes; en cuanto al robo de pasaportes dio cuenta a Zegarra y este no denunció tal hecho”. </w:t>
      </w:r>
      <w:r w:rsidRPr="000D4816">
        <w:rPr>
          <w:i/>
        </w:rPr>
        <w:t>Cfr.</w:t>
      </w:r>
      <w:r w:rsidRPr="00CB2424">
        <w:t xml:space="preserve"> Acusación Fiscal, Expediente No. 987-94, emitida por la Quinta Fiscalía Superior en lo Penal de Lima, 2 de mayo de 1996, recepcionada por la Quinta Sala Penal al día siguiente (expediente de anexos al Informe de Fondo, folios 71 y 74).</w:t>
      </w:r>
    </w:p>
  </w:footnote>
  <w:footnote w:id="99">
    <w:p w14:paraId="4A46D09D" w14:textId="7F524C3E"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Sentencia emitida por la Primera Sala Penal Transitoria de la Corte Suprema de Justicia de la República de 17 de diciembre de 1997 (expediente de anexos a la contestación, folio 1551).</w:t>
      </w:r>
    </w:p>
  </w:footnote>
  <w:footnote w:id="100">
    <w:p w14:paraId="6D172E97" w14:textId="2F059E99"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Sentencia emitida por la Primera Sala Penal Transitoria de la Corte Suprema de Justicia de la República de 17 de diciembre de 1997 (expediente de anexos a la contestación, folio 1553).</w:t>
      </w:r>
    </w:p>
  </w:footnote>
  <w:footnote w:id="101">
    <w:p w14:paraId="6D172E98" w14:textId="78035A16" w:rsidR="0074038D" w:rsidRPr="00CB2424" w:rsidRDefault="0074038D" w:rsidP="00B66E4D">
      <w:pPr>
        <w:pStyle w:val="ListParagraph"/>
        <w:widowControl w:val="0"/>
        <w:suppressLineNumbers/>
        <w:suppressAutoHyphens/>
        <w:spacing w:before="60" w:after="60"/>
        <w:ind w:left="0"/>
        <w:jc w:val="both"/>
        <w:rPr>
          <w:rFonts w:ascii="Verdana" w:hAnsi="Verdana"/>
          <w:sz w:val="16"/>
          <w:szCs w:val="16"/>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t xml:space="preserve">Los artículos 361 y 362 del Código de Procedimientos Penales </w:t>
      </w:r>
      <w:r w:rsidRPr="00CB2424">
        <w:rPr>
          <w:rFonts w:ascii="Verdana" w:hAnsi="Verdana"/>
          <w:i/>
          <w:sz w:val="16"/>
          <w:szCs w:val="16"/>
        </w:rPr>
        <w:t>(</w:t>
      </w:r>
      <w:r w:rsidRPr="000D4816">
        <w:rPr>
          <w:rFonts w:ascii="Verdana" w:hAnsi="Verdana"/>
          <w:i/>
          <w:sz w:val="16"/>
          <w:szCs w:val="16"/>
        </w:rPr>
        <w:t>supra</w:t>
      </w:r>
      <w:r w:rsidRPr="00CB2424">
        <w:rPr>
          <w:rFonts w:ascii="Verdana" w:hAnsi="Verdana"/>
          <w:i/>
          <w:sz w:val="16"/>
          <w:szCs w:val="16"/>
        </w:rPr>
        <w:t>)</w:t>
      </w:r>
      <w:r w:rsidRPr="00CB2424">
        <w:rPr>
          <w:rFonts w:ascii="Verdana" w:hAnsi="Verdana"/>
          <w:sz w:val="16"/>
          <w:szCs w:val="16"/>
        </w:rPr>
        <w:t xml:space="preserve"> establecen lo siguiente:</w:t>
      </w:r>
    </w:p>
    <w:p w14:paraId="6D172E99" w14:textId="211B0BB6" w:rsidR="0074038D" w:rsidRPr="00CB2424" w:rsidRDefault="0074038D" w:rsidP="00B66E4D">
      <w:pPr>
        <w:pStyle w:val="ListParagraph"/>
        <w:widowControl w:val="0"/>
        <w:suppressLineNumbers/>
        <w:suppressAutoHyphens/>
        <w:spacing w:before="60" w:after="60"/>
        <w:ind w:left="0"/>
        <w:jc w:val="both"/>
        <w:rPr>
          <w:rFonts w:ascii="Verdana" w:hAnsi="Verdana"/>
          <w:sz w:val="16"/>
          <w:szCs w:val="16"/>
        </w:rPr>
      </w:pPr>
      <w:r w:rsidRPr="00CB2424">
        <w:rPr>
          <w:rFonts w:ascii="Verdana" w:hAnsi="Verdana"/>
          <w:sz w:val="16"/>
          <w:szCs w:val="16"/>
        </w:rPr>
        <w:t>“Artículo 361.- “La sentencia condenatoria deberá ser revisada por la Corte Suprema, cualquiera que sea la jurisdicción que haya juzgado o la pena que haya sido impuesta:</w:t>
      </w:r>
    </w:p>
    <w:p w14:paraId="6D172E9A" w14:textId="77777777" w:rsidR="0074038D" w:rsidRPr="00CB2424" w:rsidRDefault="0074038D" w:rsidP="00B66E4D">
      <w:pPr>
        <w:pStyle w:val="FootnoteText"/>
      </w:pPr>
      <w:r w:rsidRPr="00CB2424">
        <w:t>1.- Cuando después de una condena por homicidio se produzcan pruebas suficientes de que la pretendida víctima del delito vive o vivió después de cometido el hecho que motivó la sentencia;</w:t>
      </w:r>
    </w:p>
    <w:p w14:paraId="6D172E9B" w14:textId="77777777" w:rsidR="0074038D" w:rsidRPr="00CB2424" w:rsidRDefault="0074038D" w:rsidP="00B66E4D">
      <w:pPr>
        <w:pStyle w:val="FootnoteText"/>
      </w:pPr>
      <w:r w:rsidRPr="00CB2424">
        <w:t>2.- Cuando la sentencia se basó principalmente en la declaración de un testigo condenado después como falso en un juicio criminal;</w:t>
      </w:r>
    </w:p>
    <w:p w14:paraId="6D172E9C" w14:textId="77777777" w:rsidR="0074038D" w:rsidRPr="00CB2424" w:rsidRDefault="0074038D" w:rsidP="00B66E4D">
      <w:pPr>
        <w:pStyle w:val="FootnoteText"/>
      </w:pPr>
      <w:r w:rsidRPr="00CB2424">
        <w:t>3.- Cuando después de una sentencia se dictara otra en la que se condene por el mismo delito a persona distinta del acusado; y no pudiendo conciliarse ambas sentencias, de su contradicción resulte la prueba de la inocencia de alguno de los condenados;</w:t>
      </w:r>
    </w:p>
    <w:p w14:paraId="6D172E9D" w14:textId="77777777" w:rsidR="0074038D" w:rsidRPr="00CB2424" w:rsidRDefault="0074038D" w:rsidP="00B66E4D">
      <w:pPr>
        <w:pStyle w:val="FootnoteText"/>
      </w:pPr>
      <w:r w:rsidRPr="00CB2424">
        <w:t>4.- Cuando la sentencia se haya pronunciado contra otra precedente que tenga la calidad de cosa juzgada; y</w:t>
      </w:r>
    </w:p>
    <w:p w14:paraId="6D172E9E" w14:textId="77777777" w:rsidR="0074038D" w:rsidRPr="00CB2424" w:rsidRDefault="0074038D" w:rsidP="00B66E4D">
      <w:pPr>
        <w:pStyle w:val="FootnoteText"/>
      </w:pPr>
      <w:r w:rsidRPr="00CB2424">
        <w:t>5.- Cuando con posterioridad a la sentencia se acrediten hechos por medio de pruebas no conocidas en el juicio, que sean capaces de establecer la inocencia del condenado”.</w:t>
      </w:r>
    </w:p>
    <w:p w14:paraId="6D172E9F" w14:textId="259CFBBE" w:rsidR="0074038D" w:rsidRPr="00CB2424" w:rsidRDefault="0074038D" w:rsidP="00B66E4D">
      <w:pPr>
        <w:pStyle w:val="FootnoteText"/>
      </w:pPr>
      <w:r w:rsidRPr="00CB2424">
        <w:t>“Artículo 362.- El recurso de revisión puede ser interpuesto por el acusado, por sus parientes hasta el cuarto grado de consanguinidad y segundo de afinidad, por su cónyuge, su tutor, padre o hijo adoptivo y por los Vocales de la Corte Suprema”.</w:t>
      </w:r>
    </w:p>
  </w:footnote>
  <w:footnote w:id="102">
    <w:p w14:paraId="6D172EA0" w14:textId="368D9E3F"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Escrito de 14 de septiembre de 1998 (expediente de anexos al escrito de solicitudes y argumentos, folios 1376 a 1385).</w:t>
      </w:r>
    </w:p>
  </w:footnote>
  <w:footnote w:id="103">
    <w:p w14:paraId="6D172EA1" w14:textId="071475BC"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Informe de la Corte Suprema de Justicia de la República de 2 de noviembre de 1998 firmado por los Vocales Supremos José Bacigalupo Hurtado e Ismael Paredes Lozano en el asunto administrativo No. 170-98 (expediente de anexos al escrito de solicitudes y argumentos, folio 1387). </w:t>
      </w:r>
    </w:p>
  </w:footnote>
  <w:footnote w:id="104">
    <w:p w14:paraId="6D172EA2" w14:textId="1DED8441" w:rsidR="0074038D" w:rsidRPr="00CB2424" w:rsidRDefault="0074038D" w:rsidP="00B66E4D">
      <w:pPr>
        <w:pStyle w:val="FootnoteText"/>
      </w:pPr>
      <w:r w:rsidRPr="00CB2424">
        <w:rPr>
          <w:rStyle w:val="FootnoteReference"/>
          <w:sz w:val="16"/>
        </w:rPr>
        <w:footnoteRef/>
      </w:r>
      <w:r w:rsidRPr="00CB2424">
        <w:t xml:space="preserve"> </w:t>
      </w:r>
      <w:r w:rsidRPr="00CB2424">
        <w:tab/>
        <w:t>Al respecto se debe mencionar que sólo cierto articulado de ese Código entró en vigencia luego de la publicación del Código Procesal Penal de 1991 el 27 de abril de 1991. El artículo 363 citado por los Vocales Supremos en su informe, no entró en vigencia. Conforme al escrito de interposición de recurso de revisión firmado por el señor Zegarra Marín presentado el 14 de septiembre de 1998, el artículo 363 inciso 2 señalaba que “proce[ía] el recurso de revisión si se dem[ostraba] que un elemento de prueba, apreciado como decisivo en la sentencia, carec[ía] de valor probatorio que se le asigna[ba] por ser inválido, adulterado o falso” (expediente de anexos al escrito de solicitudes y argumentos, folio 1377).</w:t>
      </w:r>
    </w:p>
  </w:footnote>
  <w:footnote w:id="105">
    <w:p w14:paraId="6D172EA3" w14:textId="0106C127"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Informe de la Corte Suprema de Justicia de la República de 2 de noviembre de 1998, firmado por los Vocales Supremos José Bacigalupo Hurtado e Ismael Paredes Lozano en el asunto administrativo No. 170-98 (expediente de anexos al escrito de solicitudes y argumentos, folios 1387 a 1389).</w:t>
      </w:r>
    </w:p>
  </w:footnote>
  <w:footnote w:id="106">
    <w:p w14:paraId="6D172EA4" w14:textId="7D59BC13"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Resolución emitida por el Pleno de la Corte Suprema de Justicia de la República en el expediente A.A No. 170-98, el 24 de agosto de 1999 (expediente de anexos a la contestación, folio 1556).</w:t>
      </w:r>
    </w:p>
  </w:footnote>
  <w:footnote w:id="107">
    <w:p w14:paraId="6D172EA5" w14:textId="37C81FE3"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Notificación de 5 de noviembre de 1999 de la resolución dictada por el Pleno de la Corte Suprema de Justicia de la República de 24 de agosto de 1999 (expediente de anexos a la contestación, folio 1558).</w:t>
      </w:r>
    </w:p>
  </w:footnote>
  <w:footnote w:id="108">
    <w:p w14:paraId="6D172EA7" w14:textId="19985BB9"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Informe No. 055-2003-MP-SUPR.-C.I emitido por la Fiscalía Suprema de Control Interno de 9 de junio de 2003 (expediente de anexos al escrito de solicitudes y argumentos, folios 1393 a 1398).</w:t>
      </w:r>
    </w:p>
  </w:footnote>
  <w:footnote w:id="109">
    <w:p w14:paraId="6D172EA8" w14:textId="70BB451B"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Resolución emitida por la Fiscalía de la Nación No. 1617-2003-MP-FN, expediente 0393-2000 de 29 de octubre de 2003 (expediente de anexos a las observaciones de los representantes a las excepciones preliminares, folio 2449). La Fiscal de la Nación concluyó que: “[…] los hechos denunciados no reun[ían] mínimamente las exigencias de tipicidad objetiva y subjetiva del injusto penal de prevaricato; por cuanto la resolución cuestionada de fecha 8.11.96 […], correspond[ía] a un acto procesal válido eminentemente jurisdiccional, desarrollado por el colegiado con la discreción y autonomía funcional que les confiere la [ley] y la [Constitución] […]. En consecuencia, no se ha[bía] vulnerado principio constitucional alguno, sino se ha[bía] respetado la instancia plural y el debido proceso y estando a la ausencia de los verbos rectores del ilícito incriminado, y discrepando con la opinión del Organismo Controlador, devi[no] en infundada la denuncia […]”.</w:t>
      </w:r>
    </w:p>
  </w:footnote>
  <w:footnote w:id="110">
    <w:p w14:paraId="6D172EA9" w14:textId="3D146FC4"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Escrito de 9 de enero de 2004 (expediente de anexos a las observaciones de los representantes a las excepciones preliminares, folio 2451 a 2455). La demanda se basó en la falta de motivación de la resolución fiscal, ya que “utiliz[ó] como argumento términos genéricos, vagos e insuficientes, sin estar debidamente explicitados, siendo más bien estos argumentos hechos falsos, al señalar que </w:t>
      </w:r>
      <w:r w:rsidRPr="00CB2424">
        <w:rPr>
          <w:rStyle w:val="st1"/>
          <w:rFonts w:cs="Arial"/>
          <w:color w:val="545454"/>
          <w:lang w:val="es-MX"/>
        </w:rPr>
        <w:t>'</w:t>
      </w:r>
      <w:r w:rsidRPr="00CB2424">
        <w:t>no reun[ían] mínimamente las exigencias de tipicidad objetiva y subjetiva o ausencia de verbos rectores del ilícito incriminado</w:t>
      </w:r>
      <w:r w:rsidRPr="00CB2424">
        <w:rPr>
          <w:rStyle w:val="st1"/>
          <w:rFonts w:cs="Arial"/>
          <w:color w:val="545454"/>
          <w:lang w:val="es-MX"/>
        </w:rPr>
        <w:t>'</w:t>
      </w:r>
      <w:r w:rsidRPr="00CB2424">
        <w:t>, cuando estos elementos esta[ban] precisados y enumerados de manera contundente e irrefutable por el Informe [de la Fiscalía Suprema]”.</w:t>
      </w:r>
      <w:r w:rsidRPr="000D4816">
        <w:rPr>
          <w:i/>
        </w:rPr>
        <w:t>Cfr.</w:t>
      </w:r>
      <w:r w:rsidRPr="00CB2424">
        <w:t xml:space="preserve"> Tribunal Constitucional del Perú. Sentencia de 23 de julio de 2002, Expediente de Amparo No. 1289-2000-AA/TC, y Sentencia de 13 de abril de 2005, Expediente de Amparo No. 2302-2003-AA/TC (expediente de anexos a la contestación, folios 1534 a 1549).  </w:t>
      </w:r>
    </w:p>
  </w:footnote>
  <w:footnote w:id="111">
    <w:p w14:paraId="6D172EAB" w14:textId="441D45E6"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Resolución No. 3276-2015 emitida por la </w:t>
      </w:r>
      <w:r w:rsidRPr="00CB2424">
        <w:rPr>
          <w:lang w:val="es-CR"/>
        </w:rPr>
        <w:t>Oficina Desconcentrada de Control Interno de Lima del Ministerio Público</w:t>
      </w:r>
      <w:r w:rsidRPr="00CB2424">
        <w:t xml:space="preserve"> en el expediente No. 325-2015 ODCI-L</w:t>
      </w:r>
      <w:r>
        <w:t xml:space="preserve">IMA el 16 de diciembre de 2015 </w:t>
      </w:r>
      <w:r w:rsidRPr="00CB2424">
        <w:t xml:space="preserve">(expediente de fondo, folios 679 a 683) y Declaración rendida ante fedatario público (affidavit) del Fiscal TWGC de 29 de enero de 2016 (expediente de fondo, folio 550). En concreto, la queja se fundamentó en el hecho que el 21 de octubre de 1994 el Fiscal, “extrañamente y de manera irregular” denunció penalmente al señor Zegarra Marín como presunto partícipe de los ilícitos penales investigados, a pesar de que las investigaciones previas ante la PNP, las cuales duraron aproximadamente 15 días luego de lo cual se emitió el Atestado No. 079-IC-DIVISE, no lo incluyeran. </w:t>
      </w:r>
    </w:p>
  </w:footnote>
  <w:footnote w:id="112">
    <w:p w14:paraId="6D172EAC" w14:textId="73FC4958" w:rsidR="0074038D" w:rsidRPr="00CB2424" w:rsidRDefault="0074038D" w:rsidP="00B66E4D">
      <w:pPr>
        <w:pStyle w:val="FootnoteText"/>
        <w:rPr>
          <w:lang w:val="es-PE"/>
        </w:rPr>
      </w:pPr>
      <w:r w:rsidRPr="00CB2424">
        <w:rPr>
          <w:rStyle w:val="FootnoteReference"/>
          <w:sz w:val="16"/>
        </w:rPr>
        <w:footnoteRef/>
      </w:r>
      <w:r w:rsidRPr="00CB2424">
        <w:t xml:space="preserve"> </w:t>
      </w:r>
      <w:r w:rsidRPr="00CB2424">
        <w:tab/>
      </w:r>
      <w:r w:rsidRPr="000D4816">
        <w:rPr>
          <w:i/>
        </w:rPr>
        <w:t>Cfr.</w:t>
      </w:r>
      <w:r w:rsidRPr="00CB2424">
        <w:t xml:space="preserve"> Resolución No. 3276-2015 emitida por la </w:t>
      </w:r>
      <w:r w:rsidRPr="00CB2424">
        <w:rPr>
          <w:lang w:val="es-CR"/>
        </w:rPr>
        <w:t>Oficina Desconcentrada de Control Interno de Lima del Ministerio Público</w:t>
      </w:r>
      <w:r w:rsidRPr="00CB2424">
        <w:t xml:space="preserve"> en el expediente No. 325-2015 ODCI-LIMA, el 16 de diciembre de 2015 (expediente de fondo, folio 681).</w:t>
      </w:r>
    </w:p>
  </w:footnote>
  <w:footnote w:id="113">
    <w:p w14:paraId="6D172EAD" w14:textId="62F9930A" w:rsidR="0074038D" w:rsidRPr="00CB2424" w:rsidRDefault="0074038D" w:rsidP="00B66E4D">
      <w:pPr>
        <w:pStyle w:val="FootnoteText"/>
      </w:pPr>
      <w:r w:rsidRPr="00CB2424">
        <w:rPr>
          <w:rStyle w:val="FootnoteReference"/>
          <w:sz w:val="16"/>
        </w:rPr>
        <w:footnoteRef/>
      </w:r>
      <w:r w:rsidRPr="00CB2424">
        <w:t xml:space="preserve"> </w:t>
      </w:r>
      <w:r w:rsidRPr="00CB2424">
        <w:tab/>
      </w:r>
      <w:r w:rsidRPr="00CB2424">
        <w:rPr>
          <w:bCs/>
        </w:rPr>
        <w:t>Artículo 8. Garantías Judiciales.</w:t>
      </w:r>
      <w:r w:rsidRPr="00CB2424">
        <w:t xml:space="preserv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6D172EAE" w14:textId="1B8AE14B" w:rsidR="0074038D" w:rsidRPr="00CB2424" w:rsidRDefault="0074038D" w:rsidP="000D4816">
      <w:pPr>
        <w:pStyle w:val="FootnoteText"/>
        <w:spacing w:after="0"/>
      </w:pPr>
      <w:r w:rsidRPr="00CB2424">
        <w:t>2. Toda persona inculpada de delito tiene derecho a que se presuma su inocencia mientras no se establezca legalmente su culpabilidad. Durante el proceso, toda persona tiene derecho, en plena igualdad, a las siguientes garantías mínimas:</w:t>
      </w:r>
    </w:p>
    <w:p w14:paraId="6D172EAF" w14:textId="39F1BAFC" w:rsidR="0074038D" w:rsidRPr="00CB2424" w:rsidRDefault="0074038D" w:rsidP="000D4816">
      <w:pPr>
        <w:pStyle w:val="FootnoteText"/>
        <w:spacing w:after="0"/>
      </w:pPr>
      <w:r w:rsidRPr="00CB2424">
        <w:t>a) derecho del inculpado de ser asistido gratuitamente por el traductor o intérprete, si no comprende o no habla el idioma del juzgado o tribunal;</w:t>
      </w:r>
    </w:p>
    <w:p w14:paraId="6D172EB0" w14:textId="099F2CFE" w:rsidR="0074038D" w:rsidRPr="00CB2424" w:rsidRDefault="0074038D" w:rsidP="000D4816">
      <w:pPr>
        <w:pStyle w:val="FootnoteText"/>
        <w:spacing w:after="0"/>
      </w:pPr>
      <w:r w:rsidRPr="00CB2424">
        <w:t>b) comunicación previa y detallada al inculpado de la acusación formulada;</w:t>
      </w:r>
    </w:p>
    <w:p w14:paraId="6D172EB1" w14:textId="3A8DBEC7" w:rsidR="0074038D" w:rsidRPr="00CB2424" w:rsidRDefault="0074038D" w:rsidP="000D4816">
      <w:pPr>
        <w:pStyle w:val="FootnoteText"/>
        <w:spacing w:after="0"/>
      </w:pPr>
      <w:r w:rsidRPr="00CB2424">
        <w:t>c) concesión al inculpado del tiempo y de los medios adecuados para la preparación de su defensa;</w:t>
      </w:r>
    </w:p>
    <w:p w14:paraId="6D172EB2" w14:textId="6ADC9C1A" w:rsidR="0074038D" w:rsidRPr="00CB2424" w:rsidRDefault="0074038D" w:rsidP="000D4816">
      <w:pPr>
        <w:pStyle w:val="FootnoteText"/>
        <w:spacing w:after="0"/>
      </w:pPr>
      <w:r w:rsidRPr="00CB2424">
        <w:t>d) derecho del inculpado de defenderse personalmente o de ser asistido por un defensor de su elección y de comunicarse libre y privadamente con su defensor;</w:t>
      </w:r>
    </w:p>
    <w:p w14:paraId="6D172EB3" w14:textId="2C5D7A0C" w:rsidR="0074038D" w:rsidRPr="00CB2424" w:rsidRDefault="0074038D" w:rsidP="000D4816">
      <w:pPr>
        <w:pStyle w:val="FootnoteText"/>
        <w:spacing w:after="0"/>
      </w:pPr>
      <w:r w:rsidRPr="00CB2424">
        <w:t>e) derecho irrenunciable de ser asistido por un defensor proporcionado por el Estado, remunerado o no según la legislación interna, si el inculpado no se defendiere por sí mismo ni nombrare defensor dentro del plazo establecido por la ley;</w:t>
      </w:r>
    </w:p>
    <w:p w14:paraId="6D172EB4" w14:textId="191FE7B8" w:rsidR="0074038D" w:rsidRPr="00CB2424" w:rsidRDefault="0074038D" w:rsidP="000D4816">
      <w:pPr>
        <w:pStyle w:val="FootnoteText"/>
        <w:spacing w:after="0"/>
      </w:pPr>
      <w:r w:rsidRPr="00CB2424">
        <w:t>f) derecho de la defensa de interrogar a los testigos presentes en el tribunal y de obtener la comparecencia, como testigos o peritos, de otras personas que puedan arrojar luz sobre los hechos;</w:t>
      </w:r>
    </w:p>
    <w:p w14:paraId="6D172EB5" w14:textId="78092AA6" w:rsidR="0074038D" w:rsidRPr="00CB2424" w:rsidRDefault="0074038D" w:rsidP="000D4816">
      <w:pPr>
        <w:pStyle w:val="FootnoteText"/>
        <w:spacing w:after="0"/>
      </w:pPr>
      <w:r w:rsidRPr="00CB2424">
        <w:t>g) derecho a no ser obligado a declarar contra sí mismo ni a declararse culpable, y</w:t>
      </w:r>
    </w:p>
    <w:p w14:paraId="6D172EB6" w14:textId="12B613F9" w:rsidR="0074038D" w:rsidRPr="00CB2424" w:rsidRDefault="0074038D" w:rsidP="000D4816">
      <w:pPr>
        <w:pStyle w:val="FootnoteText"/>
        <w:spacing w:after="0"/>
      </w:pPr>
      <w:r w:rsidRPr="00CB2424">
        <w:t>h) derecho de recurrir del fallo ante juez o tribunal superior.</w:t>
      </w:r>
    </w:p>
    <w:p w14:paraId="6D172EB7" w14:textId="6E29000F" w:rsidR="0074038D" w:rsidRPr="00CB2424" w:rsidRDefault="0074038D" w:rsidP="000D4816">
      <w:pPr>
        <w:pStyle w:val="FootnoteText"/>
        <w:spacing w:after="0"/>
      </w:pPr>
      <w:r w:rsidRPr="00CB2424">
        <w:t>3. La confesión del inculpado solamente es válida si es hecha sin coacción de ninguna naturaleza.</w:t>
      </w:r>
    </w:p>
    <w:p w14:paraId="6D172EB8" w14:textId="35F44007" w:rsidR="0074038D" w:rsidRPr="00CB2424" w:rsidRDefault="0074038D" w:rsidP="000D4816">
      <w:pPr>
        <w:pStyle w:val="FootnoteText"/>
        <w:spacing w:after="0"/>
      </w:pPr>
      <w:r w:rsidRPr="00CB2424">
        <w:t>4. El inculpado absuelto por una sentencia firme no podrá ser sometido a nuevo juicio por los mismos hechos.</w:t>
      </w:r>
    </w:p>
    <w:p w14:paraId="6D172EB9" w14:textId="76491AB1" w:rsidR="0074038D" w:rsidRPr="00CB2424" w:rsidRDefault="0074038D" w:rsidP="000D4816">
      <w:pPr>
        <w:pStyle w:val="FootnoteText"/>
        <w:spacing w:after="0"/>
      </w:pPr>
      <w:r w:rsidRPr="00CB2424">
        <w:t>5. El proceso penal debe ser público, salvo en lo que sea necesario para preservar los intereses de la justicia.</w:t>
      </w:r>
    </w:p>
  </w:footnote>
  <w:footnote w:id="114">
    <w:p w14:paraId="6D172EBA" w14:textId="77777777" w:rsidR="0074038D" w:rsidRPr="00CB2424" w:rsidRDefault="0074038D" w:rsidP="00B66E4D">
      <w:pPr>
        <w:pStyle w:val="FootnoteText"/>
      </w:pPr>
      <w:r w:rsidRPr="00CB2424">
        <w:rPr>
          <w:rStyle w:val="FootnoteReference"/>
          <w:sz w:val="16"/>
        </w:rPr>
        <w:footnoteRef/>
      </w:r>
      <w:r w:rsidRPr="00CB2424">
        <w:t xml:space="preserve"> </w:t>
      </w:r>
      <w:r w:rsidRPr="00CB2424">
        <w:tab/>
      </w:r>
      <w:r w:rsidRPr="00CB2424">
        <w:rPr>
          <w:bCs/>
        </w:rPr>
        <w:t>Artículo 25. Protección Judicial.</w:t>
      </w:r>
      <w:r w:rsidRPr="00CB2424">
        <w:rPr>
          <w:b/>
          <w:bCs/>
        </w:rPr>
        <w:t xml:space="preserve"> </w:t>
      </w:r>
      <w:r w:rsidRPr="00CB2424">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6D172EBB" w14:textId="77777777" w:rsidR="0074038D" w:rsidRPr="00CB2424" w:rsidRDefault="0074038D" w:rsidP="00B66E4D">
      <w:pPr>
        <w:pStyle w:val="FootnoteText"/>
      </w:pPr>
      <w:r w:rsidRPr="00CB2424">
        <w:t>2. Los Estados Partes se comprometen:</w:t>
      </w:r>
    </w:p>
    <w:p w14:paraId="6D172EBC" w14:textId="6D91E372" w:rsidR="0074038D" w:rsidRPr="00CB2424" w:rsidRDefault="0074038D" w:rsidP="00B66E4D">
      <w:pPr>
        <w:pStyle w:val="FootnoteText"/>
      </w:pPr>
      <w:r w:rsidRPr="00CB2424">
        <w:t>a) a garantizar que la autoridad competente prevista por el sistema legal del Estado decidirá sobre los derechos de toda persona que interponga tal recurso;</w:t>
      </w:r>
    </w:p>
    <w:p w14:paraId="6D172EBD" w14:textId="10CF82E1" w:rsidR="0074038D" w:rsidRPr="00CB2424" w:rsidRDefault="0074038D" w:rsidP="00B66E4D">
      <w:pPr>
        <w:pStyle w:val="FootnoteText"/>
      </w:pPr>
      <w:r w:rsidRPr="00CB2424">
        <w:t>b) a desarrollar las posibilidades de recurso judicial, y</w:t>
      </w:r>
    </w:p>
    <w:p w14:paraId="6D172EBE" w14:textId="03DCABF6" w:rsidR="0074038D" w:rsidRPr="00CB2424" w:rsidRDefault="0074038D" w:rsidP="00B66E4D">
      <w:pPr>
        <w:pStyle w:val="FootnoteText"/>
      </w:pPr>
      <w:r w:rsidRPr="00CB2424">
        <w:t>c) a garantizar el cumplimiento, por las autoridades competentes, de toda decisión en que se haya estimado procedente el recurso.</w:t>
      </w:r>
    </w:p>
  </w:footnote>
  <w:footnote w:id="115">
    <w:p w14:paraId="6D172EC7" w14:textId="3FDADEA5"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t xml:space="preserve">Este Tribunal ha establecido que el esclarecimiento de si el Estado ha violado o no sus obligaciones internacionales por las actuaciones de sus órganos judiciales, puede conducir a que la Corte deba examinar los respectivos procesos internos. En este sentido, los órganos del Sistema Interamericano de Derechos Humanos no funcionan como una instancia de apelación o revisión de sentencias dictadas en procesos internos, ni actúan como un tribunal penal en el que pueda analizarse la responsabilidad penal de los individuos. Su función es determinar la compatibilidad de las actuaciones realizadas en dichos procesos con la Convención Americana y, en particular, analizar las actuaciones y omisiones de los órganos judiciales internos, “incluido el modo de practicarse la prueba, y si este en su conjunto revistió un carácter equitativo”, a la luz de las garantías protegidas en el artículo 8 de ese tratado. </w:t>
      </w:r>
      <w:r w:rsidRPr="000D4816">
        <w:rPr>
          <w:rFonts w:ascii="Verdana" w:hAnsi="Verdana"/>
          <w:i/>
          <w:sz w:val="16"/>
          <w:szCs w:val="16"/>
          <w:lang w:val="es-CR"/>
        </w:rPr>
        <w:t>Cfr.</w:t>
      </w:r>
      <w:r w:rsidRPr="00CB2424">
        <w:rPr>
          <w:rFonts w:ascii="Verdana" w:hAnsi="Verdana"/>
          <w:sz w:val="16"/>
          <w:szCs w:val="16"/>
          <w:lang w:val="es-CR"/>
        </w:rPr>
        <w:t xml:space="preserve"> </w:t>
      </w:r>
      <w:r w:rsidRPr="00CB2424">
        <w:rPr>
          <w:rFonts w:ascii="Verdana" w:hAnsi="Verdana"/>
          <w:i/>
          <w:sz w:val="16"/>
          <w:szCs w:val="16"/>
          <w:lang w:val="es-CR"/>
        </w:rPr>
        <w:t>Caso Velásquez Rodríguez</w:t>
      </w:r>
      <w:r w:rsidRPr="00CB2424">
        <w:rPr>
          <w:rFonts w:ascii="Verdana" w:hAnsi="Verdana"/>
          <w:sz w:val="16"/>
          <w:szCs w:val="16"/>
          <w:lang w:val="es-CR"/>
        </w:rPr>
        <w:t xml:space="preserve">. </w:t>
      </w:r>
      <w:r w:rsidRPr="00CB2424">
        <w:rPr>
          <w:rFonts w:ascii="Verdana" w:hAnsi="Verdana"/>
          <w:i/>
          <w:sz w:val="16"/>
          <w:szCs w:val="16"/>
          <w:lang w:val="es-CR"/>
        </w:rPr>
        <w:t>Fondo</w:t>
      </w:r>
      <w:r w:rsidRPr="00CB2424">
        <w:rPr>
          <w:rFonts w:ascii="Verdana" w:hAnsi="Verdana"/>
          <w:sz w:val="16"/>
          <w:szCs w:val="16"/>
          <w:lang w:val="es-CR"/>
        </w:rPr>
        <w:t xml:space="preserve">, </w:t>
      </w:r>
      <w:r w:rsidRPr="000D4816">
        <w:rPr>
          <w:rFonts w:ascii="Verdana" w:hAnsi="Verdana"/>
          <w:i/>
          <w:sz w:val="16"/>
          <w:szCs w:val="16"/>
          <w:lang w:val="es-CR"/>
        </w:rPr>
        <w:t>supra</w:t>
      </w:r>
      <w:r w:rsidRPr="00CB2424">
        <w:rPr>
          <w:rFonts w:ascii="Verdana" w:hAnsi="Verdana"/>
          <w:sz w:val="16"/>
          <w:szCs w:val="16"/>
          <w:lang w:val="es-CR"/>
        </w:rPr>
        <w:t xml:space="preserve">, párr. 134 y </w:t>
      </w:r>
      <w:r w:rsidRPr="00CB2424">
        <w:rPr>
          <w:rFonts w:ascii="Verdana" w:hAnsi="Verdana"/>
          <w:i/>
          <w:spacing w:val="-12"/>
          <w:sz w:val="16"/>
          <w:szCs w:val="16"/>
          <w:lang w:val="es-MX"/>
        </w:rPr>
        <w:t>Caso Ruano Torres Vs. El Salvador. Fondo, Reparaciones y Costas</w:t>
      </w:r>
      <w:r w:rsidRPr="00CB2424">
        <w:rPr>
          <w:rFonts w:ascii="Verdana" w:hAnsi="Verdana"/>
          <w:spacing w:val="-12"/>
          <w:sz w:val="16"/>
          <w:szCs w:val="16"/>
          <w:lang w:val="es-MX"/>
        </w:rPr>
        <w:t>. Sentencia de 05 de octubre de 2015. Serie C No. 303, párr.</w:t>
      </w:r>
      <w:r w:rsidRPr="00CB2424">
        <w:rPr>
          <w:rFonts w:ascii="Verdana" w:hAnsi="Verdana"/>
          <w:sz w:val="16"/>
          <w:szCs w:val="16"/>
          <w:lang w:val="es-CR"/>
        </w:rPr>
        <w:t xml:space="preserve"> 115. Ver también</w:t>
      </w:r>
      <w:r w:rsidRPr="00CB2424">
        <w:rPr>
          <w:rFonts w:ascii="Verdana" w:hAnsi="Verdana" w:cs="Verdana"/>
          <w:bCs/>
          <w:snapToGrid w:val="0"/>
          <w:sz w:val="16"/>
          <w:szCs w:val="16"/>
          <w:lang w:val="es-CR" w:eastAsia="es-ES"/>
        </w:rPr>
        <w:t xml:space="preserve"> </w:t>
      </w:r>
      <w:r w:rsidRPr="00CB2424">
        <w:rPr>
          <w:rFonts w:ascii="Verdana" w:hAnsi="Verdana"/>
          <w:sz w:val="16"/>
          <w:szCs w:val="16"/>
          <w:lang w:val="es-CR"/>
        </w:rPr>
        <w:t xml:space="preserve">TEDH, </w:t>
      </w:r>
      <w:r w:rsidRPr="00CB2424">
        <w:rPr>
          <w:rFonts w:ascii="Verdana" w:hAnsi="Verdana"/>
          <w:i/>
          <w:sz w:val="16"/>
          <w:szCs w:val="16"/>
          <w:lang w:val="es-CR"/>
        </w:rPr>
        <w:t xml:space="preserve">Caso de Jairo Andrés Valencia Díaz Vs. España, </w:t>
      </w:r>
      <w:r w:rsidRPr="00CB2424">
        <w:rPr>
          <w:rFonts w:ascii="Verdana" w:hAnsi="Verdana"/>
          <w:sz w:val="16"/>
          <w:szCs w:val="16"/>
          <w:lang w:val="es-CR"/>
        </w:rPr>
        <w:t>Aplicación No. 22557/09, Sentencia de 23 de agosto de 2011, párr. 12.</w:t>
      </w:r>
    </w:p>
  </w:footnote>
  <w:footnote w:id="116">
    <w:p w14:paraId="6D172EC8" w14:textId="1FB339B4"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Caso </w:t>
      </w:r>
      <w:r w:rsidRPr="00CB2424">
        <w:rPr>
          <w:rStyle w:val="Strong"/>
          <w:b w:val="0"/>
          <w:i/>
          <w:color w:val="000000"/>
          <w:shd w:val="clear" w:color="auto" w:fill="FFFFFF"/>
        </w:rPr>
        <w:t>Suárez Rosero Vs. Ecuador. Fondo.</w:t>
      </w:r>
      <w:r w:rsidRPr="00CB2424">
        <w:rPr>
          <w:rStyle w:val="Strong"/>
          <w:b w:val="0"/>
          <w:color w:val="000000"/>
          <w:shd w:val="clear" w:color="auto" w:fill="FFFFFF"/>
        </w:rPr>
        <w:t xml:space="preserve"> Sentencia de 12 de noviembre de 1997. Serie C No. 35.</w:t>
      </w:r>
      <w:r w:rsidRPr="00CB2424">
        <w:rPr>
          <w:b/>
        </w:rPr>
        <w:t>,</w:t>
      </w:r>
      <w:r w:rsidRPr="00CB2424">
        <w:t xml:space="preserve"> párr. 77, y </w:t>
      </w:r>
      <w:r w:rsidRPr="00CB2424">
        <w:rPr>
          <w:rStyle w:val="Strong"/>
          <w:b w:val="0"/>
          <w:i/>
          <w:color w:val="000000"/>
          <w:shd w:val="clear" w:color="auto" w:fill="FFFFFF"/>
        </w:rPr>
        <w:t>Caso Maldonado Ordóñez Vs. Guatemala. Excepción Preliminar, Fondo, Reparaciones y Costas</w:t>
      </w:r>
      <w:r w:rsidRPr="00CB2424">
        <w:rPr>
          <w:rStyle w:val="Strong"/>
          <w:b w:val="0"/>
          <w:color w:val="000000"/>
          <w:shd w:val="clear" w:color="auto" w:fill="FFFFFF"/>
        </w:rPr>
        <w:t>. Sentencia de 3 de mayo de 2016. Serie C No. 311</w:t>
      </w:r>
      <w:r w:rsidRPr="00CB2424">
        <w:rPr>
          <w:rStyle w:val="Strong"/>
          <w:color w:val="000000"/>
          <w:shd w:val="clear" w:color="auto" w:fill="FFFFFF"/>
        </w:rPr>
        <w:t>.</w:t>
      </w:r>
      <w:r w:rsidRPr="00CB2424">
        <w:t>, párr. 233.</w:t>
      </w:r>
    </w:p>
  </w:footnote>
  <w:footnote w:id="117">
    <w:p w14:paraId="6D172EC9" w14:textId="1B112F1D"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rStyle w:val="Strong"/>
          <w:b w:val="0"/>
          <w:i/>
          <w:color w:val="000000"/>
          <w:shd w:val="clear" w:color="auto" w:fill="FFFFFF"/>
        </w:rPr>
        <w:t>Caso J. Vs. Perú. Excepción Preliminar, Fondo, Reparaciones y Costas.</w:t>
      </w:r>
      <w:r w:rsidRPr="00CB2424">
        <w:rPr>
          <w:rStyle w:val="Strong"/>
          <w:b w:val="0"/>
          <w:color w:val="000000"/>
          <w:shd w:val="clear" w:color="auto" w:fill="FFFFFF"/>
        </w:rPr>
        <w:t xml:space="preserve"> Sentencia de 27 de noviembre de 2013. Serie C No. 275.</w:t>
      </w:r>
      <w:r w:rsidRPr="00CB2424">
        <w:rPr>
          <w:b/>
        </w:rPr>
        <w:t>,</w:t>
      </w:r>
      <w:r w:rsidRPr="00CB2424">
        <w:t xml:space="preserve"> párr. 157, y </w:t>
      </w:r>
      <w:r w:rsidRPr="00CB2424">
        <w:rPr>
          <w:spacing w:val="-12"/>
          <w:lang w:val="es-MX"/>
        </w:rPr>
        <w:t xml:space="preserve">Caso Ruano Torres Vs. El Salvador, </w:t>
      </w:r>
      <w:r w:rsidRPr="000D4816">
        <w:rPr>
          <w:i/>
          <w:spacing w:val="-12"/>
          <w:lang w:val="es-MX"/>
        </w:rPr>
        <w:t>supra</w:t>
      </w:r>
      <w:r w:rsidRPr="00CB2424">
        <w:rPr>
          <w:spacing w:val="-12"/>
          <w:lang w:val="es-MX"/>
        </w:rPr>
        <w:t>, párr. 126.</w:t>
      </w:r>
    </w:p>
  </w:footnote>
  <w:footnote w:id="118">
    <w:p w14:paraId="6D172ECA" w14:textId="78B34DB5" w:rsidR="0074038D" w:rsidRPr="00CB2424" w:rsidRDefault="0074038D" w:rsidP="00B66E4D">
      <w:pPr>
        <w:pStyle w:val="FootnoteText"/>
      </w:pPr>
      <w:r w:rsidRPr="00CB2424">
        <w:rPr>
          <w:rStyle w:val="FootnoteReference"/>
          <w:sz w:val="16"/>
        </w:rPr>
        <w:footnoteRef/>
      </w:r>
      <w:r w:rsidRPr="00CB2424">
        <w:rPr>
          <w:lang w:val="es-CR"/>
        </w:rPr>
        <w:t xml:space="preserve"> </w:t>
      </w:r>
      <w:r w:rsidRPr="00CB2424">
        <w:rPr>
          <w:lang w:val="es-CR"/>
        </w:rPr>
        <w:tab/>
      </w:r>
      <w:r w:rsidRPr="000D4816">
        <w:rPr>
          <w:i/>
          <w:lang w:val="es-CR"/>
        </w:rPr>
        <w:t>Cfr.</w:t>
      </w:r>
      <w:r w:rsidRPr="00CB2424">
        <w:rPr>
          <w:lang w:val="es-CR"/>
        </w:rPr>
        <w:t xml:space="preserve"> </w:t>
      </w:r>
      <w:r w:rsidRPr="00CB2424">
        <w:rPr>
          <w:rStyle w:val="Strong"/>
          <w:b w:val="0"/>
          <w:i/>
          <w:color w:val="000000"/>
          <w:shd w:val="clear" w:color="auto" w:fill="FFFFFF"/>
        </w:rPr>
        <w:t>Caso Cantoral Benavides Vs. Perú. Fondo</w:t>
      </w:r>
      <w:r w:rsidRPr="00CB2424">
        <w:rPr>
          <w:rStyle w:val="Strong"/>
          <w:b w:val="0"/>
          <w:color w:val="000000"/>
          <w:shd w:val="clear" w:color="auto" w:fill="FFFFFF"/>
        </w:rPr>
        <w:t>. Sentencia de 18 de agosto de 2000. Serie C No. 69.</w:t>
      </w:r>
      <w:r w:rsidRPr="00CB2424">
        <w:rPr>
          <w:b/>
        </w:rPr>
        <w:t>,</w:t>
      </w:r>
      <w:r w:rsidRPr="00CB2424">
        <w:t xml:space="preserve"> párr. 120, y </w:t>
      </w:r>
      <w:r w:rsidRPr="00CB2424">
        <w:rPr>
          <w:spacing w:val="-12"/>
          <w:lang w:val="es-MX"/>
        </w:rPr>
        <w:t xml:space="preserve">Caso Ruano Torres Vs. El Salvador, </w:t>
      </w:r>
      <w:r w:rsidRPr="000D4816">
        <w:rPr>
          <w:i/>
          <w:spacing w:val="-12"/>
          <w:lang w:val="es-MX"/>
        </w:rPr>
        <w:t>supra</w:t>
      </w:r>
      <w:r w:rsidRPr="00CB2424">
        <w:rPr>
          <w:spacing w:val="-12"/>
          <w:lang w:val="es-MX"/>
        </w:rPr>
        <w:t>, párr. 127</w:t>
      </w:r>
      <w:r w:rsidRPr="00CB2424">
        <w:t>.</w:t>
      </w:r>
    </w:p>
  </w:footnote>
  <w:footnote w:id="119">
    <w:p w14:paraId="6D172ECB" w14:textId="0497C569"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8B5048">
        <w:rPr>
          <w:i/>
          <w:spacing w:val="-12"/>
          <w:lang w:val="es-MX"/>
        </w:rPr>
        <w:t xml:space="preserve">Caso Ruano Torres Vs. El Salvador, </w:t>
      </w:r>
      <w:r w:rsidRPr="000D4816">
        <w:rPr>
          <w:i/>
          <w:spacing w:val="-12"/>
          <w:lang w:val="es-MX"/>
        </w:rPr>
        <w:t>supra</w:t>
      </w:r>
      <w:r w:rsidRPr="00CB2424">
        <w:rPr>
          <w:spacing w:val="-12"/>
          <w:lang w:val="es-MX"/>
        </w:rPr>
        <w:t xml:space="preserve">, párr. </w:t>
      </w:r>
      <w:r w:rsidRPr="00CB2424">
        <w:rPr>
          <w:lang w:val="es-CR"/>
        </w:rPr>
        <w:t xml:space="preserve">126, y </w:t>
      </w:r>
      <w:r w:rsidRPr="00CB2424">
        <w:rPr>
          <w:rStyle w:val="Strong"/>
          <w:b w:val="0"/>
          <w:i/>
          <w:color w:val="000000"/>
          <w:shd w:val="clear" w:color="auto" w:fill="FFFFFF"/>
        </w:rPr>
        <w:t xml:space="preserve">Caso Maldonado Ordóñez Vs. Guatemala, </w:t>
      </w:r>
      <w:r w:rsidRPr="000D4816">
        <w:rPr>
          <w:rStyle w:val="Strong"/>
          <w:b w:val="0"/>
          <w:i/>
          <w:color w:val="000000"/>
          <w:shd w:val="clear" w:color="auto" w:fill="FFFFFF"/>
        </w:rPr>
        <w:t>supra</w:t>
      </w:r>
      <w:r w:rsidRPr="00CB2424">
        <w:rPr>
          <w:rStyle w:val="Strong"/>
          <w:b w:val="0"/>
          <w:i/>
          <w:color w:val="000000"/>
          <w:shd w:val="clear" w:color="auto" w:fill="FFFFFF"/>
        </w:rPr>
        <w:t xml:space="preserve">, </w:t>
      </w:r>
      <w:r w:rsidRPr="00CB2424">
        <w:rPr>
          <w:rStyle w:val="Strong"/>
          <w:b w:val="0"/>
          <w:color w:val="000000"/>
          <w:shd w:val="clear" w:color="auto" w:fill="FFFFFF"/>
        </w:rPr>
        <w:t>párr. 85.</w:t>
      </w:r>
    </w:p>
  </w:footnote>
  <w:footnote w:id="120">
    <w:p w14:paraId="6D172ECC" w14:textId="673A2A02"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ES"/>
        </w:rPr>
        <w:t xml:space="preserve"> </w:t>
      </w:r>
      <w:r w:rsidRPr="00CB2424">
        <w:rPr>
          <w:rFonts w:ascii="Verdana" w:hAnsi="Verdana"/>
          <w:sz w:val="16"/>
          <w:szCs w:val="16"/>
          <w:lang w:val="es-ES"/>
        </w:rPr>
        <w:tab/>
      </w:r>
      <w:r w:rsidRPr="00CB2424">
        <w:rPr>
          <w:rStyle w:val="Strong"/>
          <w:rFonts w:ascii="Verdana" w:hAnsi="Verdana"/>
          <w:b w:val="0"/>
          <w:i/>
          <w:color w:val="000000"/>
          <w:sz w:val="16"/>
          <w:szCs w:val="16"/>
          <w:shd w:val="clear" w:color="auto" w:fill="FFFFFF"/>
        </w:rPr>
        <w:t>Caso Cantoral Benavides Vs. Perú. Fondo</w:t>
      </w:r>
      <w:r w:rsidRPr="00CB2424">
        <w:rPr>
          <w:rFonts w:ascii="Verdana" w:hAnsi="Verdana"/>
          <w:sz w:val="16"/>
          <w:szCs w:val="16"/>
          <w:lang w:val="es-CR"/>
        </w:rPr>
        <w:t xml:space="preserve">, </w:t>
      </w:r>
      <w:r w:rsidRPr="000D4816">
        <w:rPr>
          <w:rFonts w:ascii="Verdana" w:hAnsi="Verdana"/>
          <w:i/>
          <w:sz w:val="16"/>
          <w:szCs w:val="16"/>
          <w:lang w:val="es-CR"/>
        </w:rPr>
        <w:t>supra</w:t>
      </w:r>
      <w:r w:rsidRPr="00CB2424">
        <w:rPr>
          <w:rFonts w:ascii="Verdana" w:hAnsi="Verdana"/>
          <w:sz w:val="16"/>
          <w:szCs w:val="16"/>
          <w:lang w:val="es-CR"/>
        </w:rPr>
        <w:t xml:space="preserve">, párr. 120, y </w:t>
      </w:r>
      <w:r w:rsidRPr="00CB2424">
        <w:rPr>
          <w:rFonts w:ascii="Verdana" w:hAnsi="Verdana"/>
          <w:i/>
          <w:spacing w:val="-12"/>
          <w:sz w:val="16"/>
          <w:szCs w:val="16"/>
          <w:lang w:val="es-MX"/>
        </w:rPr>
        <w:t xml:space="preserve">Caso Ruano Torres Vs. El Salvador, </w:t>
      </w:r>
      <w:r w:rsidRPr="000D4816">
        <w:rPr>
          <w:rFonts w:ascii="Verdana" w:hAnsi="Verdana"/>
          <w:i/>
          <w:spacing w:val="-12"/>
          <w:sz w:val="16"/>
          <w:szCs w:val="16"/>
          <w:lang w:val="es-MX"/>
        </w:rPr>
        <w:t>supra</w:t>
      </w:r>
      <w:r w:rsidRPr="00CB2424">
        <w:rPr>
          <w:rFonts w:ascii="Verdana" w:hAnsi="Verdana"/>
          <w:spacing w:val="-12"/>
          <w:sz w:val="16"/>
          <w:szCs w:val="16"/>
          <w:lang w:val="es-MX"/>
        </w:rPr>
        <w:t>, párr. 127.</w:t>
      </w:r>
    </w:p>
  </w:footnote>
  <w:footnote w:id="121">
    <w:p w14:paraId="6D172ECD" w14:textId="6F4E3979" w:rsidR="0074038D" w:rsidRPr="00CB2424" w:rsidRDefault="0074038D" w:rsidP="00B66E4D">
      <w:pPr>
        <w:pStyle w:val="FootnoteText"/>
      </w:pPr>
      <w:r w:rsidRPr="00CB2424">
        <w:rPr>
          <w:rStyle w:val="FootnoteReference"/>
          <w:sz w:val="16"/>
        </w:rPr>
        <w:footnoteRef/>
      </w:r>
      <w:r w:rsidRPr="00CB2424">
        <w:t xml:space="preserve"> </w:t>
      </w:r>
      <w:r w:rsidRPr="00CB2424">
        <w:tab/>
      </w:r>
      <w:r w:rsidRPr="00CB2424">
        <w:rPr>
          <w:rStyle w:val="Strong"/>
          <w:b w:val="0"/>
          <w:i/>
          <w:color w:val="000000"/>
          <w:shd w:val="clear" w:color="auto" w:fill="FFFFFF"/>
        </w:rPr>
        <w:t>Caso Cantoral Benavides Vs. Perú. Fondo</w:t>
      </w:r>
      <w:r w:rsidRPr="00CB2424">
        <w:rPr>
          <w:lang w:val="es-CR"/>
        </w:rPr>
        <w:t xml:space="preserve">, </w:t>
      </w:r>
      <w:r w:rsidRPr="000D4816">
        <w:rPr>
          <w:i/>
          <w:lang w:val="es-CR"/>
        </w:rPr>
        <w:t>supra</w:t>
      </w:r>
      <w:r w:rsidRPr="00CB2424">
        <w:rPr>
          <w:lang w:val="es-CR"/>
        </w:rPr>
        <w:t xml:space="preserve">, párr. 121, y </w:t>
      </w:r>
      <w:r w:rsidRPr="00CB2424">
        <w:rPr>
          <w:spacing w:val="-12"/>
        </w:rPr>
        <w:t xml:space="preserve">Caso Ruano Torres Vs. El Salvador, </w:t>
      </w:r>
      <w:r w:rsidRPr="000D4816">
        <w:rPr>
          <w:i/>
          <w:spacing w:val="-12"/>
        </w:rPr>
        <w:t>supra</w:t>
      </w:r>
      <w:r w:rsidRPr="00CB2424">
        <w:rPr>
          <w:spacing w:val="-12"/>
        </w:rPr>
        <w:t>, párr. 127.</w:t>
      </w:r>
    </w:p>
  </w:footnote>
  <w:footnote w:id="122">
    <w:p w14:paraId="6D172ECE" w14:textId="37D16A8F"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spacing w:val="-12"/>
          <w:lang w:val="es-MX"/>
        </w:rPr>
        <w:t xml:space="preserve">Caso Ruano Torres Vs. El Salvador, </w:t>
      </w:r>
      <w:r w:rsidRPr="000D4816">
        <w:rPr>
          <w:i/>
          <w:spacing w:val="-12"/>
          <w:lang w:val="es-MX"/>
        </w:rPr>
        <w:t>supra</w:t>
      </w:r>
      <w:r w:rsidRPr="00CB2424">
        <w:rPr>
          <w:spacing w:val="-12"/>
          <w:lang w:val="es-MX"/>
        </w:rPr>
        <w:t>, párr. 127</w:t>
      </w:r>
      <w:r w:rsidRPr="00CB2424">
        <w:t xml:space="preserve">, y </w:t>
      </w:r>
      <w:r w:rsidRPr="000D4816">
        <w:rPr>
          <w:i/>
        </w:rPr>
        <w:t>Cfr.</w:t>
      </w:r>
      <w:r w:rsidRPr="00CB2424">
        <w:t xml:space="preserve"> TEDH, Caso de Barberá, Messengué y Jabardo Vs. España, Aplicación No. 10590/83. Sentencia de </w:t>
      </w:r>
      <w:r w:rsidRPr="00CB2424">
        <w:rPr>
          <w:rStyle w:val="sb8d990e2"/>
          <w:lang w:val="es-CR"/>
        </w:rPr>
        <w:t>6 diciembre de 1988</w:t>
      </w:r>
      <w:r w:rsidRPr="00CB2424">
        <w:t>, párr. 77.</w:t>
      </w:r>
    </w:p>
  </w:footnote>
  <w:footnote w:id="123">
    <w:p w14:paraId="6D172ECF" w14:textId="0FF59154"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lang w:val="es-GT"/>
        </w:rPr>
        <w:t>Cfr.</w:t>
      </w:r>
      <w:r w:rsidRPr="00CB2424">
        <w:rPr>
          <w:lang w:val="es-GT"/>
        </w:rPr>
        <w:t xml:space="preserve"> </w:t>
      </w:r>
      <w:r w:rsidRPr="00CB2424">
        <w:t xml:space="preserve">Caso Cabrera García y Montiel Flores Vs. México, </w:t>
      </w:r>
      <w:r w:rsidRPr="000D4816">
        <w:rPr>
          <w:i/>
        </w:rPr>
        <w:t>supra</w:t>
      </w:r>
      <w:r w:rsidRPr="00CB2424">
        <w:t xml:space="preserve">, párr. </w:t>
      </w:r>
      <w:r w:rsidRPr="00CB2424">
        <w:rPr>
          <w:lang w:val="es-CR"/>
        </w:rPr>
        <w:t xml:space="preserve">182, y </w:t>
      </w:r>
      <w:r w:rsidRPr="00CB2424">
        <w:rPr>
          <w:spacing w:val="-12"/>
          <w:lang w:val="es-MX"/>
        </w:rPr>
        <w:t xml:space="preserve">Caso Ruano Torres Vs. El Salvador, </w:t>
      </w:r>
      <w:r w:rsidRPr="000D4816">
        <w:rPr>
          <w:i/>
          <w:spacing w:val="-12"/>
          <w:lang w:val="es-MX"/>
        </w:rPr>
        <w:t>supra</w:t>
      </w:r>
      <w:r w:rsidRPr="00CB2424">
        <w:rPr>
          <w:spacing w:val="-12"/>
          <w:lang w:val="es-MX"/>
        </w:rPr>
        <w:t xml:space="preserve">, párr. </w:t>
      </w:r>
      <w:r w:rsidRPr="00CB2424">
        <w:rPr>
          <w:lang w:val="es-CR"/>
        </w:rPr>
        <w:t>127</w:t>
      </w:r>
      <w:r w:rsidRPr="000D4816">
        <w:rPr>
          <w:i/>
          <w:lang w:val="es-CR"/>
        </w:rPr>
        <w:t>.</w:t>
      </w:r>
    </w:p>
  </w:footnote>
  <w:footnote w:id="124">
    <w:p w14:paraId="6D172ED0" w14:textId="210F00DC"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lang w:val="es-GT"/>
        </w:rPr>
        <w:t>Cfr.</w:t>
      </w:r>
      <w:r w:rsidRPr="00CB2424">
        <w:rPr>
          <w:i/>
          <w:lang w:val="es-GT"/>
        </w:rPr>
        <w:t xml:space="preserve"> </w:t>
      </w:r>
      <w:r w:rsidRPr="00CB2424">
        <w:rPr>
          <w:i/>
        </w:rPr>
        <w:t>Caso Cabrera García y Montiel Flores Vs. México</w:t>
      </w:r>
      <w:r w:rsidRPr="00CB2424">
        <w:t xml:space="preserve">, </w:t>
      </w:r>
      <w:r w:rsidRPr="000D4816">
        <w:rPr>
          <w:i/>
        </w:rPr>
        <w:t>supra</w:t>
      </w:r>
      <w:r w:rsidRPr="00CB2424">
        <w:t xml:space="preserve">, párr. 184, y </w:t>
      </w:r>
      <w:r w:rsidRPr="00CB2424">
        <w:rPr>
          <w:i/>
          <w:spacing w:val="-12"/>
          <w:lang w:val="es-MX"/>
        </w:rPr>
        <w:t xml:space="preserve">Caso Ruano Torres Vs. El Salvador, </w:t>
      </w:r>
      <w:r w:rsidRPr="000D4816">
        <w:rPr>
          <w:i/>
          <w:spacing w:val="-12"/>
          <w:lang w:val="es-MX"/>
        </w:rPr>
        <w:t>supra</w:t>
      </w:r>
      <w:r w:rsidRPr="00CB2424">
        <w:rPr>
          <w:spacing w:val="-12"/>
          <w:lang w:val="es-MX"/>
        </w:rPr>
        <w:t>, párr. 127</w:t>
      </w:r>
      <w:r w:rsidRPr="00CB2424">
        <w:t xml:space="preserve">. Ver también, TEDH, </w:t>
      </w:r>
      <w:r w:rsidRPr="00CB2424">
        <w:rPr>
          <w:i/>
        </w:rPr>
        <w:t>Caso</w:t>
      </w:r>
      <w:r w:rsidRPr="00CB2424">
        <w:t xml:space="preserve"> </w:t>
      </w:r>
      <w:r w:rsidRPr="00CB2424">
        <w:rPr>
          <w:i/>
        </w:rPr>
        <w:t>Telfner Vs Austria</w:t>
      </w:r>
      <w:r w:rsidRPr="00CB2424">
        <w:t xml:space="preserve">, Aplicación No. 33501/96. Sentencia de 20 de marzo de 2001, </w:t>
      </w:r>
      <w:r w:rsidRPr="00CB2424">
        <w:rPr>
          <w:lang w:val="es-CR"/>
        </w:rPr>
        <w:t>párr.</w:t>
      </w:r>
      <w:r w:rsidRPr="00CB2424">
        <w:t xml:space="preserve"> 15.</w:t>
      </w:r>
    </w:p>
  </w:footnote>
  <w:footnote w:id="125">
    <w:p w14:paraId="6D172ED1" w14:textId="6ABAC7B0" w:rsidR="0074038D" w:rsidRPr="00CB2424" w:rsidRDefault="0074038D" w:rsidP="00B66E4D">
      <w:pPr>
        <w:pStyle w:val="FootnoteText"/>
      </w:pPr>
      <w:r w:rsidRPr="00CB2424">
        <w:rPr>
          <w:rStyle w:val="FootnoteReference"/>
          <w:sz w:val="16"/>
        </w:rPr>
        <w:footnoteRef/>
      </w:r>
      <w:r w:rsidRPr="00CB2424">
        <w:t xml:space="preserve"> </w:t>
      </w:r>
      <w:r w:rsidRPr="00CB2424">
        <w:tab/>
      </w:r>
      <w:r w:rsidRPr="00B66E4D">
        <w:rPr>
          <w:i/>
        </w:rPr>
        <w:t xml:space="preserve">Caso Ruano Torres Vs. El Salvador, </w:t>
      </w:r>
      <w:r w:rsidRPr="000D4816">
        <w:rPr>
          <w:i/>
        </w:rPr>
        <w:t>supra</w:t>
      </w:r>
      <w:r w:rsidRPr="00CB2424">
        <w:t>, párr. 128.</w:t>
      </w:r>
    </w:p>
  </w:footnote>
  <w:footnote w:id="126">
    <w:p w14:paraId="6D172ED3" w14:textId="7723A46F" w:rsidR="0074038D" w:rsidRPr="00CB2424" w:rsidRDefault="0074038D" w:rsidP="00B66E4D">
      <w:pPr>
        <w:pStyle w:val="FootnoteText"/>
      </w:pPr>
      <w:r w:rsidRPr="00CB2424">
        <w:rPr>
          <w:rStyle w:val="FootnoteReference"/>
          <w:sz w:val="16"/>
        </w:rPr>
        <w:footnoteRef/>
      </w:r>
      <w:r w:rsidRPr="00CB2424">
        <w:t xml:space="preserve"> </w:t>
      </w:r>
      <w:r w:rsidRPr="00CB2424">
        <w:tab/>
      </w:r>
      <w:r w:rsidRPr="00B66E4D">
        <w:rPr>
          <w:i/>
        </w:rPr>
        <w:t xml:space="preserve">Caso Ruano Torres Vs. El Salvador, </w:t>
      </w:r>
      <w:r w:rsidRPr="000D4816">
        <w:rPr>
          <w:i/>
        </w:rPr>
        <w:t>supra</w:t>
      </w:r>
      <w:r w:rsidRPr="00CB2424">
        <w:t>, párr. 133.</w:t>
      </w:r>
    </w:p>
  </w:footnote>
  <w:footnote w:id="127">
    <w:p w14:paraId="6D172ED4" w14:textId="01444F14" w:rsidR="0074038D" w:rsidRPr="00CB2424" w:rsidRDefault="0074038D" w:rsidP="00B66E4D">
      <w:pPr>
        <w:pStyle w:val="FootnoteText"/>
      </w:pPr>
      <w:r w:rsidRPr="00CB2424">
        <w:rPr>
          <w:rStyle w:val="FootnoteReference"/>
          <w:sz w:val="16"/>
        </w:rPr>
        <w:footnoteRef/>
      </w:r>
      <w:r w:rsidRPr="00CB2424">
        <w:t xml:space="preserve"> </w:t>
      </w:r>
      <w:r w:rsidRPr="00CB2424">
        <w:tab/>
        <w:t>Peritaje rendido por Hernán Víctor Gullco (expediente de fondo, folios 726 y 727). El perito manifestó que de acuerdo con la jurisprudencia del Tribunal Constitucional Español (Sentencia 118/2004, párr. 2): "en materia de valor probatorio de las declaraciones incriminatorias prestadas por un coimputado en un proceso penal […] cuando dicha declaración se erige en única prueba para justificar la condena deben extremarse las cautelas antes de proceder a imponerla sobre dicha base. Ello se debe a la especial posición que ocupa el coimputado en el proceso ya que, a diferencia del testigo, no tiene obligación de decir verdad sino, por el contrario, derecho a no declarar contra sí mismo y a no confesarse culpable e, incluso, a mentir. Por ello, tales declaraciones exigen un plus al efecto de ser valoradas como prueba de cargo suficiente, plus que este Tribunal ha concretado en la exigencia de que resulten 'mínimamente corroboradas' por algún hecho, dato o circunstancia externa que avalen su credibilidad, sin haber especificado, sin embargo, hasta este momento en que ha de consistir esa 'corroboración mínima' por ser esta una noción 'que no es posible definir con carácter general', por lo que ha de dejarse en manos de 'la casuística la determinación de los supuestos en que ha existido esa mínima corroboración, tomando en cuenta las circunstancias concurrentes en cada caso’".</w:t>
      </w:r>
    </w:p>
  </w:footnote>
  <w:footnote w:id="128">
    <w:p w14:paraId="6D172ED5" w14:textId="4E37878C"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t xml:space="preserve">ONU, Comité de Derechos Humanos, </w:t>
      </w:r>
      <w:r w:rsidRPr="00CB2424">
        <w:rPr>
          <w:rFonts w:ascii="Verdana" w:hAnsi="Verdana"/>
          <w:i/>
          <w:sz w:val="16"/>
          <w:szCs w:val="16"/>
          <w:lang w:val="es-CR"/>
        </w:rPr>
        <w:t>Caso Irina Arutyuniantz vs. Uzbekistán</w:t>
      </w:r>
      <w:r w:rsidRPr="00CB2424">
        <w:rPr>
          <w:rFonts w:ascii="Verdana" w:hAnsi="Verdana"/>
          <w:sz w:val="16"/>
          <w:szCs w:val="16"/>
          <w:lang w:val="es-CR"/>
        </w:rPr>
        <w:t xml:space="preserve">, Comunicación 971/2001, UN Doc. CCPR/C/83/D/971/2001, 13 de abril de 2005, </w:t>
      </w:r>
      <w:r w:rsidRPr="00CB2424">
        <w:rPr>
          <w:rFonts w:ascii="Verdana" w:hAnsi="Verdana"/>
          <w:bCs/>
          <w:sz w:val="16"/>
          <w:szCs w:val="16"/>
          <w:lang w:val="es-CR"/>
        </w:rPr>
        <w:t xml:space="preserve">párr. 6.4. En el mismo sentido, </w:t>
      </w:r>
      <w:r w:rsidRPr="00CB2424">
        <w:rPr>
          <w:rFonts w:ascii="Verdana" w:hAnsi="Verdana"/>
          <w:sz w:val="16"/>
          <w:szCs w:val="16"/>
          <w:lang w:val="es-CR"/>
        </w:rPr>
        <w:t xml:space="preserve">en el </w:t>
      </w:r>
      <w:r w:rsidRPr="00CB2424">
        <w:rPr>
          <w:rFonts w:ascii="Verdana" w:hAnsi="Verdana"/>
          <w:i/>
          <w:sz w:val="16"/>
          <w:szCs w:val="16"/>
          <w:lang w:val="es-CR"/>
        </w:rPr>
        <w:t>Caso Francisco Juan Larrañaga vs. Filipinas</w:t>
      </w:r>
      <w:r w:rsidRPr="00CB2424">
        <w:rPr>
          <w:rFonts w:ascii="Verdana" w:hAnsi="Verdana"/>
          <w:sz w:val="16"/>
          <w:szCs w:val="16"/>
          <w:lang w:val="es-CR"/>
        </w:rPr>
        <w:t xml:space="preserve"> el Comité concluyó que</w:t>
      </w:r>
      <w:r w:rsidRPr="00CB2424">
        <w:rPr>
          <w:rFonts w:ascii="Verdana" w:hAnsi="Verdana"/>
          <w:b/>
          <w:sz w:val="16"/>
          <w:szCs w:val="16"/>
          <w:lang w:val="es-CR"/>
        </w:rPr>
        <w:t xml:space="preserve"> </w:t>
      </w:r>
      <w:r w:rsidRPr="00CB2424">
        <w:rPr>
          <w:rFonts w:ascii="Verdana" w:hAnsi="Verdana" w:cs="TimesNewRoman"/>
          <w:sz w:val="16"/>
          <w:szCs w:val="16"/>
          <w:lang w:val="es-CR"/>
        </w:rPr>
        <w:t>“[…] a juicio del Comité, las pruebas inculpatorias presentadas contra una persona por un cómplice acusado del mismo delito se deben tratar con cautela, particularmente cuando se ha comprobado que el cómplice miente sobre sus anteriores condenas penales, se le ha concedido la inmunidad penal y acaba admitiendo haber violado a una de las víctimas. En el presente caso, el Comité considera que, a pesar de que todas estas cuestiones fueron suscitadas por el autor, ni el tribunal de primera instancia ni el Supremo las abordaron adecuadamente”</w:t>
      </w:r>
      <w:r w:rsidRPr="00CB2424">
        <w:rPr>
          <w:rFonts w:ascii="Verdana" w:hAnsi="Verdana"/>
          <w:sz w:val="16"/>
          <w:szCs w:val="16"/>
          <w:lang w:val="es-CR"/>
        </w:rPr>
        <w:t xml:space="preserve">. </w:t>
      </w:r>
      <w:r w:rsidRPr="000D4816">
        <w:rPr>
          <w:rFonts w:ascii="Verdana" w:hAnsi="Verdana"/>
          <w:i/>
          <w:sz w:val="16"/>
          <w:szCs w:val="16"/>
          <w:lang w:val="es-CR"/>
        </w:rPr>
        <w:t>Cfr.</w:t>
      </w:r>
      <w:r w:rsidRPr="00CB2424">
        <w:rPr>
          <w:rFonts w:ascii="Verdana" w:hAnsi="Verdana"/>
          <w:bCs/>
          <w:sz w:val="16"/>
          <w:szCs w:val="16"/>
          <w:lang w:val="es-CR"/>
        </w:rPr>
        <w:t xml:space="preserve"> ONU, </w:t>
      </w:r>
      <w:r w:rsidRPr="00CB2424">
        <w:rPr>
          <w:rFonts w:ascii="Verdana" w:hAnsi="Verdana"/>
          <w:sz w:val="16"/>
          <w:szCs w:val="16"/>
          <w:lang w:val="es-CR"/>
        </w:rPr>
        <w:t xml:space="preserve">Comité de Derechos Humanos, </w:t>
      </w:r>
      <w:r w:rsidRPr="00CB2424">
        <w:rPr>
          <w:rFonts w:ascii="Verdana" w:hAnsi="Verdana"/>
          <w:i/>
          <w:sz w:val="16"/>
          <w:szCs w:val="16"/>
          <w:lang w:val="es-CR"/>
        </w:rPr>
        <w:t>Caso Francisco Juan Larrañaga vs. Filipinas</w:t>
      </w:r>
      <w:r w:rsidRPr="00CB2424">
        <w:rPr>
          <w:rFonts w:ascii="Verdana" w:hAnsi="Verdana"/>
          <w:sz w:val="16"/>
          <w:szCs w:val="16"/>
          <w:lang w:val="es-CR"/>
        </w:rPr>
        <w:t xml:space="preserve">, Comunicación 1421/2005, UN Doc. </w:t>
      </w:r>
      <w:r w:rsidRPr="00CB2424">
        <w:rPr>
          <w:rFonts w:ascii="Verdana" w:hAnsi="Verdana" w:cs="TimesNewRoman"/>
          <w:sz w:val="16"/>
          <w:szCs w:val="16"/>
          <w:lang w:val="es-CR"/>
        </w:rPr>
        <w:t>CCPR/C/87/D/1421/2005, 24 de julio de 2006</w:t>
      </w:r>
      <w:r w:rsidRPr="00CB2424">
        <w:rPr>
          <w:rFonts w:ascii="Verdana" w:hAnsi="Verdana"/>
          <w:sz w:val="16"/>
          <w:szCs w:val="16"/>
          <w:lang w:val="es-CR"/>
        </w:rPr>
        <w:t xml:space="preserve">, </w:t>
      </w:r>
      <w:r w:rsidRPr="00CB2424">
        <w:rPr>
          <w:rFonts w:ascii="Verdana" w:hAnsi="Verdana"/>
          <w:bCs/>
          <w:sz w:val="16"/>
          <w:szCs w:val="16"/>
          <w:lang w:val="es-CR"/>
        </w:rPr>
        <w:t>párr. 7.4.</w:t>
      </w:r>
    </w:p>
  </w:footnote>
  <w:footnote w:id="129">
    <w:p w14:paraId="6D172ED7" w14:textId="3870104C" w:rsidR="0074038D" w:rsidRPr="00CB2424" w:rsidRDefault="0074038D" w:rsidP="00B66E4D">
      <w:pPr>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0D4816">
        <w:rPr>
          <w:rFonts w:ascii="Verdana" w:hAnsi="Verdana"/>
          <w:i/>
          <w:sz w:val="16"/>
          <w:szCs w:val="16"/>
          <w:lang w:val="es-CR"/>
        </w:rPr>
        <w:t>Cfr.</w:t>
      </w:r>
      <w:r w:rsidRPr="00CB2424">
        <w:rPr>
          <w:rFonts w:ascii="Verdana" w:hAnsi="Verdana"/>
          <w:i/>
          <w:sz w:val="16"/>
          <w:szCs w:val="16"/>
          <w:lang w:val="es-CR"/>
        </w:rPr>
        <w:t xml:space="preserve"> </w:t>
      </w:r>
      <w:r w:rsidRPr="00CB2424">
        <w:rPr>
          <w:rFonts w:ascii="Verdana" w:hAnsi="Verdana"/>
          <w:sz w:val="16"/>
          <w:szCs w:val="16"/>
          <w:lang w:val="es-CR"/>
        </w:rPr>
        <w:t xml:space="preserve">TEDH, </w:t>
      </w:r>
      <w:r w:rsidRPr="00CB2424">
        <w:rPr>
          <w:rFonts w:ascii="Verdana" w:hAnsi="Verdana"/>
          <w:i/>
          <w:sz w:val="16"/>
          <w:szCs w:val="16"/>
          <w:lang w:val="es-CR"/>
        </w:rPr>
        <w:t>Caso de Schatschaschwili Vs. Alemania [GS]</w:t>
      </w:r>
      <w:r w:rsidRPr="00CB2424">
        <w:rPr>
          <w:rFonts w:ascii="Verdana" w:hAnsi="Verdana"/>
          <w:sz w:val="16"/>
          <w:szCs w:val="16"/>
          <w:lang w:val="es-CR"/>
        </w:rPr>
        <w:t xml:space="preserve">, Aplicación No. 9154/10. Sentencia de 15 de diciembre de 2015, párr. </w:t>
      </w:r>
      <w:r w:rsidRPr="00CB2424">
        <w:rPr>
          <w:rFonts w:ascii="Verdana" w:hAnsi="Verdana"/>
          <w:sz w:val="16"/>
          <w:szCs w:val="16"/>
          <w:lang w:val="es-EC"/>
        </w:rPr>
        <w:t xml:space="preserve">123, y </w:t>
      </w:r>
      <w:r w:rsidRPr="00CB2424">
        <w:rPr>
          <w:rFonts w:ascii="Verdana" w:hAnsi="Verdana"/>
          <w:i/>
          <w:sz w:val="16"/>
          <w:szCs w:val="16"/>
          <w:lang w:val="es-EC"/>
        </w:rPr>
        <w:t xml:space="preserve">caso de Al-Khawaja y Tahery Vs. </w:t>
      </w:r>
      <w:r w:rsidRPr="00CB2424">
        <w:rPr>
          <w:rFonts w:ascii="Verdana" w:hAnsi="Verdana"/>
          <w:i/>
          <w:sz w:val="16"/>
          <w:szCs w:val="16"/>
          <w:lang w:val="es-CR"/>
        </w:rPr>
        <w:t>Reino Unido [GS]</w:t>
      </w:r>
      <w:r w:rsidRPr="00CB2424">
        <w:rPr>
          <w:rFonts w:ascii="Verdana" w:hAnsi="Verdana"/>
          <w:sz w:val="16"/>
          <w:szCs w:val="16"/>
          <w:lang w:val="es-CR"/>
        </w:rPr>
        <w:t>, Nos. 26766/05 y 22228/06. Sentencia de 15 de diciembre de 2011, párr. 131. El TEDH ha establecido que ““[…] la palabra evidencia “sola” debe ser entendida como la única evidencia en contra de un acusado. Evidencia “decisiva”</w:t>
      </w:r>
      <w:r w:rsidRPr="00CB2424">
        <w:rPr>
          <w:rFonts w:ascii="Verdana" w:hAnsi="Verdana"/>
          <w:sz w:val="16"/>
          <w:szCs w:val="16"/>
        </w:rPr>
        <w:t xml:space="preserve"> debe</w:t>
      </w:r>
      <w:r w:rsidRPr="00CB2424">
        <w:rPr>
          <w:rFonts w:ascii="Verdana" w:hAnsi="Verdana"/>
          <w:sz w:val="16"/>
          <w:szCs w:val="16"/>
          <w:lang w:val="es-CR"/>
        </w:rPr>
        <w:t xml:space="preserve"> ser interpretada de manera </w:t>
      </w:r>
      <w:r w:rsidRPr="00CB2424">
        <w:rPr>
          <w:rFonts w:ascii="Verdana" w:hAnsi="Verdana"/>
          <w:sz w:val="16"/>
          <w:szCs w:val="16"/>
        </w:rPr>
        <w:t>restrictiva</w:t>
      </w:r>
      <w:r w:rsidRPr="00CB2424">
        <w:rPr>
          <w:rFonts w:ascii="Verdana" w:hAnsi="Verdana"/>
          <w:sz w:val="16"/>
          <w:szCs w:val="16"/>
          <w:lang w:val="es-CR"/>
        </w:rPr>
        <w:t xml:space="preserve"> como indicación de evidencia que tenga tal</w:t>
      </w:r>
      <w:r w:rsidRPr="00CB2424">
        <w:rPr>
          <w:rFonts w:ascii="Verdana" w:hAnsi="Verdana"/>
          <w:sz w:val="16"/>
          <w:szCs w:val="16"/>
        </w:rPr>
        <w:t xml:space="preserve"> significación o</w:t>
      </w:r>
      <w:r w:rsidRPr="00CB2424">
        <w:rPr>
          <w:rFonts w:ascii="Verdana" w:hAnsi="Verdana"/>
          <w:sz w:val="16"/>
          <w:szCs w:val="16"/>
          <w:lang w:val="es-CR"/>
        </w:rPr>
        <w:t xml:space="preserve"> importancia que es probable que sea determinante para la decisión</w:t>
      </w:r>
      <w:r w:rsidRPr="00CB2424">
        <w:rPr>
          <w:rFonts w:ascii="Verdana" w:hAnsi="Verdana"/>
          <w:sz w:val="16"/>
          <w:szCs w:val="16"/>
        </w:rPr>
        <w:t xml:space="preserve"> del caso. Cuando la evidencia no corroborada de un testimonio es apoyada por otra evidencia que lo corrobore, la afirmación sobre si esta evidencia es decisiva dependerá de la fuerza de la evidencia que la acompañe; entre más sólida sea la evidencia que corrobore, menos probable es que la evidencia de un testigo ausente sea tratada como decisiva”</w:t>
      </w:r>
      <w:r w:rsidRPr="000D4816">
        <w:rPr>
          <w:rFonts w:ascii="Verdana" w:hAnsi="Verdana"/>
          <w:i/>
          <w:sz w:val="16"/>
          <w:szCs w:val="16"/>
        </w:rPr>
        <w:t>.</w:t>
      </w:r>
    </w:p>
  </w:footnote>
  <w:footnote w:id="130">
    <w:p w14:paraId="6D172ED8" w14:textId="1B4AF223" w:rsidR="0074038D" w:rsidRPr="00CB2424" w:rsidRDefault="0074038D" w:rsidP="00B66E4D">
      <w:pPr>
        <w:pStyle w:val="FootnoteText"/>
      </w:pPr>
      <w:r w:rsidRPr="00CB2424">
        <w:rPr>
          <w:rStyle w:val="FootnoteReference"/>
          <w:sz w:val="16"/>
        </w:rPr>
        <w:footnoteRef/>
      </w:r>
      <w:r w:rsidRPr="00CB2424">
        <w:rPr>
          <w:lang w:val="es-CR"/>
        </w:rPr>
        <w:t xml:space="preserve"> </w:t>
      </w:r>
      <w:r w:rsidRPr="00CB2424">
        <w:rPr>
          <w:color w:val="FF0000"/>
          <w:lang w:val="es-CR"/>
        </w:rPr>
        <w:tab/>
      </w:r>
      <w:r w:rsidRPr="000D4816">
        <w:rPr>
          <w:i/>
        </w:rPr>
        <w:t>Cfr.</w:t>
      </w:r>
      <w:r w:rsidRPr="00CB2424">
        <w:t xml:space="preserve"> Declaraciones indagatorias de CH y MP, ambas de 20 de octubre de 1994 (expediente de anexos a la contestación, folios 1699 y 1702, respectivamente).</w:t>
      </w:r>
    </w:p>
  </w:footnote>
  <w:footnote w:id="131">
    <w:p w14:paraId="6D172ED9" w14:textId="39596969" w:rsidR="0074038D" w:rsidRPr="00CB2424" w:rsidRDefault="0074038D" w:rsidP="00B66E4D">
      <w:pPr>
        <w:pStyle w:val="NormalWeb"/>
        <w:widowControl w:val="0"/>
        <w:suppressLineNumbers/>
        <w:tabs>
          <w:tab w:val="left" w:pos="567"/>
        </w:tabs>
        <w:suppressAutoHyphens/>
        <w:spacing w:before="60" w:beforeAutospacing="0" w:after="60" w:afterAutospacing="0"/>
        <w:jc w:val="both"/>
        <w:rPr>
          <w:rFonts w:ascii="Verdana" w:hAnsi="Verdana"/>
          <w:sz w:val="16"/>
          <w:szCs w:val="16"/>
        </w:rPr>
      </w:pPr>
      <w:r w:rsidRPr="00CB2424">
        <w:rPr>
          <w:rStyle w:val="FootnoteReference"/>
          <w:rFonts w:eastAsiaTheme="majorEastAsia"/>
          <w:sz w:val="16"/>
          <w:szCs w:val="16"/>
        </w:rPr>
        <w:footnoteRef/>
      </w:r>
      <w:r w:rsidRPr="00CB2424">
        <w:rPr>
          <w:rFonts w:ascii="Verdana" w:hAnsi="Verdana"/>
          <w:sz w:val="16"/>
          <w:szCs w:val="16"/>
        </w:rPr>
        <w:t xml:space="preserve"> </w:t>
      </w:r>
      <w:r w:rsidRPr="00CB2424">
        <w:rPr>
          <w:rFonts w:ascii="Verdana" w:hAnsi="Verdana"/>
          <w:sz w:val="16"/>
          <w:szCs w:val="16"/>
        </w:rPr>
        <w:tab/>
      </w:r>
      <w:r w:rsidRPr="00CB2424">
        <w:rPr>
          <w:rFonts w:ascii="Verdana" w:hAnsi="Verdana"/>
          <w:sz w:val="16"/>
          <w:szCs w:val="16"/>
          <w:lang w:val="es-MX"/>
        </w:rPr>
        <w:t>El actual Código de Procedimientos Penales del Perú, a partir del año 2000, contempla en el artículo 283 que "</w:t>
      </w:r>
      <w:r w:rsidRPr="00CB2424">
        <w:rPr>
          <w:rFonts w:ascii="Verdana" w:hAnsi="Verdana"/>
          <w:sz w:val="16"/>
          <w:szCs w:val="16"/>
        </w:rPr>
        <w:t xml:space="preserve">los hechos y las pruebas que los abonen serán apreciados con criterio de conciencia”. Asimismo, el Nuevo Código Procesal Penal, publicado en 2004, establece en el artículo II que </w:t>
      </w:r>
      <w:r w:rsidRPr="00CB2424">
        <w:rPr>
          <w:rFonts w:ascii="Verdana" w:hAnsi="Verdana"/>
          <w:bCs/>
          <w:sz w:val="16"/>
          <w:szCs w:val="16"/>
        </w:rPr>
        <w:t>“1.</w:t>
      </w:r>
      <w:r w:rsidRPr="00CB2424">
        <w:rPr>
          <w:rFonts w:ascii="Verdana" w:hAnsi="Verdana"/>
          <w:sz w:val="16"/>
          <w:szCs w:val="16"/>
        </w:rPr>
        <w:t xml:space="preserve"> Toda persona imputada de la comisión de un hecho punible es considerada inocente, y debe ser tratada como tal, mientras no se demuestre lo contrario y se haya declarado su responsabilidad mediante sentencia firme debidamente motivada. Para estos efectos, se requiere de una suficiente actividad probatoria de cargo, obtenida y actuada con las debidas garantías procesales. En caso de duda sobre la responsabilidad penal debe resolverse a favor del imputado. </w:t>
      </w:r>
      <w:r w:rsidRPr="00CB2424">
        <w:rPr>
          <w:rFonts w:ascii="Verdana" w:hAnsi="Verdana"/>
          <w:bCs/>
          <w:sz w:val="16"/>
          <w:szCs w:val="16"/>
        </w:rPr>
        <w:t>2.</w:t>
      </w:r>
      <w:r w:rsidRPr="00CB2424">
        <w:rPr>
          <w:rFonts w:ascii="Verdana" w:hAnsi="Verdana"/>
          <w:b/>
          <w:bCs/>
          <w:sz w:val="16"/>
          <w:szCs w:val="16"/>
        </w:rPr>
        <w:t xml:space="preserve"> </w:t>
      </w:r>
      <w:r w:rsidRPr="00CB2424">
        <w:rPr>
          <w:rFonts w:ascii="Verdana" w:hAnsi="Verdana"/>
          <w:sz w:val="16"/>
          <w:szCs w:val="16"/>
        </w:rPr>
        <w:t xml:space="preserve">Hasta antes de la sentencia firme, ningún funcionario o autoridad pública puede presentar a una persona como culpable o brindar información en tal sentido”. De igual forma, dicho Código Procesal señala en el artículo 158 que “2. en los supuestos de testigos de referencia, declaración de arrepentidos o colaboradores y situaciones análogas, sólo con otras pruebas que corroboren sus testimonios se podrá imponer al imputado una medida coercitiva o dictar en su contra sentencia condenatoria”. </w:t>
      </w:r>
    </w:p>
  </w:footnote>
  <w:footnote w:id="132">
    <w:p w14:paraId="6D172EDA" w14:textId="515C4F2D" w:rsidR="0074038D" w:rsidRPr="00CB2424" w:rsidRDefault="0074038D" w:rsidP="00B66E4D">
      <w:pPr>
        <w:pStyle w:val="NormalWeb"/>
        <w:widowControl w:val="0"/>
        <w:suppressLineNumbers/>
        <w:tabs>
          <w:tab w:val="left" w:pos="567"/>
        </w:tabs>
        <w:suppressAutoHyphens/>
        <w:spacing w:before="60" w:beforeAutospacing="0" w:after="60" w:afterAutospacing="0"/>
        <w:jc w:val="both"/>
        <w:rPr>
          <w:rFonts w:ascii="Verdana" w:hAnsi="Verdana"/>
          <w:sz w:val="16"/>
          <w:szCs w:val="16"/>
        </w:rPr>
      </w:pPr>
      <w:r w:rsidRPr="00CB2424">
        <w:rPr>
          <w:rStyle w:val="FootnoteReference"/>
          <w:rFonts w:eastAsiaTheme="majorEastAsia"/>
          <w:sz w:val="16"/>
          <w:szCs w:val="16"/>
        </w:rPr>
        <w:footnoteRef/>
      </w:r>
      <w:r>
        <w:rPr>
          <w:rFonts w:ascii="Verdana" w:hAnsi="Verdana"/>
          <w:sz w:val="16"/>
          <w:szCs w:val="16"/>
        </w:rPr>
        <w:t xml:space="preserve"> </w:t>
      </w:r>
      <w:r>
        <w:rPr>
          <w:rFonts w:ascii="Verdana" w:hAnsi="Verdana"/>
          <w:sz w:val="16"/>
          <w:szCs w:val="16"/>
        </w:rPr>
        <w:tab/>
      </w:r>
      <w:r w:rsidRPr="000D4816">
        <w:rPr>
          <w:rFonts w:ascii="Verdana" w:hAnsi="Verdana"/>
          <w:i/>
          <w:sz w:val="16"/>
          <w:szCs w:val="16"/>
        </w:rPr>
        <w:t>Cfr.</w:t>
      </w:r>
      <w:r w:rsidRPr="00CB2424">
        <w:rPr>
          <w:rFonts w:ascii="Verdana" w:hAnsi="Verdana"/>
          <w:i/>
          <w:sz w:val="16"/>
          <w:szCs w:val="16"/>
        </w:rPr>
        <w:t xml:space="preserve"> </w:t>
      </w:r>
      <w:r w:rsidRPr="00CB2424">
        <w:rPr>
          <w:rFonts w:ascii="Verdana" w:hAnsi="Verdana"/>
          <w:sz w:val="16"/>
          <w:szCs w:val="16"/>
        </w:rPr>
        <w:t>Acuerdo Plenario No. 2-2005/CJ-116 (expediente de fondo, folios 709 a 712). E</w:t>
      </w:r>
      <w:r w:rsidRPr="00CB2424">
        <w:rPr>
          <w:rFonts w:ascii="Verdana" w:hAnsi="Verdana"/>
          <w:sz w:val="16"/>
          <w:szCs w:val="16"/>
          <w:lang w:val="es-MX"/>
        </w:rPr>
        <w:t>l 30 de septiembre de 2005 el Pleno Jurisdiccional de las Salas Penales Permanente y Transitoria de la Corte Suprema de Justicia del Perú emitió dicho Acuerdo Plenario sobre la sindicación de coacusados, testigos o agraviados</w:t>
      </w:r>
      <w:r w:rsidRPr="00CB2424">
        <w:rPr>
          <w:rFonts w:ascii="Verdana" w:hAnsi="Verdana"/>
          <w:sz w:val="16"/>
          <w:szCs w:val="16"/>
        </w:rPr>
        <w:t xml:space="preserve">. </w:t>
      </w:r>
      <w:r w:rsidRPr="00CB2424">
        <w:rPr>
          <w:rFonts w:ascii="Verdana" w:hAnsi="Verdana"/>
          <w:sz w:val="16"/>
          <w:szCs w:val="16"/>
          <w:lang w:val="es-MX"/>
        </w:rPr>
        <w:t>En este sentido, el Acuerdo señala que “desde la perspectiva objetiva, se requiere que el relato incriminador esté mínimamente corroborado por otras acreditaciones indiciarias en contra del sindicado que incorporen algún hecho, dato o circunstancia externa, aún de carácter periférico, que consolide su contenido incriminador”.</w:t>
      </w:r>
    </w:p>
  </w:footnote>
  <w:footnote w:id="133">
    <w:p w14:paraId="6D172EDB" w14:textId="565A7E03"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Sentencia de la Quinta Sala Penal de la Corte Superior de Justicia de Lima de 8 de noviembre de 1996, expediente No. 984-94 (expediente de anexos a la contestación del Estado, folios 1511 a 1515).</w:t>
      </w:r>
    </w:p>
  </w:footnote>
  <w:footnote w:id="134">
    <w:p w14:paraId="6D172EDC" w14:textId="0ABB53F5"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0D4816">
        <w:rPr>
          <w:rFonts w:ascii="Verdana" w:hAnsi="Verdana"/>
          <w:i/>
          <w:sz w:val="16"/>
          <w:szCs w:val="16"/>
          <w:lang w:val="es-GT"/>
        </w:rPr>
        <w:t>Cfr.</w:t>
      </w:r>
      <w:r w:rsidRPr="00CB2424">
        <w:rPr>
          <w:rFonts w:ascii="Verdana" w:hAnsi="Verdana"/>
          <w:i/>
          <w:sz w:val="16"/>
          <w:szCs w:val="16"/>
          <w:lang w:val="es-GT"/>
        </w:rPr>
        <w:t xml:space="preserve"> </w:t>
      </w:r>
      <w:r w:rsidRPr="00CB2424">
        <w:rPr>
          <w:rFonts w:ascii="Verdana" w:hAnsi="Verdana"/>
          <w:i/>
          <w:sz w:val="16"/>
          <w:szCs w:val="16"/>
        </w:rPr>
        <w:t>Caso Cabrera García y Montiel Flores Vs. México</w:t>
      </w:r>
      <w:r w:rsidRPr="00CB2424">
        <w:rPr>
          <w:rFonts w:ascii="Verdana" w:hAnsi="Verdana"/>
          <w:sz w:val="16"/>
          <w:szCs w:val="16"/>
        </w:rPr>
        <w:t xml:space="preserve">, </w:t>
      </w:r>
      <w:r w:rsidRPr="000D4816">
        <w:rPr>
          <w:rFonts w:ascii="Verdana" w:hAnsi="Verdana"/>
          <w:i/>
          <w:sz w:val="16"/>
          <w:szCs w:val="16"/>
        </w:rPr>
        <w:t>supra</w:t>
      </w:r>
      <w:r w:rsidRPr="00CB2424">
        <w:rPr>
          <w:rFonts w:ascii="Verdana" w:hAnsi="Verdana"/>
          <w:sz w:val="16"/>
          <w:szCs w:val="16"/>
        </w:rPr>
        <w:t xml:space="preserve">, párr. </w:t>
      </w:r>
      <w:r w:rsidRPr="00CB2424">
        <w:rPr>
          <w:rFonts w:ascii="Verdana" w:hAnsi="Verdana"/>
          <w:sz w:val="16"/>
          <w:szCs w:val="16"/>
          <w:lang w:val="es-CR"/>
        </w:rPr>
        <w:t xml:space="preserve">182, y </w:t>
      </w:r>
      <w:r w:rsidRPr="00CB2424">
        <w:rPr>
          <w:rFonts w:ascii="Verdana" w:hAnsi="Verdana"/>
          <w:i/>
          <w:spacing w:val="-12"/>
          <w:sz w:val="16"/>
          <w:szCs w:val="16"/>
          <w:lang w:val="es-MX"/>
        </w:rPr>
        <w:t xml:space="preserve">Caso Ruano Torres Vs. El Salvador, </w:t>
      </w:r>
      <w:r w:rsidRPr="000D4816">
        <w:rPr>
          <w:rFonts w:ascii="Verdana" w:hAnsi="Verdana"/>
          <w:i/>
          <w:spacing w:val="-12"/>
          <w:sz w:val="16"/>
          <w:szCs w:val="16"/>
          <w:lang w:val="es-MX"/>
        </w:rPr>
        <w:t>supra</w:t>
      </w:r>
      <w:r w:rsidRPr="00CB2424">
        <w:rPr>
          <w:rFonts w:ascii="Verdana" w:hAnsi="Verdana"/>
          <w:spacing w:val="-12"/>
          <w:sz w:val="16"/>
          <w:szCs w:val="16"/>
          <w:lang w:val="es-MX"/>
        </w:rPr>
        <w:t>, párr.</w:t>
      </w:r>
      <w:r w:rsidRPr="00CB2424">
        <w:rPr>
          <w:rFonts w:ascii="Verdana" w:hAnsi="Verdana"/>
          <w:sz w:val="16"/>
          <w:szCs w:val="16"/>
          <w:lang w:val="es-CR"/>
        </w:rPr>
        <w:t>127.</w:t>
      </w:r>
    </w:p>
  </w:footnote>
  <w:footnote w:id="135">
    <w:p w14:paraId="6D172EDD" w14:textId="79F018EB"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B66E4D">
        <w:rPr>
          <w:i/>
        </w:rPr>
        <w:t xml:space="preserve"> Caso Ricardo Canese Vs. Paraguay</w:t>
      </w:r>
      <w:r w:rsidRPr="00CB2424">
        <w:t xml:space="preserve">. Fondo, Reparaciones y Costas. Sentencia de 31 de agosto de 2004. Serie C No. 111, párr. 154; y </w:t>
      </w:r>
      <w:r w:rsidRPr="00B66E4D">
        <w:rPr>
          <w:i/>
          <w:spacing w:val="-12"/>
          <w:lang w:val="es-MX"/>
        </w:rPr>
        <w:t>Caso Ruano Torres Vs. El Salvador</w:t>
      </w:r>
      <w:r w:rsidRPr="00CB2424">
        <w:rPr>
          <w:spacing w:val="-12"/>
          <w:lang w:val="es-MX"/>
        </w:rPr>
        <w:t xml:space="preserve">, </w:t>
      </w:r>
      <w:r w:rsidRPr="000D4816">
        <w:rPr>
          <w:i/>
          <w:spacing w:val="-12"/>
          <w:lang w:val="es-MX"/>
        </w:rPr>
        <w:t>supra</w:t>
      </w:r>
      <w:r w:rsidRPr="00CB2424">
        <w:rPr>
          <w:spacing w:val="-12"/>
          <w:lang w:val="es-MX"/>
        </w:rPr>
        <w:t xml:space="preserve">, párr. </w:t>
      </w:r>
      <w:r w:rsidRPr="00CB2424">
        <w:t>127.</w:t>
      </w:r>
    </w:p>
  </w:footnote>
  <w:footnote w:id="136">
    <w:p w14:paraId="6D172EDE" w14:textId="0B22AB1E"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i/>
        </w:rPr>
        <w:t>Caso García Asto y Ramírez Rojas Vs. Perú.</w:t>
      </w:r>
      <w:r w:rsidRPr="00CB2424">
        <w:t xml:space="preserve"> Sentencia de 25 de noviembre de 2005</w:t>
      </w:r>
      <w:r w:rsidRPr="00B66E4D">
        <w:t xml:space="preserve">. </w:t>
      </w:r>
      <w:hyperlink r:id="rId4" w:tgtFrame="_blank" w:history="1">
        <w:r w:rsidRPr="00B66E4D">
          <w:rPr>
            <w:rStyle w:val="Hyperlink"/>
            <w:color w:val="auto"/>
            <w:u w:val="none"/>
            <w:lang w:val="es-CR"/>
          </w:rPr>
          <w:t>Serie C No. 137</w:t>
        </w:r>
      </w:hyperlink>
      <w:r w:rsidRPr="00CB2424">
        <w:t>, párr. 160.</w:t>
      </w:r>
    </w:p>
  </w:footnote>
  <w:footnote w:id="137">
    <w:p w14:paraId="6D172EDF" w14:textId="6B06ACFB"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0D4816">
        <w:rPr>
          <w:rFonts w:ascii="Verdana" w:hAnsi="Verdana"/>
          <w:i/>
          <w:sz w:val="16"/>
          <w:szCs w:val="16"/>
          <w:lang w:val="es-CR"/>
        </w:rPr>
        <w:t>Cfr.</w:t>
      </w:r>
      <w:r w:rsidRPr="00CB2424">
        <w:rPr>
          <w:rFonts w:ascii="Verdana" w:hAnsi="Verdana"/>
          <w:i/>
          <w:sz w:val="16"/>
          <w:szCs w:val="16"/>
          <w:lang w:val="es-CR"/>
        </w:rPr>
        <w:t xml:space="preserve"> </w:t>
      </w:r>
      <w:r w:rsidRPr="00CB2424">
        <w:rPr>
          <w:rFonts w:ascii="Verdana" w:hAnsi="Verdana"/>
          <w:sz w:val="16"/>
          <w:szCs w:val="16"/>
        </w:rPr>
        <w:t>Peritaje rendido por Hernán Víctor Gullco (expediente de fondo, folios 724)</w:t>
      </w:r>
      <w:r w:rsidRPr="00CB2424">
        <w:rPr>
          <w:rFonts w:ascii="Verdana" w:hAnsi="Verdana"/>
          <w:sz w:val="16"/>
          <w:szCs w:val="16"/>
          <w:lang w:val="es-CR"/>
        </w:rPr>
        <w:t xml:space="preserve">, y </w:t>
      </w:r>
      <w:r w:rsidRPr="00CB2424">
        <w:rPr>
          <w:rFonts w:ascii="Verdana" w:hAnsi="Verdana"/>
          <w:sz w:val="16"/>
          <w:szCs w:val="16"/>
          <w:lang w:val="es-ES"/>
        </w:rPr>
        <w:t xml:space="preserve">Peritaje rendido por Oscar Julián Guerrero Peralta, </w:t>
      </w:r>
      <w:r w:rsidRPr="00CB2424">
        <w:rPr>
          <w:rFonts w:ascii="Verdana" w:hAnsi="Verdana"/>
          <w:sz w:val="16"/>
          <w:szCs w:val="16"/>
        </w:rPr>
        <w:t>(expediente de fondo, folios 581 y 582)</w:t>
      </w:r>
      <w:r w:rsidRPr="00CB2424">
        <w:rPr>
          <w:rFonts w:ascii="Verdana" w:hAnsi="Verdana"/>
          <w:sz w:val="16"/>
          <w:szCs w:val="16"/>
          <w:lang w:val="es-ES"/>
        </w:rPr>
        <w:t>.</w:t>
      </w:r>
      <w:r w:rsidRPr="00CB2424">
        <w:rPr>
          <w:rFonts w:ascii="Verdana" w:hAnsi="Verdana"/>
          <w:sz w:val="16"/>
          <w:szCs w:val="16"/>
          <w:lang w:val="es-CR"/>
        </w:rPr>
        <w:t xml:space="preserve"> </w:t>
      </w:r>
    </w:p>
  </w:footnote>
  <w:footnote w:id="138">
    <w:p w14:paraId="6D172EE0" w14:textId="487EA2B7" w:rsidR="0074038D" w:rsidRPr="00CB2424" w:rsidRDefault="0074038D" w:rsidP="00B66E4D">
      <w:pPr>
        <w:pStyle w:val="FootnoteText"/>
      </w:pPr>
      <w:r w:rsidRPr="00CB2424">
        <w:rPr>
          <w:rStyle w:val="FootnoteReference"/>
          <w:sz w:val="16"/>
        </w:rPr>
        <w:footnoteRef/>
      </w:r>
      <w:r w:rsidRPr="00CB2424">
        <w:t xml:space="preserve"> </w:t>
      </w:r>
      <w:r w:rsidRPr="00CB2424">
        <w:tab/>
      </w:r>
      <w:r w:rsidRPr="00CB2424">
        <w:rPr>
          <w:lang w:val="es-ES_tradnl"/>
        </w:rPr>
        <w:t xml:space="preserve">Al respecto, el </w:t>
      </w:r>
      <w:r w:rsidRPr="00CB2424">
        <w:t xml:space="preserve">Tribunal Constitucional del Perú, en el caso Marco Antonio Figueroa Falcón, adoptó la jurisprudencia de la Corte Interamericana emitida en el </w:t>
      </w:r>
      <w:r w:rsidRPr="00CB2424">
        <w:rPr>
          <w:i/>
        </w:rPr>
        <w:t>Caso J Vs. Perú</w:t>
      </w:r>
      <w:r w:rsidRPr="00CB2424">
        <w:t>, declaró la nulidad de la sentencia impugnada, y ordenó que se emitiera una nueva sentencia, en virtud de que el acusado no debía demostrar que no había cometido el delito que se le atribuyó.</w:t>
      </w:r>
      <w:r w:rsidRPr="00CB2424">
        <w:rPr>
          <w:iCs/>
        </w:rPr>
        <w:t xml:space="preserve"> </w:t>
      </w:r>
      <w:r w:rsidRPr="000D4816">
        <w:rPr>
          <w:i/>
          <w:iCs/>
        </w:rPr>
        <w:t>Cfr.</w:t>
      </w:r>
      <w:r w:rsidRPr="00CB2424">
        <w:rPr>
          <w:i/>
          <w:iCs/>
        </w:rPr>
        <w:t xml:space="preserve"> </w:t>
      </w:r>
      <w:r w:rsidRPr="00CB2424">
        <w:rPr>
          <w:iCs/>
        </w:rPr>
        <w:t xml:space="preserve">Sentencia de </w:t>
      </w:r>
      <w:r w:rsidRPr="00CB2424">
        <w:t>Tribunal Constitucional del Perú de 27 de enero de 2014, expediente. No. 04415-2013-PHC/TC, párrs. 2 y 5.</w:t>
      </w:r>
    </w:p>
  </w:footnote>
  <w:footnote w:id="139">
    <w:p w14:paraId="6D172EE1" w14:textId="47033142"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TEDH, </w:t>
      </w:r>
      <w:r w:rsidRPr="00CB2424">
        <w:rPr>
          <w:i/>
        </w:rPr>
        <w:t>Caso de Grayson y Barnham Vs. Reino Unido</w:t>
      </w:r>
      <w:r w:rsidRPr="00CB2424">
        <w:t xml:space="preserve">, Aplicaciones No. 19955/05 y 15085/06. Sentencia de 23 septiembre de 2008, párr. 39. El Tribunal Europeo de Derechos Humanos ha señalado que “el derecho de una persona a ser presumido inocente y a requerir a la fiscalía que aporte la carga de la prueba de las acusaciones en contra de él o ella, forma parte de la noción general de un juicio justo en virtud del artículo 6 § 1 del Convenio, que se aplica a un procedimiento de sentencia”. </w:t>
      </w:r>
      <w:r w:rsidRPr="00CB2424">
        <w:rPr>
          <w:lang w:val="es-CR"/>
        </w:rPr>
        <w:t xml:space="preserve">En el mismo sentido, </w:t>
      </w:r>
      <w:r w:rsidRPr="000D4816">
        <w:rPr>
          <w:i/>
          <w:lang w:val="es-CR"/>
        </w:rPr>
        <w:t>Cfr.</w:t>
      </w:r>
      <w:r w:rsidRPr="00CB2424">
        <w:rPr>
          <w:lang w:val="es-CR"/>
        </w:rPr>
        <w:t xml:space="preserve"> </w:t>
      </w:r>
      <w:r w:rsidRPr="00CB2424">
        <w:rPr>
          <w:i/>
        </w:rPr>
        <w:t>Caso de Barberá, Messengué y Jabardo Vs. España</w:t>
      </w:r>
      <w:r w:rsidRPr="00CB2424">
        <w:rPr>
          <w:lang w:val="es-CR"/>
        </w:rPr>
        <w:t xml:space="preserve">, </w:t>
      </w:r>
      <w:r w:rsidRPr="000D4816">
        <w:rPr>
          <w:i/>
          <w:lang w:val="es-CR"/>
        </w:rPr>
        <w:t>supra</w:t>
      </w:r>
      <w:r w:rsidRPr="00CB2424">
        <w:rPr>
          <w:lang w:val="es-CR"/>
        </w:rPr>
        <w:t xml:space="preserve">, párr. 77, y </w:t>
      </w:r>
      <w:r w:rsidRPr="00CB2424">
        <w:rPr>
          <w:i/>
          <w:lang w:val="es-CR"/>
        </w:rPr>
        <w:t>mutatis mutandis</w:t>
      </w:r>
      <w:r w:rsidRPr="00CB2424">
        <w:rPr>
          <w:lang w:val="es-CR"/>
        </w:rPr>
        <w:t xml:space="preserve">, TEDH, </w:t>
      </w:r>
      <w:r w:rsidRPr="00CB2424">
        <w:rPr>
          <w:i/>
          <w:lang w:val="es-CR"/>
        </w:rPr>
        <w:t>Caso de</w:t>
      </w:r>
      <w:r w:rsidRPr="00CB2424">
        <w:rPr>
          <w:lang w:val="es-CR"/>
        </w:rPr>
        <w:t xml:space="preserve"> </w:t>
      </w:r>
      <w:r w:rsidRPr="00CB2424">
        <w:rPr>
          <w:i/>
          <w:lang w:val="es-CR"/>
        </w:rPr>
        <w:t>Saunders Vs. Reino Unido</w:t>
      </w:r>
      <w:r w:rsidRPr="00CB2424">
        <w:rPr>
          <w:lang w:val="es-CR"/>
        </w:rPr>
        <w:t>, Aplicación No. 19187/91. Sentencia de 17 de diciembre de 1996, párr. 68.</w:t>
      </w:r>
    </w:p>
  </w:footnote>
  <w:footnote w:id="140">
    <w:p w14:paraId="6D172EE2" w14:textId="7D00530B"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rPr>
          <w:i/>
        </w:rPr>
        <w:t xml:space="preserve"> </w:t>
      </w:r>
      <w:r w:rsidRPr="00CB2424">
        <w:t>ONU. Comité de Derechos Humanos, Observación General No. 32. El derecho a un juicio imparcial y a la igualdad ante los tribunales y cortes de justicia, UN Doc. CCPR/C/GC/32, 23 de agosto de 2007, párr.30. El Comité de Derechos Humano ha establecido que la presunción de inocencia “[…] impone la carga de la prueba a la acusación […]”.</w:t>
      </w:r>
    </w:p>
  </w:footnote>
  <w:footnote w:id="141">
    <w:p w14:paraId="6D172EE3" w14:textId="6C7EA4AB"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0D4816">
        <w:rPr>
          <w:rFonts w:ascii="Verdana" w:hAnsi="Verdana"/>
          <w:i/>
          <w:sz w:val="16"/>
          <w:szCs w:val="16"/>
          <w:lang w:val="es-CR"/>
        </w:rPr>
        <w:t>Cfr.</w:t>
      </w:r>
      <w:r w:rsidRPr="00CB2424">
        <w:rPr>
          <w:rFonts w:ascii="Verdana" w:hAnsi="Verdana"/>
          <w:sz w:val="16"/>
          <w:szCs w:val="16"/>
          <w:lang w:val="es-CR"/>
        </w:rPr>
        <w:t xml:space="preserve"> Estatuto de Roma de la Corte Penal Internacional, artículos 66 y 67. </w:t>
      </w:r>
      <w:r w:rsidRPr="00CB2424">
        <w:rPr>
          <w:rFonts w:ascii="Verdana" w:hAnsi="Verdana" w:cs="Arial"/>
          <w:sz w:val="16"/>
          <w:szCs w:val="16"/>
          <w:lang w:val="es-CR"/>
        </w:rPr>
        <w:t>El artículo 66 establece que incumbe al fiscal probar la culpabilidad del acusado, y el artículo 67 establece que el acusado tiene derecho a que no se invierta la carga de la prueba ni le sea impuesta la carga de presentar contrapruebas al acusado.</w:t>
      </w:r>
    </w:p>
  </w:footnote>
  <w:footnote w:id="142">
    <w:p w14:paraId="6D172EE4" w14:textId="3AB8301D"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rStyle w:val="Strong"/>
          <w:b w:val="0"/>
          <w:i/>
        </w:rPr>
        <w:t>Caso García Asto y Ramírez Rojas Vs. Perú.</w:t>
      </w:r>
      <w:r w:rsidRPr="00CB2424">
        <w:rPr>
          <w:rStyle w:val="Strong"/>
          <w:b w:val="0"/>
        </w:rPr>
        <w:t xml:space="preserve"> </w:t>
      </w:r>
      <w:r w:rsidRPr="00CB2424">
        <w:rPr>
          <w:rStyle w:val="Strong"/>
          <w:b w:val="0"/>
          <w:i/>
        </w:rPr>
        <w:t>Excepciones Preliminares, Fondo, Reparaciones y Costas.</w:t>
      </w:r>
      <w:r w:rsidRPr="00CB2424">
        <w:rPr>
          <w:rStyle w:val="Strong"/>
          <w:b w:val="0"/>
        </w:rPr>
        <w:t xml:space="preserve"> Sentencia de 25 de noviembre de 2005. Serie C No. 137, párr. 160</w:t>
      </w:r>
      <w:r w:rsidRPr="00CB2424">
        <w:t>.</w:t>
      </w:r>
    </w:p>
  </w:footnote>
  <w:footnote w:id="143">
    <w:p w14:paraId="6D172EE5" w14:textId="647DA6EA"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0D4816">
        <w:rPr>
          <w:rFonts w:ascii="Verdana" w:hAnsi="Verdana"/>
          <w:i/>
          <w:sz w:val="16"/>
          <w:szCs w:val="16"/>
          <w:lang w:val="es-CR"/>
        </w:rPr>
        <w:t>Cfr.</w:t>
      </w:r>
      <w:r w:rsidRPr="00CB2424">
        <w:rPr>
          <w:rFonts w:ascii="Verdana" w:hAnsi="Verdana"/>
          <w:sz w:val="16"/>
          <w:szCs w:val="16"/>
          <w:lang w:val="es-CR"/>
        </w:rPr>
        <w:t xml:space="preserve"> </w:t>
      </w:r>
      <w:r w:rsidRPr="00CB2424">
        <w:rPr>
          <w:rFonts w:ascii="Verdana" w:hAnsi="Verdana"/>
          <w:i/>
          <w:sz w:val="16"/>
          <w:szCs w:val="16"/>
          <w:lang w:val="es-CR" w:eastAsia="es-CR"/>
        </w:rPr>
        <w:t xml:space="preserve">Caso García Ibarra y Otros vs. Ecuador. </w:t>
      </w:r>
      <w:r w:rsidRPr="00CB2424">
        <w:rPr>
          <w:rFonts w:ascii="Verdana" w:hAnsi="Verdana"/>
          <w:i/>
          <w:snapToGrid w:val="0"/>
          <w:sz w:val="16"/>
          <w:szCs w:val="16"/>
          <w:lang w:val="es-CR"/>
        </w:rPr>
        <w:t>Excepciones Preliminares, Fondo, Reparaciones y Costas</w:t>
      </w:r>
      <w:r w:rsidRPr="00CB2424">
        <w:rPr>
          <w:rFonts w:ascii="Verdana" w:hAnsi="Verdana"/>
          <w:snapToGrid w:val="0"/>
          <w:sz w:val="16"/>
          <w:szCs w:val="16"/>
          <w:lang w:val="es-CR"/>
        </w:rPr>
        <w:t>. Sentencia de 17 de noviembre de 2015, Serie C, No. 306, párr. 152.</w:t>
      </w:r>
    </w:p>
  </w:footnote>
  <w:footnote w:id="144">
    <w:p w14:paraId="6D172EE9" w14:textId="77777777" w:rsidR="0074038D" w:rsidRPr="00CB2424" w:rsidRDefault="0074038D" w:rsidP="000D4816">
      <w:pPr>
        <w:pStyle w:val="NormalWeb"/>
        <w:widowControl w:val="0"/>
        <w:suppressLineNumbers/>
        <w:tabs>
          <w:tab w:val="left" w:pos="567"/>
        </w:tabs>
        <w:suppressAutoHyphens/>
        <w:spacing w:before="60" w:beforeAutospacing="0" w:after="0" w:afterAutospacing="0"/>
        <w:jc w:val="both"/>
        <w:rPr>
          <w:rFonts w:ascii="Verdana" w:hAnsi="Verdana"/>
          <w:sz w:val="16"/>
          <w:szCs w:val="16"/>
        </w:rPr>
      </w:pPr>
      <w:r w:rsidRPr="00CB2424">
        <w:rPr>
          <w:rStyle w:val="FootnoteReference"/>
          <w:rFonts w:eastAsiaTheme="majorEastAsia"/>
          <w:sz w:val="16"/>
          <w:szCs w:val="16"/>
        </w:rPr>
        <w:footnoteRef/>
      </w:r>
      <w:r w:rsidRPr="00CB2424">
        <w:rPr>
          <w:rFonts w:ascii="Verdana" w:hAnsi="Verdana"/>
          <w:sz w:val="16"/>
          <w:szCs w:val="16"/>
        </w:rPr>
        <w:t xml:space="preserve"> </w:t>
      </w:r>
      <w:r w:rsidRPr="00CB2424">
        <w:rPr>
          <w:rFonts w:ascii="Verdana" w:hAnsi="Verdana"/>
          <w:bCs/>
          <w:sz w:val="16"/>
          <w:szCs w:val="16"/>
        </w:rPr>
        <w:t>Artículo 158 Valoración.-</w:t>
      </w:r>
    </w:p>
    <w:p w14:paraId="6D172EEA" w14:textId="77777777" w:rsidR="0074038D" w:rsidRPr="00CB2424" w:rsidRDefault="0074038D" w:rsidP="000D4816">
      <w:pPr>
        <w:pStyle w:val="NormalWeb"/>
        <w:widowControl w:val="0"/>
        <w:numPr>
          <w:ilvl w:val="2"/>
          <w:numId w:val="11"/>
        </w:numPr>
        <w:suppressLineNumbers/>
        <w:tabs>
          <w:tab w:val="left" w:pos="284"/>
        </w:tabs>
        <w:suppressAutoHyphens/>
        <w:spacing w:before="60" w:beforeAutospacing="0" w:after="0" w:afterAutospacing="0"/>
        <w:ind w:left="0" w:firstLine="0"/>
        <w:jc w:val="both"/>
        <w:rPr>
          <w:rFonts w:ascii="Verdana" w:hAnsi="Verdana"/>
          <w:sz w:val="16"/>
          <w:szCs w:val="16"/>
        </w:rPr>
      </w:pPr>
      <w:r w:rsidRPr="00CB2424">
        <w:rPr>
          <w:rFonts w:ascii="Verdana" w:hAnsi="Verdana"/>
          <w:sz w:val="16"/>
          <w:szCs w:val="16"/>
        </w:rPr>
        <w:t>En la valoración de la prueba el Juez deberá observar las reglas de la lógica, la ciencia y las máximas de la experiencia, y expondrá los resultados obtenidos y los criterios adoptados.</w:t>
      </w:r>
    </w:p>
    <w:p w14:paraId="6D172EEB" w14:textId="77777777" w:rsidR="0074038D" w:rsidRPr="00CB2424" w:rsidRDefault="0074038D" w:rsidP="000D4816">
      <w:pPr>
        <w:pStyle w:val="NormalWeb"/>
        <w:widowControl w:val="0"/>
        <w:numPr>
          <w:ilvl w:val="2"/>
          <w:numId w:val="11"/>
        </w:numPr>
        <w:suppressLineNumbers/>
        <w:tabs>
          <w:tab w:val="left" w:pos="284"/>
        </w:tabs>
        <w:suppressAutoHyphens/>
        <w:spacing w:before="60" w:beforeAutospacing="0" w:after="0" w:afterAutospacing="0"/>
        <w:ind w:left="0" w:firstLine="0"/>
        <w:jc w:val="both"/>
        <w:rPr>
          <w:rFonts w:ascii="Verdana" w:hAnsi="Verdana"/>
          <w:sz w:val="16"/>
          <w:szCs w:val="16"/>
        </w:rPr>
      </w:pPr>
      <w:r w:rsidRPr="00CB2424">
        <w:rPr>
          <w:rFonts w:ascii="Verdana" w:hAnsi="Verdana"/>
          <w:sz w:val="16"/>
          <w:szCs w:val="16"/>
        </w:rPr>
        <w:t>En los supuestos de testigos de referencia, declaración de arrepentidos o colaboradores y situaciones análogas, sólo con otras pruebas que corroboren sus testimonios se podrá imponer al imputado una medida coercitiva o dictar en su contra sentencia condenatoria.</w:t>
      </w:r>
    </w:p>
    <w:p w14:paraId="6D172EEC" w14:textId="77777777" w:rsidR="0074038D" w:rsidRPr="00CB2424" w:rsidRDefault="0074038D" w:rsidP="000D4816">
      <w:pPr>
        <w:pStyle w:val="NormalWeb"/>
        <w:widowControl w:val="0"/>
        <w:numPr>
          <w:ilvl w:val="2"/>
          <w:numId w:val="11"/>
        </w:numPr>
        <w:suppressLineNumbers/>
        <w:tabs>
          <w:tab w:val="left" w:pos="284"/>
        </w:tabs>
        <w:suppressAutoHyphens/>
        <w:spacing w:before="60" w:beforeAutospacing="0" w:after="0" w:afterAutospacing="0"/>
        <w:ind w:left="0" w:firstLine="0"/>
        <w:jc w:val="both"/>
        <w:rPr>
          <w:rFonts w:ascii="Verdana" w:hAnsi="Verdana"/>
          <w:sz w:val="16"/>
          <w:szCs w:val="16"/>
        </w:rPr>
      </w:pPr>
      <w:r w:rsidRPr="00CB2424">
        <w:rPr>
          <w:rFonts w:ascii="Verdana" w:hAnsi="Verdana"/>
          <w:sz w:val="16"/>
          <w:szCs w:val="16"/>
        </w:rPr>
        <w:t>La prueba por indicios requiere:</w:t>
      </w:r>
    </w:p>
    <w:p w14:paraId="6D172EED" w14:textId="77777777" w:rsidR="0074038D" w:rsidRPr="00CB2424" w:rsidRDefault="0074038D" w:rsidP="000D4816">
      <w:pPr>
        <w:pStyle w:val="NormalWeb"/>
        <w:widowControl w:val="0"/>
        <w:numPr>
          <w:ilvl w:val="2"/>
          <w:numId w:val="10"/>
        </w:numPr>
        <w:suppressLineNumbers/>
        <w:tabs>
          <w:tab w:val="left" w:pos="284"/>
        </w:tabs>
        <w:suppressAutoHyphens/>
        <w:spacing w:before="60" w:beforeAutospacing="0" w:after="0" w:afterAutospacing="0"/>
        <w:ind w:left="0" w:firstLine="0"/>
        <w:jc w:val="both"/>
        <w:rPr>
          <w:rFonts w:ascii="Verdana" w:hAnsi="Verdana"/>
          <w:sz w:val="16"/>
          <w:szCs w:val="16"/>
        </w:rPr>
      </w:pPr>
      <w:r w:rsidRPr="00CB2424">
        <w:rPr>
          <w:rFonts w:ascii="Verdana" w:hAnsi="Verdana"/>
          <w:sz w:val="16"/>
          <w:szCs w:val="16"/>
        </w:rPr>
        <w:t>Que el indicio esté probado;</w:t>
      </w:r>
    </w:p>
    <w:p w14:paraId="6D172EEE" w14:textId="77777777" w:rsidR="0074038D" w:rsidRPr="00CB2424" w:rsidRDefault="0074038D" w:rsidP="000D4816">
      <w:pPr>
        <w:pStyle w:val="NormalWeb"/>
        <w:widowControl w:val="0"/>
        <w:numPr>
          <w:ilvl w:val="2"/>
          <w:numId w:val="10"/>
        </w:numPr>
        <w:suppressLineNumbers/>
        <w:tabs>
          <w:tab w:val="left" w:pos="284"/>
        </w:tabs>
        <w:suppressAutoHyphens/>
        <w:spacing w:before="60" w:beforeAutospacing="0" w:after="0" w:afterAutospacing="0"/>
        <w:ind w:left="0" w:firstLine="0"/>
        <w:jc w:val="both"/>
        <w:rPr>
          <w:rFonts w:ascii="Verdana" w:hAnsi="Verdana"/>
          <w:sz w:val="16"/>
          <w:szCs w:val="16"/>
        </w:rPr>
      </w:pPr>
      <w:r w:rsidRPr="00CB2424">
        <w:rPr>
          <w:rFonts w:ascii="Verdana" w:hAnsi="Verdana"/>
          <w:sz w:val="16"/>
          <w:szCs w:val="16"/>
        </w:rPr>
        <w:t>Que la inferencia esté basada en las reglas de la lógica, la ciencia o la experiencia;</w:t>
      </w:r>
    </w:p>
    <w:p w14:paraId="6D172EEF" w14:textId="43296AC8" w:rsidR="0074038D" w:rsidRPr="00CB2424" w:rsidRDefault="0074038D" w:rsidP="000D4816">
      <w:pPr>
        <w:pStyle w:val="NormalWeb"/>
        <w:widowControl w:val="0"/>
        <w:numPr>
          <w:ilvl w:val="2"/>
          <w:numId w:val="10"/>
        </w:numPr>
        <w:suppressLineNumbers/>
        <w:tabs>
          <w:tab w:val="left" w:pos="284"/>
        </w:tabs>
        <w:suppressAutoHyphens/>
        <w:spacing w:before="60" w:beforeAutospacing="0" w:after="0" w:afterAutospacing="0"/>
        <w:ind w:left="0" w:firstLine="0"/>
        <w:jc w:val="both"/>
        <w:rPr>
          <w:rFonts w:ascii="Verdana" w:hAnsi="Verdana"/>
          <w:sz w:val="16"/>
          <w:szCs w:val="16"/>
        </w:rPr>
      </w:pPr>
      <w:r w:rsidRPr="00CB2424">
        <w:rPr>
          <w:rFonts w:ascii="Verdana" w:hAnsi="Verdana"/>
          <w:sz w:val="16"/>
          <w:szCs w:val="16"/>
        </w:rPr>
        <w:t>Que cuando se trate de indicios contingentes, éstos sean plurales, concordantes y convergentes, así como que no se presenten contra indicios consistentes.</w:t>
      </w:r>
    </w:p>
    <w:p w14:paraId="6D172EF0" w14:textId="77777777" w:rsidR="0074038D" w:rsidRPr="00CB2424" w:rsidRDefault="0074038D" w:rsidP="000D4816">
      <w:pPr>
        <w:pStyle w:val="NormalWeb"/>
        <w:widowControl w:val="0"/>
        <w:suppressLineNumbers/>
        <w:tabs>
          <w:tab w:val="left" w:pos="284"/>
        </w:tabs>
        <w:suppressAutoHyphens/>
        <w:spacing w:before="60" w:beforeAutospacing="0" w:after="0" w:afterAutospacing="0"/>
        <w:jc w:val="both"/>
        <w:rPr>
          <w:rFonts w:ascii="Verdana" w:hAnsi="Verdana"/>
          <w:sz w:val="16"/>
          <w:szCs w:val="16"/>
        </w:rPr>
      </w:pPr>
      <w:r w:rsidRPr="00CB2424">
        <w:rPr>
          <w:rFonts w:ascii="Verdana" w:hAnsi="Verdana"/>
          <w:sz w:val="16"/>
          <w:szCs w:val="16"/>
        </w:rPr>
        <w:t>Artículo 393 Normas para la deliberación y votación.- […]</w:t>
      </w:r>
    </w:p>
    <w:p w14:paraId="6D172EF1" w14:textId="77777777" w:rsidR="0074038D" w:rsidRPr="00CB2424" w:rsidRDefault="0074038D" w:rsidP="000D4816">
      <w:pPr>
        <w:pStyle w:val="NormalWeb"/>
        <w:widowControl w:val="0"/>
        <w:suppressLineNumbers/>
        <w:tabs>
          <w:tab w:val="left" w:pos="284"/>
        </w:tabs>
        <w:suppressAutoHyphens/>
        <w:spacing w:before="60" w:beforeAutospacing="0" w:after="0" w:afterAutospacing="0"/>
        <w:jc w:val="both"/>
        <w:rPr>
          <w:rFonts w:ascii="Verdana" w:hAnsi="Verdana"/>
          <w:sz w:val="16"/>
          <w:szCs w:val="16"/>
        </w:rPr>
      </w:pPr>
      <w:r w:rsidRPr="00CB2424">
        <w:rPr>
          <w:rFonts w:ascii="Verdana" w:hAnsi="Verdana"/>
          <w:sz w:val="16"/>
          <w:szCs w:val="16"/>
        </w:rPr>
        <w:t>2. El Juez Penal para la apreciación de las pruebas procederá primero a examinarlas individualmente y luego conjuntamente con las demás. La valoración probatoria respetará las reglas de la sana crítica, especialmente conforme a los principios de la lógica, las máximas de la experiencia y los conocimientos científicos. […]</w:t>
      </w:r>
    </w:p>
  </w:footnote>
  <w:footnote w:id="145">
    <w:p w14:paraId="6D172EF2" w14:textId="09424D5C" w:rsidR="0074038D" w:rsidRPr="00CB2424" w:rsidRDefault="0074038D" w:rsidP="000D4816">
      <w:pPr>
        <w:pStyle w:val="ListParagraph"/>
        <w:widowControl w:val="0"/>
        <w:suppressLineNumbers/>
        <w:tabs>
          <w:tab w:val="left" w:pos="567"/>
        </w:tabs>
        <w:suppressAutoHyphens/>
        <w:spacing w:before="60"/>
        <w:ind w:left="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CB2424">
        <w:rPr>
          <w:rFonts w:ascii="Verdana" w:hAnsi="Verdana"/>
          <w:iCs/>
          <w:sz w:val="16"/>
          <w:szCs w:val="16"/>
        </w:rPr>
        <w:t xml:space="preserve">Sentencia de </w:t>
      </w:r>
      <w:r w:rsidRPr="00CB2424">
        <w:rPr>
          <w:rFonts w:ascii="Verdana" w:hAnsi="Verdana"/>
          <w:sz w:val="16"/>
          <w:szCs w:val="16"/>
        </w:rPr>
        <w:t>Tribunal Constitucional del Perú de 9 de enero de 2004, expediente No. 1172-2003-HC/TC, párr. 2, y</w:t>
      </w:r>
      <w:r w:rsidRPr="00CB2424">
        <w:rPr>
          <w:rFonts w:ascii="Verdana" w:hAnsi="Verdana"/>
          <w:sz w:val="16"/>
          <w:szCs w:val="16"/>
          <w:lang w:val="es-CR"/>
        </w:rPr>
        <w:t xml:space="preserve"> </w:t>
      </w:r>
      <w:r w:rsidRPr="00CB2424">
        <w:rPr>
          <w:rFonts w:ascii="Verdana" w:hAnsi="Verdana"/>
          <w:sz w:val="16"/>
          <w:szCs w:val="16"/>
        </w:rPr>
        <w:t>Peritaje rendido por Hernán Víctor Gullco (expediente de fondo, folios 722 y 723)</w:t>
      </w:r>
      <w:r w:rsidRPr="00CB2424">
        <w:rPr>
          <w:rFonts w:ascii="Verdana" w:hAnsi="Verdana" w:cs="Arial"/>
          <w:sz w:val="16"/>
          <w:szCs w:val="16"/>
          <w:lang w:val="es-CR"/>
        </w:rPr>
        <w:t>.</w:t>
      </w:r>
    </w:p>
  </w:footnote>
  <w:footnote w:id="146">
    <w:p w14:paraId="6D172EF3" w14:textId="0EEF7547" w:rsidR="0074038D" w:rsidRPr="00CB2424" w:rsidRDefault="0074038D" w:rsidP="000D4816">
      <w:pPr>
        <w:widowControl w:val="0"/>
        <w:suppressLineNumbers/>
        <w:tabs>
          <w:tab w:val="left" w:pos="567"/>
        </w:tabs>
        <w:suppressAutoHyphens/>
        <w:spacing w:before="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CB2424">
        <w:rPr>
          <w:rFonts w:ascii="Verdana" w:hAnsi="Verdana"/>
          <w:iCs/>
          <w:sz w:val="16"/>
          <w:szCs w:val="16"/>
        </w:rPr>
        <w:t xml:space="preserve">Sentencia de </w:t>
      </w:r>
      <w:r w:rsidRPr="00CB2424">
        <w:rPr>
          <w:rFonts w:ascii="Verdana" w:hAnsi="Verdana"/>
          <w:sz w:val="16"/>
          <w:szCs w:val="16"/>
        </w:rPr>
        <w:t xml:space="preserve">Tribunal Constitucional del Perú de 13 de octubre de 2008, expediente No. 00728-2008-PHC/TC, párr. </w:t>
      </w:r>
      <w:r w:rsidRPr="00CB2424">
        <w:rPr>
          <w:rFonts w:ascii="Verdana" w:hAnsi="Verdana"/>
          <w:sz w:val="16"/>
          <w:szCs w:val="16"/>
          <w:lang w:val="es-PE"/>
        </w:rPr>
        <w:t>36.</w:t>
      </w:r>
    </w:p>
  </w:footnote>
  <w:footnote w:id="147">
    <w:p w14:paraId="6D172EF4" w14:textId="7A0629F4" w:rsidR="0074038D" w:rsidRPr="00CB2424" w:rsidRDefault="0074038D" w:rsidP="00B66E4D">
      <w:pPr>
        <w:pStyle w:val="FootnoteText"/>
      </w:pPr>
      <w:r w:rsidRPr="00CB2424">
        <w:rPr>
          <w:rStyle w:val="FootnoteReference"/>
          <w:sz w:val="16"/>
        </w:rPr>
        <w:footnoteRef/>
      </w:r>
      <w:r w:rsidRPr="00CB2424">
        <w:t xml:space="preserve"> </w:t>
      </w:r>
      <w:r w:rsidRPr="00CB2424">
        <w:tab/>
      </w:r>
      <w:r w:rsidRPr="00CB2424">
        <w:rPr>
          <w:rStyle w:val="Strong"/>
          <w:b w:val="0"/>
          <w:i/>
          <w:color w:val="000000"/>
          <w:shd w:val="clear" w:color="auto" w:fill="FFFFFF"/>
        </w:rPr>
        <w:t>Caso Apitz Barbera y otros (“Corte Primera de lo Contencioso Administrativo”) Vs. Venezuela. Excepción Preliminar, Fondo, Reparaciones y Costas.</w:t>
      </w:r>
      <w:r w:rsidRPr="00CB2424">
        <w:rPr>
          <w:rStyle w:val="Strong"/>
          <w:b w:val="0"/>
          <w:color w:val="000000"/>
          <w:shd w:val="clear" w:color="auto" w:fill="FFFFFF"/>
        </w:rPr>
        <w:t xml:space="preserve"> Sentencia de 5 de </w:t>
      </w:r>
      <w:r>
        <w:rPr>
          <w:rStyle w:val="Strong"/>
          <w:b w:val="0"/>
          <w:color w:val="000000"/>
          <w:shd w:val="clear" w:color="auto" w:fill="FFFFFF"/>
        </w:rPr>
        <w:t>agosto de 2008. Serie C No. 182</w:t>
      </w:r>
      <w:r w:rsidRPr="004F4222">
        <w:t>,</w:t>
      </w:r>
      <w:r>
        <w:rPr>
          <w:b/>
        </w:rPr>
        <w:t xml:space="preserve"> </w:t>
      </w:r>
      <w:r w:rsidRPr="00CB2424">
        <w:t xml:space="preserve">párr. 78, y </w:t>
      </w:r>
      <w:r w:rsidRPr="00CB2424">
        <w:rPr>
          <w:rStyle w:val="Strong"/>
          <w:b w:val="0"/>
          <w:i/>
          <w:color w:val="000000"/>
          <w:shd w:val="clear" w:color="auto" w:fill="FFFFFF"/>
        </w:rPr>
        <w:t>Caso Flor Freire Vs. Ecuador. Excepción Preliminar, Fondo, Reparaciones y Costas</w:t>
      </w:r>
      <w:r w:rsidRPr="00CB2424">
        <w:rPr>
          <w:rStyle w:val="Strong"/>
          <w:b w:val="0"/>
          <w:color w:val="000000"/>
          <w:shd w:val="clear" w:color="auto" w:fill="FFFFFF"/>
        </w:rPr>
        <w:t>. Sentencia de 31 de agosto de 2016. Serie C No. 315.</w:t>
      </w:r>
      <w:r w:rsidRPr="00CB2424">
        <w:rPr>
          <w:b/>
          <w:snapToGrid w:val="0"/>
        </w:rPr>
        <w:t xml:space="preserve">, </w:t>
      </w:r>
      <w:r w:rsidRPr="00CB2424">
        <w:rPr>
          <w:snapToGrid w:val="0"/>
        </w:rPr>
        <w:t>párr.182.</w:t>
      </w:r>
    </w:p>
  </w:footnote>
  <w:footnote w:id="148">
    <w:p w14:paraId="6D172EF5" w14:textId="4023C223" w:rsidR="0074038D" w:rsidRPr="00CB2424" w:rsidRDefault="0074038D" w:rsidP="00B66E4D">
      <w:pPr>
        <w:pStyle w:val="FootnoteText"/>
      </w:pPr>
      <w:r w:rsidRPr="00CB2424">
        <w:rPr>
          <w:rStyle w:val="FootnoteReference"/>
          <w:sz w:val="16"/>
        </w:rPr>
        <w:footnoteRef/>
      </w:r>
      <w:r w:rsidRPr="00CB2424">
        <w:t xml:space="preserve"> </w:t>
      </w:r>
      <w:r w:rsidRPr="00CB2424">
        <w:tab/>
      </w:r>
      <w:r w:rsidRPr="00CB2424">
        <w:rPr>
          <w:rStyle w:val="Strong"/>
          <w:b w:val="0"/>
          <w:i/>
          <w:color w:val="000000"/>
          <w:shd w:val="clear" w:color="auto" w:fill="FFFFFF"/>
        </w:rPr>
        <w:t>Caso Apitz Barbera y otros (“Corte Primera de lo Contencioso Administrativo”) Vs. Venezuela</w:t>
      </w:r>
      <w:r w:rsidRPr="00CB2424">
        <w:t xml:space="preserve">, </w:t>
      </w:r>
      <w:r w:rsidRPr="000D4816">
        <w:rPr>
          <w:i/>
        </w:rPr>
        <w:t>supra</w:t>
      </w:r>
      <w:r w:rsidRPr="00CB2424">
        <w:t xml:space="preserve">, párr. 77 y </w:t>
      </w:r>
      <w:r>
        <w:rPr>
          <w:rStyle w:val="Strong"/>
          <w:b w:val="0"/>
          <w:i/>
          <w:color w:val="000000"/>
          <w:shd w:val="clear" w:color="auto" w:fill="FFFFFF"/>
        </w:rPr>
        <w:t>Caso Flor Freire Vs. Ecuador</w:t>
      </w:r>
      <w:r w:rsidRPr="00CB2424">
        <w:rPr>
          <w:snapToGrid w:val="0"/>
        </w:rPr>
        <w:t xml:space="preserve">, </w:t>
      </w:r>
      <w:r w:rsidRPr="000D4816">
        <w:rPr>
          <w:i/>
          <w:snapToGrid w:val="0"/>
        </w:rPr>
        <w:t>supra</w:t>
      </w:r>
      <w:r w:rsidRPr="00CB2424">
        <w:rPr>
          <w:snapToGrid w:val="0"/>
        </w:rPr>
        <w:t xml:space="preserve">, párr.182. Ver también, TEDH, </w:t>
      </w:r>
      <w:r w:rsidRPr="008B5048">
        <w:rPr>
          <w:i/>
          <w:snapToGrid w:val="0"/>
        </w:rPr>
        <w:t>Caso de García Ruiz Vs España [GC]</w:t>
      </w:r>
      <w:r w:rsidRPr="00CB2424">
        <w:rPr>
          <w:snapToGrid w:val="0"/>
        </w:rPr>
        <w:t xml:space="preserve">, Aplicación No. 30544/96, Sentencia de 21 de enero de 1999, </w:t>
      </w:r>
      <w:r>
        <w:rPr>
          <w:snapToGrid w:val="0"/>
        </w:rPr>
        <w:t>párr.</w:t>
      </w:r>
      <w:r w:rsidRPr="00CB2424">
        <w:rPr>
          <w:snapToGrid w:val="0"/>
        </w:rPr>
        <w:t xml:space="preserve">26. </w:t>
      </w:r>
    </w:p>
  </w:footnote>
  <w:footnote w:id="149">
    <w:p w14:paraId="6D172EF6" w14:textId="646352B2" w:rsidR="0074038D" w:rsidRPr="00CB2424" w:rsidRDefault="0074038D" w:rsidP="00B66E4D">
      <w:pPr>
        <w:pStyle w:val="FootnoteText"/>
        <w:rPr>
          <w:lang w:val="es-CR"/>
        </w:rPr>
      </w:pPr>
      <w:r w:rsidRPr="00CB2424">
        <w:rPr>
          <w:rStyle w:val="FootnoteReference"/>
          <w:sz w:val="16"/>
        </w:rPr>
        <w:footnoteRef/>
      </w:r>
      <w:r w:rsidRPr="00CB2424">
        <w:rPr>
          <w:lang w:val="es-CR"/>
        </w:rPr>
        <w:t xml:space="preserve"> </w:t>
      </w:r>
      <w:r w:rsidRPr="00CB2424">
        <w:rPr>
          <w:lang w:val="es-CR"/>
        </w:rPr>
        <w:tab/>
      </w:r>
      <w:r w:rsidRPr="00B66E4D">
        <w:rPr>
          <w:i/>
          <w:lang w:val="es-CR"/>
        </w:rPr>
        <w:t>Caso Yatama Vs. Nicaragua</w:t>
      </w:r>
      <w:r w:rsidRPr="00CB2424">
        <w:rPr>
          <w:lang w:val="es-CR"/>
        </w:rPr>
        <w:t xml:space="preserve">. </w:t>
      </w:r>
      <w:r w:rsidRPr="00CB2424">
        <w:t xml:space="preserve">Excepciones Preliminares, Fondo, Reparaciones y Costas. Sentencia de 23 de junio de 2005. Serie C No. 127, párrs. 152 y 153, y </w:t>
      </w:r>
      <w:r>
        <w:rPr>
          <w:rStyle w:val="Strong"/>
          <w:b w:val="0"/>
          <w:i/>
          <w:color w:val="000000"/>
          <w:shd w:val="clear" w:color="auto" w:fill="FFFFFF"/>
        </w:rPr>
        <w:t>Caso Flor Freire Vs. Ecuador</w:t>
      </w:r>
      <w:r w:rsidRPr="00CB2424">
        <w:rPr>
          <w:snapToGrid w:val="0"/>
        </w:rPr>
        <w:t xml:space="preserve">, </w:t>
      </w:r>
      <w:r w:rsidRPr="000D4816">
        <w:rPr>
          <w:i/>
          <w:snapToGrid w:val="0"/>
        </w:rPr>
        <w:t>supra</w:t>
      </w:r>
      <w:r w:rsidRPr="00CB2424">
        <w:rPr>
          <w:snapToGrid w:val="0"/>
        </w:rPr>
        <w:t>,</w:t>
      </w:r>
      <w:r w:rsidRPr="00CB2424">
        <w:rPr>
          <w:snapToGrid w:val="0"/>
          <w:lang w:val="es-CR"/>
        </w:rPr>
        <w:t xml:space="preserve"> párr.182. Ver también. TEDH, </w:t>
      </w:r>
      <w:r w:rsidRPr="00B66E4D">
        <w:rPr>
          <w:i/>
          <w:snapToGrid w:val="0"/>
          <w:lang w:val="es-CR"/>
        </w:rPr>
        <w:t xml:space="preserve">Caso de </w:t>
      </w:r>
      <w:r w:rsidRPr="00B66E4D">
        <w:rPr>
          <w:i/>
          <w:lang w:val="es-CR"/>
        </w:rPr>
        <w:t>Hadjianastassiou Vs Grecia</w:t>
      </w:r>
      <w:r w:rsidRPr="00CB2424">
        <w:rPr>
          <w:lang w:val="es-CR"/>
        </w:rPr>
        <w:t>, Aplicación No. 12945/87. Sentencia de 16 de diciembre de 1992, p</w:t>
      </w:r>
      <w:r w:rsidRPr="00CB2424">
        <w:t>á</w:t>
      </w:r>
      <w:r w:rsidRPr="00CB2424">
        <w:rPr>
          <w:lang w:val="es-CR"/>
        </w:rPr>
        <w:t xml:space="preserve">rr.33, </w:t>
      </w:r>
      <w:r w:rsidRPr="00B66E4D">
        <w:rPr>
          <w:i/>
          <w:lang w:val="es-CR"/>
        </w:rPr>
        <w:t>Caso de Ivan Stoyanow Vasilew Vs. Bulgaria</w:t>
      </w:r>
      <w:r w:rsidRPr="00CB2424">
        <w:rPr>
          <w:lang w:val="es-CR"/>
        </w:rPr>
        <w:t xml:space="preserve">, Aplicación No. 7963/05. Sentencia de 4 de junio de 2013, párr. 33, y </w:t>
      </w:r>
      <w:r w:rsidRPr="00B66E4D">
        <w:rPr>
          <w:i/>
          <w:lang w:val="es-CR"/>
        </w:rPr>
        <w:t>Caso Boldea Vs. Romania</w:t>
      </w:r>
      <w:r w:rsidRPr="00CB2424">
        <w:rPr>
          <w:lang w:val="es-CR"/>
        </w:rPr>
        <w:t>, Aplicación No 19997/02. Sentencia de15 de febrero de 2007, párr. 30.</w:t>
      </w:r>
    </w:p>
  </w:footnote>
  <w:footnote w:id="150">
    <w:p w14:paraId="6D172EF9" w14:textId="50B4FBA0" w:rsidR="0074038D" w:rsidRPr="00CB2424" w:rsidRDefault="0074038D" w:rsidP="00B66E4D">
      <w:pPr>
        <w:pStyle w:val="ListParagraph"/>
        <w:widowControl w:val="0"/>
        <w:suppressLineNumbers/>
        <w:tabs>
          <w:tab w:val="left" w:pos="567"/>
        </w:tabs>
        <w:suppressAutoHyphens/>
        <w:spacing w:before="60" w:after="60"/>
        <w:ind w:left="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t xml:space="preserve">El </w:t>
      </w:r>
      <w:r w:rsidRPr="00CB2424">
        <w:rPr>
          <w:rFonts w:ascii="Verdana" w:hAnsi="Verdana"/>
          <w:sz w:val="16"/>
          <w:szCs w:val="16"/>
        </w:rPr>
        <w:t>Tribunal Constitucional peruano</w:t>
      </w:r>
      <w:r w:rsidRPr="00CB2424">
        <w:rPr>
          <w:rFonts w:ascii="Verdana" w:hAnsi="Verdana"/>
          <w:sz w:val="16"/>
          <w:szCs w:val="16"/>
          <w:lang w:val="es-CR"/>
        </w:rPr>
        <w:t xml:space="preserve"> ha señalado que </w:t>
      </w:r>
      <w:r w:rsidRPr="00CB2424">
        <w:rPr>
          <w:rFonts w:ascii="Verdana" w:hAnsi="Verdana"/>
          <w:sz w:val="16"/>
          <w:szCs w:val="16"/>
        </w:rPr>
        <w:t>“tanto la</w:t>
      </w:r>
      <w:r w:rsidRPr="00CB2424">
        <w:rPr>
          <w:rFonts w:ascii="Verdana" w:hAnsi="Verdana"/>
          <w:b/>
          <w:sz w:val="16"/>
          <w:szCs w:val="16"/>
        </w:rPr>
        <w:t xml:space="preserve"> </w:t>
      </w:r>
      <w:r w:rsidRPr="00CB2424">
        <w:rPr>
          <w:rFonts w:ascii="Verdana" w:hAnsi="Verdana"/>
          <w:sz w:val="16"/>
          <w:szCs w:val="16"/>
        </w:rPr>
        <w:t xml:space="preserve">presunción de inocencia como el </w:t>
      </w:r>
      <w:r w:rsidRPr="00CB2424">
        <w:rPr>
          <w:rFonts w:ascii="Verdana" w:hAnsi="Verdana"/>
          <w:i/>
          <w:sz w:val="16"/>
          <w:szCs w:val="16"/>
          <w:lang w:val="es-PE"/>
        </w:rPr>
        <w:t>indubio pro reo</w:t>
      </w:r>
      <w:r w:rsidRPr="00CB2424">
        <w:rPr>
          <w:rFonts w:ascii="Verdana" w:hAnsi="Verdana"/>
          <w:sz w:val="16"/>
          <w:szCs w:val="16"/>
          <w:lang w:val="es-PE"/>
        </w:rPr>
        <w:t xml:space="preserve"> inciden sobre la valoración probatoria</w:t>
      </w:r>
      <w:r w:rsidRPr="00CB2424">
        <w:rPr>
          <w:rFonts w:ascii="Verdana" w:hAnsi="Verdana"/>
          <w:b/>
          <w:sz w:val="16"/>
          <w:szCs w:val="16"/>
          <w:lang w:val="es-PE"/>
        </w:rPr>
        <w:t xml:space="preserve"> </w:t>
      </w:r>
      <w:r w:rsidRPr="00CB2424">
        <w:rPr>
          <w:rFonts w:ascii="Verdana" w:hAnsi="Verdana"/>
          <w:sz w:val="16"/>
          <w:szCs w:val="16"/>
          <w:lang w:val="es-PE"/>
        </w:rPr>
        <w:t xml:space="preserve">del juez ordinario. En el primer caso, que es algo objetivo, supone que a falta de pruebas aquella no ha quedado desvirtuada, manteniéndose incólume, y en el segundo caso, que es algo subjetivo, supone que ha habido prueba, pero esta no ha sido suficiente para despejar la duda </w:t>
      </w:r>
      <w:r w:rsidRPr="00CB2424">
        <w:rPr>
          <w:rFonts w:ascii="Verdana" w:hAnsi="Verdana"/>
          <w:sz w:val="16"/>
          <w:szCs w:val="16"/>
        </w:rPr>
        <w:t>(la suficiencia no se refiere a la cantidad de pruebas incriminatorias, sino a la entidad y cualidad que deben reunir estas)</w:t>
      </w:r>
      <w:r w:rsidRPr="00CB2424">
        <w:rPr>
          <w:rFonts w:ascii="Verdana" w:hAnsi="Verdana"/>
          <w:sz w:val="16"/>
          <w:szCs w:val="16"/>
          <w:lang w:val="es-PE"/>
        </w:rPr>
        <w:t>. La sentencia, en ambos casos, será absolutoria”.</w:t>
      </w:r>
      <w:r w:rsidRPr="00CB2424">
        <w:rPr>
          <w:rFonts w:ascii="Verdana" w:hAnsi="Verdana"/>
          <w:color w:val="E36C0A"/>
          <w:sz w:val="16"/>
          <w:szCs w:val="16"/>
          <w:lang w:val="es-PE"/>
        </w:rPr>
        <w:t xml:space="preserve"> </w:t>
      </w:r>
      <w:r w:rsidRPr="00CB2424">
        <w:rPr>
          <w:rFonts w:ascii="Verdana" w:hAnsi="Verdana"/>
          <w:sz w:val="16"/>
          <w:szCs w:val="16"/>
          <w:lang w:val="es-PE"/>
        </w:rPr>
        <w:t>Sentencia del Tribunal Constitucional</w:t>
      </w:r>
      <w:r w:rsidRPr="00CB2424">
        <w:rPr>
          <w:rFonts w:ascii="Verdana" w:hAnsi="Verdana"/>
          <w:sz w:val="16"/>
          <w:szCs w:val="16"/>
          <w:lang w:val="es-CR"/>
        </w:rPr>
        <w:t xml:space="preserve"> del Perú de 13 de octubre de 2008, expediente No. 00728-2008-PHC/TC, </w:t>
      </w:r>
      <w:r w:rsidRPr="00CB2424">
        <w:rPr>
          <w:rFonts w:ascii="Verdana" w:hAnsi="Verdana"/>
          <w:sz w:val="16"/>
          <w:szCs w:val="16"/>
          <w:lang w:val="es-PE"/>
        </w:rPr>
        <w:t>párr.37.</w:t>
      </w:r>
    </w:p>
  </w:footnote>
  <w:footnote w:id="151">
    <w:p w14:paraId="6D172EFA" w14:textId="311E3A74"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lang w:val="es-MX" w:eastAsia="es-ES"/>
        </w:rPr>
        <w:footnoteRef/>
      </w:r>
      <w:r w:rsidRPr="00CB2424">
        <w:rPr>
          <w:rFonts w:ascii="Verdana" w:hAnsi="Verdana"/>
          <w:sz w:val="16"/>
          <w:szCs w:val="16"/>
          <w:lang w:val="es-CR"/>
        </w:rPr>
        <w:t xml:space="preserve"> </w:t>
      </w:r>
      <w:r w:rsidRPr="00CB2424">
        <w:rPr>
          <w:rFonts w:ascii="Verdana" w:hAnsi="Verdana"/>
          <w:sz w:val="16"/>
          <w:szCs w:val="16"/>
          <w:lang w:val="es-CR"/>
        </w:rPr>
        <w:tab/>
      </w:r>
      <w:r w:rsidRPr="00CB2424">
        <w:rPr>
          <w:rStyle w:val="Strong"/>
          <w:rFonts w:ascii="Verdana" w:hAnsi="Verdana"/>
          <w:b w:val="0"/>
          <w:i/>
          <w:color w:val="000000"/>
          <w:sz w:val="16"/>
          <w:szCs w:val="16"/>
          <w:shd w:val="clear" w:color="auto" w:fill="FFFFFF"/>
        </w:rPr>
        <w:t xml:space="preserve">Caso Norín Catrimán y otros (Dirigentes, miembros y activista del Pueblo Indígena Mapuche) Vs. Chile. </w:t>
      </w:r>
      <w:r w:rsidRPr="00B66E4D">
        <w:rPr>
          <w:rStyle w:val="Strong"/>
          <w:rFonts w:ascii="Verdana" w:hAnsi="Verdana"/>
          <w:b w:val="0"/>
          <w:color w:val="000000"/>
          <w:sz w:val="16"/>
          <w:szCs w:val="16"/>
          <w:shd w:val="clear" w:color="auto" w:fill="FFFFFF"/>
        </w:rPr>
        <w:t>Fondo, Reparaciones y Costas</w:t>
      </w:r>
      <w:r w:rsidRPr="00CB2424">
        <w:rPr>
          <w:rStyle w:val="Strong"/>
          <w:rFonts w:ascii="Verdana" w:hAnsi="Verdana"/>
          <w:b w:val="0"/>
          <w:i/>
          <w:color w:val="000000"/>
          <w:sz w:val="16"/>
          <w:szCs w:val="16"/>
          <w:shd w:val="clear" w:color="auto" w:fill="FFFFFF"/>
        </w:rPr>
        <w:t>.</w:t>
      </w:r>
      <w:r w:rsidRPr="00CB2424">
        <w:rPr>
          <w:rStyle w:val="Strong"/>
          <w:rFonts w:ascii="Verdana" w:hAnsi="Verdana"/>
          <w:b w:val="0"/>
          <w:color w:val="000000"/>
          <w:sz w:val="16"/>
          <w:szCs w:val="16"/>
          <w:shd w:val="clear" w:color="auto" w:fill="FFFFFF"/>
        </w:rPr>
        <w:t xml:space="preserve"> Sentencia de 29 de mayo de 2014. Serie C No. 279.</w:t>
      </w:r>
      <w:r w:rsidRPr="00CB2424">
        <w:rPr>
          <w:rFonts w:ascii="Verdana" w:hAnsi="Verdana"/>
          <w:sz w:val="16"/>
          <w:szCs w:val="16"/>
          <w:lang w:val="es-CR"/>
        </w:rPr>
        <w:t xml:space="preserve">, párr. 288. </w:t>
      </w:r>
    </w:p>
  </w:footnote>
  <w:footnote w:id="152">
    <w:p w14:paraId="6D172EFB" w14:textId="78526E83" w:rsidR="0074038D" w:rsidRPr="00CB2424" w:rsidRDefault="0074038D" w:rsidP="00B66E4D">
      <w:pPr>
        <w:widowControl w:val="0"/>
        <w:suppressLineNumbers/>
        <w:tabs>
          <w:tab w:val="left" w:pos="567"/>
        </w:tabs>
        <w:suppressAutoHyphens/>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t>A su vez, el artículo 394 del Código de Procedimientos Penales señala que una sentencia deberá contener i) la motivación clara, lógica y completa de cada uno de los hechos y circunstancias que se dan por probadas o improbadas, y la valoración de la prueba que la sustenta, con indicación del razonamiento que la justifique; ii) los fundamentos de derecho, con precisión de las razones legales, jurisprudenciales o doctrinales que sirvan para calificar jurídicamente los hechos y sus circunstancias, y para fundar el fallo; y iii) la parte resolutiva, con mención expresa y clara de la condena o absolución de cada uno de los acusados por cada uno de los delitos que la acusación les haya atribuido.</w:t>
      </w:r>
    </w:p>
  </w:footnote>
  <w:footnote w:id="153">
    <w:p w14:paraId="6D172EFC" w14:textId="2043E371" w:rsidR="0074038D" w:rsidRPr="00CB2424" w:rsidRDefault="0074038D" w:rsidP="00B66E4D">
      <w:pPr>
        <w:widowControl w:val="0"/>
        <w:suppressLineNumbers/>
        <w:tabs>
          <w:tab w:val="left" w:pos="567"/>
        </w:tabs>
        <w:suppressAutoHyphens/>
        <w:autoSpaceDE w:val="0"/>
        <w:autoSpaceDN w:val="0"/>
        <w:adjustRightInd w:val="0"/>
        <w:spacing w:before="60" w:after="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0D4816">
        <w:rPr>
          <w:rFonts w:ascii="Verdana" w:hAnsi="Verdana"/>
          <w:i/>
          <w:sz w:val="16"/>
          <w:szCs w:val="16"/>
          <w:lang w:val="es-CR"/>
        </w:rPr>
        <w:t>Cfr.</w:t>
      </w:r>
      <w:r w:rsidRPr="00CB2424">
        <w:rPr>
          <w:rFonts w:ascii="Verdana" w:hAnsi="Verdana"/>
          <w:sz w:val="16"/>
          <w:szCs w:val="16"/>
          <w:lang w:val="es-CR"/>
        </w:rPr>
        <w:t xml:space="preserve"> El Tribunal Constitucional del Perú, en el caso de </w:t>
      </w:r>
      <w:r w:rsidRPr="00CB2424">
        <w:rPr>
          <w:rFonts w:ascii="Verdana" w:hAnsi="Verdana"/>
          <w:i/>
          <w:sz w:val="16"/>
          <w:szCs w:val="16"/>
          <w:lang w:val="es-CR"/>
        </w:rPr>
        <w:t>Marco Antonio Figueroa Falcón</w:t>
      </w:r>
      <w:r w:rsidRPr="00CB2424">
        <w:rPr>
          <w:rFonts w:ascii="Verdana" w:hAnsi="Verdana"/>
          <w:sz w:val="16"/>
          <w:szCs w:val="16"/>
          <w:lang w:val="es-CR"/>
        </w:rPr>
        <w:t xml:space="preserve">, resolvió declarar la nulidad de la resolución impugnada por falta de motivación del fallo y ordenó emitir una nueva resolución debidamente motivada. </w:t>
      </w:r>
      <w:r w:rsidRPr="00CB2424">
        <w:rPr>
          <w:rFonts w:ascii="Verdana" w:hAnsi="Verdana"/>
          <w:sz w:val="16"/>
          <w:szCs w:val="16"/>
          <w:lang w:val="es-PE"/>
        </w:rPr>
        <w:t>Sentencia del Tribunal Constitucional</w:t>
      </w:r>
      <w:r w:rsidRPr="00CB2424">
        <w:rPr>
          <w:rFonts w:ascii="Verdana" w:hAnsi="Verdana"/>
          <w:sz w:val="16"/>
          <w:szCs w:val="16"/>
          <w:lang w:val="es-CR"/>
        </w:rPr>
        <w:t xml:space="preserve"> del Perú de 27 de enero de 2014, expediente No. 04415-2013-PHC/TC, párr. 3. </w:t>
      </w:r>
    </w:p>
  </w:footnote>
  <w:footnote w:id="154">
    <w:p w14:paraId="6D172EFD" w14:textId="2E5919F8" w:rsidR="0074038D" w:rsidRPr="00CB2424" w:rsidRDefault="0074038D" w:rsidP="00B66E4D">
      <w:pPr>
        <w:pStyle w:val="FootnoteText"/>
        <w:rPr>
          <w:rStyle w:val="FootnoteReference"/>
          <w:rFonts w:eastAsia="Calibri"/>
          <w:sz w:val="16"/>
          <w:lang w:val="es-ES_tradnl" w:eastAsia="en-US"/>
        </w:rPr>
      </w:pPr>
      <w:r w:rsidRPr="00CB2424">
        <w:rPr>
          <w:rStyle w:val="FootnoteReference"/>
          <w:sz w:val="16"/>
        </w:rPr>
        <w:footnoteRef/>
      </w:r>
      <w:r w:rsidRPr="00CB2424">
        <w:t xml:space="preserve"> </w:t>
      </w:r>
      <w:r w:rsidRPr="00CB2424">
        <w:tab/>
      </w:r>
      <w:r w:rsidRPr="00CB2424">
        <w:rPr>
          <w:rStyle w:val="Strong"/>
          <w:b w:val="0"/>
          <w:i/>
        </w:rPr>
        <w:t>Caso Tristán Donoso Vs. Panamá. Excepción Preliminar, Fondo, Reparaciones y Costas.</w:t>
      </w:r>
      <w:r w:rsidRPr="00CB2424">
        <w:rPr>
          <w:rStyle w:val="Strong"/>
          <w:b w:val="0"/>
        </w:rPr>
        <w:t xml:space="preserve"> Sentencia de 27 de enero de 2009. Serie C No. 193.</w:t>
      </w:r>
      <w:r w:rsidRPr="00CB2424">
        <w:t xml:space="preserve">, párr. 157. </w:t>
      </w:r>
    </w:p>
  </w:footnote>
  <w:footnote w:id="155">
    <w:p w14:paraId="6D172EFE" w14:textId="2B4604DB" w:rsidR="0074038D" w:rsidRPr="00CB2424" w:rsidRDefault="0074038D" w:rsidP="00B66E4D">
      <w:pPr>
        <w:pStyle w:val="CommentText"/>
        <w:widowControl w:val="0"/>
        <w:suppressLineNumbers/>
        <w:tabs>
          <w:tab w:val="left" w:pos="567"/>
        </w:tabs>
        <w:suppressAutoHyphens/>
        <w:spacing w:before="60" w:after="60"/>
        <w:jc w:val="both"/>
        <w:rPr>
          <w:rFonts w:ascii="Verdana" w:hAnsi="Verdana"/>
          <w:sz w:val="16"/>
          <w:szCs w:val="16"/>
          <w:lang w:val="es-ES"/>
        </w:rPr>
      </w:pPr>
      <w:r w:rsidRPr="00CB2424">
        <w:rPr>
          <w:rStyle w:val="FootnoteReference"/>
          <w:sz w:val="16"/>
          <w:szCs w:val="16"/>
        </w:rPr>
        <w:footnoteRef/>
      </w:r>
      <w:r w:rsidRPr="00CB2424">
        <w:rPr>
          <w:rFonts w:ascii="Verdana" w:hAnsi="Verdana"/>
          <w:sz w:val="16"/>
          <w:szCs w:val="16"/>
        </w:rPr>
        <w:t xml:space="preserve"> </w:t>
      </w:r>
      <w:r w:rsidRPr="00CB2424">
        <w:rPr>
          <w:rFonts w:ascii="Verdana" w:hAnsi="Verdana"/>
          <w:sz w:val="16"/>
          <w:szCs w:val="16"/>
        </w:rPr>
        <w:tab/>
        <w:t xml:space="preserve">TEDH, </w:t>
      </w:r>
      <w:r w:rsidRPr="00CB2424">
        <w:rPr>
          <w:rFonts w:ascii="Verdana" w:hAnsi="Verdana"/>
          <w:i/>
          <w:sz w:val="16"/>
          <w:szCs w:val="16"/>
        </w:rPr>
        <w:t>Caso Ruiz Torija Vs España,</w:t>
      </w:r>
      <w:r w:rsidRPr="00CB2424">
        <w:rPr>
          <w:rFonts w:ascii="Verdana" w:hAnsi="Verdana"/>
          <w:sz w:val="16"/>
          <w:szCs w:val="16"/>
        </w:rPr>
        <w:t xml:space="preserve"> Aplicación No. 18390/91. Sentencia de 9 de diciembre de 1994, párr. </w:t>
      </w:r>
      <w:r w:rsidRPr="00CB2424">
        <w:rPr>
          <w:rFonts w:ascii="Verdana" w:hAnsi="Verdana"/>
          <w:sz w:val="16"/>
          <w:szCs w:val="16"/>
          <w:lang w:val="es-CR"/>
        </w:rPr>
        <w:t xml:space="preserve">29, </w:t>
      </w:r>
      <w:r w:rsidRPr="00CB2424">
        <w:rPr>
          <w:rFonts w:ascii="Verdana" w:hAnsi="Verdana"/>
          <w:i/>
          <w:sz w:val="16"/>
          <w:szCs w:val="16"/>
          <w:lang w:val="es-CR"/>
        </w:rPr>
        <w:t>Caso Suominen Vs Finlandia</w:t>
      </w:r>
      <w:r w:rsidRPr="00CB2424">
        <w:rPr>
          <w:rFonts w:ascii="Verdana" w:hAnsi="Verdana"/>
          <w:sz w:val="16"/>
          <w:szCs w:val="16"/>
          <w:lang w:val="es-CR"/>
        </w:rPr>
        <w:t xml:space="preserve">, Aplicación No. 37801/97. Sentencia de 1 julio de 2003, párr. 34, y </w:t>
      </w:r>
      <w:r w:rsidRPr="00CB2424">
        <w:rPr>
          <w:rFonts w:ascii="Verdana" w:hAnsi="Verdana"/>
          <w:i/>
          <w:sz w:val="16"/>
          <w:szCs w:val="16"/>
          <w:lang w:val="es-CR"/>
        </w:rPr>
        <w:t>Caso</w:t>
      </w:r>
      <w:r w:rsidRPr="00CB2424">
        <w:rPr>
          <w:rFonts w:ascii="Verdana" w:hAnsi="Verdana"/>
          <w:sz w:val="16"/>
          <w:szCs w:val="16"/>
          <w:lang w:val="es-CR"/>
        </w:rPr>
        <w:t xml:space="preserve"> </w:t>
      </w:r>
      <w:r w:rsidRPr="00CB2424">
        <w:rPr>
          <w:rFonts w:ascii="Verdana" w:hAnsi="Verdana"/>
          <w:i/>
          <w:sz w:val="16"/>
          <w:szCs w:val="16"/>
          <w:lang w:val="es-CR"/>
        </w:rPr>
        <w:t>Tatishvili vs Russia</w:t>
      </w:r>
      <w:r w:rsidRPr="00CB2424">
        <w:rPr>
          <w:rFonts w:ascii="Verdana" w:hAnsi="Verdana"/>
          <w:sz w:val="16"/>
          <w:szCs w:val="16"/>
          <w:lang w:val="es-CR"/>
        </w:rPr>
        <w:t xml:space="preserve">, Aplicación No. 1509/02. </w:t>
      </w:r>
      <w:r w:rsidRPr="00CB2424">
        <w:rPr>
          <w:rFonts w:ascii="Verdana" w:hAnsi="Verdana"/>
          <w:sz w:val="16"/>
          <w:szCs w:val="16"/>
          <w:lang w:val="es-ES"/>
        </w:rPr>
        <w:t>Sentencia de 22 de febrero de 2007, párr. 58.</w:t>
      </w:r>
    </w:p>
  </w:footnote>
  <w:footnote w:id="156">
    <w:p w14:paraId="72E4DACF" w14:textId="2D14335C"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rStyle w:val="Strong"/>
          <w:b w:val="0"/>
          <w:i/>
          <w:color w:val="000000"/>
          <w:shd w:val="clear" w:color="auto" w:fill="FFFFFF"/>
        </w:rPr>
        <w:t>Caso Norín Catrimán y otros Vs. Chile</w:t>
      </w:r>
      <w:r w:rsidRPr="00CB2424">
        <w:t xml:space="preserve">, </w:t>
      </w:r>
      <w:r w:rsidRPr="000D4816">
        <w:rPr>
          <w:i/>
        </w:rPr>
        <w:t>supra</w:t>
      </w:r>
      <w:r w:rsidRPr="00CB2424">
        <w:t>, párr. 279.</w:t>
      </w:r>
    </w:p>
  </w:footnote>
  <w:footnote w:id="157">
    <w:p w14:paraId="6D172F01" w14:textId="43D7F9BE"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rStyle w:val="Strong"/>
          <w:b w:val="0"/>
          <w:i/>
          <w:color w:val="000000"/>
          <w:shd w:val="clear" w:color="auto" w:fill="FFFFFF"/>
        </w:rPr>
        <w:t>Caso Norín Catrimán y otros Vs. Chile</w:t>
      </w:r>
      <w:r w:rsidRPr="00CB2424">
        <w:t xml:space="preserve">, </w:t>
      </w:r>
      <w:r w:rsidRPr="000D4816">
        <w:rPr>
          <w:i/>
        </w:rPr>
        <w:t>supra</w:t>
      </w:r>
      <w:r w:rsidRPr="00CB2424">
        <w:t>, párr. 278.</w:t>
      </w:r>
    </w:p>
  </w:footnote>
  <w:footnote w:id="158">
    <w:p w14:paraId="6D172F02" w14:textId="609159F7" w:rsidR="0074038D" w:rsidRPr="00CB2424" w:rsidRDefault="0074038D" w:rsidP="00B66E4D">
      <w:pPr>
        <w:pStyle w:val="FootnoteText"/>
      </w:pPr>
      <w:r w:rsidRPr="00CB2424">
        <w:rPr>
          <w:rStyle w:val="FootnoteReference"/>
          <w:sz w:val="16"/>
        </w:rPr>
        <w:footnoteRef/>
      </w:r>
      <w:r w:rsidRPr="00CB2424">
        <w:rPr>
          <w:lang w:val="es-CR"/>
        </w:rPr>
        <w:t xml:space="preserve"> </w:t>
      </w:r>
      <w:r w:rsidRPr="00CB2424">
        <w:rPr>
          <w:lang w:val="es-CR"/>
        </w:rPr>
        <w:tab/>
      </w:r>
      <w:r w:rsidRPr="00CB2424">
        <w:t>Caso Chaparro Álvarez y Lapo Íñiguez vs. Ecuador. Excepciones Preliminares, Fondo, Reparaciones y Costas. Sentencia de 21 de noviembre de 2007, Serie C, No.170, párr. 118.</w:t>
      </w:r>
    </w:p>
  </w:footnote>
  <w:footnote w:id="159">
    <w:p w14:paraId="6F75D101" w14:textId="1C539D79"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rStyle w:val="Strong"/>
          <w:b w:val="0"/>
          <w:i/>
          <w:color w:val="000000"/>
          <w:shd w:val="clear" w:color="auto" w:fill="FFFFFF"/>
        </w:rPr>
        <w:t>Caso Apitz Barbera y otros (“Corte Primera de lo Contencioso Administrativo”) Vs. Venezuela</w:t>
      </w:r>
      <w:r w:rsidRPr="00CB2424">
        <w:t xml:space="preserve">, </w:t>
      </w:r>
      <w:r w:rsidRPr="000D4816">
        <w:rPr>
          <w:i/>
        </w:rPr>
        <w:t>supra</w:t>
      </w:r>
      <w:r w:rsidRPr="00CB2424">
        <w:t xml:space="preserve">, párr 78, y Caso J. Vs. Perú. Excepción Preliminar, Fondo, Reparaciones y Costas. Sentencia de 27 de noviembre de 2013. </w:t>
      </w:r>
      <w:hyperlink r:id="rId5" w:tgtFrame="_blank" w:history="1">
        <w:r w:rsidRPr="00CB2424">
          <w:t>Serie C No. 275</w:t>
        </w:r>
      </w:hyperlink>
      <w:r w:rsidRPr="00CB2424">
        <w:t>, párr. 270.</w:t>
      </w:r>
    </w:p>
  </w:footnote>
  <w:footnote w:id="160">
    <w:p w14:paraId="6D172F05" w14:textId="27583926" w:rsidR="0074038D" w:rsidRPr="00CB2424" w:rsidRDefault="0074038D" w:rsidP="00B66E4D">
      <w:pPr>
        <w:pStyle w:val="FootnoteText"/>
        <w:rPr>
          <w:lang w:val="pt-BR"/>
        </w:rPr>
      </w:pPr>
      <w:r w:rsidRPr="00CB2424">
        <w:rPr>
          <w:rStyle w:val="FootnoteReference"/>
          <w:sz w:val="16"/>
        </w:rPr>
        <w:footnoteRef/>
      </w:r>
      <w:r w:rsidRPr="00CB2424">
        <w:t xml:space="preserve"> </w:t>
      </w:r>
      <w:r w:rsidRPr="00CB2424">
        <w:tab/>
      </w:r>
      <w:r w:rsidRPr="000D4816">
        <w:rPr>
          <w:i/>
        </w:rPr>
        <w:t>Cfr.</w:t>
      </w:r>
      <w:r w:rsidRPr="00CB2424">
        <w:t xml:space="preserve"> TEDH, </w:t>
      </w:r>
      <w:r w:rsidRPr="00CB2424">
        <w:rPr>
          <w:i/>
        </w:rPr>
        <w:t>Caso Boldea Vs. Rumania</w:t>
      </w:r>
      <w:r w:rsidRPr="00CB2424">
        <w:t xml:space="preserve">, Aplicación No. 1997/02. Sentencia de </w:t>
      </w:r>
      <w:r w:rsidRPr="00CB2424">
        <w:rPr>
          <w:rStyle w:val="sb8d990e2"/>
        </w:rPr>
        <w:t xml:space="preserve">15 de febrero de 2007, párr. </w:t>
      </w:r>
      <w:r w:rsidRPr="00CB2424">
        <w:rPr>
          <w:rStyle w:val="sb8d990e2"/>
          <w:lang w:val="pt-BR"/>
        </w:rPr>
        <w:t>28.</w:t>
      </w:r>
    </w:p>
  </w:footnote>
  <w:footnote w:id="161">
    <w:p w14:paraId="6D172F06" w14:textId="3D28DF45" w:rsidR="0074038D" w:rsidRPr="00054386" w:rsidRDefault="0074038D" w:rsidP="00B66E4D">
      <w:pPr>
        <w:pStyle w:val="CommentText"/>
        <w:widowControl w:val="0"/>
        <w:suppressLineNumbers/>
        <w:tabs>
          <w:tab w:val="left" w:pos="567"/>
        </w:tabs>
        <w:suppressAutoHyphens/>
        <w:spacing w:before="60" w:after="60"/>
        <w:jc w:val="both"/>
        <w:rPr>
          <w:rFonts w:ascii="Verdana" w:hAnsi="Verdana"/>
          <w:sz w:val="16"/>
          <w:szCs w:val="16"/>
          <w:lang w:val="pt-BR"/>
        </w:rPr>
      </w:pPr>
      <w:r w:rsidRPr="00CB2424">
        <w:rPr>
          <w:rStyle w:val="FootnoteReference"/>
          <w:sz w:val="16"/>
          <w:szCs w:val="16"/>
        </w:rPr>
        <w:footnoteRef/>
      </w:r>
      <w:r w:rsidRPr="00CB2424">
        <w:rPr>
          <w:rFonts w:ascii="Verdana" w:hAnsi="Verdana"/>
          <w:sz w:val="16"/>
          <w:szCs w:val="16"/>
          <w:lang w:val="pt-BR"/>
        </w:rPr>
        <w:t xml:space="preserve"> </w:t>
      </w:r>
      <w:r w:rsidRPr="00CB2424">
        <w:rPr>
          <w:rFonts w:ascii="Verdana" w:hAnsi="Verdana"/>
          <w:sz w:val="16"/>
          <w:szCs w:val="16"/>
          <w:lang w:val="pt-BR"/>
        </w:rPr>
        <w:tab/>
      </w:r>
      <w:r w:rsidRPr="000D4816">
        <w:rPr>
          <w:rFonts w:ascii="Verdana" w:hAnsi="Verdana"/>
          <w:i/>
          <w:sz w:val="16"/>
          <w:szCs w:val="16"/>
          <w:lang w:val="pt-BR"/>
        </w:rPr>
        <w:t>Cfr.</w:t>
      </w:r>
      <w:r w:rsidRPr="00CB2424">
        <w:rPr>
          <w:rFonts w:ascii="Verdana" w:hAnsi="Verdana"/>
          <w:sz w:val="16"/>
          <w:szCs w:val="16"/>
          <w:lang w:val="pt-BR"/>
        </w:rPr>
        <w:t xml:space="preserve"> TEDH, </w:t>
      </w:r>
      <w:r w:rsidRPr="00CB2424">
        <w:rPr>
          <w:rFonts w:ascii="Verdana" w:hAnsi="Verdana"/>
          <w:i/>
          <w:snapToGrid w:val="0"/>
          <w:sz w:val="16"/>
          <w:szCs w:val="16"/>
          <w:lang w:val="pt-BR"/>
        </w:rPr>
        <w:t xml:space="preserve">Caso de </w:t>
      </w:r>
      <w:r w:rsidRPr="00CB2424">
        <w:rPr>
          <w:rFonts w:ascii="Verdana" w:hAnsi="Verdana"/>
          <w:i/>
          <w:sz w:val="16"/>
          <w:szCs w:val="16"/>
          <w:lang w:val="pt-BR"/>
        </w:rPr>
        <w:t>Hadjianastassiou Vs Grecia</w:t>
      </w:r>
      <w:r w:rsidRPr="00CB2424">
        <w:rPr>
          <w:rFonts w:ascii="Verdana" w:hAnsi="Verdana"/>
          <w:sz w:val="16"/>
          <w:szCs w:val="16"/>
          <w:lang w:val="pt-BR"/>
        </w:rPr>
        <w:t xml:space="preserve">, </w:t>
      </w:r>
      <w:r w:rsidRPr="000D4816">
        <w:rPr>
          <w:rFonts w:ascii="Verdana" w:hAnsi="Verdana"/>
          <w:i/>
          <w:sz w:val="16"/>
          <w:szCs w:val="16"/>
          <w:lang w:val="pt-BR"/>
        </w:rPr>
        <w:t>supra</w:t>
      </w:r>
      <w:r w:rsidRPr="00CB2424">
        <w:rPr>
          <w:rFonts w:ascii="Verdana" w:hAnsi="Verdana"/>
          <w:sz w:val="16"/>
          <w:szCs w:val="16"/>
          <w:lang w:val="pt-BR"/>
        </w:rPr>
        <w:t xml:space="preserve">, párr. </w:t>
      </w:r>
      <w:r w:rsidRPr="00054386">
        <w:rPr>
          <w:rFonts w:ascii="Verdana" w:hAnsi="Verdana"/>
          <w:sz w:val="16"/>
          <w:szCs w:val="16"/>
          <w:lang w:val="pt-BR"/>
        </w:rPr>
        <w:t>33.</w:t>
      </w:r>
    </w:p>
  </w:footnote>
  <w:footnote w:id="162">
    <w:p w14:paraId="6D172F07" w14:textId="7847C800" w:rsidR="0074038D" w:rsidRPr="00CB2424" w:rsidRDefault="0074038D" w:rsidP="00B66E4D">
      <w:pPr>
        <w:pStyle w:val="FootnoteText"/>
      </w:pPr>
      <w:r w:rsidRPr="00CB2424">
        <w:rPr>
          <w:rStyle w:val="FootnoteReference"/>
          <w:sz w:val="16"/>
        </w:rPr>
        <w:footnoteRef/>
      </w:r>
      <w:r w:rsidRPr="00054386">
        <w:rPr>
          <w:lang w:val="pt-BR"/>
        </w:rPr>
        <w:t xml:space="preserve"> </w:t>
      </w:r>
      <w:r w:rsidRPr="00054386">
        <w:rPr>
          <w:lang w:val="pt-BR"/>
        </w:rPr>
        <w:tab/>
      </w:r>
      <w:r w:rsidRPr="000D4816">
        <w:rPr>
          <w:i/>
          <w:lang w:val="pt-BR"/>
        </w:rPr>
        <w:t>Cfr.</w:t>
      </w:r>
      <w:r w:rsidRPr="00054386">
        <w:rPr>
          <w:lang w:val="pt-BR"/>
        </w:rPr>
        <w:t xml:space="preserve"> ONU. </w:t>
      </w:r>
      <w:r w:rsidRPr="00CB2424">
        <w:t xml:space="preserve">Comité de Derechos Humanos, </w:t>
      </w:r>
      <w:r w:rsidRPr="00CB2424">
        <w:rPr>
          <w:i/>
        </w:rPr>
        <w:t>Caso Hamilton Vs. Jamaica</w:t>
      </w:r>
      <w:r w:rsidRPr="00CB2424">
        <w:t>, Comunicación No. 333/1988, CCPR/C/50/D/333/1988, 23 de marzo de 1994, párr. 8.3 y 9.1.</w:t>
      </w:r>
    </w:p>
  </w:footnote>
  <w:footnote w:id="163">
    <w:p w14:paraId="6D172F08" w14:textId="0170400F" w:rsidR="0074038D" w:rsidRPr="00CB2424" w:rsidRDefault="0074038D" w:rsidP="00B66E4D">
      <w:pPr>
        <w:pStyle w:val="FootnoteText"/>
      </w:pPr>
      <w:r w:rsidRPr="00CB2424">
        <w:rPr>
          <w:rStyle w:val="FootnoteReference"/>
          <w:sz w:val="16"/>
        </w:rPr>
        <w:footnoteRef/>
      </w:r>
      <w:r w:rsidRPr="00CB2424">
        <w:rPr>
          <w:lang w:val="es-PR"/>
        </w:rPr>
        <w:t xml:space="preserve"> </w:t>
      </w:r>
      <w:r w:rsidRPr="00CB2424">
        <w:rPr>
          <w:lang w:val="es-PR"/>
        </w:rPr>
        <w:tab/>
      </w:r>
      <w:r w:rsidRPr="000D4816">
        <w:rPr>
          <w:i/>
          <w:lang w:val="es-PR"/>
        </w:rPr>
        <w:t>Cfr.</w:t>
      </w:r>
      <w:r w:rsidRPr="00CB2424">
        <w:rPr>
          <w:lang w:val="es-PR"/>
        </w:rPr>
        <w:t xml:space="preserve"> </w:t>
      </w:r>
      <w:r w:rsidRPr="00CB2424">
        <w:rPr>
          <w:rStyle w:val="Strong"/>
          <w:b w:val="0"/>
          <w:i/>
          <w:color w:val="000000"/>
          <w:shd w:val="clear" w:color="auto" w:fill="FFFFFF"/>
          <w:lang w:val="es-PR"/>
        </w:rPr>
        <w:t xml:space="preserve">Caso López Mendoza Vs. </w:t>
      </w:r>
      <w:r w:rsidRPr="00CB2424">
        <w:rPr>
          <w:rStyle w:val="Strong"/>
          <w:b w:val="0"/>
          <w:i/>
          <w:color w:val="000000"/>
          <w:shd w:val="clear" w:color="auto" w:fill="FFFFFF"/>
        </w:rPr>
        <w:t>Venezuela. Fondo Reparaciones y Costas.</w:t>
      </w:r>
      <w:r w:rsidRPr="00CB2424">
        <w:rPr>
          <w:rStyle w:val="Strong"/>
          <w:b w:val="0"/>
          <w:color w:val="000000"/>
          <w:shd w:val="clear" w:color="auto" w:fill="FFFFFF"/>
        </w:rPr>
        <w:t xml:space="preserve"> Sentencia de 1 de septiembre de 2011. Serie C No. 233</w:t>
      </w:r>
      <w:r w:rsidRPr="00CB2424">
        <w:t>, párr. 148.</w:t>
      </w:r>
    </w:p>
  </w:footnote>
  <w:footnote w:id="164">
    <w:p w14:paraId="6D172F0A" w14:textId="679C0364" w:rsidR="0074038D" w:rsidRPr="00CB2424" w:rsidRDefault="0074038D" w:rsidP="00B66E4D">
      <w:pPr>
        <w:pStyle w:val="FootnoteText"/>
        <w:rPr>
          <w:rFonts w:cs="Arial"/>
        </w:rPr>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i/>
        </w:rPr>
        <w:t>Caso Castillo Petruzzi y otros Vs. Perú.</w:t>
      </w:r>
      <w:r w:rsidRPr="00CB2424">
        <w:t xml:space="preserve"> Fondo, Reparaciones y Costas. Sentencia de 30 de mayo de 1999. Serie C No. 52., párr. 161; </w:t>
      </w:r>
      <w:r w:rsidRPr="00CB2424">
        <w:rPr>
          <w:i/>
        </w:rPr>
        <w:t>Caso Herrera Ulloa Vs. Costa Rica</w:t>
      </w:r>
      <w:r w:rsidRPr="00CB2424">
        <w:t xml:space="preserve">. Excepciones Preliminares, Fondo, Reparaciones y Costas. Sentencia de 2 de julio de 2004. Serie C No. 107, párrs. 157 a 168; </w:t>
      </w:r>
      <w:r w:rsidRPr="00CB2424">
        <w:rPr>
          <w:i/>
        </w:rPr>
        <w:t>Caso Barreto Leiva Vs. Venezuela</w:t>
      </w:r>
      <w:r w:rsidRPr="00CB2424">
        <w:t xml:space="preserve">. Fondo, Reparaciones y Costas. Sentencia de 17 de noviembre de 2009. Serie C No. 206, párrs. 88 a 91; </w:t>
      </w:r>
      <w:r w:rsidRPr="00CB2424">
        <w:rPr>
          <w:i/>
        </w:rPr>
        <w:t>Caso Vélez Loor Vs. Panamá.</w:t>
      </w:r>
      <w:r w:rsidRPr="00CB2424">
        <w:t xml:space="preserve"> Excepciones Preliminares, Fondo, Reparaciones y Costas. Sentencia de 23 de noviembre de 2010. </w:t>
      </w:r>
      <w:r w:rsidRPr="00CB2424">
        <w:rPr>
          <w:lang w:val="es-CR"/>
        </w:rPr>
        <w:t xml:space="preserve">Serie C No. 218, párr. 179; </w:t>
      </w:r>
      <w:r w:rsidRPr="00CB2424">
        <w:rPr>
          <w:i/>
          <w:lang w:val="es-CR"/>
        </w:rPr>
        <w:t>Caso Mohamed Vs. Argentina</w:t>
      </w:r>
      <w:r w:rsidRPr="00CB2424">
        <w:rPr>
          <w:lang w:val="es-CR"/>
        </w:rPr>
        <w:t xml:space="preserve">. Fondo, Reparaciones y Costas. Sentencia de 23 noviembre de 2012. Serie C No. 255, párrs. 88 a 117; </w:t>
      </w:r>
      <w:r w:rsidRPr="00CB2424">
        <w:rPr>
          <w:i/>
        </w:rPr>
        <w:t>Caso Mendoza y otros Vs. Argentina</w:t>
      </w:r>
      <w:r w:rsidRPr="00CB2424">
        <w:rPr>
          <w:rFonts w:cs="Arial"/>
        </w:rPr>
        <w:t xml:space="preserve">. Excepciones Preliminares, Fondo y Reparaciones. Sentencia de 14 de mayo de 2013. </w:t>
      </w:r>
      <w:r w:rsidRPr="00054386">
        <w:rPr>
          <w:rFonts w:cs="Arial"/>
          <w:lang w:val="es-CR"/>
        </w:rPr>
        <w:t xml:space="preserve">Serie C No. 260, párrs. 241 a 261; </w:t>
      </w:r>
      <w:r w:rsidRPr="00054386">
        <w:rPr>
          <w:i/>
          <w:lang w:val="es-CR"/>
        </w:rPr>
        <w:t>Caso Liakat Ali Alibux Vs. Suriname</w:t>
      </w:r>
      <w:r w:rsidRPr="00054386">
        <w:rPr>
          <w:lang w:val="es-CR"/>
        </w:rPr>
        <w:t xml:space="preserve">. </w:t>
      </w:r>
      <w:r w:rsidRPr="00CB2424">
        <w:t xml:space="preserve">Excepciones Preliminares, Fondo, Reparaciones y Costas. Sentencia de 30 de enero de 2014. Serie C No. 276, párr. 84 a 111, y </w:t>
      </w:r>
      <w:r w:rsidRPr="00CB2424">
        <w:rPr>
          <w:i/>
        </w:rPr>
        <w:t>Caso Norín Catrimán y otros (Dirigentes, miembros y activista del Pueblo Indígena Mapuche) Vs. Chile</w:t>
      </w:r>
      <w:r w:rsidRPr="00CB2424">
        <w:t>. Fondo, Reparaciones y Costas. Sentencia de 29 de mayo de 2014. Serie C No. 279, párr. 267.</w:t>
      </w:r>
    </w:p>
  </w:footnote>
  <w:footnote w:id="165">
    <w:p w14:paraId="6D172F0B" w14:textId="5C5B68C3"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B66E4D">
        <w:rPr>
          <w:i/>
        </w:rPr>
        <w:t xml:space="preserve">Caso Herrera Ulloa, </w:t>
      </w:r>
      <w:r w:rsidRPr="000D4816">
        <w:rPr>
          <w:i/>
        </w:rPr>
        <w:t>supra</w:t>
      </w:r>
      <w:r w:rsidRPr="00CB2424">
        <w:t xml:space="preserve">, párr. 158, y </w:t>
      </w:r>
      <w:r w:rsidRPr="00B66E4D">
        <w:rPr>
          <w:i/>
        </w:rPr>
        <w:t xml:space="preserve">Caso Norín Catrimán y otros, </w:t>
      </w:r>
      <w:r w:rsidRPr="000D4816">
        <w:rPr>
          <w:i/>
        </w:rPr>
        <w:t>supra</w:t>
      </w:r>
      <w:r w:rsidRPr="00CB2424">
        <w:t>, párr. 269.</w:t>
      </w:r>
    </w:p>
  </w:footnote>
  <w:footnote w:id="166">
    <w:p w14:paraId="6D172F0C" w14:textId="5411C40F" w:rsidR="0074038D" w:rsidRPr="00CB2424" w:rsidRDefault="0074038D" w:rsidP="00B66E4D">
      <w:pPr>
        <w:pStyle w:val="FootnoteText"/>
      </w:pPr>
      <w:r w:rsidRPr="00CB2424">
        <w:rPr>
          <w:rStyle w:val="FootnoteReference"/>
          <w:sz w:val="16"/>
        </w:rPr>
        <w:footnoteRef/>
      </w:r>
      <w:r w:rsidRPr="00CB2424">
        <w:rPr>
          <w:lang w:val="es-CR"/>
        </w:rPr>
        <w:t xml:space="preserve"> </w:t>
      </w:r>
      <w:r w:rsidRPr="00CB2424">
        <w:rPr>
          <w:lang w:val="es-CR"/>
        </w:rPr>
        <w:tab/>
      </w:r>
      <w:r w:rsidRPr="000D4816">
        <w:rPr>
          <w:i/>
          <w:lang w:val="es-CR"/>
        </w:rPr>
        <w:t>Cfr.</w:t>
      </w:r>
      <w:r w:rsidRPr="00CB2424">
        <w:rPr>
          <w:lang w:val="es-CR"/>
        </w:rPr>
        <w:t xml:space="preserve"> </w:t>
      </w:r>
      <w:r w:rsidRPr="00B66E4D">
        <w:rPr>
          <w:i/>
          <w:lang w:val="es-CR"/>
        </w:rPr>
        <w:t xml:space="preserve">Caso Mohamed, </w:t>
      </w:r>
      <w:r w:rsidRPr="000D4816">
        <w:rPr>
          <w:i/>
          <w:lang w:val="es-CR"/>
        </w:rPr>
        <w:t>supra</w:t>
      </w:r>
      <w:r w:rsidRPr="00CB2424">
        <w:rPr>
          <w:lang w:val="es-CR"/>
        </w:rPr>
        <w:t xml:space="preserve">, párrs. </w:t>
      </w:r>
      <w:r w:rsidRPr="00CB2424">
        <w:t xml:space="preserve">92 y 93 y </w:t>
      </w:r>
      <w:r w:rsidRPr="00B66E4D">
        <w:rPr>
          <w:i/>
        </w:rPr>
        <w:t xml:space="preserve">Caso Norín Catrimán y otros, </w:t>
      </w:r>
      <w:r w:rsidRPr="000D4816">
        <w:rPr>
          <w:i/>
        </w:rPr>
        <w:t>supra</w:t>
      </w:r>
      <w:r w:rsidRPr="00CB2424">
        <w:t>, párr. 270.</w:t>
      </w:r>
    </w:p>
  </w:footnote>
  <w:footnote w:id="167">
    <w:p w14:paraId="6D172F0D" w14:textId="07A090B1"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B66E4D">
        <w:rPr>
          <w:i/>
        </w:rPr>
        <w:t xml:space="preserve">Caso Baena Ricardo y otros, </w:t>
      </w:r>
      <w:r w:rsidRPr="000D4816">
        <w:rPr>
          <w:i/>
        </w:rPr>
        <w:t>supra</w:t>
      </w:r>
      <w:r w:rsidRPr="00CB2424">
        <w:t xml:space="preserve">, párr. 107, y </w:t>
      </w:r>
      <w:r w:rsidRPr="00B66E4D">
        <w:rPr>
          <w:i/>
        </w:rPr>
        <w:t xml:space="preserve">Caso Norín Catrimán y otros, </w:t>
      </w:r>
      <w:r w:rsidRPr="000D4816">
        <w:rPr>
          <w:i/>
        </w:rPr>
        <w:t>supra</w:t>
      </w:r>
      <w:r w:rsidRPr="00CB2424">
        <w:t>, párr. 270.</w:t>
      </w:r>
    </w:p>
  </w:footnote>
  <w:footnote w:id="168">
    <w:p w14:paraId="6D172F0E" w14:textId="3FB4E652" w:rsidR="0074038D" w:rsidRPr="00CB2424" w:rsidRDefault="0074038D" w:rsidP="00B66E4D">
      <w:pPr>
        <w:pStyle w:val="FootnoteText"/>
        <w:rPr>
          <w:lang w:val="es-ES_tradnl"/>
        </w:rPr>
      </w:pPr>
      <w:r w:rsidRPr="00CB2424">
        <w:rPr>
          <w:rStyle w:val="FootnoteReference"/>
          <w:sz w:val="16"/>
        </w:rPr>
        <w:footnoteRef/>
      </w:r>
      <w:r w:rsidRPr="00CB2424">
        <w:t xml:space="preserve"> </w:t>
      </w:r>
      <w:r w:rsidRPr="00CB2424">
        <w:tab/>
        <w:t>Además, la Corte aplicó el artículo 8.2</w:t>
      </w:r>
      <w:r>
        <w:t xml:space="preserve"> </w:t>
      </w:r>
      <w:r w:rsidRPr="00CB2424">
        <w:t xml:space="preserve">(h) en relación con la revisión de una sanción administrativa que ordenó una pena privativa de la libertad, señalando que el derecho a recurrir el fallo consagraba un tipo específico de recurso que debía ofrecerse a toda persona sancionada con una pena privativa de la libertad, como una garantía de su derecho a la defensa. </w:t>
      </w:r>
      <w:r w:rsidRPr="000D4816">
        <w:rPr>
          <w:i/>
        </w:rPr>
        <w:t>Cfr.</w:t>
      </w:r>
      <w:r w:rsidRPr="00CB2424">
        <w:rPr>
          <w:i/>
        </w:rPr>
        <w:t xml:space="preserve"> Caso Vélez Loor, </w:t>
      </w:r>
      <w:r w:rsidRPr="000D4816">
        <w:rPr>
          <w:i/>
        </w:rPr>
        <w:t>supra</w:t>
      </w:r>
      <w:r w:rsidRPr="00CB2424">
        <w:rPr>
          <w:i/>
        </w:rPr>
        <w:t xml:space="preserve">, </w:t>
      </w:r>
      <w:r w:rsidRPr="00CB2424">
        <w:t xml:space="preserve">párrs. 178 y 179. </w:t>
      </w:r>
    </w:p>
  </w:footnote>
  <w:footnote w:id="169">
    <w:p w14:paraId="6D172F0F" w14:textId="5D744675"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B66E4D">
        <w:rPr>
          <w:i/>
        </w:rPr>
        <w:t xml:space="preserve">Caso Herrera Ulloa, </w:t>
      </w:r>
      <w:r w:rsidRPr="000D4816">
        <w:rPr>
          <w:i/>
        </w:rPr>
        <w:t>supra</w:t>
      </w:r>
      <w:r w:rsidRPr="00CB2424">
        <w:t xml:space="preserve">, párr. 165, y </w:t>
      </w:r>
      <w:r w:rsidRPr="00B66E4D">
        <w:rPr>
          <w:i/>
        </w:rPr>
        <w:t xml:space="preserve">Caso Norín Catrimán y otros, </w:t>
      </w:r>
      <w:r w:rsidRPr="000D4816">
        <w:rPr>
          <w:i/>
        </w:rPr>
        <w:t>supra</w:t>
      </w:r>
      <w:r w:rsidRPr="00CB2424">
        <w:t>, párr. 270.</w:t>
      </w:r>
    </w:p>
  </w:footnote>
  <w:footnote w:id="170">
    <w:p w14:paraId="6D172F10" w14:textId="07B86719" w:rsidR="0074038D" w:rsidRPr="00CB2424" w:rsidRDefault="0074038D" w:rsidP="00761CF6">
      <w:pPr>
        <w:pStyle w:val="FootnoteText"/>
      </w:pPr>
      <w:r w:rsidRPr="00CB2424">
        <w:rPr>
          <w:rStyle w:val="FootnoteReference"/>
          <w:spacing w:val="-4"/>
          <w:sz w:val="16"/>
        </w:rPr>
        <w:footnoteRef/>
      </w:r>
      <w:r w:rsidRPr="00CB2424">
        <w:t xml:space="preserve"> </w:t>
      </w:r>
      <w:r w:rsidRPr="00CB2424">
        <w:tab/>
      </w:r>
      <w:r w:rsidRPr="000D4816">
        <w:rPr>
          <w:i/>
        </w:rPr>
        <w:t>Cfr.</w:t>
      </w:r>
      <w:r w:rsidRPr="00CB2424">
        <w:t xml:space="preserve"> </w:t>
      </w:r>
      <w:r w:rsidRPr="00B66E4D">
        <w:rPr>
          <w:i/>
        </w:rPr>
        <w:t xml:space="preserve">Caso Herrera Ulloa, </w:t>
      </w:r>
      <w:r w:rsidRPr="000D4816">
        <w:rPr>
          <w:i/>
        </w:rPr>
        <w:t>supra</w:t>
      </w:r>
      <w:r w:rsidRPr="00CB2424">
        <w:t xml:space="preserve">, párrs. 161, 164 y 165, y </w:t>
      </w:r>
      <w:r w:rsidRPr="00B66E4D">
        <w:rPr>
          <w:i/>
        </w:rPr>
        <w:t xml:space="preserve">Caso Norín Catrimán y otros, </w:t>
      </w:r>
      <w:r w:rsidRPr="000D4816">
        <w:rPr>
          <w:i/>
        </w:rPr>
        <w:t>supra</w:t>
      </w:r>
      <w:r w:rsidRPr="00CB2424">
        <w:t>, párr. 298</w:t>
      </w:r>
      <w:r w:rsidRPr="000D4816">
        <w:rPr>
          <w:i/>
        </w:rPr>
        <w:t>.</w:t>
      </w:r>
    </w:p>
  </w:footnote>
  <w:footnote w:id="171">
    <w:p w14:paraId="6D172F11" w14:textId="38108E30" w:rsidR="0074038D" w:rsidRPr="00CB2424" w:rsidRDefault="0074038D" w:rsidP="00761CF6">
      <w:pPr>
        <w:pStyle w:val="FootnoteText"/>
        <w:rPr>
          <w:spacing w:val="-4"/>
          <w:lang w:val="es-ES_tradnl"/>
        </w:rPr>
      </w:pPr>
      <w:r w:rsidRPr="00CB2424">
        <w:rPr>
          <w:rStyle w:val="FootnoteReference"/>
          <w:spacing w:val="-4"/>
          <w:sz w:val="16"/>
        </w:rPr>
        <w:footnoteRef/>
      </w:r>
      <w:r w:rsidRPr="00B66E4D">
        <w:rPr>
          <w:spacing w:val="-4"/>
          <w:lang w:val="pt-BR"/>
        </w:rPr>
        <w:t xml:space="preserve"> </w:t>
      </w:r>
      <w:r w:rsidRPr="00B66E4D">
        <w:rPr>
          <w:spacing w:val="-4"/>
          <w:lang w:val="pt-BR"/>
        </w:rPr>
        <w:tab/>
      </w:r>
      <w:r w:rsidRPr="000D4816">
        <w:rPr>
          <w:i/>
          <w:spacing w:val="-4"/>
          <w:lang w:val="pt-BR"/>
        </w:rPr>
        <w:t>Cfr.</w:t>
      </w:r>
      <w:r w:rsidRPr="00B66E4D">
        <w:rPr>
          <w:spacing w:val="-4"/>
          <w:lang w:val="pt-BR"/>
        </w:rPr>
        <w:t xml:space="preserve"> </w:t>
      </w:r>
      <w:r w:rsidRPr="00B66E4D">
        <w:rPr>
          <w:i/>
          <w:spacing w:val="-4"/>
          <w:lang w:val="pt-BR"/>
        </w:rPr>
        <w:t xml:space="preserve">Caso Mohamed, </w:t>
      </w:r>
      <w:r w:rsidRPr="000D4816">
        <w:rPr>
          <w:i/>
          <w:spacing w:val="-4"/>
          <w:lang w:val="pt-BR"/>
        </w:rPr>
        <w:t>supra</w:t>
      </w:r>
      <w:r w:rsidRPr="00B66E4D">
        <w:rPr>
          <w:spacing w:val="-4"/>
          <w:lang w:val="pt-BR"/>
        </w:rPr>
        <w:t xml:space="preserve">, párr. </w:t>
      </w:r>
      <w:r w:rsidRPr="00CB2424">
        <w:rPr>
          <w:spacing w:val="-4"/>
        </w:rPr>
        <w:t xml:space="preserve">101, y </w:t>
      </w:r>
      <w:r w:rsidRPr="00B66E4D">
        <w:rPr>
          <w:i/>
        </w:rPr>
        <w:t>Caso Liakat Ali Alibux</w:t>
      </w:r>
      <w:r w:rsidRPr="00CB2424">
        <w:t xml:space="preserve">, </w:t>
      </w:r>
      <w:r w:rsidRPr="000D4816">
        <w:rPr>
          <w:i/>
        </w:rPr>
        <w:t>supra</w:t>
      </w:r>
      <w:r w:rsidRPr="00CB2424">
        <w:t>, párr. 87.</w:t>
      </w:r>
    </w:p>
  </w:footnote>
  <w:footnote w:id="172">
    <w:p w14:paraId="4AFB5547" w14:textId="18BC16F7" w:rsidR="0074038D" w:rsidRPr="00CB2424" w:rsidRDefault="0074038D" w:rsidP="00374910">
      <w:pPr>
        <w:widowControl w:val="0"/>
        <w:suppressLineNumbers/>
        <w:suppressAutoHyphens/>
        <w:spacing w:before="60"/>
        <w:jc w:val="both"/>
        <w:rPr>
          <w:rFonts w:ascii="Verdana" w:hAnsi="Verdana"/>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0D4816">
        <w:rPr>
          <w:rFonts w:ascii="Verdana" w:hAnsi="Verdana"/>
          <w:i/>
          <w:sz w:val="16"/>
          <w:szCs w:val="16"/>
          <w:lang w:val="es-CR"/>
        </w:rPr>
        <w:t>Cfr.</w:t>
      </w:r>
      <w:r w:rsidRPr="00CB2424">
        <w:rPr>
          <w:rFonts w:ascii="Verdana" w:hAnsi="Verdana"/>
          <w:i/>
          <w:sz w:val="16"/>
          <w:szCs w:val="16"/>
          <w:lang w:val="es-CR"/>
        </w:rPr>
        <w:t xml:space="preserve"> Caso Apitz Barbera y otros (“Corte Primera de lo Contencioso Administrativo”) Vs. Venezuela</w:t>
      </w:r>
      <w:r w:rsidRPr="00CB2424">
        <w:rPr>
          <w:rFonts w:ascii="Verdana" w:hAnsi="Verdana"/>
          <w:sz w:val="16"/>
          <w:szCs w:val="16"/>
          <w:lang w:val="es-CR"/>
        </w:rPr>
        <w:t xml:space="preserve">. Excepción Preliminar, Fondo, Reparaciones y Costas. Sentencia de 5 de agosto de 2008. </w:t>
      </w:r>
      <w:hyperlink r:id="rId6" w:tgtFrame="_blank" w:history="1">
        <w:r w:rsidRPr="00CB2424">
          <w:rPr>
            <w:rFonts w:ascii="Verdana" w:hAnsi="Verdana"/>
            <w:sz w:val="16"/>
            <w:szCs w:val="16"/>
            <w:lang w:val="es-CR"/>
          </w:rPr>
          <w:t>Serie C No. 182</w:t>
        </w:r>
      </w:hyperlink>
      <w:r w:rsidRPr="00CB2424">
        <w:rPr>
          <w:rFonts w:ascii="Verdana" w:hAnsi="Verdana"/>
          <w:sz w:val="16"/>
          <w:szCs w:val="16"/>
          <w:lang w:val="es-CR"/>
        </w:rPr>
        <w:t xml:space="preserve">, párr. 90; </w:t>
      </w:r>
      <w:r w:rsidRPr="000D4816">
        <w:rPr>
          <w:rFonts w:ascii="Verdana" w:hAnsi="Verdana"/>
          <w:i/>
          <w:sz w:val="16"/>
          <w:szCs w:val="16"/>
          <w:lang w:val="es-CR"/>
        </w:rPr>
        <w:t>Cfr.</w:t>
      </w:r>
      <w:r w:rsidRPr="000D4816">
        <w:t xml:space="preserve"> </w:t>
      </w:r>
      <w:r>
        <w:rPr>
          <w:rFonts w:ascii="Verdana" w:hAnsi="Verdana"/>
          <w:i/>
          <w:sz w:val="16"/>
          <w:szCs w:val="16"/>
          <w:lang w:val="es-CR"/>
        </w:rPr>
        <w:t>Caso Flor Freire Vs. Ecuador,</w:t>
      </w:r>
      <w:r w:rsidRPr="000D4816">
        <w:rPr>
          <w:rFonts w:ascii="Verdana" w:hAnsi="Verdana"/>
          <w:i/>
          <w:sz w:val="16"/>
          <w:szCs w:val="16"/>
          <w:lang w:val="es-CR"/>
        </w:rPr>
        <w:t xml:space="preserve"> supra</w:t>
      </w:r>
      <w:r>
        <w:rPr>
          <w:rFonts w:ascii="Verdana" w:hAnsi="Verdana"/>
          <w:i/>
          <w:sz w:val="16"/>
          <w:szCs w:val="16"/>
          <w:lang w:val="es-CR"/>
        </w:rPr>
        <w:t xml:space="preserve">, </w:t>
      </w:r>
      <w:r w:rsidRPr="000D4816">
        <w:rPr>
          <w:rFonts w:ascii="Verdana" w:hAnsi="Verdana"/>
          <w:sz w:val="16"/>
          <w:szCs w:val="16"/>
          <w:lang w:val="es-CR"/>
        </w:rPr>
        <w:t>párr. 186.</w:t>
      </w:r>
      <w:r w:rsidRPr="00CB2424">
        <w:rPr>
          <w:rFonts w:ascii="Verdana" w:hAnsi="Verdana"/>
          <w:sz w:val="16"/>
          <w:szCs w:val="16"/>
          <w:lang w:val="es-CR"/>
        </w:rPr>
        <w:t xml:space="preserve"> Ver también: TEDH. </w:t>
      </w:r>
      <w:r>
        <w:rPr>
          <w:rFonts w:ascii="Verdana" w:hAnsi="Verdana"/>
          <w:i/>
          <w:sz w:val="16"/>
          <w:szCs w:val="16"/>
          <w:lang w:val="es-CR"/>
        </w:rPr>
        <w:t>Caso Hiro Balani Vs.</w:t>
      </w:r>
      <w:r w:rsidRPr="00CB2424">
        <w:rPr>
          <w:rFonts w:ascii="Verdana" w:hAnsi="Verdana"/>
          <w:i/>
          <w:sz w:val="16"/>
          <w:szCs w:val="16"/>
          <w:lang w:val="es-CR"/>
        </w:rPr>
        <w:t xml:space="preserve"> Spain</w:t>
      </w:r>
      <w:r w:rsidRPr="00CB2424">
        <w:rPr>
          <w:rFonts w:ascii="Verdana" w:hAnsi="Verdana"/>
          <w:sz w:val="16"/>
          <w:szCs w:val="16"/>
          <w:lang w:val="es-CR"/>
        </w:rPr>
        <w:t xml:space="preserve">. No. 303-B. Sentencia de 9 de diciembre de 1994., párr. 27. Ver también, TEDH. </w:t>
      </w:r>
      <w:r w:rsidRPr="00CB2424">
        <w:rPr>
          <w:rFonts w:ascii="Verdana" w:hAnsi="Verdana"/>
          <w:i/>
          <w:sz w:val="16"/>
          <w:szCs w:val="16"/>
          <w:lang w:val="es-EC"/>
        </w:rPr>
        <w:t>Caso Ruiz Torija Vs. España</w:t>
      </w:r>
      <w:r w:rsidRPr="00CB2424">
        <w:rPr>
          <w:rFonts w:ascii="Verdana" w:hAnsi="Verdana"/>
          <w:sz w:val="16"/>
          <w:szCs w:val="16"/>
          <w:lang w:val="es-EC"/>
        </w:rPr>
        <w:t xml:space="preserve">. </w:t>
      </w:r>
      <w:r w:rsidRPr="00CB2424">
        <w:rPr>
          <w:rFonts w:ascii="Verdana" w:hAnsi="Verdana"/>
          <w:sz w:val="16"/>
          <w:szCs w:val="16"/>
          <w:lang w:val="es-CR"/>
        </w:rPr>
        <w:t xml:space="preserve">No. 303-A. Sentencia de 9 de diciembre de 1994, párr. 29; TEDH; TEDH. </w:t>
      </w:r>
      <w:r w:rsidRPr="00CB2424">
        <w:rPr>
          <w:rFonts w:ascii="Verdana" w:hAnsi="Verdana"/>
          <w:i/>
          <w:sz w:val="16"/>
          <w:szCs w:val="16"/>
          <w:lang w:val="es-CR"/>
        </w:rPr>
        <w:t>Caso Sainz Casla Vs. España</w:t>
      </w:r>
      <w:r w:rsidRPr="00CB2424">
        <w:rPr>
          <w:rFonts w:ascii="Verdana" w:hAnsi="Verdana" w:cs="TimesNewRoman"/>
          <w:sz w:val="16"/>
          <w:szCs w:val="16"/>
          <w:lang w:val="es-CR"/>
        </w:rPr>
        <w:t>. No. 18054/10. Sentencia de 12 de no</w:t>
      </w:r>
      <w:r>
        <w:rPr>
          <w:rFonts w:ascii="Verdana" w:hAnsi="Verdana" w:cs="TimesNewRoman"/>
          <w:sz w:val="16"/>
          <w:szCs w:val="16"/>
          <w:lang w:val="es-CR"/>
        </w:rPr>
        <w:t>viembre de 2013, párr.35; TEDH, y</w:t>
      </w:r>
      <w:r w:rsidRPr="00CB2424">
        <w:rPr>
          <w:rFonts w:ascii="Verdana" w:hAnsi="Verdana" w:cs="TimesNewRoman"/>
          <w:sz w:val="16"/>
          <w:szCs w:val="16"/>
          <w:lang w:val="es-CR"/>
        </w:rPr>
        <w:t xml:space="preserve"> </w:t>
      </w:r>
      <w:r w:rsidRPr="00CB2424">
        <w:rPr>
          <w:rFonts w:ascii="Verdana" w:hAnsi="Verdana"/>
          <w:i/>
          <w:sz w:val="16"/>
          <w:szCs w:val="16"/>
          <w:lang w:val="es-CR"/>
        </w:rPr>
        <w:t>Caso García Ruiz Vs. España</w:t>
      </w:r>
      <w:r w:rsidRPr="00CB2424">
        <w:rPr>
          <w:rFonts w:ascii="Verdana" w:hAnsi="Verdana" w:cs="TimesNewRoman"/>
          <w:sz w:val="16"/>
          <w:szCs w:val="16"/>
          <w:lang w:val="es-CR"/>
        </w:rPr>
        <w:t xml:space="preserve"> [GC]. No 30544/96. Sentencia del 21 de enero de 1999., párr. 26.</w:t>
      </w:r>
    </w:p>
  </w:footnote>
  <w:footnote w:id="173">
    <w:p w14:paraId="6D172F17" w14:textId="127B1E6D" w:rsidR="0074038D" w:rsidRPr="00CB2424" w:rsidRDefault="0074038D" w:rsidP="00374910">
      <w:pPr>
        <w:pStyle w:val="FootnoteText"/>
        <w:spacing w:after="0"/>
      </w:pPr>
      <w:r w:rsidRPr="00CB2424">
        <w:rPr>
          <w:rStyle w:val="FootnoteReference"/>
          <w:sz w:val="16"/>
        </w:rPr>
        <w:footnoteRef/>
      </w:r>
      <w:r w:rsidRPr="00CB2424">
        <w:t xml:space="preserve"> </w:t>
      </w:r>
      <w:r w:rsidRPr="00CB2424">
        <w:tab/>
      </w:r>
      <w:r w:rsidRPr="000D4816">
        <w:rPr>
          <w:i/>
        </w:rPr>
        <w:t>Cfr.</w:t>
      </w:r>
      <w:r w:rsidRPr="00CB2424">
        <w:t xml:space="preserve"> </w:t>
      </w:r>
      <w:r w:rsidRPr="00CB2424">
        <w:rPr>
          <w:i/>
        </w:rPr>
        <w:t>Caso López Álvarez Vs. Honduras.</w:t>
      </w:r>
      <w:r w:rsidRPr="00CB2424">
        <w:t xml:space="preserve"> Fondo, Reparaciones y Costas. Sentencia de 1 de febrero de 2006. Serie C No. 141, párr. 96, y </w:t>
      </w:r>
      <w:r w:rsidRPr="00CB2424">
        <w:rPr>
          <w:i/>
        </w:rPr>
        <w:t>Caso Maldonado Ordóñez Vs. Guatemala</w:t>
      </w:r>
      <w:r w:rsidRPr="00CB2424">
        <w:t xml:space="preserve">. </w:t>
      </w:r>
      <w:r w:rsidRPr="008B5048">
        <w:rPr>
          <w:i/>
        </w:rPr>
        <w:t>Excepción Preliminar, Fondo, Reparaciones y Costas.</w:t>
      </w:r>
      <w:r w:rsidRPr="00CB2424">
        <w:t xml:space="preserve"> Sentencia de 3 de mayo de 2016. Serie C No. 311, párr. 109.</w:t>
      </w:r>
    </w:p>
  </w:footnote>
  <w:footnote w:id="174">
    <w:p w14:paraId="6D172F19" w14:textId="53373157" w:rsidR="0074038D" w:rsidRPr="00CB2424" w:rsidRDefault="0074038D" w:rsidP="00B66E4D">
      <w:pPr>
        <w:pStyle w:val="NoSpacing"/>
        <w:widowControl w:val="0"/>
        <w:suppressLineNumbers/>
        <w:tabs>
          <w:tab w:val="left" w:pos="567"/>
        </w:tabs>
        <w:suppressAutoHyphens/>
        <w:spacing w:before="60" w:after="60"/>
        <w:jc w:val="both"/>
        <w:rPr>
          <w:rFonts w:ascii="Verdana" w:hAnsi="Verdana"/>
          <w:b/>
          <w:sz w:val="16"/>
          <w:szCs w:val="16"/>
          <w:lang w:val="es-CR"/>
        </w:rPr>
      </w:pPr>
      <w:r w:rsidRPr="00CB2424">
        <w:rPr>
          <w:rStyle w:val="FootnoteReference"/>
          <w:sz w:val="16"/>
          <w:szCs w:val="16"/>
        </w:rPr>
        <w:footnoteRef/>
      </w:r>
      <w:r w:rsidRPr="00CB2424">
        <w:rPr>
          <w:rFonts w:ascii="Verdana" w:hAnsi="Verdana"/>
          <w:sz w:val="16"/>
          <w:szCs w:val="16"/>
          <w:lang w:val="es-CR"/>
        </w:rPr>
        <w:t xml:space="preserve"> </w:t>
      </w:r>
      <w:r w:rsidRPr="00CB2424">
        <w:rPr>
          <w:rFonts w:ascii="Verdana" w:hAnsi="Verdana"/>
          <w:sz w:val="16"/>
          <w:szCs w:val="16"/>
          <w:lang w:val="es-CR"/>
        </w:rPr>
        <w:tab/>
      </w:r>
      <w:r w:rsidRPr="00CB2424">
        <w:rPr>
          <w:rFonts w:ascii="Verdana" w:hAnsi="Verdana"/>
          <w:i/>
          <w:sz w:val="16"/>
          <w:szCs w:val="16"/>
          <w:lang w:val="es-MX"/>
        </w:rPr>
        <w:t xml:space="preserve">Caso Velásquez Rodríguez, </w:t>
      </w:r>
      <w:r w:rsidRPr="00CB2424">
        <w:rPr>
          <w:rFonts w:ascii="Verdana" w:hAnsi="Verdana"/>
          <w:i/>
          <w:sz w:val="16"/>
          <w:szCs w:val="16"/>
          <w:lang w:val="es-CR"/>
        </w:rPr>
        <w:t xml:space="preserve">Excepciones Preliminares. </w:t>
      </w:r>
      <w:r w:rsidRPr="000D4816">
        <w:rPr>
          <w:rFonts w:ascii="Verdana" w:hAnsi="Verdana"/>
          <w:i/>
          <w:sz w:val="16"/>
          <w:szCs w:val="16"/>
          <w:lang w:val="es-CR"/>
        </w:rPr>
        <w:t>supra</w:t>
      </w:r>
      <w:r w:rsidRPr="00CB2424">
        <w:rPr>
          <w:rFonts w:ascii="Verdana" w:hAnsi="Verdana"/>
          <w:i/>
          <w:sz w:val="16"/>
          <w:szCs w:val="16"/>
          <w:lang w:val="es-CR"/>
        </w:rPr>
        <w:t>,</w:t>
      </w:r>
      <w:r w:rsidRPr="00CB2424">
        <w:rPr>
          <w:rFonts w:ascii="Verdana" w:hAnsi="Verdana"/>
          <w:i/>
          <w:sz w:val="16"/>
          <w:szCs w:val="16"/>
          <w:lang w:val="es-MX"/>
        </w:rPr>
        <w:t xml:space="preserve"> </w:t>
      </w:r>
      <w:r w:rsidRPr="00CB2424">
        <w:rPr>
          <w:rFonts w:ascii="Verdana" w:hAnsi="Verdana"/>
          <w:sz w:val="16"/>
          <w:szCs w:val="16"/>
          <w:lang w:val="es-MX"/>
        </w:rPr>
        <w:t xml:space="preserve">párr. </w:t>
      </w:r>
      <w:r w:rsidRPr="00CB2424">
        <w:rPr>
          <w:rFonts w:ascii="Verdana" w:hAnsi="Verdana"/>
          <w:sz w:val="16"/>
          <w:szCs w:val="16"/>
          <w:lang w:val="es-ES_tradnl"/>
        </w:rPr>
        <w:t xml:space="preserve">64, y </w:t>
      </w:r>
      <w:r w:rsidRPr="00CB2424">
        <w:rPr>
          <w:rFonts w:ascii="Verdana" w:hAnsi="Verdana"/>
          <w:i/>
          <w:sz w:val="16"/>
          <w:szCs w:val="16"/>
          <w:lang w:val="es-ES_tradnl"/>
        </w:rPr>
        <w:t>Caso</w:t>
      </w:r>
      <w:r w:rsidRPr="00CB2424">
        <w:rPr>
          <w:rStyle w:val="Strong"/>
          <w:rFonts w:ascii="Verdana" w:hAnsi="Verdana"/>
          <w:b w:val="0"/>
          <w:sz w:val="16"/>
          <w:szCs w:val="16"/>
          <w:shd w:val="clear" w:color="auto" w:fill="FFFFFF"/>
          <w:lang w:val="es-ES_tradnl"/>
        </w:rPr>
        <w:t xml:space="preserve"> </w:t>
      </w:r>
      <w:r w:rsidRPr="00CB2424">
        <w:rPr>
          <w:rStyle w:val="Strong"/>
          <w:rFonts w:ascii="Verdana" w:hAnsi="Verdana"/>
          <w:b w:val="0"/>
          <w:i/>
          <w:sz w:val="16"/>
          <w:szCs w:val="16"/>
          <w:shd w:val="clear" w:color="auto" w:fill="FFFFFF"/>
          <w:lang w:val="es-MX"/>
        </w:rPr>
        <w:t xml:space="preserve">Brewer Carías Vs. Venezuela. </w:t>
      </w:r>
      <w:r w:rsidRPr="00CB2424">
        <w:rPr>
          <w:rStyle w:val="Strong"/>
          <w:rFonts w:ascii="Verdana" w:hAnsi="Verdana"/>
          <w:b w:val="0"/>
          <w:i/>
          <w:sz w:val="16"/>
          <w:szCs w:val="16"/>
          <w:shd w:val="clear" w:color="auto" w:fill="FFFFFF"/>
          <w:lang w:val="es-ES_tradnl"/>
        </w:rPr>
        <w:t xml:space="preserve">Excepciones Preliminares. </w:t>
      </w:r>
      <w:r w:rsidRPr="00CB2424">
        <w:rPr>
          <w:rStyle w:val="Strong"/>
          <w:rFonts w:ascii="Verdana" w:hAnsi="Verdana"/>
          <w:b w:val="0"/>
          <w:sz w:val="16"/>
          <w:szCs w:val="16"/>
          <w:shd w:val="clear" w:color="auto" w:fill="FFFFFF"/>
          <w:lang w:val="es-ES_tradnl"/>
        </w:rPr>
        <w:t xml:space="preserve">Sentencia de 26 de mayo de 2014. </w:t>
      </w:r>
      <w:r w:rsidRPr="00CB2424">
        <w:rPr>
          <w:rStyle w:val="Strong"/>
          <w:rFonts w:ascii="Verdana" w:hAnsi="Verdana"/>
          <w:b w:val="0"/>
          <w:sz w:val="16"/>
          <w:szCs w:val="16"/>
          <w:shd w:val="clear" w:color="auto" w:fill="FFFFFF"/>
          <w:lang w:val="es-CR"/>
        </w:rPr>
        <w:t>Serie C. No. 278, párr. 86.</w:t>
      </w:r>
    </w:p>
  </w:footnote>
  <w:footnote w:id="175">
    <w:p w14:paraId="6D172F1F" w14:textId="77777777" w:rsidR="0074038D" w:rsidRPr="00CB2424" w:rsidRDefault="0074038D" w:rsidP="00B66E4D">
      <w:pPr>
        <w:pStyle w:val="2Footnotes"/>
        <w:spacing w:before="60"/>
      </w:pPr>
      <w:r w:rsidRPr="00CB2424">
        <w:rPr>
          <w:rStyle w:val="FootnoteReference"/>
          <w:rFonts w:eastAsia="Batang"/>
          <w:sz w:val="16"/>
          <w:szCs w:val="16"/>
        </w:rPr>
        <w:footnoteRef/>
      </w:r>
      <w:r w:rsidRPr="00CB2424">
        <w:t xml:space="preserve"> </w:t>
      </w:r>
      <w:r w:rsidRPr="00CB2424">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w:t>
      </w:r>
      <w:r w:rsidRPr="00CB2424">
        <w:rPr>
          <w:lang w:bidi="en-US"/>
        </w:rPr>
        <w:t>lner</w:t>
      </w:r>
      <w:r w:rsidRPr="00CB2424">
        <w:t>ación de esos derechos y el pago de una justa indemnización a la parte lesionada”.</w:t>
      </w:r>
    </w:p>
  </w:footnote>
  <w:footnote w:id="176">
    <w:p w14:paraId="28A21954" w14:textId="0CD11F72" w:rsidR="0074038D" w:rsidRPr="00CB2424" w:rsidRDefault="0074038D" w:rsidP="00B66E4D">
      <w:pPr>
        <w:pStyle w:val="2Footnotes"/>
        <w:spacing w:before="60"/>
        <w:rPr>
          <w:lang w:bidi="en-US"/>
        </w:rPr>
      </w:pPr>
      <w:r w:rsidRPr="00CB2424">
        <w:rPr>
          <w:rStyle w:val="FootnoteReference"/>
          <w:rFonts w:eastAsia="Batang"/>
          <w:sz w:val="16"/>
          <w:szCs w:val="16"/>
        </w:rPr>
        <w:footnoteRef/>
      </w:r>
      <w:r w:rsidRPr="00CB2424">
        <w:t xml:space="preserve"> </w:t>
      </w:r>
      <w:r w:rsidRPr="00CB2424">
        <w:tab/>
      </w:r>
      <w:r w:rsidRPr="000D4816">
        <w:rPr>
          <w:i/>
          <w:lang w:bidi="en-US"/>
        </w:rPr>
        <w:t>Cfr.</w:t>
      </w:r>
      <w:r w:rsidRPr="00CB2424">
        <w:rPr>
          <w:lang w:bidi="en-US"/>
        </w:rPr>
        <w:t xml:space="preserve"> </w:t>
      </w:r>
      <w:r w:rsidRPr="00B66E4D">
        <w:rPr>
          <w:i/>
          <w:lang w:bidi="en-US"/>
        </w:rPr>
        <w:t>Caso Velásquez Rodríguez Vs. Honduras.</w:t>
      </w:r>
      <w:r w:rsidRPr="00CB2424">
        <w:rPr>
          <w:lang w:bidi="en-US"/>
        </w:rPr>
        <w:t xml:space="preserve"> Reparaciones y Costas, párr. 25, </w:t>
      </w:r>
      <w:r w:rsidRPr="00CB2424">
        <w:t xml:space="preserve">y Caso Andrade Salmón Vs. Bolivia, Fondo, Reparaciones y Costas. Sentencia de 1 de diciembre de 2016. Serie C No. 330. párr. 188.  </w:t>
      </w:r>
    </w:p>
  </w:footnote>
  <w:footnote w:id="177">
    <w:p w14:paraId="6D172F22" w14:textId="747A6A5F" w:rsidR="0074038D" w:rsidRPr="00CB2424" w:rsidRDefault="0074038D" w:rsidP="00B66E4D">
      <w:pPr>
        <w:pStyle w:val="2Footnotes"/>
        <w:spacing w:before="60"/>
        <w:rPr>
          <w:lang w:bidi="en-US"/>
        </w:rPr>
      </w:pPr>
      <w:r w:rsidRPr="00CB2424">
        <w:rPr>
          <w:rStyle w:val="FootnoteReference"/>
          <w:rFonts w:eastAsia="MS Mincho"/>
          <w:sz w:val="16"/>
          <w:szCs w:val="16"/>
        </w:rPr>
        <w:footnoteRef/>
      </w:r>
      <w:r w:rsidRPr="00CB2424">
        <w:t xml:space="preserve"> </w:t>
      </w:r>
      <w:r w:rsidRPr="00CB2424">
        <w:tab/>
      </w:r>
      <w:r w:rsidRPr="000D4816">
        <w:rPr>
          <w:i/>
          <w:lang w:bidi="en-US"/>
        </w:rPr>
        <w:t>Cfr.</w:t>
      </w:r>
      <w:r w:rsidRPr="00CB2424">
        <w:rPr>
          <w:lang w:bidi="en-US"/>
        </w:rPr>
        <w:t xml:space="preserve"> </w:t>
      </w:r>
      <w:r w:rsidRPr="00B66E4D">
        <w:rPr>
          <w:i/>
          <w:lang w:bidi="en-US"/>
        </w:rPr>
        <w:t>Caso Velásquez Rodríguez Vs. Honduras</w:t>
      </w:r>
      <w:r w:rsidRPr="00CB2424">
        <w:rPr>
          <w:lang w:bidi="en-US"/>
        </w:rPr>
        <w:t xml:space="preserve">. Reparaciones y Costas, </w:t>
      </w:r>
      <w:r w:rsidRPr="000D4816">
        <w:rPr>
          <w:i/>
          <w:lang w:bidi="en-US"/>
        </w:rPr>
        <w:t>supra</w:t>
      </w:r>
      <w:r w:rsidRPr="00CB2424">
        <w:rPr>
          <w:lang w:bidi="en-US"/>
        </w:rPr>
        <w:t xml:space="preserve">, párr. 26, </w:t>
      </w:r>
      <w:r w:rsidRPr="00CB2424">
        <w:rPr>
          <w:bCs/>
          <w:lang w:bidi="en-US"/>
        </w:rPr>
        <w:t>y</w:t>
      </w:r>
      <w:r w:rsidRPr="00CB2424">
        <w:rPr>
          <w:lang w:bidi="en-US"/>
        </w:rPr>
        <w:t xml:space="preserve"> </w:t>
      </w:r>
      <w:r w:rsidRPr="00B66E4D">
        <w:rPr>
          <w:i/>
          <w:lang w:bidi="en-US"/>
        </w:rPr>
        <w:t>Caso I.V. Vs. Bolivia</w:t>
      </w:r>
      <w:r w:rsidRPr="00CB2424">
        <w:rPr>
          <w:lang w:bidi="en-US"/>
        </w:rPr>
        <w:t xml:space="preserve">, </w:t>
      </w:r>
      <w:r w:rsidRPr="000D4816">
        <w:rPr>
          <w:i/>
          <w:lang w:bidi="en-US"/>
        </w:rPr>
        <w:t>supra</w:t>
      </w:r>
      <w:r w:rsidRPr="00CB2424">
        <w:rPr>
          <w:lang w:bidi="en-US"/>
        </w:rPr>
        <w:t>, párr. 325.</w:t>
      </w:r>
    </w:p>
  </w:footnote>
  <w:footnote w:id="178">
    <w:p w14:paraId="6D172F23" w14:textId="658B8FBC" w:rsidR="0074038D" w:rsidRPr="00CB2424" w:rsidRDefault="0074038D" w:rsidP="00B66E4D">
      <w:pPr>
        <w:pStyle w:val="2Footnotes"/>
        <w:spacing w:before="60"/>
        <w:rPr>
          <w:rFonts w:cs="Verdana"/>
          <w:lang w:bidi="en-US"/>
        </w:rPr>
      </w:pPr>
      <w:r w:rsidRPr="00CB2424">
        <w:rPr>
          <w:rStyle w:val="FootnoteReference"/>
          <w:rFonts w:eastAsia="Batang"/>
          <w:sz w:val="16"/>
          <w:szCs w:val="16"/>
          <w:lang w:val="es-EC"/>
        </w:rPr>
        <w:footnoteRef/>
      </w:r>
      <w:r w:rsidRPr="00CB2424">
        <w:rPr>
          <w:lang w:val="es-CL"/>
        </w:rPr>
        <w:tab/>
      </w:r>
      <w:r w:rsidRPr="000D4816">
        <w:rPr>
          <w:i/>
        </w:rPr>
        <w:t>Cfr.</w:t>
      </w:r>
      <w:r w:rsidRPr="00CB2424">
        <w:t xml:space="preserve"> </w:t>
      </w:r>
      <w:r w:rsidRPr="00B66E4D">
        <w:rPr>
          <w:i/>
        </w:rPr>
        <w:t>Caso Ticona Estrada y otros Vs. Bolivia.</w:t>
      </w:r>
      <w:r w:rsidRPr="00CB2424">
        <w:t xml:space="preserve"> Fondo, Reparaciones y Costas. Sentencia de 27 de noviembre de 2008. Serie C No. 191, párr. 110</w:t>
      </w:r>
      <w:r w:rsidRPr="00CB2424">
        <w:rPr>
          <w:lang w:val="es-PE"/>
        </w:rPr>
        <w:t xml:space="preserve">, </w:t>
      </w:r>
      <w:r w:rsidRPr="00CB2424">
        <w:rPr>
          <w:lang w:bidi="en-US"/>
        </w:rPr>
        <w:t xml:space="preserve">y </w:t>
      </w:r>
      <w:r w:rsidRPr="00B66E4D">
        <w:rPr>
          <w:i/>
        </w:rPr>
        <w:t>Caso Andrade Salmón Vs. Bolivia</w:t>
      </w:r>
      <w:r w:rsidRPr="00CB2424">
        <w:t xml:space="preserve">, </w:t>
      </w:r>
      <w:r w:rsidRPr="000D4816">
        <w:rPr>
          <w:i/>
        </w:rPr>
        <w:t>supra</w:t>
      </w:r>
      <w:r w:rsidRPr="00CB2424">
        <w:t xml:space="preserve">, párr. 188. </w:t>
      </w:r>
    </w:p>
  </w:footnote>
  <w:footnote w:id="179">
    <w:p w14:paraId="6D172F24" w14:textId="051A58D9"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B66E4D">
        <w:rPr>
          <w:i/>
        </w:rPr>
        <w:t>Caso Velásquez Rodríguez</w:t>
      </w:r>
      <w:r>
        <w:rPr>
          <w:i/>
        </w:rPr>
        <w:t xml:space="preserve"> Vs. Honduras</w:t>
      </w:r>
      <w:r w:rsidRPr="00CB2424">
        <w:t xml:space="preserve">. Reparaciones y Costas, </w:t>
      </w:r>
      <w:r w:rsidRPr="000D4816">
        <w:rPr>
          <w:i/>
        </w:rPr>
        <w:t>supra</w:t>
      </w:r>
      <w:r w:rsidRPr="00CB2424">
        <w:t xml:space="preserve">, párrs. 25 a 27, y </w:t>
      </w:r>
      <w:r w:rsidRPr="00B66E4D">
        <w:rPr>
          <w:i/>
        </w:rPr>
        <w:t>Caso Miembros de la Aldea Chichupac y comunidades vecinas del Municipio de Rabinal Vs. Guatemala</w:t>
      </w:r>
      <w:r w:rsidRPr="00CB2424">
        <w:t xml:space="preserve">, </w:t>
      </w:r>
      <w:r w:rsidRPr="000D4816">
        <w:rPr>
          <w:i/>
        </w:rPr>
        <w:t>supra</w:t>
      </w:r>
      <w:r w:rsidRPr="00CB2424">
        <w:t>, párr. 268.</w:t>
      </w:r>
    </w:p>
  </w:footnote>
  <w:footnote w:id="180">
    <w:p w14:paraId="6D172F26" w14:textId="4B01D4F4"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B66E4D">
        <w:rPr>
          <w:i/>
        </w:rPr>
        <w:t>Caso de la "Panel Blanca" (Paniagua Morales y otros) Vs. Guatemala.</w:t>
      </w:r>
      <w:r w:rsidRPr="00CB2424">
        <w:t xml:space="preserve"> Reparaciones y Costas. Sentencia de 25 de mayo de 2001. Serie C No. 76. Párr. 82 y </w:t>
      </w:r>
      <w:r w:rsidRPr="00B66E4D">
        <w:rPr>
          <w:i/>
        </w:rPr>
        <w:t xml:space="preserve">Caso Miembros de la Aldea Chichupac y comunidades vecinas del Municipio de Rabinal Vs. Guatemala, </w:t>
      </w:r>
      <w:r w:rsidRPr="000D4816">
        <w:rPr>
          <w:i/>
        </w:rPr>
        <w:t>supra</w:t>
      </w:r>
      <w:r>
        <w:t>, párr. 272.</w:t>
      </w:r>
    </w:p>
  </w:footnote>
  <w:footnote w:id="181">
    <w:p w14:paraId="6D172F30" w14:textId="3A32A855" w:rsidR="0074038D" w:rsidRPr="00CB2424" w:rsidRDefault="0074038D" w:rsidP="000D4816">
      <w:pPr>
        <w:pStyle w:val="FootnoteText"/>
        <w:spacing w:after="0"/>
      </w:pPr>
      <w:r w:rsidRPr="00CB2424">
        <w:rPr>
          <w:rStyle w:val="FootnoteReference"/>
          <w:sz w:val="16"/>
        </w:rPr>
        <w:footnoteRef/>
      </w:r>
      <w:r w:rsidRPr="00CB2424">
        <w:t xml:space="preserve"> </w:t>
      </w:r>
      <w:r w:rsidRPr="00CB2424">
        <w:tab/>
        <w:t xml:space="preserve"> </w:t>
      </w:r>
      <w:r w:rsidRPr="000D4816">
        <w:rPr>
          <w:i/>
        </w:rPr>
        <w:t>Cfr.</w:t>
      </w:r>
      <w:r w:rsidRPr="00CB2424">
        <w:t xml:space="preserve"> </w:t>
      </w:r>
      <w:r w:rsidRPr="00B66E4D">
        <w:rPr>
          <w:i/>
        </w:rPr>
        <w:t xml:space="preserve">Caso Ruano Torres y Otros Vs. El Salvador, </w:t>
      </w:r>
      <w:r w:rsidRPr="000D4816">
        <w:rPr>
          <w:i/>
        </w:rPr>
        <w:t>supra</w:t>
      </w:r>
      <w:r w:rsidRPr="00CB2424">
        <w:t>, párr. 211.</w:t>
      </w:r>
    </w:p>
  </w:footnote>
  <w:footnote w:id="182">
    <w:p w14:paraId="167E5207" w14:textId="2F0FEFD2" w:rsidR="0074038D" w:rsidRPr="00CB2424" w:rsidRDefault="0074038D" w:rsidP="000D4816">
      <w:pPr>
        <w:pStyle w:val="2Footnotes"/>
        <w:spacing w:before="60" w:after="0"/>
        <w:rPr>
          <w:rFonts w:cs="Verdana"/>
          <w:lang w:bidi="en-US"/>
        </w:rPr>
      </w:pPr>
      <w:r w:rsidRPr="00CB2424">
        <w:rPr>
          <w:rStyle w:val="FootnoteReference"/>
          <w:sz w:val="16"/>
          <w:szCs w:val="16"/>
        </w:rPr>
        <w:footnoteRef/>
      </w:r>
      <w:r w:rsidRPr="00CB2424">
        <w:t xml:space="preserve"> </w:t>
      </w:r>
      <w:r w:rsidRPr="00CB2424">
        <w:tab/>
      </w:r>
      <w:r w:rsidRPr="000D4816">
        <w:rPr>
          <w:i/>
        </w:rPr>
        <w:t>Cfr.</w:t>
      </w:r>
      <w:r w:rsidRPr="00CB2424">
        <w:t xml:space="preserve"> </w:t>
      </w:r>
      <w:r w:rsidRPr="00B66E4D">
        <w:rPr>
          <w:i/>
        </w:rPr>
        <w:t>Caso Chitay Nech y otros Vs. Guatemala.</w:t>
      </w:r>
      <w:r w:rsidRPr="00CB2424">
        <w:t xml:space="preserve"> Excepciones Preliminares, Fondo, Reparaciones y Costas. Sentencia de 25 de mayo de 2010. Serie C No. 212, párr. 244, y </w:t>
      </w:r>
      <w:r w:rsidRPr="00B66E4D">
        <w:rPr>
          <w:i/>
        </w:rPr>
        <w:t xml:space="preserve">Caso Andrade Salmón Vs. Bolivia, </w:t>
      </w:r>
      <w:r w:rsidRPr="000D4816">
        <w:rPr>
          <w:i/>
        </w:rPr>
        <w:t>supra</w:t>
      </w:r>
      <w:r w:rsidRPr="00CB2424">
        <w:t xml:space="preserve">, párr. 197. </w:t>
      </w:r>
    </w:p>
  </w:footnote>
  <w:footnote w:id="183">
    <w:p w14:paraId="6D172F34" w14:textId="6C4D5B62"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Ley No. 28805 del 21 de julio de 2006 (anexos al escrito de solicitudes y argumentos, </w:t>
      </w:r>
      <w:r>
        <w:t>folio</w:t>
      </w:r>
      <w:r w:rsidRPr="00CB2424">
        <w:t xml:space="preserve"> 1437).</w:t>
      </w:r>
    </w:p>
  </w:footnote>
  <w:footnote w:id="184">
    <w:p w14:paraId="6D172F35" w14:textId="522BD201"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Informe N°034-2016 DIRIGEN-PNP/DIREAP-DIRPEN-DIVINCER-DPTO.PROG BD, de fecha 21 de enero de 2016 (anexos a los alegatos finales escritos del Estado, </w:t>
      </w:r>
      <w:r>
        <w:t>folio</w:t>
      </w:r>
      <w:r w:rsidRPr="00CB2424">
        <w:t xml:space="preserve"> 2616).</w:t>
      </w:r>
    </w:p>
  </w:footnote>
  <w:footnote w:id="185">
    <w:p w14:paraId="6D172F36" w14:textId="12AAD195" w:rsidR="0074038D" w:rsidRPr="00CB2424" w:rsidRDefault="0074038D" w:rsidP="00B66E4D">
      <w:pPr>
        <w:pStyle w:val="2Footnotes"/>
        <w:spacing w:before="60"/>
        <w:rPr>
          <w:rFonts w:cs="Verdana"/>
          <w:lang w:bidi="en-US"/>
        </w:rPr>
      </w:pPr>
      <w:r w:rsidRPr="00CB2424">
        <w:rPr>
          <w:rStyle w:val="FootnoteReference"/>
          <w:color w:val="000000"/>
          <w:sz w:val="16"/>
          <w:szCs w:val="16"/>
        </w:rPr>
        <w:footnoteRef/>
      </w:r>
      <w:r w:rsidRPr="00CB2424">
        <w:tab/>
        <w:t xml:space="preserve">Este Tribunal ha establecido que el daño material supone “la pérdida o detrimento de los ingresos de las víctimas, los gastos efectuados con motivo de los hechos y las consecuencias de carácter pecuniario que tengan un nexo causal con los hechos del caso”. </w:t>
      </w:r>
      <w:r w:rsidRPr="00CB2424">
        <w:rPr>
          <w:i/>
        </w:rPr>
        <w:t>Caso</w:t>
      </w:r>
      <w:r w:rsidRPr="00CB2424">
        <w:t xml:space="preserve"> </w:t>
      </w:r>
      <w:r w:rsidRPr="00CB2424">
        <w:rPr>
          <w:i/>
        </w:rPr>
        <w:t>Bámaca Velásquez Vs. Guatemala.</w:t>
      </w:r>
      <w:r w:rsidRPr="00CB2424">
        <w:t xml:space="preserve"> </w:t>
      </w:r>
      <w:r w:rsidRPr="00CB2424">
        <w:rPr>
          <w:i/>
        </w:rPr>
        <w:t>Reparaciones</w:t>
      </w:r>
      <w:r w:rsidRPr="00CB2424">
        <w:t xml:space="preserve"> </w:t>
      </w:r>
      <w:r w:rsidRPr="00CB2424">
        <w:rPr>
          <w:i/>
        </w:rPr>
        <w:t>y Costas</w:t>
      </w:r>
      <w:r w:rsidRPr="00CB2424">
        <w:t xml:space="preserve">. Sentencia de 22 de febrero de 2002. Serie C No. 91, párr. 43, y </w:t>
      </w:r>
      <w:r w:rsidRPr="00CB2424">
        <w:rPr>
          <w:i/>
        </w:rPr>
        <w:t xml:space="preserve">Caso Andrade Salmón Vs. Bolivia, </w:t>
      </w:r>
      <w:r w:rsidRPr="000D4816">
        <w:rPr>
          <w:i/>
        </w:rPr>
        <w:t>supra</w:t>
      </w:r>
      <w:r w:rsidRPr="00CB2424">
        <w:rPr>
          <w:i/>
        </w:rPr>
        <w:t xml:space="preserve">, </w:t>
      </w:r>
      <w:r w:rsidRPr="00CB2424">
        <w:t>párr. 204.</w:t>
      </w:r>
    </w:p>
  </w:footnote>
  <w:footnote w:id="186">
    <w:p w14:paraId="6D172F39" w14:textId="06A548A8" w:rsidR="0074038D" w:rsidRPr="00CB2424" w:rsidRDefault="0074038D" w:rsidP="00B66E4D">
      <w:pPr>
        <w:pStyle w:val="2Footnotes"/>
        <w:spacing w:before="60"/>
        <w:rPr>
          <w:rFonts w:cs="Verdana"/>
          <w:lang w:bidi="en-US"/>
        </w:rPr>
      </w:pPr>
      <w:r w:rsidRPr="00CB2424">
        <w:rPr>
          <w:rStyle w:val="FootnoteReference"/>
          <w:rFonts w:eastAsia="Calibri"/>
          <w:sz w:val="16"/>
          <w:szCs w:val="16"/>
        </w:rPr>
        <w:footnoteRef/>
      </w:r>
      <w:r w:rsidRPr="00CB2424">
        <w:rPr>
          <w:rStyle w:val="FootnoteReference"/>
          <w:rFonts w:eastAsia="Calibri"/>
          <w:sz w:val="16"/>
          <w:szCs w:val="16"/>
          <w:lang w:val="es-CR"/>
        </w:rPr>
        <w:t xml:space="preserve"> </w:t>
      </w:r>
      <w:r w:rsidRPr="00CB2424">
        <w:tab/>
      </w:r>
      <w:r w:rsidRPr="000D4816">
        <w:rPr>
          <w:i/>
        </w:rPr>
        <w:t>Cfr.</w:t>
      </w:r>
      <w:r w:rsidRPr="00B66E4D">
        <w:rPr>
          <w:i/>
        </w:rPr>
        <w:t xml:space="preserve"> Caso de los “Niños de la Calle” (Villagrán Morales y otros) Vs. Guatemala.</w:t>
      </w:r>
      <w:r w:rsidRPr="00CB2424">
        <w:t xml:space="preserve"> Reparaciones y Costas. Sentencia de 26 de mayo de 2001. Serie C No. 77, párr. 84, </w:t>
      </w:r>
      <w:r w:rsidRPr="00CB2424">
        <w:rPr>
          <w:rStyle w:val="FootnoteTextChar"/>
          <w:rFonts w:cs="Arial"/>
          <w:lang w:val="es-CR"/>
        </w:rPr>
        <w:t xml:space="preserve">y </w:t>
      </w:r>
      <w:r w:rsidRPr="00B66E4D">
        <w:rPr>
          <w:i/>
        </w:rPr>
        <w:t xml:space="preserve">Caso Andrade Salmón Vs. Bolivia, </w:t>
      </w:r>
      <w:r w:rsidRPr="000D4816">
        <w:rPr>
          <w:i/>
        </w:rPr>
        <w:t>supra</w:t>
      </w:r>
      <w:r w:rsidRPr="00CB2424">
        <w:t xml:space="preserve">, párr. 207. </w:t>
      </w:r>
    </w:p>
  </w:footnote>
  <w:footnote w:id="187">
    <w:p w14:paraId="6D172F3A" w14:textId="3E5AF1D3"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t>Declaración en audiencia pública ante la Corte IDH. “En el año 94, me convertí en el comandante más joven de mi institución, tenía apenas 39 años, postulaba ya para el grado de coronel, tenía todos los pergaminos, toda la potencialidad para llegar a esta jerarquía, fui condecorado, condecorado de gran caballero por justamente mis servicios excepcionales y mi conducta intachable durante los 20 años al servicio de la policía. Todo mi entusiasmo, toda mi pasión y toda mi vocación era justamente alcanzar esta jerarquía. [Y] lamentablemente abruptamente se me fue truncada esta posibilidad de mi proyecto de vida”.</w:t>
      </w:r>
    </w:p>
  </w:footnote>
  <w:footnote w:id="188">
    <w:p w14:paraId="6D172F3B" w14:textId="0D0D5508"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rPr>
          <w:i/>
        </w:rPr>
        <w:t xml:space="preserve"> Caso Loayza Tamayo Vs. Perú. Reparaciones y Costas. </w:t>
      </w:r>
      <w:r w:rsidRPr="00CB2424">
        <w:t xml:space="preserve">Sentencia de 27 de noviembre de 1998. Serie C No. 42, párr. 147 y </w:t>
      </w:r>
      <w:r w:rsidRPr="00CB2424">
        <w:rPr>
          <w:i/>
        </w:rPr>
        <w:t>Caso Cantoral Benavides Vs. Perú. Reparaciones y Costas</w:t>
      </w:r>
      <w:r w:rsidRPr="00CB2424">
        <w:t>. Sentencia de 3 de diciembre de 2001. Serie C No. 88, párrs. 60 y 80.</w:t>
      </w:r>
    </w:p>
  </w:footnote>
  <w:footnote w:id="189">
    <w:p w14:paraId="6D172F3C" w14:textId="0211A5F1"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iCs/>
        </w:rPr>
        <w:t>Cfr.</w:t>
      </w:r>
      <w:r w:rsidRPr="00CB2424">
        <w:rPr>
          <w:iCs/>
        </w:rPr>
        <w:t xml:space="preserve"> </w:t>
      </w:r>
      <w:r w:rsidRPr="00FE05F7">
        <w:rPr>
          <w:i/>
          <w:iCs/>
        </w:rPr>
        <w:t xml:space="preserve">Caso Loayza Tamayo Vs. Perú, </w:t>
      </w:r>
      <w:r w:rsidRPr="00FE05F7">
        <w:rPr>
          <w:i/>
        </w:rPr>
        <w:t xml:space="preserve">Reparaciones y Costas, </w:t>
      </w:r>
      <w:r w:rsidRPr="000D4816">
        <w:rPr>
          <w:i/>
          <w:iCs/>
        </w:rPr>
        <w:t>supra</w:t>
      </w:r>
      <w:r w:rsidRPr="00CB2424">
        <w:rPr>
          <w:iCs/>
        </w:rPr>
        <w:t xml:space="preserve">, </w:t>
      </w:r>
      <w:r w:rsidRPr="00CB2424">
        <w:t xml:space="preserve">párr. 147; </w:t>
      </w:r>
      <w:r w:rsidRPr="00FE05F7">
        <w:rPr>
          <w:i/>
        </w:rPr>
        <w:t xml:space="preserve">Caso Furlan y Familiares Vs. Argentina. </w:t>
      </w:r>
      <w:r w:rsidRPr="00CB2424">
        <w:t>Excepciones Preliminares, fondo, Reparaciones y Costas. Sentencia de 5 de julio de 2011. Serie C No. 288, párr. 285.</w:t>
      </w:r>
    </w:p>
  </w:footnote>
  <w:footnote w:id="190">
    <w:p w14:paraId="6D172F3D" w14:textId="7AE60A73"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CB2424">
        <w:t xml:space="preserve"> </w:t>
      </w:r>
      <w:r w:rsidRPr="00FE05F7">
        <w:rPr>
          <w:i/>
        </w:rPr>
        <w:t>Caso Tibi Vs. Ecuador.</w:t>
      </w:r>
      <w:r w:rsidRPr="00CB2424">
        <w:t xml:space="preserve"> Excepciones Preliminares, Fondo, Reparaciones y Costas. Sentencia de 7 de septiembre de 2004. Serie C No. 114, párr. 245.</w:t>
      </w:r>
    </w:p>
  </w:footnote>
  <w:footnote w:id="191">
    <w:p w14:paraId="6D172F3E" w14:textId="3A68C985"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rPr>
        <w:t>Cfr.</w:t>
      </w:r>
      <w:r w:rsidRPr="00FE05F7">
        <w:rPr>
          <w:i/>
        </w:rPr>
        <w:t xml:space="preserve"> Caso Loayza Tamayo Vs. Perú. Reparaciones y Costas, </w:t>
      </w:r>
      <w:r w:rsidRPr="000D4816">
        <w:rPr>
          <w:i/>
        </w:rPr>
        <w:t>supra</w:t>
      </w:r>
      <w:r w:rsidRPr="00CB2424">
        <w:t>, párr. 150.</w:t>
      </w:r>
    </w:p>
  </w:footnote>
  <w:footnote w:id="192">
    <w:p w14:paraId="6D172F3F" w14:textId="021177D2"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iCs/>
        </w:rPr>
        <w:t>Cfr.</w:t>
      </w:r>
      <w:r w:rsidRPr="00CB2424">
        <w:rPr>
          <w:iCs/>
        </w:rPr>
        <w:t xml:space="preserve"> </w:t>
      </w:r>
      <w:r w:rsidRPr="00FE05F7">
        <w:rPr>
          <w:i/>
          <w:iCs/>
        </w:rPr>
        <w:t xml:space="preserve">Caso de la Masacre de la dos Erres Vs. Guatemala. </w:t>
      </w:r>
      <w:r w:rsidRPr="00CB2424">
        <w:rPr>
          <w:iCs/>
        </w:rPr>
        <w:t>Excepciones Preliminares, Fondo, Reparaciones y Costas</w:t>
      </w:r>
      <w:r w:rsidRPr="00CB2424">
        <w:t xml:space="preserve">. Sentencia de 24 de noviembre de 2009 párr. 293; </w:t>
      </w:r>
      <w:r w:rsidRPr="00CB2424">
        <w:rPr>
          <w:rStyle w:val="Strong"/>
          <w:b w:val="0"/>
          <w:i/>
        </w:rPr>
        <w:t>Caso Mejía Idrovo Vs. Ecuador. Excepciones Preliminares, Fondo, Reparaciones y Costas</w:t>
      </w:r>
      <w:r w:rsidRPr="00CB2424">
        <w:rPr>
          <w:rStyle w:val="Strong"/>
          <w:b w:val="0"/>
        </w:rPr>
        <w:t xml:space="preserve">. Sentencia de 5 de julio de 2011. Serie C No. 228 </w:t>
      </w:r>
      <w:r w:rsidRPr="00CB2424">
        <w:t>párr. 134.</w:t>
      </w:r>
    </w:p>
  </w:footnote>
  <w:footnote w:id="193">
    <w:p w14:paraId="6D172F40" w14:textId="56E41678" w:rsidR="0074038D" w:rsidRPr="00CB2424" w:rsidRDefault="0074038D" w:rsidP="00B66E4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FE05F7">
        <w:rPr>
          <w:i/>
        </w:rPr>
        <w:t xml:space="preserve">Caso Tibi Vs. Ecuador, </w:t>
      </w:r>
      <w:r w:rsidRPr="000D4816">
        <w:rPr>
          <w:i/>
        </w:rPr>
        <w:t>supra</w:t>
      </w:r>
      <w:r w:rsidRPr="00CB2424">
        <w:t xml:space="preserve">, párr. 245 </w:t>
      </w:r>
      <w:r w:rsidRPr="00FE05F7">
        <w:t>y</w:t>
      </w:r>
      <w:r w:rsidRPr="00FE05F7">
        <w:rPr>
          <w:i/>
        </w:rPr>
        <w:t xml:space="preserve"> Caso Mejía Idrovo Vs. Ecuador</w:t>
      </w:r>
      <w:r w:rsidRPr="00CB2424">
        <w:t xml:space="preserve">, </w:t>
      </w:r>
      <w:r w:rsidRPr="000D4816">
        <w:rPr>
          <w:i/>
        </w:rPr>
        <w:t>supra</w:t>
      </w:r>
      <w:r w:rsidRPr="00CB2424">
        <w:t xml:space="preserve">, párr. 134. </w:t>
      </w:r>
    </w:p>
  </w:footnote>
  <w:footnote w:id="194">
    <w:p w14:paraId="71C81D2F" w14:textId="13BD32E8" w:rsidR="0074038D" w:rsidRPr="00CB2424" w:rsidRDefault="0074038D" w:rsidP="00B66E4D">
      <w:pPr>
        <w:pStyle w:val="FootnoteText"/>
        <w:rPr>
          <w:lang w:val="es-CR"/>
        </w:rPr>
      </w:pPr>
      <w:r w:rsidRPr="00CB2424">
        <w:rPr>
          <w:rStyle w:val="FootnoteReference"/>
          <w:sz w:val="16"/>
        </w:rPr>
        <w:footnoteRef/>
      </w:r>
      <w:r w:rsidRPr="00CB2424">
        <w:t xml:space="preserve"> </w:t>
      </w:r>
      <w:r w:rsidRPr="00CB2424">
        <w:tab/>
      </w:r>
      <w:r w:rsidRPr="000D4816">
        <w:rPr>
          <w:i/>
          <w:iCs/>
        </w:rPr>
        <w:t>Cfr.</w:t>
      </w:r>
      <w:r w:rsidRPr="00CB2424">
        <w:rPr>
          <w:iCs/>
        </w:rPr>
        <w:t xml:space="preserve"> </w:t>
      </w:r>
      <w:r w:rsidRPr="00FE05F7">
        <w:rPr>
          <w:i/>
        </w:rPr>
        <w:t>Caso Castañeda Gutman vs. Estados Unidos Mexicanos</w:t>
      </w:r>
      <w:r w:rsidRPr="00CB2424">
        <w:t xml:space="preserve">. </w:t>
      </w:r>
      <w:r w:rsidRPr="00CB2424">
        <w:rPr>
          <w:iCs/>
        </w:rPr>
        <w:t>Excepciones Preliminares, Fondo, Reparaciones y Costas</w:t>
      </w:r>
      <w:r w:rsidRPr="00CB2424">
        <w:t xml:space="preserve">. Sentencia de 6 de agosto de 2006. párr. 225; </w:t>
      </w:r>
      <w:r w:rsidRPr="00FE05F7">
        <w:rPr>
          <w:i/>
        </w:rPr>
        <w:t>Caso Suárez Peralta Vs. Ecuador</w:t>
      </w:r>
      <w:r w:rsidRPr="00CB2424">
        <w:t xml:space="preserve">. </w:t>
      </w:r>
      <w:r w:rsidRPr="00CB2424">
        <w:rPr>
          <w:iCs/>
        </w:rPr>
        <w:t>Excepciones Preliminares, Fondo, Reparaciones y Costas</w:t>
      </w:r>
      <w:r w:rsidRPr="00CB2424">
        <w:t>. Sentencia de21 de mayo de 2013. párr. 194.</w:t>
      </w:r>
    </w:p>
  </w:footnote>
  <w:footnote w:id="195">
    <w:p w14:paraId="6D172F44" w14:textId="59FF5249" w:rsidR="0074038D" w:rsidRPr="00CB2424" w:rsidRDefault="0074038D" w:rsidP="00B66E4D">
      <w:pPr>
        <w:pStyle w:val="FootnoteText"/>
      </w:pPr>
      <w:r w:rsidRPr="00CB2424">
        <w:rPr>
          <w:rStyle w:val="FootnoteReference"/>
          <w:sz w:val="16"/>
        </w:rPr>
        <w:footnoteRef/>
      </w:r>
      <w:r w:rsidRPr="00CB2424">
        <w:t xml:space="preserve"> </w:t>
      </w:r>
      <w:r w:rsidRPr="00CB2424">
        <w:tab/>
        <w:t>Declaración rendida en audiencia pública de la víctima; declaración ante fedatario público de la señora Carmen del Socorro Villar Guerra de fecha 27 de enero de 2016, folio 518 y ss. y declaración ante fedatario público de Nelly Raquel Zegarra Villar de fecha 27 de enero de 2016, folio 529 y ss.</w:t>
      </w:r>
    </w:p>
  </w:footnote>
  <w:footnote w:id="196">
    <w:p w14:paraId="6D172F46" w14:textId="067C33A1" w:rsidR="0074038D" w:rsidRPr="00CB2424" w:rsidRDefault="0074038D" w:rsidP="00FE05F7">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Ficha Consulta RUC de la SUNAT de fecha 12 de marzo de 2015 (expediente de anexos a la contestación, folio 2139). Fecha de Inscripción del Estudio Jurídico Miguel Romero Bueno Abogados EIRL se inscribió el 18 de noviembre de 2002. </w:t>
      </w:r>
    </w:p>
  </w:footnote>
  <w:footnote w:id="197">
    <w:p w14:paraId="6D172F47" w14:textId="46123BC3" w:rsidR="0074038D" w:rsidRPr="00CB2424" w:rsidRDefault="0074038D" w:rsidP="00FE05F7">
      <w:pPr>
        <w:pStyle w:val="FootnoteText"/>
        <w:rPr>
          <w:b/>
          <w:lang w:val="es-ES_tradnl"/>
        </w:rPr>
      </w:pPr>
      <w:r w:rsidRPr="00CB2424">
        <w:rPr>
          <w:rStyle w:val="FootnoteReference"/>
          <w:sz w:val="16"/>
        </w:rPr>
        <w:footnoteRef/>
      </w:r>
      <w:r w:rsidRPr="00CB2424">
        <w:t xml:space="preserve"> </w:t>
      </w:r>
      <w:r w:rsidRPr="00CB2424">
        <w:tab/>
      </w:r>
      <w:r w:rsidRPr="000D4816">
        <w:rPr>
          <w:i/>
        </w:rPr>
        <w:t>Cfr.</w:t>
      </w:r>
      <w:r w:rsidRPr="00CB2424">
        <w:t xml:space="preserve"> </w:t>
      </w:r>
      <w:r w:rsidRPr="00FE05F7">
        <w:rPr>
          <w:i/>
        </w:rPr>
        <w:t>Caso Velásquez Rodríguez Vs. Honduras</w:t>
      </w:r>
      <w:r w:rsidRPr="00CB2424">
        <w:t xml:space="preserve">. Reparaciones y Costas, </w:t>
      </w:r>
      <w:r w:rsidRPr="000D4816">
        <w:rPr>
          <w:i/>
        </w:rPr>
        <w:t>supra</w:t>
      </w:r>
      <w:r w:rsidRPr="00CB2424">
        <w:t xml:space="preserve">, párr. 42, y </w:t>
      </w:r>
      <w:r w:rsidRPr="00FE05F7">
        <w:rPr>
          <w:i/>
        </w:rPr>
        <w:t>Caso Andrade Salmón Vs. Bolivia</w:t>
      </w:r>
      <w:r w:rsidRPr="00CB2424">
        <w:t xml:space="preserve">, </w:t>
      </w:r>
      <w:r w:rsidRPr="000D4816">
        <w:rPr>
          <w:i/>
        </w:rPr>
        <w:t>supra</w:t>
      </w:r>
      <w:r w:rsidRPr="00CB2424">
        <w:t>, párr. 210.</w:t>
      </w:r>
    </w:p>
  </w:footnote>
  <w:footnote w:id="198">
    <w:p w14:paraId="6D172F48" w14:textId="70E0C5D4" w:rsidR="0074038D" w:rsidRPr="00CB2424" w:rsidRDefault="0074038D" w:rsidP="00FE05F7">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FE05F7">
        <w:rPr>
          <w:i/>
        </w:rPr>
        <w:t>Caso Garrido y Baigorria Vs. Argentina</w:t>
      </w:r>
      <w:r w:rsidRPr="00CB2424">
        <w:t xml:space="preserve">. Reparaciones y Costas. Sentencia de 27 de agosto de 1998. Serie C No. 39, párr. 82, y </w:t>
      </w:r>
      <w:r w:rsidRPr="00FE05F7">
        <w:rPr>
          <w:i/>
        </w:rPr>
        <w:t xml:space="preserve">Caso Andrade Salmón Vs. Bolivia, </w:t>
      </w:r>
      <w:r w:rsidRPr="000D4816">
        <w:rPr>
          <w:i/>
        </w:rPr>
        <w:t>supra</w:t>
      </w:r>
      <w:r w:rsidRPr="00FE05F7">
        <w:rPr>
          <w:i/>
        </w:rPr>
        <w:t>,</w:t>
      </w:r>
      <w:r w:rsidRPr="00CB2424">
        <w:t xml:space="preserve"> párr. 210</w:t>
      </w:r>
      <w:r w:rsidRPr="000D4816">
        <w:rPr>
          <w:i/>
        </w:rPr>
        <w:t>.</w:t>
      </w:r>
    </w:p>
  </w:footnote>
  <w:footnote w:id="199">
    <w:p w14:paraId="6D172F49" w14:textId="51841540" w:rsidR="0074038D" w:rsidRPr="00CB2424" w:rsidRDefault="0074038D" w:rsidP="0018615D">
      <w:pPr>
        <w:pStyle w:val="FootnoteText"/>
        <w:rPr>
          <w:lang w:val="es-CR"/>
        </w:rPr>
      </w:pPr>
      <w:r w:rsidRPr="00CB2424">
        <w:rPr>
          <w:rStyle w:val="FootnoteReference"/>
          <w:sz w:val="16"/>
        </w:rPr>
        <w:footnoteRef/>
      </w:r>
      <w:r w:rsidRPr="00CB2424">
        <w:rPr>
          <w:lang w:val="es-CR"/>
        </w:rPr>
        <w:t xml:space="preserve"> </w:t>
      </w:r>
      <w:r w:rsidRPr="00CB2424">
        <w:rPr>
          <w:lang w:val="es-CR"/>
        </w:rPr>
        <w:tab/>
      </w:r>
      <w:r w:rsidRPr="000D4816">
        <w:rPr>
          <w:i/>
          <w:lang w:val="es-CR"/>
        </w:rPr>
        <w:t>Cfr.</w:t>
      </w:r>
      <w:r w:rsidRPr="00FE05F7">
        <w:rPr>
          <w:i/>
          <w:lang w:val="es-CR"/>
        </w:rPr>
        <w:t xml:space="preserve"> </w:t>
      </w:r>
      <w:r w:rsidRPr="00FE05F7">
        <w:rPr>
          <w:i/>
        </w:rPr>
        <w:t>C</w:t>
      </w:r>
      <w:r w:rsidRPr="00FE05F7">
        <w:rPr>
          <w:i/>
          <w:spacing w:val="-1"/>
        </w:rPr>
        <w:t>a</w:t>
      </w:r>
      <w:r w:rsidRPr="00FE05F7">
        <w:rPr>
          <w:i/>
        </w:rPr>
        <w:t>so</w:t>
      </w:r>
      <w:r w:rsidRPr="00FE05F7">
        <w:rPr>
          <w:i/>
          <w:spacing w:val="35"/>
        </w:rPr>
        <w:t xml:space="preserve"> </w:t>
      </w:r>
      <w:r w:rsidRPr="00FE05F7">
        <w:rPr>
          <w:i/>
        </w:rPr>
        <w:t>Ga</w:t>
      </w:r>
      <w:r w:rsidRPr="00FE05F7">
        <w:rPr>
          <w:i/>
          <w:spacing w:val="-2"/>
        </w:rPr>
        <w:t>r</w:t>
      </w:r>
      <w:r w:rsidRPr="00FE05F7">
        <w:rPr>
          <w:i/>
          <w:spacing w:val="1"/>
        </w:rPr>
        <w:t>r</w:t>
      </w:r>
      <w:r w:rsidRPr="00FE05F7">
        <w:rPr>
          <w:i/>
          <w:spacing w:val="-1"/>
        </w:rPr>
        <w:t>i</w:t>
      </w:r>
      <w:r w:rsidRPr="00FE05F7">
        <w:rPr>
          <w:i/>
        </w:rPr>
        <w:t>do</w:t>
      </w:r>
      <w:r w:rsidRPr="00FE05F7">
        <w:rPr>
          <w:i/>
          <w:spacing w:val="35"/>
        </w:rPr>
        <w:t xml:space="preserve"> </w:t>
      </w:r>
      <w:r w:rsidRPr="00FE05F7">
        <w:rPr>
          <w:i/>
        </w:rPr>
        <w:t>y</w:t>
      </w:r>
      <w:r w:rsidRPr="00FE05F7">
        <w:rPr>
          <w:i/>
          <w:spacing w:val="38"/>
        </w:rPr>
        <w:t xml:space="preserve"> </w:t>
      </w:r>
      <w:r w:rsidRPr="00FE05F7">
        <w:rPr>
          <w:i/>
        </w:rPr>
        <w:t>Ba</w:t>
      </w:r>
      <w:r w:rsidRPr="00FE05F7">
        <w:rPr>
          <w:i/>
          <w:spacing w:val="-3"/>
        </w:rPr>
        <w:t>i</w:t>
      </w:r>
      <w:r w:rsidRPr="00FE05F7">
        <w:rPr>
          <w:i/>
          <w:spacing w:val="1"/>
        </w:rPr>
        <w:t>g</w:t>
      </w:r>
      <w:r w:rsidRPr="00FE05F7">
        <w:rPr>
          <w:i/>
          <w:spacing w:val="-2"/>
        </w:rPr>
        <w:t>o</w:t>
      </w:r>
      <w:r w:rsidRPr="00FE05F7">
        <w:rPr>
          <w:i/>
          <w:spacing w:val="1"/>
        </w:rPr>
        <w:t>rr</w:t>
      </w:r>
      <w:r w:rsidRPr="00FE05F7">
        <w:rPr>
          <w:i/>
          <w:spacing w:val="-1"/>
        </w:rPr>
        <w:t>i</w:t>
      </w:r>
      <w:r w:rsidRPr="00FE05F7">
        <w:rPr>
          <w:i/>
        </w:rPr>
        <w:t xml:space="preserve">a, </w:t>
      </w:r>
      <w:r w:rsidRPr="000D4816">
        <w:rPr>
          <w:i/>
        </w:rPr>
        <w:t>supra</w:t>
      </w:r>
      <w:r w:rsidRPr="00CB2424">
        <w:t>,</w:t>
      </w:r>
      <w:r w:rsidRPr="00CB2424">
        <w:rPr>
          <w:spacing w:val="36"/>
        </w:rPr>
        <w:t xml:space="preserve"> </w:t>
      </w:r>
      <w:r w:rsidRPr="00CB2424">
        <w:t>p</w:t>
      </w:r>
      <w:r w:rsidRPr="00CB2424">
        <w:rPr>
          <w:spacing w:val="-3"/>
        </w:rPr>
        <w:t>á</w:t>
      </w:r>
      <w:r w:rsidRPr="00CB2424">
        <w:rPr>
          <w:spacing w:val="1"/>
        </w:rPr>
        <w:t>rr</w:t>
      </w:r>
      <w:r w:rsidRPr="00CB2424">
        <w:t>.</w:t>
      </w:r>
      <w:r w:rsidRPr="00CB2424">
        <w:rPr>
          <w:spacing w:val="33"/>
        </w:rPr>
        <w:t xml:space="preserve"> </w:t>
      </w:r>
      <w:r w:rsidRPr="00CB2424">
        <w:rPr>
          <w:spacing w:val="-1"/>
        </w:rPr>
        <w:t>7</w:t>
      </w:r>
      <w:r w:rsidRPr="00CB2424">
        <w:rPr>
          <w:spacing w:val="1"/>
        </w:rPr>
        <w:t>9</w:t>
      </w:r>
      <w:r w:rsidRPr="00CB2424">
        <w:t>,</w:t>
      </w:r>
      <w:r w:rsidRPr="00CB2424">
        <w:rPr>
          <w:spacing w:val="36"/>
        </w:rPr>
        <w:t xml:space="preserve"> </w:t>
      </w:r>
      <w:r w:rsidRPr="00CB2424">
        <w:t>y</w:t>
      </w:r>
      <w:r w:rsidRPr="00CB2424">
        <w:rPr>
          <w:spacing w:val="37"/>
        </w:rPr>
        <w:t xml:space="preserve"> </w:t>
      </w:r>
      <w:r w:rsidRPr="00CB2424">
        <w:rPr>
          <w:rStyle w:val="Strong"/>
          <w:b w:val="0"/>
          <w:i/>
          <w:color w:val="000000"/>
          <w:shd w:val="clear" w:color="auto" w:fill="FFFFFF"/>
          <w:lang w:val="es-CR"/>
        </w:rPr>
        <w:t xml:space="preserve">Caso Duque, </w:t>
      </w:r>
      <w:r w:rsidRPr="000D4816">
        <w:rPr>
          <w:rStyle w:val="Strong"/>
          <w:b w:val="0"/>
          <w:i/>
          <w:color w:val="000000"/>
          <w:shd w:val="clear" w:color="auto" w:fill="FFFFFF"/>
          <w:lang w:val="es-CR"/>
        </w:rPr>
        <w:t>supra</w:t>
      </w:r>
      <w:r w:rsidRPr="00CB2424">
        <w:rPr>
          <w:rStyle w:val="Strong"/>
          <w:b w:val="0"/>
          <w:i/>
          <w:color w:val="000000"/>
          <w:shd w:val="clear" w:color="auto" w:fill="FFFFFF"/>
          <w:lang w:val="es-CR"/>
        </w:rPr>
        <w:t xml:space="preserve"> </w:t>
      </w:r>
      <w:r w:rsidRPr="00CB2424">
        <w:rPr>
          <w:rStyle w:val="Strong"/>
          <w:b w:val="0"/>
          <w:color w:val="000000"/>
          <w:shd w:val="clear" w:color="auto" w:fill="FFFFFF"/>
          <w:lang w:val="es-CR"/>
        </w:rPr>
        <w:t>nota 279</w:t>
      </w:r>
      <w:r w:rsidRPr="00CB2424">
        <w:rPr>
          <w:b/>
          <w:color w:val="000000"/>
          <w:lang w:val="es-CR"/>
        </w:rPr>
        <w:t>,</w:t>
      </w:r>
      <w:r w:rsidRPr="00CB2424">
        <w:rPr>
          <w:color w:val="000000"/>
          <w:lang w:val="es-CR"/>
        </w:rPr>
        <w:t xml:space="preserve"> </w:t>
      </w:r>
      <w:r w:rsidRPr="00CB2424">
        <w:rPr>
          <w:lang w:val="es-CR"/>
        </w:rPr>
        <w:t>párr. 225.</w:t>
      </w:r>
    </w:p>
  </w:footnote>
  <w:footnote w:id="200">
    <w:p w14:paraId="6D172F4A" w14:textId="7985A7BE" w:rsidR="0074038D" w:rsidRPr="00CB2424" w:rsidRDefault="0074038D" w:rsidP="0018615D">
      <w:pPr>
        <w:pStyle w:val="FootnoteText"/>
        <w:rPr>
          <w:lang w:val="es-CR"/>
        </w:rPr>
      </w:pPr>
      <w:r w:rsidRPr="00CB2424">
        <w:rPr>
          <w:rStyle w:val="FootnoteReference"/>
          <w:sz w:val="16"/>
        </w:rPr>
        <w:footnoteRef/>
      </w:r>
      <w:r w:rsidRPr="00CB2424">
        <w:rPr>
          <w:lang w:val="es-CR"/>
        </w:rPr>
        <w:t xml:space="preserve"> </w:t>
      </w:r>
      <w:r w:rsidRPr="00CB2424">
        <w:rPr>
          <w:lang w:val="es-CR"/>
        </w:rPr>
        <w:tab/>
      </w:r>
      <w:r w:rsidRPr="000D4816">
        <w:rPr>
          <w:i/>
        </w:rPr>
        <w:t>Cfr.</w:t>
      </w:r>
      <w:r w:rsidRPr="00CB2424">
        <w:rPr>
          <w:spacing w:val="15"/>
        </w:rPr>
        <w:t xml:space="preserve"> </w:t>
      </w:r>
      <w:r w:rsidRPr="00FE05F7">
        <w:rPr>
          <w:i/>
        </w:rPr>
        <w:t>C</w:t>
      </w:r>
      <w:r w:rsidRPr="00FE05F7">
        <w:rPr>
          <w:i/>
          <w:spacing w:val="-1"/>
        </w:rPr>
        <w:t>a</w:t>
      </w:r>
      <w:r w:rsidRPr="00FE05F7">
        <w:rPr>
          <w:i/>
          <w:spacing w:val="-2"/>
        </w:rPr>
        <w:t>s</w:t>
      </w:r>
      <w:r w:rsidRPr="00FE05F7">
        <w:rPr>
          <w:i/>
        </w:rPr>
        <w:t>o</w:t>
      </w:r>
      <w:r w:rsidRPr="00FE05F7">
        <w:rPr>
          <w:i/>
          <w:spacing w:val="16"/>
        </w:rPr>
        <w:t xml:space="preserve"> </w:t>
      </w:r>
      <w:r w:rsidRPr="00FE05F7">
        <w:rPr>
          <w:i/>
        </w:rPr>
        <w:t>C</w:t>
      </w:r>
      <w:r w:rsidRPr="00FE05F7">
        <w:rPr>
          <w:i/>
          <w:spacing w:val="-1"/>
        </w:rPr>
        <w:t>h</w:t>
      </w:r>
      <w:r w:rsidRPr="00FE05F7">
        <w:rPr>
          <w:i/>
          <w:spacing w:val="-3"/>
        </w:rPr>
        <w:t>a</w:t>
      </w:r>
      <w:r w:rsidRPr="00FE05F7">
        <w:rPr>
          <w:i/>
        </w:rPr>
        <w:t>p</w:t>
      </w:r>
      <w:r w:rsidRPr="00FE05F7">
        <w:rPr>
          <w:i/>
          <w:spacing w:val="-1"/>
        </w:rPr>
        <w:t>ar</w:t>
      </w:r>
      <w:r w:rsidRPr="00FE05F7">
        <w:rPr>
          <w:i/>
          <w:spacing w:val="1"/>
        </w:rPr>
        <w:t>r</w:t>
      </w:r>
      <w:r w:rsidRPr="00FE05F7">
        <w:rPr>
          <w:i/>
        </w:rPr>
        <w:t>o</w:t>
      </w:r>
      <w:r w:rsidRPr="00FE05F7">
        <w:rPr>
          <w:i/>
          <w:spacing w:val="14"/>
        </w:rPr>
        <w:t xml:space="preserve"> </w:t>
      </w:r>
      <w:r w:rsidRPr="00FE05F7">
        <w:rPr>
          <w:i/>
          <w:spacing w:val="1"/>
        </w:rPr>
        <w:t>Á</w:t>
      </w:r>
      <w:r w:rsidRPr="00FE05F7">
        <w:rPr>
          <w:i/>
          <w:spacing w:val="-1"/>
        </w:rPr>
        <w:t>l</w:t>
      </w:r>
      <w:r w:rsidRPr="00FE05F7">
        <w:rPr>
          <w:i/>
          <w:spacing w:val="1"/>
        </w:rPr>
        <w:t>v</w:t>
      </w:r>
      <w:r w:rsidRPr="00FE05F7">
        <w:rPr>
          <w:i/>
          <w:spacing w:val="-3"/>
        </w:rPr>
        <w:t>a</w:t>
      </w:r>
      <w:r w:rsidRPr="00FE05F7">
        <w:rPr>
          <w:i/>
          <w:spacing w:val="1"/>
        </w:rPr>
        <w:t>r</w:t>
      </w:r>
      <w:r w:rsidRPr="00FE05F7">
        <w:rPr>
          <w:i/>
        </w:rPr>
        <w:t>ez</w:t>
      </w:r>
      <w:r w:rsidRPr="00FE05F7">
        <w:rPr>
          <w:i/>
          <w:spacing w:val="13"/>
        </w:rPr>
        <w:t xml:space="preserve"> </w:t>
      </w:r>
      <w:r w:rsidRPr="00FE05F7">
        <w:rPr>
          <w:i/>
        </w:rPr>
        <w:t>y</w:t>
      </w:r>
      <w:r w:rsidRPr="00FE05F7">
        <w:rPr>
          <w:i/>
          <w:spacing w:val="14"/>
        </w:rPr>
        <w:t xml:space="preserve"> </w:t>
      </w:r>
      <w:r w:rsidRPr="00FE05F7">
        <w:rPr>
          <w:i/>
          <w:spacing w:val="-1"/>
        </w:rPr>
        <w:t>La</w:t>
      </w:r>
      <w:r w:rsidRPr="00FE05F7">
        <w:rPr>
          <w:i/>
        </w:rPr>
        <w:t>po</w:t>
      </w:r>
      <w:r w:rsidRPr="00FE05F7">
        <w:rPr>
          <w:i/>
          <w:spacing w:val="16"/>
        </w:rPr>
        <w:t xml:space="preserve"> </w:t>
      </w:r>
      <w:r w:rsidRPr="00FE05F7">
        <w:rPr>
          <w:i/>
        </w:rPr>
        <w:t>Í</w:t>
      </w:r>
      <w:r w:rsidRPr="00FE05F7">
        <w:rPr>
          <w:i/>
          <w:spacing w:val="-1"/>
        </w:rPr>
        <w:t>ñi</w:t>
      </w:r>
      <w:r w:rsidRPr="00FE05F7">
        <w:rPr>
          <w:i/>
          <w:spacing w:val="1"/>
        </w:rPr>
        <w:t>g</w:t>
      </w:r>
      <w:r w:rsidRPr="00FE05F7">
        <w:rPr>
          <w:i/>
          <w:spacing w:val="-1"/>
        </w:rPr>
        <w:t>u</w:t>
      </w:r>
      <w:r w:rsidRPr="00FE05F7">
        <w:rPr>
          <w:i/>
        </w:rPr>
        <w:t>ez</w:t>
      </w:r>
      <w:r w:rsidRPr="00FE05F7">
        <w:rPr>
          <w:i/>
          <w:spacing w:val="13"/>
        </w:rPr>
        <w:t xml:space="preserve"> </w:t>
      </w:r>
      <w:r w:rsidRPr="00FE05F7">
        <w:rPr>
          <w:i/>
          <w:spacing w:val="1"/>
        </w:rPr>
        <w:t>V</w:t>
      </w:r>
      <w:r w:rsidRPr="00FE05F7">
        <w:rPr>
          <w:i/>
        </w:rPr>
        <w:t>s.</w:t>
      </w:r>
      <w:r w:rsidRPr="00FE05F7">
        <w:rPr>
          <w:i/>
          <w:spacing w:val="15"/>
        </w:rPr>
        <w:t xml:space="preserve"> </w:t>
      </w:r>
      <w:r w:rsidRPr="00FE05F7">
        <w:rPr>
          <w:i/>
          <w:spacing w:val="-1"/>
        </w:rPr>
        <w:t>E</w:t>
      </w:r>
      <w:r w:rsidRPr="00FE05F7">
        <w:rPr>
          <w:i/>
        </w:rPr>
        <w:t>c</w:t>
      </w:r>
      <w:r w:rsidRPr="00FE05F7">
        <w:rPr>
          <w:i/>
          <w:spacing w:val="-1"/>
        </w:rPr>
        <w:t>u</w:t>
      </w:r>
      <w:r w:rsidRPr="00FE05F7">
        <w:rPr>
          <w:i/>
          <w:spacing w:val="-3"/>
        </w:rPr>
        <w:t>a</w:t>
      </w:r>
      <w:r w:rsidRPr="00FE05F7">
        <w:rPr>
          <w:i/>
        </w:rPr>
        <w:t>d</w:t>
      </w:r>
      <w:r w:rsidRPr="00FE05F7">
        <w:rPr>
          <w:i/>
          <w:spacing w:val="-2"/>
        </w:rPr>
        <w:t>o</w:t>
      </w:r>
      <w:r w:rsidRPr="00FE05F7">
        <w:rPr>
          <w:i/>
          <w:spacing w:val="1"/>
        </w:rPr>
        <w:t>r</w:t>
      </w:r>
      <w:r w:rsidRPr="00CB2424">
        <w:t xml:space="preserve">, </w:t>
      </w:r>
      <w:r w:rsidRPr="00CB2424">
        <w:rPr>
          <w:spacing w:val="-2"/>
        </w:rPr>
        <w:t>p</w:t>
      </w:r>
      <w:r w:rsidRPr="00CB2424">
        <w:rPr>
          <w:spacing w:val="-1"/>
        </w:rPr>
        <w:t>á</w:t>
      </w:r>
      <w:r w:rsidRPr="00CB2424">
        <w:rPr>
          <w:spacing w:val="1"/>
        </w:rPr>
        <w:t>rr</w:t>
      </w:r>
      <w:r w:rsidRPr="00CB2424">
        <w:t>.</w:t>
      </w:r>
      <w:r w:rsidRPr="00CB2424">
        <w:rPr>
          <w:spacing w:val="-2"/>
        </w:rPr>
        <w:t xml:space="preserve"> </w:t>
      </w:r>
      <w:r w:rsidRPr="00CB2424">
        <w:rPr>
          <w:spacing w:val="-1"/>
        </w:rPr>
        <w:t>2</w:t>
      </w:r>
      <w:r w:rsidRPr="00CB2424">
        <w:rPr>
          <w:spacing w:val="1"/>
        </w:rPr>
        <w:t>77</w:t>
      </w:r>
      <w:r w:rsidRPr="00CB2424">
        <w:t>, y</w:t>
      </w:r>
      <w:r w:rsidRPr="00CB2424">
        <w:rPr>
          <w:spacing w:val="37"/>
        </w:rPr>
        <w:t xml:space="preserve"> </w:t>
      </w:r>
      <w:r w:rsidRPr="00CB2424">
        <w:rPr>
          <w:rStyle w:val="Strong"/>
          <w:b w:val="0"/>
          <w:i/>
          <w:color w:val="000000"/>
          <w:shd w:val="clear" w:color="auto" w:fill="FFFFFF"/>
          <w:lang w:val="es-CR"/>
        </w:rPr>
        <w:t xml:space="preserve">Caso Duque </w:t>
      </w:r>
      <w:r w:rsidRPr="000D4816">
        <w:rPr>
          <w:rStyle w:val="Strong"/>
          <w:b w:val="0"/>
          <w:i/>
          <w:color w:val="000000"/>
          <w:shd w:val="clear" w:color="auto" w:fill="FFFFFF"/>
          <w:lang w:val="es-CR"/>
        </w:rPr>
        <w:t>supra</w:t>
      </w:r>
      <w:r w:rsidRPr="00CB2424">
        <w:rPr>
          <w:rStyle w:val="Strong"/>
          <w:b w:val="0"/>
          <w:i/>
          <w:color w:val="000000"/>
          <w:shd w:val="clear" w:color="auto" w:fill="FFFFFF"/>
          <w:lang w:val="es-CR"/>
        </w:rPr>
        <w:t xml:space="preserve"> </w:t>
      </w:r>
      <w:r w:rsidRPr="00CB2424">
        <w:rPr>
          <w:rStyle w:val="Strong"/>
          <w:b w:val="0"/>
          <w:color w:val="000000"/>
          <w:shd w:val="clear" w:color="auto" w:fill="FFFFFF"/>
          <w:lang w:val="es-CR"/>
        </w:rPr>
        <w:t>nota 279</w:t>
      </w:r>
      <w:r w:rsidRPr="00CB2424">
        <w:rPr>
          <w:b/>
          <w:color w:val="000000"/>
          <w:lang w:val="es-CR"/>
        </w:rPr>
        <w:t>,</w:t>
      </w:r>
      <w:r w:rsidRPr="00CB2424">
        <w:rPr>
          <w:color w:val="000000"/>
          <w:lang w:val="es-CR"/>
        </w:rPr>
        <w:t xml:space="preserve"> </w:t>
      </w:r>
      <w:r w:rsidRPr="00CB2424">
        <w:rPr>
          <w:lang w:val="es-CR"/>
        </w:rPr>
        <w:t>párr. 225.</w:t>
      </w:r>
    </w:p>
  </w:footnote>
  <w:footnote w:id="201">
    <w:p w14:paraId="6D172F4B" w14:textId="53506068" w:rsidR="0074038D" w:rsidRPr="00CB2424" w:rsidRDefault="0074038D" w:rsidP="0018615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Constancia emitida por el Estudio Romero Bueno, de fecha 20 de noviembre de 2014 (anexos al escrito de solicitudes y argumentos, folio 1490).</w:t>
      </w:r>
    </w:p>
  </w:footnote>
  <w:footnote w:id="202">
    <w:p w14:paraId="6D172F4C" w14:textId="10ABB8E2" w:rsidR="0074038D" w:rsidRPr="00CB2424" w:rsidRDefault="0074038D" w:rsidP="0018615D">
      <w:pPr>
        <w:pStyle w:val="FootnoteText"/>
      </w:pPr>
      <w:r w:rsidRPr="00CB2424">
        <w:rPr>
          <w:rStyle w:val="FootnoteReference"/>
          <w:sz w:val="16"/>
        </w:rPr>
        <w:footnoteRef/>
      </w:r>
      <w:r w:rsidRPr="00CB2424">
        <w:t xml:space="preserve"> </w:t>
      </w:r>
      <w:r w:rsidRPr="00CB2424">
        <w:tab/>
        <w:t xml:space="preserve">Escrito de sometimiento de caso ante la Corte Interamericana, Ref. Caso No. 12.700, de fecha 22 de agosto de 2014, en el que la Comisión puso en conocimiento de la Corte que el señor Agustín Bladimiro Zegarra Marín ejerció su propia representación durante el trámite del caso. </w:t>
      </w:r>
      <w:r w:rsidRPr="000D4816">
        <w:rPr>
          <w:i/>
        </w:rPr>
        <w:t>Cfr.</w:t>
      </w:r>
      <w:r w:rsidRPr="00CB2424">
        <w:t xml:space="preserve"> Entre otros: Denuncia de fecha 8 de febrero de 2000, presentada el 16 de mayo de 2000 ante la Comisión, en la que el señor Zegarra Marín expone su situación en Perú y demás escritos que obran en el expediente tales como “Observaciones al Informe No. 46-2003-JUS/CNDH-SE”, fechado el 12 de agosto de 2003 y recibido en la Comisión el 21 de agosto de 2003; escrito REF: P-235-00-PERU, fechado el 8 de enero de 2004 y recibido en la Comisión el 22 de enero de 2004, mediante el cual se remiten documentos probatorios; documento “Observaciones al Informe No. 46-2005-JUS/CND-SE/CESAPI”, fechado el 21 de junio del 2005 y recibido en la Comisión el 30 de junio de 2005; Solicitud de Solución Amistosa, de fecha 23 de abril de 2007, presentada el 8 de mayo de 2007 ante la Comisión</w:t>
      </w:r>
      <w:r w:rsidRPr="00CB2424">
        <w:rPr>
          <w:b/>
        </w:rPr>
        <w:t xml:space="preserve"> </w:t>
      </w:r>
      <w:r w:rsidRPr="00CB2424">
        <w:t xml:space="preserve">escrito “Observaciones al Informe No. 141-2009-JUS/PPES, fechado el 16 de septiembre del 2009 y recibido en la Comisión el 29 de septiembre de 2009. Todos ellos firmados por Agustín Zegarra Marín (expediente de trámite ante la CIDH, folios 526-554; 311-317; 291; 143-145; 904-906; 684-692). </w:t>
      </w:r>
    </w:p>
  </w:footnote>
  <w:footnote w:id="203">
    <w:p w14:paraId="6D172F4D" w14:textId="08F7732F" w:rsidR="0074038D" w:rsidRPr="00CB2424" w:rsidRDefault="0074038D" w:rsidP="0018615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Demanda Contencioso-Administrativa de Nulidad de Resolución Administrativa, presentada el 3 de abril de 1997 ante la Sala Especializada en lo Civil de la Corte Suprema de la República de Perú, signada por el abogado Melanio Rojas Zegarra y participación del abogado Juan Zegarra Chávez, quien presentó pruebas de descargo dirigidas a la Quinta Sala Penal el 12 de agosto de 1996 (expediente de trámite ante la CIDH, folios 559- 569 y 851). </w:t>
      </w:r>
    </w:p>
  </w:footnote>
  <w:footnote w:id="204">
    <w:p w14:paraId="6D172F4F" w14:textId="680B3460" w:rsidR="0074038D" w:rsidRPr="00CB2424" w:rsidRDefault="0074038D" w:rsidP="0018615D">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Correo electrónico enviado por Agustín Zegarra Marín a la CIDH de 12 de febrero de 2013, en que confirma su asistencia y el de su comisión a la Audiencia a realizarse el 11 de marzo de 2013. Señala que Nelly Raquel Zegarra Villar es la “</w:t>
      </w:r>
      <w:r w:rsidRPr="00CB2424">
        <w:rPr>
          <w:rFonts w:cs="Arial"/>
        </w:rPr>
        <w:t>Abogada del Peticionario, quien participará conjuntamente con el peticionario en la exposición.” (</w:t>
      </w:r>
      <w:r w:rsidRPr="00CB2424">
        <w:t>expediente de trámite ante la CIDH, folio 1173).</w:t>
      </w:r>
    </w:p>
  </w:footnote>
  <w:footnote w:id="205">
    <w:p w14:paraId="6D172F50" w14:textId="7B72B92E" w:rsidR="0074038D" w:rsidRPr="00CB2424" w:rsidRDefault="0074038D" w:rsidP="0018615D">
      <w:pPr>
        <w:pStyle w:val="FootnoteText"/>
      </w:pPr>
      <w:r w:rsidRPr="00CB2424">
        <w:rPr>
          <w:rStyle w:val="FootnoteReference"/>
          <w:sz w:val="16"/>
        </w:rPr>
        <w:footnoteRef/>
      </w:r>
      <w:r w:rsidRPr="00CB2424">
        <w:t xml:space="preserve"> </w:t>
      </w:r>
      <w:r w:rsidRPr="00CB2424">
        <w:tab/>
        <w:t xml:space="preserve">Correspondiente a dos tercios de lo acreditado en el documento de cobranza Special Travel S.A.C., de 20 de noviembre de 2014 y </w:t>
      </w:r>
      <w:r w:rsidRPr="00CB2424">
        <w:rPr>
          <w:i/>
        </w:rPr>
        <w:t xml:space="preserve">boarding pass </w:t>
      </w:r>
      <w:r w:rsidRPr="00CB2424">
        <w:t xml:space="preserve">a nombre de Agustín Zegarra y Nelly Zegarra, emitidos por Delta Airlines con fecha 9 de marzo y 12 de marzo (anexos al escrito de solicitudes y argumentos, folio 1486 a 1488). </w:t>
      </w:r>
    </w:p>
  </w:footnote>
  <w:footnote w:id="206">
    <w:p w14:paraId="6D172F51" w14:textId="77777777" w:rsidR="0074038D" w:rsidRPr="00CB2424" w:rsidRDefault="0074038D" w:rsidP="0018615D">
      <w:pPr>
        <w:pStyle w:val="FootnoteText"/>
      </w:pPr>
      <w:r w:rsidRPr="00CB2424">
        <w:rPr>
          <w:rStyle w:val="FootnoteReference"/>
          <w:sz w:val="16"/>
        </w:rPr>
        <w:footnoteRef/>
      </w:r>
      <w:r w:rsidRPr="00CB2424">
        <w:t xml:space="preserve"> </w:t>
      </w:r>
      <w:r w:rsidRPr="00CB2424">
        <w:tab/>
        <w:t>Correspondiente a dos tercios de lo acreditado por medio de boleta emitida por Hotel Eldon para la estadía de Nelly Zegarra desde el 9 de marzo de 2013 al 12 de marzo de 2013 (anexos al escrito de solicitudes y argumentos, folio 1489).</w:t>
      </w:r>
    </w:p>
  </w:footnote>
  <w:footnote w:id="207">
    <w:p w14:paraId="6D172F52" w14:textId="2D098DF0" w:rsidR="0074038D" w:rsidRPr="00CB2424" w:rsidRDefault="0074038D" w:rsidP="0018615D">
      <w:pPr>
        <w:pStyle w:val="2Footnotes"/>
        <w:spacing w:before="60"/>
        <w:rPr>
          <w:lang w:bidi="en-US"/>
        </w:rPr>
      </w:pPr>
      <w:r w:rsidRPr="00CB2424">
        <w:rPr>
          <w:rStyle w:val="FootnoteReference"/>
          <w:sz w:val="16"/>
          <w:szCs w:val="16"/>
        </w:rPr>
        <w:footnoteRef/>
      </w:r>
      <w:r w:rsidRPr="00CB2424">
        <w:t xml:space="preserve"> </w:t>
      </w:r>
      <w:r w:rsidRPr="00CB2424">
        <w:tab/>
      </w:r>
      <w:r w:rsidRPr="000D4816">
        <w:rPr>
          <w:i/>
        </w:rPr>
        <w:t>Cfr.</w:t>
      </w:r>
      <w:r w:rsidRPr="00CB2424">
        <w:t xml:space="preserve"> </w:t>
      </w:r>
      <w:r w:rsidRPr="00FE05F7">
        <w:rPr>
          <w:i/>
        </w:rPr>
        <w:t>Caso Ibsen Cárdenas e Ibsen Peña Vs. Bolivia</w:t>
      </w:r>
      <w:r w:rsidRPr="00CB2424">
        <w:t xml:space="preserve">. Fondo, Reparaciones y Costas. Sentencia de 1 de septiembre de 2010 Serie C No. 217, párr. 291, y </w:t>
      </w:r>
      <w:r w:rsidRPr="00FE05F7">
        <w:rPr>
          <w:i/>
          <w:lang w:bidi="en-US"/>
        </w:rPr>
        <w:t>Caso I.V. Vs. Bolivia</w:t>
      </w:r>
      <w:r w:rsidRPr="00CB2424">
        <w:rPr>
          <w:lang w:bidi="en-US"/>
        </w:rPr>
        <w:t xml:space="preserve">, </w:t>
      </w:r>
      <w:r w:rsidRPr="000D4816">
        <w:rPr>
          <w:i/>
          <w:lang w:bidi="en-US"/>
        </w:rPr>
        <w:t>supra</w:t>
      </w:r>
      <w:r w:rsidRPr="00CB2424">
        <w:rPr>
          <w:lang w:bidi="en-US"/>
        </w:rPr>
        <w:t>, párr. 363</w:t>
      </w:r>
      <w:r w:rsidRPr="000D4816">
        <w:rPr>
          <w:i/>
          <w:lang w:bidi="en-US"/>
        </w:rPr>
        <w:t>.</w:t>
      </w:r>
    </w:p>
  </w:footnote>
  <w:footnote w:id="208">
    <w:p w14:paraId="6D172F54" w14:textId="38460722" w:rsidR="0074038D" w:rsidRPr="00CB2424" w:rsidRDefault="0074038D" w:rsidP="0018615D">
      <w:pPr>
        <w:pStyle w:val="FootnoteText"/>
      </w:pPr>
      <w:r w:rsidRPr="00CB2424">
        <w:rPr>
          <w:rStyle w:val="FootnoteReference"/>
          <w:sz w:val="16"/>
        </w:rPr>
        <w:footnoteRef/>
      </w:r>
      <w:r w:rsidRPr="00CB2424">
        <w:t xml:space="preserve"> </w:t>
      </w:r>
      <w:r>
        <w:tab/>
      </w:r>
      <w:r w:rsidRPr="00CB2424">
        <w:rPr>
          <w:i/>
        </w:rPr>
        <w:t>Caso Zegarra Marín Vs. Perú</w:t>
      </w:r>
      <w:r w:rsidRPr="00CB2424">
        <w:t xml:space="preserve">. </w:t>
      </w:r>
      <w:r w:rsidRPr="00CB2424">
        <w:rPr>
          <w:i/>
        </w:rPr>
        <w:t>Convocatoria de Audiencia.</w:t>
      </w:r>
      <w:r w:rsidRPr="00CB2424">
        <w:t xml:space="preserve"> Resolución del Presidente de la Corte Interamericana de Derechos Humanos de 17 de diciembre de 2015, párrafo 37. Disponible en:</w:t>
      </w:r>
      <w:r w:rsidRPr="00CB2424">
        <w:rPr>
          <w:rStyle w:val="Strong"/>
          <w:color w:val="000000"/>
          <w:shd w:val="clear" w:color="auto" w:fill="FFFFFF"/>
          <w:lang w:val="es-MX"/>
        </w:rPr>
        <w:t xml:space="preserve"> </w:t>
      </w:r>
      <w:hyperlink r:id="rId7" w:history="1">
        <w:r w:rsidRPr="00CB2424">
          <w:rPr>
            <w:rStyle w:val="Hyperlink"/>
            <w:lang w:val="es-MX"/>
          </w:rPr>
          <w:t>http://www.corteidh.or.cr/docs/asuntos/zegarra_17_12_15.pdf</w:t>
        </w:r>
      </w:hyperlink>
    </w:p>
  </w:footnote>
  <w:footnote w:id="209">
    <w:p w14:paraId="6D172F55" w14:textId="5BF28150" w:rsidR="0074038D" w:rsidRPr="00CB2424" w:rsidRDefault="0074038D" w:rsidP="0018615D">
      <w:pPr>
        <w:pStyle w:val="FootnoteText"/>
      </w:pPr>
      <w:r w:rsidRPr="00CB2424">
        <w:rPr>
          <w:rStyle w:val="FootnoteReference"/>
          <w:sz w:val="16"/>
        </w:rPr>
        <w:footnoteRef/>
      </w:r>
      <w:r w:rsidRPr="00CB2424">
        <w:t xml:space="preserve"> </w:t>
      </w:r>
      <w:r w:rsidRPr="00CB2424">
        <w:tab/>
      </w:r>
      <w:r w:rsidRPr="000D4816">
        <w:rPr>
          <w:i/>
        </w:rPr>
        <w:t>Cfr.</w:t>
      </w:r>
      <w:r w:rsidRPr="00CB2424">
        <w:rPr>
          <w:i/>
        </w:rPr>
        <w:t xml:space="preserve"> </w:t>
      </w:r>
      <w:r w:rsidRPr="00CB2424">
        <w:t>Documento de cobranza N° 001-002405, emitido por Special Travel S.A.C., de fecha 11 de enero de 2016, por</w:t>
      </w:r>
      <w:r w:rsidRPr="00CB2424">
        <w:rPr>
          <w:lang w:val="es-MX"/>
        </w:rPr>
        <w:t xml:space="preserve"> el monto de </w:t>
      </w:r>
      <w:r w:rsidRPr="00CB2424">
        <w:t>$566.21 (quinientos sesenta y seis dólares de los Estados Unidos de América con veintiún centavos).</w:t>
      </w:r>
    </w:p>
  </w:footnote>
  <w:footnote w:id="210">
    <w:p w14:paraId="6D172F57" w14:textId="1CDCB3BF"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FE05F7">
        <w:rPr>
          <w:i/>
        </w:rPr>
        <w:t xml:space="preserve"> Caso </w:t>
      </w:r>
      <w:r w:rsidRPr="00FE05F7">
        <w:rPr>
          <w:i/>
          <w:iCs/>
        </w:rPr>
        <w:t>Contreras y Otros Vs. El Salvador</w:t>
      </w:r>
      <w:r w:rsidRPr="00CB2424">
        <w:t xml:space="preserve">, de 31 de agosto de 2011.  </w:t>
      </w:r>
    </w:p>
  </w:footnote>
  <w:footnote w:id="211">
    <w:p w14:paraId="6D172F59" w14:textId="45642713" w:rsidR="0074038D" w:rsidRPr="00CB2424" w:rsidRDefault="0074038D" w:rsidP="00761CF6">
      <w:pPr>
        <w:pStyle w:val="FootnoteText"/>
      </w:pPr>
      <w:r w:rsidRPr="00CB2424">
        <w:rPr>
          <w:rStyle w:val="FootnoteReference"/>
          <w:sz w:val="16"/>
        </w:rPr>
        <w:footnoteRef/>
      </w:r>
      <w:r w:rsidRPr="00CB2424">
        <w:t xml:space="preserve"> </w:t>
      </w:r>
      <w:r w:rsidRPr="00CB2424">
        <w:tab/>
      </w:r>
      <w:r w:rsidRPr="000D4816">
        <w:rPr>
          <w:i/>
        </w:rPr>
        <w:t>Cfr.</w:t>
      </w:r>
      <w:r w:rsidRPr="00CB2424">
        <w:t xml:space="preserve"> </w:t>
      </w:r>
      <w:r w:rsidRPr="00FE05F7">
        <w:rPr>
          <w:i/>
        </w:rPr>
        <w:t xml:space="preserve">Caso Comunidad Campesina de Santa Bárbara Vs. Perú, </w:t>
      </w:r>
      <w:r w:rsidRPr="000D4816">
        <w:rPr>
          <w:i/>
        </w:rPr>
        <w:t>supra</w:t>
      </w:r>
      <w:r w:rsidRPr="00CB2424">
        <w:t xml:space="preserve">, párr. 355 y </w:t>
      </w:r>
      <w:r w:rsidRPr="00FE05F7">
        <w:rPr>
          <w:i/>
        </w:rPr>
        <w:t>Caso Pollo Rivera y otros Vs. Perú</w:t>
      </w:r>
      <w:r w:rsidRPr="00CB2424">
        <w:t>. Fondo, Reparaciones y Costas. Sentencia de 21 de octubre de 2016. Serie C No. 319, párr. 304.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2E0F" w14:textId="3C8DB8E3" w:rsidR="0074038D" w:rsidRPr="009C7067" w:rsidRDefault="0074038D" w:rsidP="000A0953">
    <w:pPr>
      <w:pStyle w:val="Header"/>
      <w:tabs>
        <w:tab w:val="clear" w:pos="8838"/>
        <w:tab w:val="right" w:pos="9639"/>
      </w:tabs>
      <w:jc w:val="center"/>
      <w:rPr>
        <w:rFonts w:ascii="Verdana" w:hAnsi="Verdana"/>
        <w:sz w:val="16"/>
        <w:szCs w:val="16"/>
      </w:rPr>
    </w:pPr>
    <w:r w:rsidRPr="00116960">
      <w:rPr>
        <w:rFonts w:ascii="Verdana" w:hAnsi="Verdana"/>
        <w:sz w:val="20"/>
      </w:rPr>
      <w:fldChar w:fldCharType="begin"/>
    </w:r>
    <w:r w:rsidRPr="00116960">
      <w:rPr>
        <w:rFonts w:ascii="Verdana" w:hAnsi="Verdana"/>
        <w:sz w:val="20"/>
      </w:rPr>
      <w:instrText xml:space="preserve"> PAGE   \* MERGEFORMAT </w:instrText>
    </w:r>
    <w:r w:rsidRPr="00116960">
      <w:rPr>
        <w:rFonts w:ascii="Verdana" w:hAnsi="Verdana"/>
        <w:sz w:val="20"/>
      </w:rPr>
      <w:fldChar w:fldCharType="separate"/>
    </w:r>
    <w:r w:rsidR="00B050A2">
      <w:rPr>
        <w:rFonts w:ascii="Verdana" w:hAnsi="Verdana"/>
        <w:noProof/>
        <w:sz w:val="20"/>
      </w:rPr>
      <w:t>66</w:t>
    </w:r>
    <w:r w:rsidRPr="00116960">
      <w:rPr>
        <w:rFonts w:ascii="Verdana" w:hAnsi="Verdana"/>
        <w:noProof/>
        <w:sz w:val="20"/>
      </w:rPr>
      <w:fldChar w:fldCharType="end"/>
    </w:r>
  </w:p>
  <w:p w14:paraId="6D172E10" w14:textId="77777777" w:rsidR="0074038D" w:rsidRDefault="00740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2E16" w14:textId="77777777" w:rsidR="0074038D" w:rsidRPr="00273BAE" w:rsidRDefault="0074038D" w:rsidP="00DF5954">
    <w:pPr>
      <w:pStyle w:val="Header"/>
      <w:tabs>
        <w:tab w:val="left" w:pos="9498"/>
        <w:tab w:val="left" w:pos="9639"/>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D87"/>
    <w:multiLevelType w:val="hybridMultilevel"/>
    <w:tmpl w:val="485E9A98"/>
    <w:lvl w:ilvl="0" w:tplc="7FE625C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143282A"/>
    <w:multiLevelType w:val="hybridMultilevel"/>
    <w:tmpl w:val="DDFEEE34"/>
    <w:lvl w:ilvl="0" w:tplc="C9986218">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0E68B8"/>
    <w:multiLevelType w:val="hybridMultilevel"/>
    <w:tmpl w:val="7544287C"/>
    <w:lvl w:ilvl="0" w:tplc="43EAE734">
      <w:start w:val="1"/>
      <w:numFmt w:val="lowerRoman"/>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
    <w:nsid w:val="09732CE8"/>
    <w:multiLevelType w:val="hybridMultilevel"/>
    <w:tmpl w:val="8E9EAAFE"/>
    <w:lvl w:ilvl="0" w:tplc="495E254A">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D46573F"/>
    <w:multiLevelType w:val="hybridMultilevel"/>
    <w:tmpl w:val="1A48B480"/>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0D470EB8"/>
    <w:multiLevelType w:val="hybridMultilevel"/>
    <w:tmpl w:val="388824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061086E"/>
    <w:multiLevelType w:val="hybridMultilevel"/>
    <w:tmpl w:val="3704E16C"/>
    <w:lvl w:ilvl="0" w:tplc="F0A69672">
      <w:start w:val="1"/>
      <w:numFmt w:val="decimal"/>
      <w:pStyle w:val="Estilo1"/>
      <w:lvlText w:val="%1."/>
      <w:lvlJc w:val="left"/>
      <w:pPr>
        <w:ind w:left="720" w:hanging="360"/>
      </w:pPr>
      <w:rPr>
        <w:rFonts w:hint="default"/>
      </w:rPr>
    </w:lvl>
    <w:lvl w:ilvl="1" w:tplc="870EC26C">
      <w:start w:val="1"/>
      <w:numFmt w:val="lowerLetter"/>
      <w:lvlText w:val="%2)"/>
      <w:lvlJc w:val="left"/>
      <w:pPr>
        <w:ind w:left="1440" w:hanging="360"/>
      </w:pPr>
      <w:rPr>
        <w:rFonts w:ascii="Times New Roman" w:hAnsi="Times New Roman" w:cs="Times New Roman" w:hint="default"/>
        <w:b w:val="0"/>
        <w:i/>
        <w:sz w:val="24"/>
        <w:szCs w:val="24"/>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08E598C"/>
    <w:multiLevelType w:val="hybridMultilevel"/>
    <w:tmpl w:val="1CFEBAB6"/>
    <w:lvl w:ilvl="0" w:tplc="6A42D8D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42012"/>
    <w:multiLevelType w:val="hybridMultilevel"/>
    <w:tmpl w:val="7F729E2C"/>
    <w:lvl w:ilvl="0" w:tplc="6B004CC8">
      <w:start w:val="1"/>
      <w:numFmt w:val="upperLetter"/>
      <w:lvlText w:val="%1."/>
      <w:lvlJc w:val="left"/>
      <w:pPr>
        <w:ind w:left="360" w:hanging="360"/>
      </w:pPr>
      <w:rPr>
        <w:rFonts w:ascii="Verdana" w:hAnsi="Verdana" w:hint="default"/>
        <w:b/>
        <w:color w:val="auto"/>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170F5FAD"/>
    <w:multiLevelType w:val="hybridMultilevel"/>
    <w:tmpl w:val="125809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B2F0407"/>
    <w:multiLevelType w:val="hybridMultilevel"/>
    <w:tmpl w:val="7F729E2C"/>
    <w:lvl w:ilvl="0" w:tplc="6B004CC8">
      <w:start w:val="1"/>
      <w:numFmt w:val="upperLetter"/>
      <w:lvlText w:val="%1."/>
      <w:lvlJc w:val="left"/>
      <w:pPr>
        <w:ind w:left="360" w:hanging="360"/>
      </w:pPr>
      <w:rPr>
        <w:rFonts w:ascii="Verdana" w:hAnsi="Verdana" w:hint="default"/>
        <w:b/>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24C67A6B"/>
    <w:multiLevelType w:val="hybridMultilevel"/>
    <w:tmpl w:val="DFECDC70"/>
    <w:lvl w:ilvl="0" w:tplc="42FC1822">
      <w:start w:val="1"/>
      <w:numFmt w:val="upperLetter"/>
      <w:lvlText w:val="%1."/>
      <w:lvlJc w:val="left"/>
      <w:pPr>
        <w:ind w:left="360" w:hanging="360"/>
      </w:pPr>
      <w:rPr>
        <w:rFonts w:cs="Times New Roman" w:hint="default"/>
        <w:color w:val="auto"/>
      </w:rPr>
    </w:lvl>
    <w:lvl w:ilvl="1" w:tplc="140A000F">
      <w:start w:val="1"/>
      <w:numFmt w:val="decimal"/>
      <w:lvlText w:val="%2."/>
      <w:lvlJc w:val="left"/>
      <w:pPr>
        <w:ind w:left="1080" w:hanging="360"/>
      </w:pPr>
    </w:lvl>
    <w:lvl w:ilvl="2" w:tplc="D3C81E88">
      <w:start w:val="1"/>
      <w:numFmt w:val="decimal"/>
      <w:lvlText w:val="%3."/>
      <w:lvlJc w:val="left"/>
      <w:pPr>
        <w:ind w:left="1980" w:hanging="360"/>
      </w:pPr>
      <w:rPr>
        <w:rFonts w:ascii="Verdana" w:eastAsia="Times New Roman" w:hAnsi="Verdana" w:cs="Arial"/>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2">
    <w:nsid w:val="25684B6B"/>
    <w:multiLevelType w:val="hybridMultilevel"/>
    <w:tmpl w:val="24563A62"/>
    <w:lvl w:ilvl="0" w:tplc="095EA6AC">
      <w:start w:val="1"/>
      <w:numFmt w:val="decimal"/>
      <w:lvlText w:val="%1."/>
      <w:lvlJc w:val="left"/>
      <w:pPr>
        <w:ind w:left="778" w:hanging="360"/>
      </w:pPr>
      <w:rPr>
        <w:b/>
        <w:i/>
        <w:color w:val="auto"/>
      </w:r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abstractNum w:abstractNumId="13">
    <w:nsid w:val="27837D23"/>
    <w:multiLevelType w:val="hybridMultilevel"/>
    <w:tmpl w:val="69D22D9A"/>
    <w:lvl w:ilvl="0" w:tplc="42FC1822">
      <w:start w:val="1"/>
      <w:numFmt w:val="upperLetter"/>
      <w:lvlText w:val="%1."/>
      <w:lvlJc w:val="left"/>
      <w:pPr>
        <w:ind w:left="360" w:hanging="360"/>
      </w:pPr>
      <w:rPr>
        <w:rFonts w:cs="Times New Roman" w:hint="default"/>
        <w:color w:val="auto"/>
      </w:rPr>
    </w:lvl>
    <w:lvl w:ilvl="1" w:tplc="140A0019">
      <w:start w:val="1"/>
      <w:numFmt w:val="lowerLetter"/>
      <w:lvlText w:val="%2."/>
      <w:lvlJc w:val="left"/>
      <w:pPr>
        <w:ind w:left="1080" w:hanging="360"/>
      </w:pPr>
      <w:rPr>
        <w:rFonts w:cs="Times New Roman"/>
      </w:rPr>
    </w:lvl>
    <w:lvl w:ilvl="2" w:tplc="D3C81E88">
      <w:start w:val="1"/>
      <w:numFmt w:val="decimal"/>
      <w:lvlText w:val="%3."/>
      <w:lvlJc w:val="left"/>
      <w:pPr>
        <w:ind w:left="1980" w:hanging="360"/>
      </w:pPr>
      <w:rPr>
        <w:rFonts w:ascii="Verdana" w:eastAsia="Times New Roman" w:hAnsi="Verdana" w:cs="Arial"/>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4">
    <w:nsid w:val="31E72D97"/>
    <w:multiLevelType w:val="hybridMultilevel"/>
    <w:tmpl w:val="13D8A424"/>
    <w:lvl w:ilvl="0" w:tplc="6D0AB868">
      <w:start w:val="1"/>
      <w:numFmt w:val="decimal"/>
      <w:lvlText w:val="%1."/>
      <w:lvlJc w:val="left"/>
      <w:pPr>
        <w:ind w:left="720" w:hanging="360"/>
      </w:pPr>
      <w:rPr>
        <w:rFonts w:cs="Times New Roman"/>
        <w:sz w:val="20"/>
        <w:lang w:val="es-ES"/>
      </w:rPr>
    </w:lvl>
    <w:lvl w:ilvl="1" w:tplc="04090019">
      <w:start w:val="1"/>
      <w:numFmt w:val="lowerLetter"/>
      <w:lvlText w:val="%2."/>
      <w:lvlJc w:val="left"/>
      <w:pPr>
        <w:ind w:left="1440" w:hanging="360"/>
      </w:pPr>
      <w:rPr>
        <w:rFonts w:cs="Times New Roman"/>
      </w:rPr>
    </w:lvl>
    <w:lvl w:ilvl="2" w:tplc="D32CC52E">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AB1DDC"/>
    <w:multiLevelType w:val="hybridMultilevel"/>
    <w:tmpl w:val="7544287C"/>
    <w:lvl w:ilvl="0" w:tplc="43EAE734">
      <w:start w:val="1"/>
      <w:numFmt w:val="lowerRoman"/>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6">
    <w:nsid w:val="3B380E7D"/>
    <w:multiLevelType w:val="hybridMultilevel"/>
    <w:tmpl w:val="9E3C0506"/>
    <w:lvl w:ilvl="0" w:tplc="2C5ADC88">
      <w:start w:val="1"/>
      <w:numFmt w:val="decimal"/>
      <w:lvlText w:val="%1."/>
      <w:lvlJc w:val="left"/>
      <w:pPr>
        <w:ind w:left="36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B4C0C1B"/>
    <w:multiLevelType w:val="hybridMultilevel"/>
    <w:tmpl w:val="388824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EF62B3D"/>
    <w:multiLevelType w:val="hybridMultilevel"/>
    <w:tmpl w:val="8A7AD07A"/>
    <w:lvl w:ilvl="0" w:tplc="ACD4ECF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0264268"/>
    <w:multiLevelType w:val="hybridMultilevel"/>
    <w:tmpl w:val="CAC44F6E"/>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4C120CE8"/>
    <w:multiLevelType w:val="hybridMultilevel"/>
    <w:tmpl w:val="C77C89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2BC33E4"/>
    <w:multiLevelType w:val="hybridMultilevel"/>
    <w:tmpl w:val="F24CD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B1969"/>
    <w:multiLevelType w:val="hybridMultilevel"/>
    <w:tmpl w:val="922649D8"/>
    <w:lvl w:ilvl="0" w:tplc="333629B2">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450298B"/>
    <w:multiLevelType w:val="hybridMultilevel"/>
    <w:tmpl w:val="9E3C0506"/>
    <w:lvl w:ilvl="0" w:tplc="2C5ADC88">
      <w:start w:val="1"/>
      <w:numFmt w:val="decimal"/>
      <w:lvlText w:val="%1."/>
      <w:lvlJc w:val="left"/>
      <w:pPr>
        <w:ind w:left="36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4EB5A5A"/>
    <w:multiLevelType w:val="hybridMultilevel"/>
    <w:tmpl w:val="151071F4"/>
    <w:lvl w:ilvl="0" w:tplc="E5103F26">
      <w:start w:val="1"/>
      <w:numFmt w:val="lowerLetter"/>
      <w:lvlText w:val="%1)"/>
      <w:lvlJc w:val="left"/>
      <w:pPr>
        <w:ind w:left="1068" w:hanging="360"/>
      </w:pPr>
      <w:rPr>
        <w:rFonts w:hint="default"/>
        <w:i/>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5">
    <w:nsid w:val="73F37BC2"/>
    <w:multiLevelType w:val="hybridMultilevel"/>
    <w:tmpl w:val="56AA0B5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53A0437"/>
    <w:multiLevelType w:val="hybridMultilevel"/>
    <w:tmpl w:val="1A48B480"/>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7AFB3B35"/>
    <w:multiLevelType w:val="hybridMultilevel"/>
    <w:tmpl w:val="C8CCB834"/>
    <w:lvl w:ilvl="0" w:tplc="148809AA">
      <w:start w:val="1"/>
      <w:numFmt w:val="upperLetter"/>
      <w:lvlText w:val="%1."/>
      <w:lvlJc w:val="left"/>
      <w:pPr>
        <w:ind w:left="360" w:hanging="360"/>
      </w:pPr>
      <w:rPr>
        <w:rFonts w:ascii="Verdana" w:hAnsi="Verdana" w:hint="default"/>
        <w:color w:val="auto"/>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nsid w:val="7C2D1FE5"/>
    <w:multiLevelType w:val="hybridMultilevel"/>
    <w:tmpl w:val="1A708024"/>
    <w:lvl w:ilvl="0" w:tplc="2C5ADC88">
      <w:start w:val="1"/>
      <w:numFmt w:val="decimal"/>
      <w:lvlText w:val="%1."/>
      <w:lvlJc w:val="left"/>
      <w:pPr>
        <w:ind w:left="36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CE64D32"/>
    <w:multiLevelType w:val="hybridMultilevel"/>
    <w:tmpl w:val="A1FCA734"/>
    <w:lvl w:ilvl="0" w:tplc="F004611C">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ES"/>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6"/>
  </w:num>
  <w:num w:numId="2">
    <w:abstractNumId w:val="23"/>
  </w:num>
  <w:num w:numId="3">
    <w:abstractNumId w:val="2"/>
  </w:num>
  <w:num w:numId="4">
    <w:abstractNumId w:val="6"/>
  </w:num>
  <w:num w:numId="5">
    <w:abstractNumId w:val="24"/>
  </w:num>
  <w:num w:numId="6">
    <w:abstractNumId w:val="19"/>
  </w:num>
  <w:num w:numId="7">
    <w:abstractNumId w:val="27"/>
  </w:num>
  <w:num w:numId="8">
    <w:abstractNumId w:val="10"/>
  </w:num>
  <w:num w:numId="9">
    <w:abstractNumId w:val="8"/>
  </w:num>
  <w:num w:numId="10">
    <w:abstractNumId w:val="14"/>
  </w:num>
  <w:num w:numId="11">
    <w:abstractNumId w:val="11"/>
  </w:num>
  <w:num w:numId="12">
    <w:abstractNumId w:val="21"/>
  </w:num>
  <w:num w:numId="13">
    <w:abstractNumId w:val="15"/>
  </w:num>
  <w:num w:numId="14">
    <w:abstractNumId w:val="13"/>
  </w:num>
  <w:num w:numId="15">
    <w:abstractNumId w:val="4"/>
  </w:num>
  <w:num w:numId="16">
    <w:abstractNumId w:val="28"/>
  </w:num>
  <w:num w:numId="17">
    <w:abstractNumId w:val="7"/>
  </w:num>
  <w:num w:numId="18">
    <w:abstractNumId w:val="29"/>
  </w:num>
  <w:num w:numId="19">
    <w:abstractNumId w:val="25"/>
  </w:num>
  <w:num w:numId="20">
    <w:abstractNumId w:val="20"/>
  </w:num>
  <w:num w:numId="21">
    <w:abstractNumId w:val="0"/>
  </w:num>
  <w:num w:numId="22">
    <w:abstractNumId w:val="18"/>
  </w:num>
  <w:num w:numId="23">
    <w:abstractNumId w:val="16"/>
  </w:num>
  <w:num w:numId="24">
    <w:abstractNumId w:val="9"/>
  </w:num>
  <w:num w:numId="25">
    <w:abstractNumId w:val="22"/>
  </w:num>
  <w:num w:numId="26">
    <w:abstractNumId w:val="12"/>
  </w:num>
  <w:num w:numId="27">
    <w:abstractNumId w:val="3"/>
  </w:num>
  <w:num w:numId="28">
    <w:abstractNumId w:val="1"/>
  </w:num>
  <w:num w:numId="29">
    <w:abstractNumId w:val="17"/>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3A"/>
    <w:rsid w:val="00004D61"/>
    <w:rsid w:val="00006095"/>
    <w:rsid w:val="00015043"/>
    <w:rsid w:val="00021C4C"/>
    <w:rsid w:val="00023420"/>
    <w:rsid w:val="0002527E"/>
    <w:rsid w:val="000273EE"/>
    <w:rsid w:val="00031949"/>
    <w:rsid w:val="00032C01"/>
    <w:rsid w:val="000341C0"/>
    <w:rsid w:val="00035CFA"/>
    <w:rsid w:val="00036D95"/>
    <w:rsid w:val="00052F4D"/>
    <w:rsid w:val="00053AD7"/>
    <w:rsid w:val="00054386"/>
    <w:rsid w:val="00054D69"/>
    <w:rsid w:val="00060480"/>
    <w:rsid w:val="0006169A"/>
    <w:rsid w:val="00070271"/>
    <w:rsid w:val="00073769"/>
    <w:rsid w:val="000737AC"/>
    <w:rsid w:val="00073BF3"/>
    <w:rsid w:val="000749A9"/>
    <w:rsid w:val="00081080"/>
    <w:rsid w:val="00082F66"/>
    <w:rsid w:val="000934D1"/>
    <w:rsid w:val="00094751"/>
    <w:rsid w:val="0009727A"/>
    <w:rsid w:val="000A0953"/>
    <w:rsid w:val="000A17A0"/>
    <w:rsid w:val="000A7706"/>
    <w:rsid w:val="000B4B1E"/>
    <w:rsid w:val="000C13A8"/>
    <w:rsid w:val="000C27DD"/>
    <w:rsid w:val="000D0FEF"/>
    <w:rsid w:val="000D4816"/>
    <w:rsid w:val="000D594E"/>
    <w:rsid w:val="000D597B"/>
    <w:rsid w:val="000E350E"/>
    <w:rsid w:val="000E4245"/>
    <w:rsid w:val="000E5422"/>
    <w:rsid w:val="000E772C"/>
    <w:rsid w:val="000F00FB"/>
    <w:rsid w:val="00102FE4"/>
    <w:rsid w:val="00103136"/>
    <w:rsid w:val="001055C6"/>
    <w:rsid w:val="0010736D"/>
    <w:rsid w:val="00117F2E"/>
    <w:rsid w:val="00120BE5"/>
    <w:rsid w:val="001269AF"/>
    <w:rsid w:val="001421F1"/>
    <w:rsid w:val="00146832"/>
    <w:rsid w:val="0014732F"/>
    <w:rsid w:val="0014783E"/>
    <w:rsid w:val="0015173A"/>
    <w:rsid w:val="001556E1"/>
    <w:rsid w:val="001571AF"/>
    <w:rsid w:val="001634BF"/>
    <w:rsid w:val="001768AC"/>
    <w:rsid w:val="001779C5"/>
    <w:rsid w:val="00177F4A"/>
    <w:rsid w:val="00181F1C"/>
    <w:rsid w:val="00184FE8"/>
    <w:rsid w:val="0018615D"/>
    <w:rsid w:val="00186D14"/>
    <w:rsid w:val="001933F2"/>
    <w:rsid w:val="001966FF"/>
    <w:rsid w:val="001A0416"/>
    <w:rsid w:val="001A1F62"/>
    <w:rsid w:val="001A7FFD"/>
    <w:rsid w:val="001B4D19"/>
    <w:rsid w:val="001C172E"/>
    <w:rsid w:val="001C314A"/>
    <w:rsid w:val="001C4E0D"/>
    <w:rsid w:val="001C7163"/>
    <w:rsid w:val="001D0F50"/>
    <w:rsid w:val="001D3FD2"/>
    <w:rsid w:val="001D5604"/>
    <w:rsid w:val="001D6CE2"/>
    <w:rsid w:val="001E0665"/>
    <w:rsid w:val="001E1FFD"/>
    <w:rsid w:val="001E5925"/>
    <w:rsid w:val="001F1553"/>
    <w:rsid w:val="00204EF4"/>
    <w:rsid w:val="00210644"/>
    <w:rsid w:val="00211A27"/>
    <w:rsid w:val="00215887"/>
    <w:rsid w:val="002239D0"/>
    <w:rsid w:val="00233CA9"/>
    <w:rsid w:val="00235344"/>
    <w:rsid w:val="00236CD3"/>
    <w:rsid w:val="00240222"/>
    <w:rsid w:val="002442F6"/>
    <w:rsid w:val="00245E9F"/>
    <w:rsid w:val="00247309"/>
    <w:rsid w:val="00247E3F"/>
    <w:rsid w:val="00251DAC"/>
    <w:rsid w:val="00253158"/>
    <w:rsid w:val="002543C3"/>
    <w:rsid w:val="00254DEF"/>
    <w:rsid w:val="002577AF"/>
    <w:rsid w:val="002579A7"/>
    <w:rsid w:val="00260B4F"/>
    <w:rsid w:val="00260B88"/>
    <w:rsid w:val="00262B2A"/>
    <w:rsid w:val="00263932"/>
    <w:rsid w:val="00264939"/>
    <w:rsid w:val="00267E38"/>
    <w:rsid w:val="00273BAE"/>
    <w:rsid w:val="00275411"/>
    <w:rsid w:val="00294B81"/>
    <w:rsid w:val="00294F62"/>
    <w:rsid w:val="00296455"/>
    <w:rsid w:val="00296D50"/>
    <w:rsid w:val="002A0DF4"/>
    <w:rsid w:val="002A2421"/>
    <w:rsid w:val="002A5B29"/>
    <w:rsid w:val="002A71B4"/>
    <w:rsid w:val="002B338F"/>
    <w:rsid w:val="002B44CD"/>
    <w:rsid w:val="002B51BD"/>
    <w:rsid w:val="002B62D8"/>
    <w:rsid w:val="002B7276"/>
    <w:rsid w:val="002C1587"/>
    <w:rsid w:val="002C465F"/>
    <w:rsid w:val="002C77F2"/>
    <w:rsid w:val="002D0E6C"/>
    <w:rsid w:val="002D1865"/>
    <w:rsid w:val="002D5E44"/>
    <w:rsid w:val="002E1FC0"/>
    <w:rsid w:val="002F2E11"/>
    <w:rsid w:val="002F2F28"/>
    <w:rsid w:val="002F5771"/>
    <w:rsid w:val="002F6BD3"/>
    <w:rsid w:val="002F7BC9"/>
    <w:rsid w:val="003043E9"/>
    <w:rsid w:val="003045B2"/>
    <w:rsid w:val="00316C5B"/>
    <w:rsid w:val="003300FB"/>
    <w:rsid w:val="00344E0E"/>
    <w:rsid w:val="0035024E"/>
    <w:rsid w:val="00354F41"/>
    <w:rsid w:val="00366D78"/>
    <w:rsid w:val="00370036"/>
    <w:rsid w:val="003707E4"/>
    <w:rsid w:val="00372EC0"/>
    <w:rsid w:val="00374910"/>
    <w:rsid w:val="00374FC5"/>
    <w:rsid w:val="003817E2"/>
    <w:rsid w:val="00381939"/>
    <w:rsid w:val="00383DD3"/>
    <w:rsid w:val="00385C80"/>
    <w:rsid w:val="003944A1"/>
    <w:rsid w:val="00395D6F"/>
    <w:rsid w:val="003A5F19"/>
    <w:rsid w:val="003B11EB"/>
    <w:rsid w:val="003B1AE3"/>
    <w:rsid w:val="003B265F"/>
    <w:rsid w:val="003B7F20"/>
    <w:rsid w:val="003C3324"/>
    <w:rsid w:val="003C548D"/>
    <w:rsid w:val="003D1141"/>
    <w:rsid w:val="003D373B"/>
    <w:rsid w:val="003D3B8C"/>
    <w:rsid w:val="003D4159"/>
    <w:rsid w:val="003D7C44"/>
    <w:rsid w:val="003E3ED7"/>
    <w:rsid w:val="003E4B5C"/>
    <w:rsid w:val="003F06FA"/>
    <w:rsid w:val="003F26C1"/>
    <w:rsid w:val="003F5FF7"/>
    <w:rsid w:val="004023EA"/>
    <w:rsid w:val="00407D9A"/>
    <w:rsid w:val="00410BF4"/>
    <w:rsid w:val="00410F2B"/>
    <w:rsid w:val="00411B3B"/>
    <w:rsid w:val="00416046"/>
    <w:rsid w:val="00416E4A"/>
    <w:rsid w:val="00426510"/>
    <w:rsid w:val="004322F5"/>
    <w:rsid w:val="0044108F"/>
    <w:rsid w:val="00442B22"/>
    <w:rsid w:val="00453038"/>
    <w:rsid w:val="00455432"/>
    <w:rsid w:val="004554E2"/>
    <w:rsid w:val="00465568"/>
    <w:rsid w:val="00465C6F"/>
    <w:rsid w:val="004724B2"/>
    <w:rsid w:val="00474FB2"/>
    <w:rsid w:val="00475ECB"/>
    <w:rsid w:val="00480986"/>
    <w:rsid w:val="004813C6"/>
    <w:rsid w:val="00483225"/>
    <w:rsid w:val="004905C8"/>
    <w:rsid w:val="00490F97"/>
    <w:rsid w:val="0049462E"/>
    <w:rsid w:val="004B32A5"/>
    <w:rsid w:val="004B41E1"/>
    <w:rsid w:val="004B4825"/>
    <w:rsid w:val="004C0DCF"/>
    <w:rsid w:val="004C3422"/>
    <w:rsid w:val="004C3B96"/>
    <w:rsid w:val="004C5590"/>
    <w:rsid w:val="004D4E6A"/>
    <w:rsid w:val="004D6ACA"/>
    <w:rsid w:val="004D7C88"/>
    <w:rsid w:val="004E4BBD"/>
    <w:rsid w:val="004F1C77"/>
    <w:rsid w:val="004F2022"/>
    <w:rsid w:val="004F2EB3"/>
    <w:rsid w:val="004F4222"/>
    <w:rsid w:val="004F7C5F"/>
    <w:rsid w:val="00501A39"/>
    <w:rsid w:val="005052E8"/>
    <w:rsid w:val="00506A8B"/>
    <w:rsid w:val="00511169"/>
    <w:rsid w:val="00514F56"/>
    <w:rsid w:val="005166E9"/>
    <w:rsid w:val="00516BC5"/>
    <w:rsid w:val="0051719B"/>
    <w:rsid w:val="00536D46"/>
    <w:rsid w:val="00541948"/>
    <w:rsid w:val="005542A3"/>
    <w:rsid w:val="005555E6"/>
    <w:rsid w:val="00556A70"/>
    <w:rsid w:val="00562FA5"/>
    <w:rsid w:val="0057160D"/>
    <w:rsid w:val="00573EE4"/>
    <w:rsid w:val="00580926"/>
    <w:rsid w:val="00582969"/>
    <w:rsid w:val="005852A7"/>
    <w:rsid w:val="005950F4"/>
    <w:rsid w:val="005A22BA"/>
    <w:rsid w:val="005A4252"/>
    <w:rsid w:val="005A4982"/>
    <w:rsid w:val="005B44E8"/>
    <w:rsid w:val="005B5DE0"/>
    <w:rsid w:val="005C0A44"/>
    <w:rsid w:val="005C0E6A"/>
    <w:rsid w:val="005C7BAE"/>
    <w:rsid w:val="005D72C1"/>
    <w:rsid w:val="005E0AEB"/>
    <w:rsid w:val="005E0E18"/>
    <w:rsid w:val="005E4407"/>
    <w:rsid w:val="005F2F61"/>
    <w:rsid w:val="005F41EA"/>
    <w:rsid w:val="005F4774"/>
    <w:rsid w:val="005F4962"/>
    <w:rsid w:val="00600E08"/>
    <w:rsid w:val="00605F70"/>
    <w:rsid w:val="006060CD"/>
    <w:rsid w:val="006135B5"/>
    <w:rsid w:val="006171B3"/>
    <w:rsid w:val="006231F4"/>
    <w:rsid w:val="006274F9"/>
    <w:rsid w:val="00631B30"/>
    <w:rsid w:val="0063362B"/>
    <w:rsid w:val="00633853"/>
    <w:rsid w:val="00637521"/>
    <w:rsid w:val="00641842"/>
    <w:rsid w:val="006432BD"/>
    <w:rsid w:val="00646C66"/>
    <w:rsid w:val="00651413"/>
    <w:rsid w:val="00657A3E"/>
    <w:rsid w:val="00667BD7"/>
    <w:rsid w:val="00670EB9"/>
    <w:rsid w:val="00672E8C"/>
    <w:rsid w:val="00674B04"/>
    <w:rsid w:val="00675808"/>
    <w:rsid w:val="00675F84"/>
    <w:rsid w:val="00685731"/>
    <w:rsid w:val="00686E7E"/>
    <w:rsid w:val="0069348C"/>
    <w:rsid w:val="006937EA"/>
    <w:rsid w:val="0069635A"/>
    <w:rsid w:val="00697499"/>
    <w:rsid w:val="006A58CC"/>
    <w:rsid w:val="006A5CA5"/>
    <w:rsid w:val="006B44BB"/>
    <w:rsid w:val="006B52CD"/>
    <w:rsid w:val="006B727E"/>
    <w:rsid w:val="006B7684"/>
    <w:rsid w:val="006C2F18"/>
    <w:rsid w:val="006C32FC"/>
    <w:rsid w:val="006C665C"/>
    <w:rsid w:val="006D2FEF"/>
    <w:rsid w:val="006F0AC6"/>
    <w:rsid w:val="006F271A"/>
    <w:rsid w:val="00701054"/>
    <w:rsid w:val="00713E45"/>
    <w:rsid w:val="0071714B"/>
    <w:rsid w:val="00717370"/>
    <w:rsid w:val="007245AD"/>
    <w:rsid w:val="007254A9"/>
    <w:rsid w:val="00726584"/>
    <w:rsid w:val="0074038D"/>
    <w:rsid w:val="00742C23"/>
    <w:rsid w:val="00744208"/>
    <w:rsid w:val="007522B2"/>
    <w:rsid w:val="00752C87"/>
    <w:rsid w:val="00754118"/>
    <w:rsid w:val="00754705"/>
    <w:rsid w:val="00761CF6"/>
    <w:rsid w:val="00770BFD"/>
    <w:rsid w:val="00771B07"/>
    <w:rsid w:val="007724EC"/>
    <w:rsid w:val="00772FC8"/>
    <w:rsid w:val="00774F7F"/>
    <w:rsid w:val="00786F4B"/>
    <w:rsid w:val="00787C43"/>
    <w:rsid w:val="007A6412"/>
    <w:rsid w:val="007B4435"/>
    <w:rsid w:val="007B77B3"/>
    <w:rsid w:val="007C0CC9"/>
    <w:rsid w:val="007C7B03"/>
    <w:rsid w:val="007D03EE"/>
    <w:rsid w:val="007D4B0B"/>
    <w:rsid w:val="007D5610"/>
    <w:rsid w:val="007D6391"/>
    <w:rsid w:val="007D7164"/>
    <w:rsid w:val="007E4AF1"/>
    <w:rsid w:val="007F0852"/>
    <w:rsid w:val="007F17C0"/>
    <w:rsid w:val="007F255E"/>
    <w:rsid w:val="007F3B10"/>
    <w:rsid w:val="007F5665"/>
    <w:rsid w:val="00806FB1"/>
    <w:rsid w:val="00811A48"/>
    <w:rsid w:val="00812027"/>
    <w:rsid w:val="00812A30"/>
    <w:rsid w:val="00815272"/>
    <w:rsid w:val="008176AD"/>
    <w:rsid w:val="00823340"/>
    <w:rsid w:val="00830D36"/>
    <w:rsid w:val="00844D3C"/>
    <w:rsid w:val="00851364"/>
    <w:rsid w:val="00851A59"/>
    <w:rsid w:val="008520B0"/>
    <w:rsid w:val="008522C2"/>
    <w:rsid w:val="00855CC7"/>
    <w:rsid w:val="008714BD"/>
    <w:rsid w:val="008822C0"/>
    <w:rsid w:val="00884F80"/>
    <w:rsid w:val="00890046"/>
    <w:rsid w:val="008900C9"/>
    <w:rsid w:val="008A0DE0"/>
    <w:rsid w:val="008B2D07"/>
    <w:rsid w:val="008B5048"/>
    <w:rsid w:val="008B6F4D"/>
    <w:rsid w:val="008C64F3"/>
    <w:rsid w:val="008D2F28"/>
    <w:rsid w:val="008E0352"/>
    <w:rsid w:val="008E26DF"/>
    <w:rsid w:val="008E2E04"/>
    <w:rsid w:val="008E7BF0"/>
    <w:rsid w:val="008F4974"/>
    <w:rsid w:val="008F507F"/>
    <w:rsid w:val="008F5517"/>
    <w:rsid w:val="009208B1"/>
    <w:rsid w:val="00921299"/>
    <w:rsid w:val="00924B5C"/>
    <w:rsid w:val="0093099C"/>
    <w:rsid w:val="00945C15"/>
    <w:rsid w:val="009531A8"/>
    <w:rsid w:val="00955566"/>
    <w:rsid w:val="00960A82"/>
    <w:rsid w:val="0098439B"/>
    <w:rsid w:val="00986B74"/>
    <w:rsid w:val="00993107"/>
    <w:rsid w:val="00996AFF"/>
    <w:rsid w:val="009975E5"/>
    <w:rsid w:val="009A4334"/>
    <w:rsid w:val="009B4F50"/>
    <w:rsid w:val="009C7067"/>
    <w:rsid w:val="009D373B"/>
    <w:rsid w:val="009D54F1"/>
    <w:rsid w:val="009F5F79"/>
    <w:rsid w:val="009F6447"/>
    <w:rsid w:val="009F693E"/>
    <w:rsid w:val="009F7A0A"/>
    <w:rsid w:val="00A01760"/>
    <w:rsid w:val="00A06CFF"/>
    <w:rsid w:val="00A06D8B"/>
    <w:rsid w:val="00A17B6F"/>
    <w:rsid w:val="00A20E45"/>
    <w:rsid w:val="00A219CE"/>
    <w:rsid w:val="00A32925"/>
    <w:rsid w:val="00A37B58"/>
    <w:rsid w:val="00A40535"/>
    <w:rsid w:val="00A40BF5"/>
    <w:rsid w:val="00A51F2F"/>
    <w:rsid w:val="00A55FD8"/>
    <w:rsid w:val="00A56714"/>
    <w:rsid w:val="00A56CEA"/>
    <w:rsid w:val="00A63CE8"/>
    <w:rsid w:val="00A6471C"/>
    <w:rsid w:val="00A8073B"/>
    <w:rsid w:val="00A831AE"/>
    <w:rsid w:val="00A83CE8"/>
    <w:rsid w:val="00A84DAB"/>
    <w:rsid w:val="00A926B1"/>
    <w:rsid w:val="00A96F0C"/>
    <w:rsid w:val="00A9720E"/>
    <w:rsid w:val="00AA1E07"/>
    <w:rsid w:val="00AB25BC"/>
    <w:rsid w:val="00AB2AD1"/>
    <w:rsid w:val="00AB33F8"/>
    <w:rsid w:val="00AB6B45"/>
    <w:rsid w:val="00AC2E6D"/>
    <w:rsid w:val="00AD1F66"/>
    <w:rsid w:val="00AD74D1"/>
    <w:rsid w:val="00AD78E4"/>
    <w:rsid w:val="00AE359C"/>
    <w:rsid w:val="00AE4267"/>
    <w:rsid w:val="00AE6B33"/>
    <w:rsid w:val="00AF040E"/>
    <w:rsid w:val="00AF3214"/>
    <w:rsid w:val="00AF535B"/>
    <w:rsid w:val="00AF6351"/>
    <w:rsid w:val="00B03228"/>
    <w:rsid w:val="00B035E9"/>
    <w:rsid w:val="00B050A2"/>
    <w:rsid w:val="00B14E8E"/>
    <w:rsid w:val="00B1755D"/>
    <w:rsid w:val="00B241E3"/>
    <w:rsid w:val="00B3036C"/>
    <w:rsid w:val="00B34F5E"/>
    <w:rsid w:val="00B446C7"/>
    <w:rsid w:val="00B447C3"/>
    <w:rsid w:val="00B45C6B"/>
    <w:rsid w:val="00B4745B"/>
    <w:rsid w:val="00B47C4D"/>
    <w:rsid w:val="00B50FF1"/>
    <w:rsid w:val="00B52E68"/>
    <w:rsid w:val="00B626E3"/>
    <w:rsid w:val="00B66E4D"/>
    <w:rsid w:val="00B670D6"/>
    <w:rsid w:val="00B7167A"/>
    <w:rsid w:val="00B74C6C"/>
    <w:rsid w:val="00B86062"/>
    <w:rsid w:val="00B91520"/>
    <w:rsid w:val="00B94240"/>
    <w:rsid w:val="00BA355B"/>
    <w:rsid w:val="00BA5606"/>
    <w:rsid w:val="00BB0F78"/>
    <w:rsid w:val="00BB134B"/>
    <w:rsid w:val="00BB55C0"/>
    <w:rsid w:val="00BB6899"/>
    <w:rsid w:val="00BC1216"/>
    <w:rsid w:val="00BD0D97"/>
    <w:rsid w:val="00BD3D18"/>
    <w:rsid w:val="00BE0BAC"/>
    <w:rsid w:val="00BE5365"/>
    <w:rsid w:val="00BE6FC4"/>
    <w:rsid w:val="00BE730A"/>
    <w:rsid w:val="00C06696"/>
    <w:rsid w:val="00C17710"/>
    <w:rsid w:val="00C23A33"/>
    <w:rsid w:val="00C24B7E"/>
    <w:rsid w:val="00C3221D"/>
    <w:rsid w:val="00C36475"/>
    <w:rsid w:val="00C417FA"/>
    <w:rsid w:val="00C41D9B"/>
    <w:rsid w:val="00C503CA"/>
    <w:rsid w:val="00C574B6"/>
    <w:rsid w:val="00C57E6D"/>
    <w:rsid w:val="00C61269"/>
    <w:rsid w:val="00C67764"/>
    <w:rsid w:val="00C8434D"/>
    <w:rsid w:val="00C937B2"/>
    <w:rsid w:val="00C94C64"/>
    <w:rsid w:val="00C95838"/>
    <w:rsid w:val="00CA4516"/>
    <w:rsid w:val="00CB1CDB"/>
    <w:rsid w:val="00CB2424"/>
    <w:rsid w:val="00CB3D64"/>
    <w:rsid w:val="00CB5D89"/>
    <w:rsid w:val="00CC0291"/>
    <w:rsid w:val="00CC1F28"/>
    <w:rsid w:val="00CC28A5"/>
    <w:rsid w:val="00CC44DF"/>
    <w:rsid w:val="00CD5F61"/>
    <w:rsid w:val="00CD62E3"/>
    <w:rsid w:val="00CD6FF1"/>
    <w:rsid w:val="00CE0BAD"/>
    <w:rsid w:val="00CE741F"/>
    <w:rsid w:val="00CF436B"/>
    <w:rsid w:val="00CF5FC3"/>
    <w:rsid w:val="00D0051D"/>
    <w:rsid w:val="00D055B7"/>
    <w:rsid w:val="00D2176E"/>
    <w:rsid w:val="00D23D7B"/>
    <w:rsid w:val="00D302D2"/>
    <w:rsid w:val="00D317C8"/>
    <w:rsid w:val="00D37813"/>
    <w:rsid w:val="00D41349"/>
    <w:rsid w:val="00D4305E"/>
    <w:rsid w:val="00D512F7"/>
    <w:rsid w:val="00D52985"/>
    <w:rsid w:val="00D531FE"/>
    <w:rsid w:val="00D54ED1"/>
    <w:rsid w:val="00D61986"/>
    <w:rsid w:val="00D66927"/>
    <w:rsid w:val="00D7131F"/>
    <w:rsid w:val="00D718F5"/>
    <w:rsid w:val="00D75BB9"/>
    <w:rsid w:val="00D83DC8"/>
    <w:rsid w:val="00D95EF4"/>
    <w:rsid w:val="00D97991"/>
    <w:rsid w:val="00D97B4D"/>
    <w:rsid w:val="00DA360D"/>
    <w:rsid w:val="00DA3B70"/>
    <w:rsid w:val="00DA544F"/>
    <w:rsid w:val="00DB0D40"/>
    <w:rsid w:val="00DB2A82"/>
    <w:rsid w:val="00DB4FE5"/>
    <w:rsid w:val="00DD127F"/>
    <w:rsid w:val="00DE33F2"/>
    <w:rsid w:val="00DE5A07"/>
    <w:rsid w:val="00DF0CEB"/>
    <w:rsid w:val="00DF1458"/>
    <w:rsid w:val="00DF2C15"/>
    <w:rsid w:val="00DF533C"/>
    <w:rsid w:val="00DF5954"/>
    <w:rsid w:val="00DF64C6"/>
    <w:rsid w:val="00DF6672"/>
    <w:rsid w:val="00E04B75"/>
    <w:rsid w:val="00E05FA1"/>
    <w:rsid w:val="00E07669"/>
    <w:rsid w:val="00E114CC"/>
    <w:rsid w:val="00E14C81"/>
    <w:rsid w:val="00E15530"/>
    <w:rsid w:val="00E1562F"/>
    <w:rsid w:val="00E26699"/>
    <w:rsid w:val="00E31EA5"/>
    <w:rsid w:val="00E33FF6"/>
    <w:rsid w:val="00E41256"/>
    <w:rsid w:val="00E43264"/>
    <w:rsid w:val="00E4348C"/>
    <w:rsid w:val="00E443C1"/>
    <w:rsid w:val="00E5520C"/>
    <w:rsid w:val="00E6022A"/>
    <w:rsid w:val="00E60AAF"/>
    <w:rsid w:val="00E628BE"/>
    <w:rsid w:val="00E632EF"/>
    <w:rsid w:val="00E71A2B"/>
    <w:rsid w:val="00E740E9"/>
    <w:rsid w:val="00E74425"/>
    <w:rsid w:val="00E85E91"/>
    <w:rsid w:val="00E90F46"/>
    <w:rsid w:val="00E92B2C"/>
    <w:rsid w:val="00EA274F"/>
    <w:rsid w:val="00EA3C51"/>
    <w:rsid w:val="00EA3E67"/>
    <w:rsid w:val="00EA44BE"/>
    <w:rsid w:val="00EA55CB"/>
    <w:rsid w:val="00EA6ECE"/>
    <w:rsid w:val="00EA7E64"/>
    <w:rsid w:val="00EB069C"/>
    <w:rsid w:val="00EB159F"/>
    <w:rsid w:val="00EB4C63"/>
    <w:rsid w:val="00ED116F"/>
    <w:rsid w:val="00ED30BE"/>
    <w:rsid w:val="00ED3810"/>
    <w:rsid w:val="00ED664D"/>
    <w:rsid w:val="00ED7DC6"/>
    <w:rsid w:val="00EE1C50"/>
    <w:rsid w:val="00EE50E4"/>
    <w:rsid w:val="00EE5A62"/>
    <w:rsid w:val="00EF4382"/>
    <w:rsid w:val="00EF7183"/>
    <w:rsid w:val="00F0735E"/>
    <w:rsid w:val="00F07859"/>
    <w:rsid w:val="00F133CD"/>
    <w:rsid w:val="00F16FD2"/>
    <w:rsid w:val="00F20980"/>
    <w:rsid w:val="00F228A0"/>
    <w:rsid w:val="00F26CB1"/>
    <w:rsid w:val="00F32467"/>
    <w:rsid w:val="00F37BEF"/>
    <w:rsid w:val="00F4622A"/>
    <w:rsid w:val="00F4683B"/>
    <w:rsid w:val="00F47F23"/>
    <w:rsid w:val="00F57863"/>
    <w:rsid w:val="00F57D24"/>
    <w:rsid w:val="00F60511"/>
    <w:rsid w:val="00F63134"/>
    <w:rsid w:val="00F636EB"/>
    <w:rsid w:val="00F64CF2"/>
    <w:rsid w:val="00F678E1"/>
    <w:rsid w:val="00F70C0B"/>
    <w:rsid w:val="00F81166"/>
    <w:rsid w:val="00F8248A"/>
    <w:rsid w:val="00F8776B"/>
    <w:rsid w:val="00F91644"/>
    <w:rsid w:val="00F9254F"/>
    <w:rsid w:val="00F92CBD"/>
    <w:rsid w:val="00F94225"/>
    <w:rsid w:val="00F944E1"/>
    <w:rsid w:val="00F94990"/>
    <w:rsid w:val="00FA1D44"/>
    <w:rsid w:val="00FA2404"/>
    <w:rsid w:val="00FA42E2"/>
    <w:rsid w:val="00FA7056"/>
    <w:rsid w:val="00FB52B3"/>
    <w:rsid w:val="00FB5B7C"/>
    <w:rsid w:val="00FB723A"/>
    <w:rsid w:val="00FC033C"/>
    <w:rsid w:val="00FC0CCC"/>
    <w:rsid w:val="00FC254D"/>
    <w:rsid w:val="00FC3797"/>
    <w:rsid w:val="00FC49EF"/>
    <w:rsid w:val="00FC5154"/>
    <w:rsid w:val="00FC6E62"/>
    <w:rsid w:val="00FC72C5"/>
    <w:rsid w:val="00FD0460"/>
    <w:rsid w:val="00FD2D0F"/>
    <w:rsid w:val="00FE050C"/>
    <w:rsid w:val="00FE05F7"/>
    <w:rsid w:val="00FE0C2E"/>
    <w:rsid w:val="00FE283C"/>
    <w:rsid w:val="00FE2BAB"/>
    <w:rsid w:val="00FE4BD3"/>
    <w:rsid w:val="00FE78EC"/>
    <w:rsid w:val="00FF40B1"/>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17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3A"/>
    <w:pPr>
      <w:spacing w:after="0" w:line="240" w:lineRule="auto"/>
    </w:pPr>
    <w:rPr>
      <w:rFonts w:ascii="Times New Roman" w:eastAsia="Calibri" w:hAnsi="Times New Roman" w:cs="Times New Roman"/>
      <w:sz w:val="24"/>
      <w:szCs w:val="24"/>
      <w:lang w:val="es-ES_tradnl"/>
    </w:rPr>
  </w:style>
  <w:style w:type="paragraph" w:styleId="Heading1">
    <w:name w:val="heading 1"/>
    <w:aliases w:val="Título Verdana"/>
    <w:basedOn w:val="Normal"/>
    <w:next w:val="Normal"/>
    <w:link w:val="Heading1Char"/>
    <w:uiPriority w:val="9"/>
    <w:qFormat/>
    <w:rsid w:val="00FB723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B723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114CC"/>
    <w:pPr>
      <w:keepNext/>
      <w:keepLines/>
      <w:spacing w:before="8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2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723A"/>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FB723A"/>
    <w:rPr>
      <w:rFonts w:ascii="Cambria" w:eastAsia="Times New Roman" w:hAnsi="Cambria" w:cs="Times New Roman"/>
      <w:b/>
      <w:bCs/>
      <w:color w:val="365F91"/>
      <w:sz w:val="28"/>
      <w:szCs w:val="28"/>
      <w:lang w:val="es-ES_tradnl"/>
    </w:rPr>
  </w:style>
  <w:style w:type="character" w:customStyle="1" w:styleId="Heading2Char">
    <w:name w:val="Heading 2 Char"/>
    <w:basedOn w:val="DefaultParagraphFont"/>
    <w:link w:val="Heading2"/>
    <w:uiPriority w:val="9"/>
    <w:rsid w:val="00FB723A"/>
    <w:rPr>
      <w:rFonts w:ascii="Cambria" w:eastAsia="Times New Roman" w:hAnsi="Cambria" w:cs="Times New Roman"/>
      <w:b/>
      <w:bCs/>
      <w:color w:val="4F81BD"/>
      <w:sz w:val="26"/>
      <w:szCs w:val="26"/>
      <w:lang w:val="es-ES_tradnl"/>
    </w:rPr>
  </w:style>
  <w:style w:type="character" w:customStyle="1" w:styleId="Heading3Char">
    <w:name w:val="Heading 3 Char"/>
    <w:basedOn w:val="DefaultParagraphFont"/>
    <w:link w:val="Heading3"/>
    <w:uiPriority w:val="9"/>
    <w:rsid w:val="00E114CC"/>
    <w:rPr>
      <w:rFonts w:asciiTheme="majorHAnsi" w:eastAsiaTheme="majorEastAsia" w:hAnsiTheme="majorHAnsi" w:cstheme="majorBidi"/>
      <w:b/>
      <w:bCs/>
      <w:color w:val="4F81BD" w:themeColor="accent1"/>
      <w:sz w:val="24"/>
      <w:szCs w:val="24"/>
      <w:lang w:val="es-ES_tradnl"/>
    </w:rPr>
  </w:style>
  <w:style w:type="character" w:customStyle="1" w:styleId="Heading4Char">
    <w:name w:val="Heading 4 Char"/>
    <w:basedOn w:val="DefaultParagraphFont"/>
    <w:link w:val="Heading4"/>
    <w:uiPriority w:val="9"/>
    <w:rsid w:val="00FB723A"/>
    <w:rPr>
      <w:rFonts w:asciiTheme="majorHAnsi" w:eastAsiaTheme="majorEastAsia" w:hAnsiTheme="majorHAnsi" w:cstheme="majorBidi"/>
      <w:b/>
      <w:bCs/>
      <w:i/>
      <w:iCs/>
      <w:color w:val="4F81BD" w:themeColor="accent1"/>
      <w:sz w:val="24"/>
      <w:szCs w:val="24"/>
      <w:lang w:val="es-ES_tradnl"/>
    </w:rPr>
  </w:style>
  <w:style w:type="character" w:customStyle="1" w:styleId="Heading5Char">
    <w:name w:val="Heading 5 Char"/>
    <w:basedOn w:val="DefaultParagraphFont"/>
    <w:link w:val="Heading5"/>
    <w:uiPriority w:val="9"/>
    <w:rsid w:val="00FB723A"/>
    <w:rPr>
      <w:rFonts w:asciiTheme="majorHAnsi" w:eastAsiaTheme="majorEastAsia" w:hAnsiTheme="majorHAnsi" w:cstheme="majorBidi"/>
      <w:color w:val="243F60" w:themeColor="accent1" w:themeShade="7F"/>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761CF6"/>
    <w:pPr>
      <w:widowControl w:val="0"/>
      <w:tabs>
        <w:tab w:val="left" w:pos="567"/>
      </w:tabs>
      <w:spacing w:before="60" w:after="60"/>
      <w:jc w:val="both"/>
    </w:pPr>
    <w:rPr>
      <w:rFonts w:ascii="Verdana" w:eastAsia="Batang" w:hAnsi="Verdana"/>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761CF6"/>
    <w:rPr>
      <w:rFonts w:ascii="Verdana" w:eastAsia="Batang" w:hAnsi="Verdana" w:cs="Times New Roman"/>
      <w:sz w:val="16"/>
      <w:szCs w:val="16"/>
      <w:lang w:val="es-ES" w:eastAsia="es-ES"/>
    </w:rPr>
  </w:style>
  <w:style w:type="paragraph" w:styleId="ListParagraph">
    <w:name w:val="List Paragraph"/>
    <w:aliases w:val="Párrafo de lista1,Footnote,List Paragraph2,List Paragraph1,Colorful List - Accent 11,Lista vistosa - Énfasis 11"/>
    <w:basedOn w:val="Normal"/>
    <w:link w:val="ListParagraphChar"/>
    <w:uiPriority w:val="99"/>
    <w:qFormat/>
    <w:rsid w:val="00FB723A"/>
    <w:pPr>
      <w:ind w:left="720"/>
      <w:contextualSpacing/>
    </w:p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99"/>
    <w:locked/>
    <w:rsid w:val="00FB723A"/>
    <w:rPr>
      <w:rFonts w:ascii="Times New Roman" w:eastAsia="Calibri" w:hAnsi="Times New Roman" w:cs="Times New Roman"/>
      <w:sz w:val="24"/>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FB723A"/>
    <w:rPr>
      <w:rFonts w:ascii="Verdana" w:hAnsi="Verdana" w:cs="Times New Roman"/>
      <w:sz w:val="20"/>
      <w:vertAlign w:val="superscript"/>
    </w:rPr>
  </w:style>
  <w:style w:type="character" w:styleId="Hyperlink">
    <w:name w:val="Hyperlink"/>
    <w:aliases w:val="Heading 3 caso"/>
    <w:uiPriority w:val="99"/>
    <w:rsid w:val="00FB723A"/>
    <w:rPr>
      <w:rFonts w:cs="Times New Roman"/>
      <w:color w:val="0000FF"/>
      <w:u w:val="single"/>
    </w:rPr>
  </w:style>
  <w:style w:type="paragraph" w:styleId="TOC1">
    <w:name w:val="toc 1"/>
    <w:basedOn w:val="Normal"/>
    <w:next w:val="Normal"/>
    <w:autoRedefine/>
    <w:uiPriority w:val="39"/>
    <w:unhideWhenUsed/>
    <w:rsid w:val="00FE283C"/>
    <w:pPr>
      <w:tabs>
        <w:tab w:val="left" w:pos="0"/>
        <w:tab w:val="right" w:leader="dot" w:pos="8789"/>
        <w:tab w:val="left" w:pos="9072"/>
      </w:tabs>
      <w:jc w:val="both"/>
    </w:pPr>
    <w:rPr>
      <w:rFonts w:ascii="Verdana" w:hAnsi="Verdana" w:cs="Verdana"/>
      <w:b/>
      <w:caps/>
      <w:noProof/>
      <w:snapToGrid w:val="0"/>
      <w:sz w:val="20"/>
      <w:szCs w:val="20"/>
    </w:rPr>
  </w:style>
  <w:style w:type="paragraph" w:styleId="TOC2">
    <w:name w:val="toc 2"/>
    <w:basedOn w:val="Normal"/>
    <w:next w:val="Normal"/>
    <w:autoRedefine/>
    <w:uiPriority w:val="39"/>
    <w:unhideWhenUsed/>
    <w:rsid w:val="00FE283C"/>
    <w:pPr>
      <w:tabs>
        <w:tab w:val="left" w:pos="720"/>
        <w:tab w:val="right" w:leader="dot" w:pos="8789"/>
        <w:tab w:val="right" w:leader="dot" w:pos="8828"/>
        <w:tab w:val="left" w:pos="8931"/>
      </w:tabs>
      <w:ind w:left="238" w:right="571"/>
      <w:jc w:val="both"/>
    </w:pPr>
  </w:style>
  <w:style w:type="paragraph" w:styleId="TOC3">
    <w:name w:val="toc 3"/>
    <w:basedOn w:val="Normal"/>
    <w:next w:val="Normal"/>
    <w:autoRedefine/>
    <w:uiPriority w:val="39"/>
    <w:unhideWhenUsed/>
    <w:rsid w:val="00FE283C"/>
    <w:pPr>
      <w:tabs>
        <w:tab w:val="left" w:pos="960"/>
        <w:tab w:val="right" w:leader="dot" w:pos="8789"/>
        <w:tab w:val="right" w:leader="dot" w:pos="8828"/>
        <w:tab w:val="left" w:pos="9072"/>
      </w:tabs>
      <w:ind w:left="482" w:right="571"/>
      <w:contextualSpacing/>
      <w:jc w:val="both"/>
    </w:pPr>
  </w:style>
  <w:style w:type="paragraph" w:styleId="Footer">
    <w:name w:val="footer"/>
    <w:basedOn w:val="Normal"/>
    <w:link w:val="FooterChar"/>
    <w:uiPriority w:val="99"/>
    <w:unhideWhenUsed/>
    <w:rsid w:val="00FB723A"/>
    <w:pPr>
      <w:tabs>
        <w:tab w:val="center" w:pos="4419"/>
        <w:tab w:val="right" w:pos="8838"/>
      </w:tabs>
    </w:pPr>
  </w:style>
  <w:style w:type="character" w:customStyle="1" w:styleId="FooterChar">
    <w:name w:val="Footer Char"/>
    <w:basedOn w:val="DefaultParagraphFont"/>
    <w:link w:val="Footer"/>
    <w:uiPriority w:val="99"/>
    <w:rsid w:val="00FB723A"/>
    <w:rPr>
      <w:rFonts w:ascii="Times New Roman" w:eastAsia="Calibri" w:hAnsi="Times New Roman" w:cs="Times New Roman"/>
      <w:sz w:val="24"/>
      <w:szCs w:val="24"/>
      <w:lang w:val="es-ES_tradnl"/>
    </w:rPr>
  </w:style>
  <w:style w:type="character" w:styleId="CommentReference">
    <w:name w:val="annotation reference"/>
    <w:basedOn w:val="DefaultParagraphFont"/>
    <w:uiPriority w:val="99"/>
    <w:unhideWhenUsed/>
    <w:rsid w:val="00FB723A"/>
    <w:rPr>
      <w:sz w:val="16"/>
      <w:szCs w:val="16"/>
    </w:rPr>
  </w:style>
  <w:style w:type="character" w:customStyle="1" w:styleId="CommentTextChar">
    <w:name w:val="Comment Text Char"/>
    <w:basedOn w:val="DefaultParagraphFont"/>
    <w:link w:val="CommentText"/>
    <w:uiPriority w:val="99"/>
    <w:rsid w:val="00FB723A"/>
    <w:rPr>
      <w:rFonts w:ascii="Times New Roman" w:eastAsia="Calibri" w:hAnsi="Times New Roman" w:cs="Times New Roman"/>
      <w:sz w:val="20"/>
      <w:szCs w:val="20"/>
      <w:lang w:val="es-ES_tradnl"/>
    </w:rPr>
  </w:style>
  <w:style w:type="paragraph" w:styleId="CommentText">
    <w:name w:val="annotation text"/>
    <w:basedOn w:val="Normal"/>
    <w:link w:val="CommentTextChar"/>
    <w:uiPriority w:val="99"/>
    <w:unhideWhenUsed/>
    <w:rsid w:val="00FB723A"/>
    <w:rPr>
      <w:sz w:val="20"/>
      <w:szCs w:val="20"/>
    </w:rPr>
  </w:style>
  <w:style w:type="character" w:customStyle="1" w:styleId="CommentTextChar1">
    <w:name w:val="Comment Text Char1"/>
    <w:basedOn w:val="DefaultParagraphFont"/>
    <w:uiPriority w:val="99"/>
    <w:semiHidden/>
    <w:rsid w:val="00FB723A"/>
    <w:rPr>
      <w:rFonts w:ascii="Times New Roman" w:eastAsia="Calibri" w:hAnsi="Times New Roman" w:cs="Times New Roman"/>
      <w:sz w:val="20"/>
      <w:szCs w:val="20"/>
      <w:lang w:val="es-ES_tradnl"/>
    </w:rPr>
  </w:style>
  <w:style w:type="character" w:customStyle="1" w:styleId="TextocomentarioCar1">
    <w:name w:val="Texto comentario Car1"/>
    <w:basedOn w:val="DefaultParagraphFont"/>
    <w:uiPriority w:val="99"/>
    <w:semiHidden/>
    <w:rsid w:val="00FB723A"/>
    <w:rPr>
      <w:rFonts w:ascii="Times New Roman" w:eastAsia="Calibri" w:hAnsi="Times New Roman" w:cs="Times New Roman"/>
      <w:sz w:val="20"/>
      <w:szCs w:val="20"/>
      <w:lang w:val="es-ES_tradnl"/>
    </w:rPr>
  </w:style>
  <w:style w:type="character" w:customStyle="1" w:styleId="apple-converted-space">
    <w:name w:val="apple-converted-space"/>
    <w:basedOn w:val="DefaultParagraphFont"/>
    <w:rsid w:val="00FB723A"/>
  </w:style>
  <w:style w:type="character" w:styleId="Strong">
    <w:name w:val="Strong"/>
    <w:basedOn w:val="DefaultParagraphFont"/>
    <w:uiPriority w:val="22"/>
    <w:qFormat/>
    <w:rsid w:val="00FB723A"/>
    <w:rPr>
      <w:b/>
      <w:bCs/>
    </w:rPr>
  </w:style>
  <w:style w:type="paragraph" w:styleId="BalloonText">
    <w:name w:val="Balloon Text"/>
    <w:basedOn w:val="Normal"/>
    <w:link w:val="BalloonTextChar"/>
    <w:uiPriority w:val="99"/>
    <w:semiHidden/>
    <w:unhideWhenUsed/>
    <w:rsid w:val="00FB723A"/>
    <w:rPr>
      <w:rFonts w:ascii="Tahoma" w:hAnsi="Tahoma" w:cs="Tahoma"/>
      <w:sz w:val="16"/>
      <w:szCs w:val="16"/>
    </w:rPr>
  </w:style>
  <w:style w:type="character" w:customStyle="1" w:styleId="BalloonTextChar">
    <w:name w:val="Balloon Text Char"/>
    <w:basedOn w:val="DefaultParagraphFont"/>
    <w:link w:val="BalloonText"/>
    <w:uiPriority w:val="99"/>
    <w:semiHidden/>
    <w:rsid w:val="00FB723A"/>
    <w:rPr>
      <w:rFonts w:ascii="Tahoma" w:eastAsia="Calibri" w:hAnsi="Tahoma" w:cs="Tahoma"/>
      <w:sz w:val="16"/>
      <w:szCs w:val="16"/>
      <w:lang w:val="es-ES_tradnl"/>
    </w:rPr>
  </w:style>
  <w:style w:type="paragraph" w:styleId="Header">
    <w:name w:val="header"/>
    <w:basedOn w:val="Normal"/>
    <w:link w:val="HeaderChar"/>
    <w:uiPriority w:val="99"/>
    <w:unhideWhenUsed/>
    <w:rsid w:val="00FB723A"/>
    <w:pPr>
      <w:tabs>
        <w:tab w:val="center" w:pos="4419"/>
        <w:tab w:val="right" w:pos="8838"/>
      </w:tabs>
    </w:pPr>
    <w:rPr>
      <w:rFonts w:asciiTheme="minorHAnsi" w:eastAsiaTheme="minorHAnsi" w:hAnsiTheme="minorHAnsi" w:cstheme="minorBidi"/>
      <w:sz w:val="22"/>
      <w:szCs w:val="22"/>
      <w:lang w:val="es-CR"/>
    </w:rPr>
  </w:style>
  <w:style w:type="character" w:customStyle="1" w:styleId="HeaderChar">
    <w:name w:val="Header Char"/>
    <w:basedOn w:val="DefaultParagraphFont"/>
    <w:link w:val="Header"/>
    <w:uiPriority w:val="99"/>
    <w:rsid w:val="00FB723A"/>
    <w:rPr>
      <w:lang w:val="es-CR"/>
    </w:rPr>
  </w:style>
  <w:style w:type="paragraph" w:styleId="CommentSubject">
    <w:name w:val="annotation subject"/>
    <w:basedOn w:val="CommentText"/>
    <w:next w:val="CommentText"/>
    <w:link w:val="CommentSubjectChar"/>
    <w:uiPriority w:val="99"/>
    <w:semiHidden/>
    <w:unhideWhenUsed/>
    <w:rsid w:val="00FB723A"/>
    <w:pPr>
      <w:spacing w:after="200"/>
    </w:pPr>
    <w:rPr>
      <w:rFonts w:asciiTheme="minorHAnsi" w:eastAsiaTheme="minorHAnsi" w:hAnsiTheme="minorHAnsi" w:cstheme="minorBidi"/>
      <w:b/>
      <w:bCs/>
      <w:lang w:val="es-CR"/>
    </w:rPr>
  </w:style>
  <w:style w:type="character" w:customStyle="1" w:styleId="CommentSubjectChar">
    <w:name w:val="Comment Subject Char"/>
    <w:basedOn w:val="CommentTextChar1"/>
    <w:link w:val="CommentSubject"/>
    <w:uiPriority w:val="99"/>
    <w:semiHidden/>
    <w:rsid w:val="00FB723A"/>
    <w:rPr>
      <w:rFonts w:ascii="Times New Roman" w:eastAsia="Calibri" w:hAnsi="Times New Roman" w:cs="Times New Roman"/>
      <w:b/>
      <w:bCs/>
      <w:sz w:val="20"/>
      <w:szCs w:val="20"/>
      <w:lang w:val="es-CR"/>
    </w:rPr>
  </w:style>
  <w:style w:type="paragraph" w:customStyle="1" w:styleId="Footnotes">
    <w:name w:val="**. Footnotes"/>
    <w:basedOn w:val="FootnoteText"/>
    <w:link w:val="FootnotesChar"/>
    <w:autoRedefine/>
    <w:qFormat/>
    <w:rsid w:val="00FB723A"/>
    <w:pPr>
      <w:spacing w:before="120"/>
    </w:pPr>
    <w:rPr>
      <w:rFonts w:cs="Palatino-Italic"/>
      <w:iCs/>
      <w:lang w:eastAsia="en-US"/>
    </w:rPr>
  </w:style>
  <w:style w:type="character" w:customStyle="1" w:styleId="FootnotesChar">
    <w:name w:val="**. Footnotes Char"/>
    <w:basedOn w:val="DefaultParagraphFont"/>
    <w:link w:val="Footnotes"/>
    <w:rsid w:val="00FB723A"/>
    <w:rPr>
      <w:rFonts w:ascii="Verdana" w:eastAsia="Batang" w:hAnsi="Verdana" w:cs="Palatino-Italic"/>
      <w:iCs/>
      <w:sz w:val="16"/>
      <w:szCs w:val="16"/>
      <w:lang w:val="es-ES"/>
    </w:rPr>
  </w:style>
  <w:style w:type="character" w:customStyle="1" w:styleId="apple-style-span">
    <w:name w:val="apple-style-span"/>
    <w:basedOn w:val="DefaultParagraphFont"/>
    <w:rsid w:val="00FB723A"/>
    <w:rPr>
      <w:rFonts w:cs="Times New Roman"/>
    </w:rPr>
  </w:style>
  <w:style w:type="paragraph" w:customStyle="1" w:styleId="Default">
    <w:name w:val="Default"/>
    <w:rsid w:val="00FB723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B723A"/>
    <w:pPr>
      <w:spacing w:after="0" w:line="240" w:lineRule="auto"/>
    </w:pPr>
  </w:style>
  <w:style w:type="character" w:customStyle="1" w:styleId="Ttulo1">
    <w:name w:val="Título1"/>
    <w:basedOn w:val="DefaultParagraphFont"/>
    <w:rsid w:val="00FB723A"/>
  </w:style>
  <w:style w:type="paragraph" w:styleId="NoSpacing">
    <w:name w:val="No Spacing"/>
    <w:uiPriority w:val="1"/>
    <w:qFormat/>
    <w:rsid w:val="00FB723A"/>
    <w:pPr>
      <w:spacing w:after="0" w:line="240" w:lineRule="auto"/>
    </w:pPr>
    <w:rPr>
      <w:rFonts w:eastAsiaTheme="minorEastAsia"/>
    </w:rPr>
  </w:style>
  <w:style w:type="paragraph" w:styleId="TOC4">
    <w:name w:val="toc 4"/>
    <w:basedOn w:val="Normal"/>
    <w:next w:val="Normal"/>
    <w:autoRedefine/>
    <w:uiPriority w:val="39"/>
    <w:unhideWhenUsed/>
    <w:rsid w:val="00FB723A"/>
    <w:pPr>
      <w:spacing w:after="100"/>
      <w:ind w:left="720"/>
    </w:pPr>
  </w:style>
  <w:style w:type="character" w:customStyle="1" w:styleId="PiedepginaCar1">
    <w:name w:val="Pie de página Car1"/>
    <w:basedOn w:val="DefaultParagraphFont"/>
    <w:semiHidden/>
    <w:rsid w:val="00FB723A"/>
    <w:rPr>
      <w:rFonts w:ascii="Times" w:eastAsia="Times New Roman" w:hAnsi="Times" w:cs="Times New Roman"/>
      <w:snapToGrid w:val="0"/>
      <w:sz w:val="24"/>
      <w:szCs w:val="24"/>
      <w:lang w:val="es-ES_tradnl" w:eastAsia="es-ES"/>
    </w:rPr>
  </w:style>
  <w:style w:type="paragraph" w:styleId="TOC5">
    <w:name w:val="toc 5"/>
    <w:basedOn w:val="Normal"/>
    <w:next w:val="Normal"/>
    <w:autoRedefine/>
    <w:uiPriority w:val="39"/>
    <w:unhideWhenUsed/>
    <w:rsid w:val="00FB723A"/>
    <w:pPr>
      <w:spacing w:after="100"/>
      <w:ind w:left="960"/>
    </w:pPr>
  </w:style>
  <w:style w:type="character" w:styleId="LineNumber">
    <w:name w:val="line number"/>
    <w:basedOn w:val="DefaultParagraphFont"/>
    <w:uiPriority w:val="99"/>
    <w:unhideWhenUsed/>
    <w:rsid w:val="00FB723A"/>
    <w:rPr>
      <w:rFonts w:ascii="Verdana" w:hAnsi="Verdana"/>
      <w:sz w:val="20"/>
    </w:rPr>
  </w:style>
  <w:style w:type="paragraph" w:customStyle="1" w:styleId="PrrafodeSentencia">
    <w:name w:val="*. Párrafo de Sentencia"/>
    <w:link w:val="PrrafodeSentenciaChar"/>
    <w:autoRedefine/>
    <w:qFormat/>
    <w:rsid w:val="00FB723A"/>
    <w:pPr>
      <w:tabs>
        <w:tab w:val="left" w:pos="0"/>
        <w:tab w:val="left" w:pos="567"/>
      </w:tabs>
      <w:spacing w:after="0" w:line="240" w:lineRule="auto"/>
      <w:jc w:val="both"/>
    </w:pPr>
    <w:rPr>
      <w:rFonts w:ascii="Verdana" w:eastAsia="Batang" w:hAnsi="Verdana" w:cs="Times New Roman"/>
      <w:sz w:val="16"/>
      <w:szCs w:val="16"/>
      <w:lang w:val="es-MX" w:eastAsia="es-MX"/>
    </w:rPr>
  </w:style>
  <w:style w:type="character" w:customStyle="1" w:styleId="hps">
    <w:name w:val="hps"/>
    <w:basedOn w:val="DefaultParagraphFont"/>
    <w:rsid w:val="00FB723A"/>
  </w:style>
  <w:style w:type="paragraph" w:styleId="HTMLPreformatted">
    <w:name w:val="HTML Preformatted"/>
    <w:basedOn w:val="Normal"/>
    <w:link w:val="HTMLPreformattedChar"/>
    <w:uiPriority w:val="99"/>
    <w:unhideWhenUsed/>
    <w:rsid w:val="00FB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FB723A"/>
    <w:rPr>
      <w:rFonts w:ascii="Courier New" w:eastAsia="Times New Roman" w:hAnsi="Courier New" w:cs="Times New Roman"/>
      <w:sz w:val="20"/>
      <w:szCs w:val="20"/>
      <w:lang w:val="es-ES_tradnl"/>
    </w:rPr>
  </w:style>
  <w:style w:type="paragraph" w:customStyle="1" w:styleId="2Footnotes">
    <w:name w:val="2. Footnotes"/>
    <w:basedOn w:val="FootnoteText"/>
    <w:link w:val="2FootnotesChar"/>
    <w:autoRedefine/>
    <w:qFormat/>
    <w:rsid w:val="00FB723A"/>
    <w:pPr>
      <w:tabs>
        <w:tab w:val="clear" w:pos="567"/>
      </w:tabs>
      <w:spacing w:before="120"/>
    </w:pPr>
    <w:rPr>
      <w:rFonts w:eastAsia="Times New Roman" w:cs="Palatino-Italic"/>
      <w:iCs/>
      <w:noProof/>
      <w:szCs w:val="18"/>
      <w:lang w:eastAsia="en-US"/>
    </w:rPr>
  </w:style>
  <w:style w:type="character" w:customStyle="1" w:styleId="2FootnotesChar">
    <w:name w:val="2. Footnotes Char"/>
    <w:link w:val="2Footnotes"/>
    <w:rsid w:val="00FB723A"/>
    <w:rPr>
      <w:rFonts w:ascii="Verdana" w:eastAsia="Times New Roman" w:hAnsi="Verdana" w:cs="Palatino-Italic"/>
      <w:iCs/>
      <w:noProof/>
      <w:sz w:val="16"/>
      <w:szCs w:val="18"/>
      <w:lang w:val="es-ES"/>
    </w:rPr>
  </w:style>
  <w:style w:type="character" w:customStyle="1" w:styleId="PrrafodeSentenciaChar">
    <w:name w:val="*. Párrafo de Sentencia Char"/>
    <w:link w:val="PrrafodeSentencia"/>
    <w:rsid w:val="00FB723A"/>
    <w:rPr>
      <w:rFonts w:ascii="Verdana" w:eastAsia="Batang" w:hAnsi="Verdana" w:cs="Times New Roman"/>
      <w:sz w:val="16"/>
      <w:szCs w:val="16"/>
      <w:lang w:val="es-MX" w:eastAsia="es-MX"/>
    </w:rPr>
  </w:style>
  <w:style w:type="character" w:styleId="FollowedHyperlink">
    <w:name w:val="FollowedHyperlink"/>
    <w:basedOn w:val="DefaultParagraphFont"/>
    <w:uiPriority w:val="99"/>
    <w:semiHidden/>
    <w:unhideWhenUsed/>
    <w:rsid w:val="00FB723A"/>
    <w:rPr>
      <w:color w:val="800080" w:themeColor="followedHyperlink"/>
      <w:u w:val="single"/>
    </w:rPr>
  </w:style>
  <w:style w:type="paragraph" w:styleId="NormalWeb">
    <w:name w:val="Normal (Web)"/>
    <w:aliases w:val="Normal (Web) Char1,Normal (Web) Char Char,Normal (Web) Char1 Char,Normal (Web) Char Char Char"/>
    <w:basedOn w:val="Normal"/>
    <w:uiPriority w:val="99"/>
    <w:unhideWhenUsed/>
    <w:rsid w:val="00FB723A"/>
    <w:pPr>
      <w:spacing w:before="100" w:beforeAutospacing="1" w:after="100" w:afterAutospacing="1"/>
    </w:pPr>
    <w:rPr>
      <w:rFonts w:eastAsia="Times New Roman"/>
      <w:lang w:val="es-CR" w:eastAsia="es-CR"/>
    </w:rPr>
  </w:style>
  <w:style w:type="paragraph" w:customStyle="1" w:styleId="xmsonormal">
    <w:name w:val="x_msonormal"/>
    <w:basedOn w:val="Normal"/>
    <w:rsid w:val="00FB723A"/>
    <w:pPr>
      <w:spacing w:before="100" w:beforeAutospacing="1" w:after="100" w:afterAutospacing="1"/>
    </w:pPr>
    <w:rPr>
      <w:rFonts w:eastAsia="Times New Roman"/>
      <w:lang w:val="en-US"/>
    </w:rPr>
  </w:style>
  <w:style w:type="paragraph" w:customStyle="1" w:styleId="HChG">
    <w:name w:val="_ H _Ch_G"/>
    <w:basedOn w:val="Normal"/>
    <w:next w:val="Normal"/>
    <w:rsid w:val="00FB723A"/>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FB723A"/>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Estilo1">
    <w:name w:val="Estilo1"/>
    <w:basedOn w:val="ListParagraph"/>
    <w:link w:val="Estilo1Car"/>
    <w:qFormat/>
    <w:rsid w:val="00FB723A"/>
    <w:pPr>
      <w:numPr>
        <w:numId w:val="4"/>
      </w:numPr>
      <w:spacing w:after="240"/>
      <w:contextualSpacing w:val="0"/>
      <w:jc w:val="both"/>
    </w:pPr>
    <w:rPr>
      <w:lang w:val="es-UY"/>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DefaultParagraphFont"/>
    <w:locked/>
    <w:rsid w:val="00FB723A"/>
    <w:rPr>
      <w:rFonts w:ascii="Verdana" w:eastAsia="MS Mincho" w:hAnsi="Verdana" w:cs="Times"/>
      <w:sz w:val="16"/>
      <w:szCs w:val="24"/>
      <w:lang w:val="es-ES_tradnl"/>
    </w:rPr>
  </w:style>
  <w:style w:type="character" w:customStyle="1" w:styleId="Smbolodenotaalpie">
    <w:name w:val="Símbolo de nota al pie"/>
    <w:rsid w:val="00FB723A"/>
    <w:rPr>
      <w:vertAlign w:val="superscript"/>
    </w:rPr>
  </w:style>
  <w:style w:type="paragraph" w:styleId="BodyText">
    <w:name w:val="Body Text"/>
    <w:basedOn w:val="Normal"/>
    <w:link w:val="BodyTextChar"/>
    <w:uiPriority w:val="99"/>
    <w:semiHidden/>
    <w:unhideWhenUsed/>
    <w:rsid w:val="00FB723A"/>
    <w:pPr>
      <w:jc w:val="both"/>
    </w:pPr>
    <w:rPr>
      <w:rFonts w:ascii="Garamond" w:eastAsia="Times" w:hAnsi="Garamond"/>
      <w:noProof/>
      <w:sz w:val="22"/>
      <w:szCs w:val="20"/>
    </w:rPr>
  </w:style>
  <w:style w:type="character" w:customStyle="1" w:styleId="BodyTextChar">
    <w:name w:val="Body Text Char"/>
    <w:basedOn w:val="DefaultParagraphFont"/>
    <w:link w:val="BodyText"/>
    <w:uiPriority w:val="99"/>
    <w:semiHidden/>
    <w:rsid w:val="00FB723A"/>
    <w:rPr>
      <w:rFonts w:ascii="Garamond" w:eastAsia="Times" w:hAnsi="Garamond" w:cs="Times New Roman"/>
      <w:noProof/>
      <w:szCs w:val="20"/>
      <w:lang w:val="es-ES_tradnl"/>
    </w:rPr>
  </w:style>
  <w:style w:type="character" w:customStyle="1" w:styleId="Estilo1Car">
    <w:name w:val="Estilo1 Car"/>
    <w:link w:val="Estilo1"/>
    <w:locked/>
    <w:rsid w:val="00FB723A"/>
    <w:rPr>
      <w:rFonts w:ascii="Times New Roman" w:eastAsia="Calibri" w:hAnsi="Times New Roman" w:cs="Times New Roman"/>
      <w:sz w:val="24"/>
      <w:szCs w:val="24"/>
      <w:lang w:val="es-UY"/>
    </w:rPr>
  </w:style>
  <w:style w:type="paragraph" w:styleId="BodyTextIndent">
    <w:name w:val="Body Text Indent"/>
    <w:basedOn w:val="Normal"/>
    <w:link w:val="BodyTextIndentChar"/>
    <w:uiPriority w:val="99"/>
    <w:semiHidden/>
    <w:unhideWhenUsed/>
    <w:rsid w:val="00FB723A"/>
    <w:pPr>
      <w:spacing w:after="120"/>
      <w:ind w:left="283"/>
    </w:pPr>
  </w:style>
  <w:style w:type="character" w:customStyle="1" w:styleId="BodyTextIndentChar">
    <w:name w:val="Body Text Indent Char"/>
    <w:basedOn w:val="DefaultParagraphFont"/>
    <w:link w:val="BodyTextIndent"/>
    <w:uiPriority w:val="99"/>
    <w:semiHidden/>
    <w:rsid w:val="00FB723A"/>
    <w:rPr>
      <w:rFonts w:ascii="Times New Roman" w:eastAsia="Calibri" w:hAnsi="Times New Roman" w:cs="Times New Roman"/>
      <w:sz w:val="24"/>
      <w:szCs w:val="24"/>
      <w:lang w:val="es-ES_tradnl"/>
    </w:rPr>
  </w:style>
  <w:style w:type="character" w:customStyle="1" w:styleId="Estilo1Char">
    <w:name w:val="Estilo1 Char"/>
    <w:rsid w:val="00FB723A"/>
    <w:rPr>
      <w:rFonts w:ascii="Verdana" w:eastAsia="Calibri" w:hAnsi="Verdana" w:cs="Times New Roman"/>
      <w:sz w:val="20"/>
      <w:szCs w:val="20"/>
      <w:lang w:val="es-ES"/>
    </w:rPr>
  </w:style>
  <w:style w:type="paragraph" w:customStyle="1" w:styleId="Estilo2">
    <w:name w:val="Estilo2"/>
    <w:basedOn w:val="Normal"/>
    <w:qFormat/>
    <w:rsid w:val="00FB723A"/>
    <w:pPr>
      <w:tabs>
        <w:tab w:val="left" w:pos="567"/>
        <w:tab w:val="left" w:pos="1134"/>
        <w:tab w:val="num" w:pos="4767"/>
      </w:tabs>
      <w:spacing w:after="120"/>
      <w:ind w:left="4767" w:hanging="360"/>
      <w:jc w:val="both"/>
    </w:pPr>
    <w:rPr>
      <w:rFonts w:ascii="Verdana" w:hAnsi="Verdana"/>
      <w:sz w:val="20"/>
      <w:szCs w:val="20"/>
      <w:lang w:val="es-ES"/>
    </w:rPr>
  </w:style>
  <w:style w:type="paragraph" w:styleId="BodyTextIndent3">
    <w:name w:val="Body Text Indent 3"/>
    <w:basedOn w:val="Normal"/>
    <w:link w:val="BodyTextIndent3Char"/>
    <w:rsid w:val="00FB723A"/>
    <w:pPr>
      <w:ind w:left="720"/>
      <w:jc w:val="both"/>
    </w:pPr>
    <w:rPr>
      <w:rFonts w:ascii="Verdana" w:eastAsia="Times" w:hAnsi="Verdana"/>
      <w:b/>
      <w:sz w:val="22"/>
      <w:szCs w:val="20"/>
      <w:lang w:eastAsia="es-ES"/>
    </w:rPr>
  </w:style>
  <w:style w:type="character" w:customStyle="1" w:styleId="BodyTextIndent3Char">
    <w:name w:val="Body Text Indent 3 Char"/>
    <w:basedOn w:val="DefaultParagraphFont"/>
    <w:link w:val="BodyTextIndent3"/>
    <w:rsid w:val="00FB723A"/>
    <w:rPr>
      <w:rFonts w:ascii="Verdana" w:eastAsia="Times" w:hAnsi="Verdana" w:cs="Times New Roman"/>
      <w:b/>
      <w:szCs w:val="20"/>
      <w:lang w:val="es-ES_tradnl" w:eastAsia="es-ES"/>
    </w:rPr>
  </w:style>
  <w:style w:type="paragraph" w:customStyle="1" w:styleId="Estilo7">
    <w:name w:val="Estilo7"/>
    <w:basedOn w:val="Normal"/>
    <w:qFormat/>
    <w:rsid w:val="00FB723A"/>
    <w:pPr>
      <w:tabs>
        <w:tab w:val="left" w:pos="567"/>
        <w:tab w:val="left" w:pos="851"/>
        <w:tab w:val="num" w:pos="2160"/>
      </w:tabs>
      <w:spacing w:before="120" w:after="120"/>
      <w:ind w:left="2160" w:hanging="180"/>
      <w:jc w:val="both"/>
    </w:pPr>
    <w:rPr>
      <w:rFonts w:ascii="Verdana" w:eastAsia="Batang" w:hAnsi="Verdana"/>
      <w:b/>
      <w:i/>
      <w:sz w:val="20"/>
      <w:szCs w:val="20"/>
      <w:lang w:eastAsia="es-MX"/>
    </w:rPr>
  </w:style>
  <w:style w:type="paragraph" w:customStyle="1" w:styleId="Sangradetindependiente">
    <w:name w:val="Sangr’a de t. independiente"/>
    <w:basedOn w:val="Normal"/>
    <w:rsid w:val="00FB723A"/>
    <w:pPr>
      <w:overflowPunct w:val="0"/>
      <w:autoSpaceDE w:val="0"/>
      <w:autoSpaceDN w:val="0"/>
      <w:adjustRightInd w:val="0"/>
      <w:jc w:val="both"/>
      <w:textAlignment w:val="baseline"/>
    </w:pPr>
    <w:rPr>
      <w:rFonts w:eastAsia="Times New Roman"/>
      <w:szCs w:val="20"/>
      <w:lang w:eastAsia="es-ES"/>
    </w:rPr>
  </w:style>
  <w:style w:type="paragraph" w:styleId="EndnoteText">
    <w:name w:val="endnote text"/>
    <w:basedOn w:val="Normal"/>
    <w:link w:val="EndnoteTextChar"/>
    <w:rsid w:val="00FB723A"/>
    <w:rPr>
      <w:rFonts w:ascii="Verdana" w:eastAsia="Times" w:hAnsi="Verdana"/>
      <w:sz w:val="20"/>
      <w:szCs w:val="20"/>
      <w:lang w:val="es-CR"/>
    </w:rPr>
  </w:style>
  <w:style w:type="character" w:customStyle="1" w:styleId="EndnoteTextChar">
    <w:name w:val="Endnote Text Char"/>
    <w:basedOn w:val="DefaultParagraphFont"/>
    <w:link w:val="EndnoteText"/>
    <w:rsid w:val="00FB723A"/>
    <w:rPr>
      <w:rFonts w:ascii="Verdana" w:eastAsia="Times" w:hAnsi="Verdana" w:cs="Times New Roman"/>
      <w:sz w:val="20"/>
      <w:szCs w:val="20"/>
      <w:lang w:val="es-CR"/>
    </w:rPr>
  </w:style>
  <w:style w:type="character" w:styleId="EndnoteReference">
    <w:name w:val="endnote reference"/>
    <w:basedOn w:val="DefaultParagraphFont"/>
    <w:semiHidden/>
    <w:rsid w:val="00FB723A"/>
    <w:rPr>
      <w:vertAlign w:val="superscript"/>
    </w:rPr>
  </w:style>
  <w:style w:type="character" w:customStyle="1" w:styleId="Caracteresdenotafinal">
    <w:name w:val="Caracteres de nota final"/>
    <w:basedOn w:val="DefaultParagraphFont"/>
    <w:rsid w:val="00FB723A"/>
    <w:rPr>
      <w:vertAlign w:val="superscript"/>
    </w:rPr>
  </w:style>
  <w:style w:type="character" w:customStyle="1" w:styleId="normalchar1">
    <w:name w:val="normal__char1"/>
    <w:basedOn w:val="DefaultParagraphFont"/>
    <w:rsid w:val="00FB723A"/>
    <w:rPr>
      <w:rFonts w:ascii="Verdana" w:hAnsi="Verdana" w:hint="default"/>
      <w:sz w:val="20"/>
      <w:szCs w:val="20"/>
    </w:rPr>
  </w:style>
  <w:style w:type="character" w:customStyle="1" w:styleId="FootnoteTextCharCar">
    <w:name w:val="Footnote Text Char Car"/>
    <w:aliases w:val="FA Car,Note de bas de page Car Car Car"/>
    <w:basedOn w:val="DefaultParagraphFont"/>
    <w:uiPriority w:val="99"/>
    <w:locked/>
    <w:rsid w:val="00FB723A"/>
  </w:style>
  <w:style w:type="character" w:customStyle="1" w:styleId="sb8d990e2">
    <w:name w:val="sb8d990e2"/>
    <w:uiPriority w:val="99"/>
    <w:rsid w:val="00FB723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B723A"/>
    <w:pPr>
      <w:jc w:val="both"/>
    </w:pPr>
    <w:rPr>
      <w:rFonts w:ascii="Verdana" w:eastAsiaTheme="minorHAnsi" w:hAnsi="Verdana"/>
      <w:sz w:val="20"/>
      <w:szCs w:val="22"/>
      <w:vertAlign w:val="superscript"/>
      <w:lang w:val="en-US"/>
    </w:rPr>
  </w:style>
  <w:style w:type="paragraph" w:customStyle="1" w:styleId="Prrafodelista2">
    <w:name w:val="Párrafo de lista2"/>
    <w:basedOn w:val="Normal"/>
    <w:uiPriority w:val="99"/>
    <w:rsid w:val="00FB723A"/>
    <w:pPr>
      <w:ind w:left="720"/>
    </w:pPr>
    <w:rPr>
      <w:rFonts w:ascii="Verdana" w:eastAsia="MS Mincho" w:hAnsi="Verdana"/>
      <w:sz w:val="20"/>
      <w:szCs w:val="20"/>
      <w:lang w:bidi="en-US"/>
    </w:rPr>
  </w:style>
  <w:style w:type="character" w:customStyle="1" w:styleId="st1">
    <w:name w:val="st1"/>
    <w:basedOn w:val="DefaultParagraphFont"/>
    <w:rsid w:val="00CF5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3A"/>
    <w:pPr>
      <w:spacing w:after="0" w:line="240" w:lineRule="auto"/>
    </w:pPr>
    <w:rPr>
      <w:rFonts w:ascii="Times New Roman" w:eastAsia="Calibri" w:hAnsi="Times New Roman" w:cs="Times New Roman"/>
      <w:sz w:val="24"/>
      <w:szCs w:val="24"/>
      <w:lang w:val="es-ES_tradnl"/>
    </w:rPr>
  </w:style>
  <w:style w:type="paragraph" w:styleId="Heading1">
    <w:name w:val="heading 1"/>
    <w:aliases w:val="Título Verdana"/>
    <w:basedOn w:val="Normal"/>
    <w:next w:val="Normal"/>
    <w:link w:val="Heading1Char"/>
    <w:uiPriority w:val="9"/>
    <w:qFormat/>
    <w:rsid w:val="00FB723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B723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114CC"/>
    <w:pPr>
      <w:keepNext/>
      <w:keepLines/>
      <w:spacing w:before="8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2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723A"/>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FB723A"/>
    <w:rPr>
      <w:rFonts w:ascii="Cambria" w:eastAsia="Times New Roman" w:hAnsi="Cambria" w:cs="Times New Roman"/>
      <w:b/>
      <w:bCs/>
      <w:color w:val="365F91"/>
      <w:sz w:val="28"/>
      <w:szCs w:val="28"/>
      <w:lang w:val="es-ES_tradnl"/>
    </w:rPr>
  </w:style>
  <w:style w:type="character" w:customStyle="1" w:styleId="Heading2Char">
    <w:name w:val="Heading 2 Char"/>
    <w:basedOn w:val="DefaultParagraphFont"/>
    <w:link w:val="Heading2"/>
    <w:uiPriority w:val="9"/>
    <w:rsid w:val="00FB723A"/>
    <w:rPr>
      <w:rFonts w:ascii="Cambria" w:eastAsia="Times New Roman" w:hAnsi="Cambria" w:cs="Times New Roman"/>
      <w:b/>
      <w:bCs/>
      <w:color w:val="4F81BD"/>
      <w:sz w:val="26"/>
      <w:szCs w:val="26"/>
      <w:lang w:val="es-ES_tradnl"/>
    </w:rPr>
  </w:style>
  <w:style w:type="character" w:customStyle="1" w:styleId="Heading3Char">
    <w:name w:val="Heading 3 Char"/>
    <w:basedOn w:val="DefaultParagraphFont"/>
    <w:link w:val="Heading3"/>
    <w:uiPriority w:val="9"/>
    <w:rsid w:val="00E114CC"/>
    <w:rPr>
      <w:rFonts w:asciiTheme="majorHAnsi" w:eastAsiaTheme="majorEastAsia" w:hAnsiTheme="majorHAnsi" w:cstheme="majorBidi"/>
      <w:b/>
      <w:bCs/>
      <w:color w:val="4F81BD" w:themeColor="accent1"/>
      <w:sz w:val="24"/>
      <w:szCs w:val="24"/>
      <w:lang w:val="es-ES_tradnl"/>
    </w:rPr>
  </w:style>
  <w:style w:type="character" w:customStyle="1" w:styleId="Heading4Char">
    <w:name w:val="Heading 4 Char"/>
    <w:basedOn w:val="DefaultParagraphFont"/>
    <w:link w:val="Heading4"/>
    <w:uiPriority w:val="9"/>
    <w:rsid w:val="00FB723A"/>
    <w:rPr>
      <w:rFonts w:asciiTheme="majorHAnsi" w:eastAsiaTheme="majorEastAsia" w:hAnsiTheme="majorHAnsi" w:cstheme="majorBidi"/>
      <w:b/>
      <w:bCs/>
      <w:i/>
      <w:iCs/>
      <w:color w:val="4F81BD" w:themeColor="accent1"/>
      <w:sz w:val="24"/>
      <w:szCs w:val="24"/>
      <w:lang w:val="es-ES_tradnl"/>
    </w:rPr>
  </w:style>
  <w:style w:type="character" w:customStyle="1" w:styleId="Heading5Char">
    <w:name w:val="Heading 5 Char"/>
    <w:basedOn w:val="DefaultParagraphFont"/>
    <w:link w:val="Heading5"/>
    <w:uiPriority w:val="9"/>
    <w:rsid w:val="00FB723A"/>
    <w:rPr>
      <w:rFonts w:asciiTheme="majorHAnsi" w:eastAsiaTheme="majorEastAsia" w:hAnsiTheme="majorHAnsi" w:cstheme="majorBidi"/>
      <w:color w:val="243F60" w:themeColor="accent1" w:themeShade="7F"/>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761CF6"/>
    <w:pPr>
      <w:widowControl w:val="0"/>
      <w:tabs>
        <w:tab w:val="left" w:pos="567"/>
      </w:tabs>
      <w:spacing w:before="60" w:after="60"/>
      <w:jc w:val="both"/>
    </w:pPr>
    <w:rPr>
      <w:rFonts w:ascii="Verdana" w:eastAsia="Batang" w:hAnsi="Verdana"/>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761CF6"/>
    <w:rPr>
      <w:rFonts w:ascii="Verdana" w:eastAsia="Batang" w:hAnsi="Verdana" w:cs="Times New Roman"/>
      <w:sz w:val="16"/>
      <w:szCs w:val="16"/>
      <w:lang w:val="es-ES" w:eastAsia="es-ES"/>
    </w:rPr>
  </w:style>
  <w:style w:type="paragraph" w:styleId="ListParagraph">
    <w:name w:val="List Paragraph"/>
    <w:aliases w:val="Párrafo de lista1,Footnote,List Paragraph2,List Paragraph1,Colorful List - Accent 11,Lista vistosa - Énfasis 11"/>
    <w:basedOn w:val="Normal"/>
    <w:link w:val="ListParagraphChar"/>
    <w:uiPriority w:val="99"/>
    <w:qFormat/>
    <w:rsid w:val="00FB723A"/>
    <w:pPr>
      <w:ind w:left="720"/>
      <w:contextualSpacing/>
    </w:p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99"/>
    <w:locked/>
    <w:rsid w:val="00FB723A"/>
    <w:rPr>
      <w:rFonts w:ascii="Times New Roman" w:eastAsia="Calibri" w:hAnsi="Times New Roman" w:cs="Times New Roman"/>
      <w:sz w:val="24"/>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FB723A"/>
    <w:rPr>
      <w:rFonts w:ascii="Verdana" w:hAnsi="Verdana" w:cs="Times New Roman"/>
      <w:sz w:val="20"/>
      <w:vertAlign w:val="superscript"/>
    </w:rPr>
  </w:style>
  <w:style w:type="character" w:styleId="Hyperlink">
    <w:name w:val="Hyperlink"/>
    <w:aliases w:val="Heading 3 caso"/>
    <w:uiPriority w:val="99"/>
    <w:rsid w:val="00FB723A"/>
    <w:rPr>
      <w:rFonts w:cs="Times New Roman"/>
      <w:color w:val="0000FF"/>
      <w:u w:val="single"/>
    </w:rPr>
  </w:style>
  <w:style w:type="paragraph" w:styleId="TOC1">
    <w:name w:val="toc 1"/>
    <w:basedOn w:val="Normal"/>
    <w:next w:val="Normal"/>
    <w:autoRedefine/>
    <w:uiPriority w:val="39"/>
    <w:unhideWhenUsed/>
    <w:rsid w:val="00FE283C"/>
    <w:pPr>
      <w:tabs>
        <w:tab w:val="left" w:pos="0"/>
        <w:tab w:val="right" w:leader="dot" w:pos="8789"/>
        <w:tab w:val="left" w:pos="9072"/>
      </w:tabs>
      <w:jc w:val="both"/>
    </w:pPr>
    <w:rPr>
      <w:rFonts w:ascii="Verdana" w:hAnsi="Verdana" w:cs="Verdana"/>
      <w:b/>
      <w:caps/>
      <w:noProof/>
      <w:snapToGrid w:val="0"/>
      <w:sz w:val="20"/>
      <w:szCs w:val="20"/>
    </w:rPr>
  </w:style>
  <w:style w:type="paragraph" w:styleId="TOC2">
    <w:name w:val="toc 2"/>
    <w:basedOn w:val="Normal"/>
    <w:next w:val="Normal"/>
    <w:autoRedefine/>
    <w:uiPriority w:val="39"/>
    <w:unhideWhenUsed/>
    <w:rsid w:val="00FE283C"/>
    <w:pPr>
      <w:tabs>
        <w:tab w:val="left" w:pos="720"/>
        <w:tab w:val="right" w:leader="dot" w:pos="8789"/>
        <w:tab w:val="right" w:leader="dot" w:pos="8828"/>
        <w:tab w:val="left" w:pos="8931"/>
      </w:tabs>
      <w:ind w:left="238" w:right="571"/>
      <w:jc w:val="both"/>
    </w:pPr>
  </w:style>
  <w:style w:type="paragraph" w:styleId="TOC3">
    <w:name w:val="toc 3"/>
    <w:basedOn w:val="Normal"/>
    <w:next w:val="Normal"/>
    <w:autoRedefine/>
    <w:uiPriority w:val="39"/>
    <w:unhideWhenUsed/>
    <w:rsid w:val="00FE283C"/>
    <w:pPr>
      <w:tabs>
        <w:tab w:val="left" w:pos="960"/>
        <w:tab w:val="right" w:leader="dot" w:pos="8789"/>
        <w:tab w:val="right" w:leader="dot" w:pos="8828"/>
        <w:tab w:val="left" w:pos="9072"/>
      </w:tabs>
      <w:ind w:left="482" w:right="571"/>
      <w:contextualSpacing/>
      <w:jc w:val="both"/>
    </w:pPr>
  </w:style>
  <w:style w:type="paragraph" w:styleId="Footer">
    <w:name w:val="footer"/>
    <w:basedOn w:val="Normal"/>
    <w:link w:val="FooterChar"/>
    <w:uiPriority w:val="99"/>
    <w:unhideWhenUsed/>
    <w:rsid w:val="00FB723A"/>
    <w:pPr>
      <w:tabs>
        <w:tab w:val="center" w:pos="4419"/>
        <w:tab w:val="right" w:pos="8838"/>
      </w:tabs>
    </w:pPr>
  </w:style>
  <w:style w:type="character" w:customStyle="1" w:styleId="FooterChar">
    <w:name w:val="Footer Char"/>
    <w:basedOn w:val="DefaultParagraphFont"/>
    <w:link w:val="Footer"/>
    <w:uiPriority w:val="99"/>
    <w:rsid w:val="00FB723A"/>
    <w:rPr>
      <w:rFonts w:ascii="Times New Roman" w:eastAsia="Calibri" w:hAnsi="Times New Roman" w:cs="Times New Roman"/>
      <w:sz w:val="24"/>
      <w:szCs w:val="24"/>
      <w:lang w:val="es-ES_tradnl"/>
    </w:rPr>
  </w:style>
  <w:style w:type="character" w:styleId="CommentReference">
    <w:name w:val="annotation reference"/>
    <w:basedOn w:val="DefaultParagraphFont"/>
    <w:uiPriority w:val="99"/>
    <w:unhideWhenUsed/>
    <w:rsid w:val="00FB723A"/>
    <w:rPr>
      <w:sz w:val="16"/>
      <w:szCs w:val="16"/>
    </w:rPr>
  </w:style>
  <w:style w:type="character" w:customStyle="1" w:styleId="CommentTextChar">
    <w:name w:val="Comment Text Char"/>
    <w:basedOn w:val="DefaultParagraphFont"/>
    <w:link w:val="CommentText"/>
    <w:uiPriority w:val="99"/>
    <w:rsid w:val="00FB723A"/>
    <w:rPr>
      <w:rFonts w:ascii="Times New Roman" w:eastAsia="Calibri" w:hAnsi="Times New Roman" w:cs="Times New Roman"/>
      <w:sz w:val="20"/>
      <w:szCs w:val="20"/>
      <w:lang w:val="es-ES_tradnl"/>
    </w:rPr>
  </w:style>
  <w:style w:type="paragraph" w:styleId="CommentText">
    <w:name w:val="annotation text"/>
    <w:basedOn w:val="Normal"/>
    <w:link w:val="CommentTextChar"/>
    <w:uiPriority w:val="99"/>
    <w:unhideWhenUsed/>
    <w:rsid w:val="00FB723A"/>
    <w:rPr>
      <w:sz w:val="20"/>
      <w:szCs w:val="20"/>
    </w:rPr>
  </w:style>
  <w:style w:type="character" w:customStyle="1" w:styleId="CommentTextChar1">
    <w:name w:val="Comment Text Char1"/>
    <w:basedOn w:val="DefaultParagraphFont"/>
    <w:uiPriority w:val="99"/>
    <w:semiHidden/>
    <w:rsid w:val="00FB723A"/>
    <w:rPr>
      <w:rFonts w:ascii="Times New Roman" w:eastAsia="Calibri" w:hAnsi="Times New Roman" w:cs="Times New Roman"/>
      <w:sz w:val="20"/>
      <w:szCs w:val="20"/>
      <w:lang w:val="es-ES_tradnl"/>
    </w:rPr>
  </w:style>
  <w:style w:type="character" w:customStyle="1" w:styleId="TextocomentarioCar1">
    <w:name w:val="Texto comentario Car1"/>
    <w:basedOn w:val="DefaultParagraphFont"/>
    <w:uiPriority w:val="99"/>
    <w:semiHidden/>
    <w:rsid w:val="00FB723A"/>
    <w:rPr>
      <w:rFonts w:ascii="Times New Roman" w:eastAsia="Calibri" w:hAnsi="Times New Roman" w:cs="Times New Roman"/>
      <w:sz w:val="20"/>
      <w:szCs w:val="20"/>
      <w:lang w:val="es-ES_tradnl"/>
    </w:rPr>
  </w:style>
  <w:style w:type="character" w:customStyle="1" w:styleId="apple-converted-space">
    <w:name w:val="apple-converted-space"/>
    <w:basedOn w:val="DefaultParagraphFont"/>
    <w:rsid w:val="00FB723A"/>
  </w:style>
  <w:style w:type="character" w:styleId="Strong">
    <w:name w:val="Strong"/>
    <w:basedOn w:val="DefaultParagraphFont"/>
    <w:uiPriority w:val="22"/>
    <w:qFormat/>
    <w:rsid w:val="00FB723A"/>
    <w:rPr>
      <w:b/>
      <w:bCs/>
    </w:rPr>
  </w:style>
  <w:style w:type="paragraph" w:styleId="BalloonText">
    <w:name w:val="Balloon Text"/>
    <w:basedOn w:val="Normal"/>
    <w:link w:val="BalloonTextChar"/>
    <w:uiPriority w:val="99"/>
    <w:semiHidden/>
    <w:unhideWhenUsed/>
    <w:rsid w:val="00FB723A"/>
    <w:rPr>
      <w:rFonts w:ascii="Tahoma" w:hAnsi="Tahoma" w:cs="Tahoma"/>
      <w:sz w:val="16"/>
      <w:szCs w:val="16"/>
    </w:rPr>
  </w:style>
  <w:style w:type="character" w:customStyle="1" w:styleId="BalloonTextChar">
    <w:name w:val="Balloon Text Char"/>
    <w:basedOn w:val="DefaultParagraphFont"/>
    <w:link w:val="BalloonText"/>
    <w:uiPriority w:val="99"/>
    <w:semiHidden/>
    <w:rsid w:val="00FB723A"/>
    <w:rPr>
      <w:rFonts w:ascii="Tahoma" w:eastAsia="Calibri" w:hAnsi="Tahoma" w:cs="Tahoma"/>
      <w:sz w:val="16"/>
      <w:szCs w:val="16"/>
      <w:lang w:val="es-ES_tradnl"/>
    </w:rPr>
  </w:style>
  <w:style w:type="paragraph" w:styleId="Header">
    <w:name w:val="header"/>
    <w:basedOn w:val="Normal"/>
    <w:link w:val="HeaderChar"/>
    <w:uiPriority w:val="99"/>
    <w:unhideWhenUsed/>
    <w:rsid w:val="00FB723A"/>
    <w:pPr>
      <w:tabs>
        <w:tab w:val="center" w:pos="4419"/>
        <w:tab w:val="right" w:pos="8838"/>
      </w:tabs>
    </w:pPr>
    <w:rPr>
      <w:rFonts w:asciiTheme="minorHAnsi" w:eastAsiaTheme="minorHAnsi" w:hAnsiTheme="minorHAnsi" w:cstheme="minorBidi"/>
      <w:sz w:val="22"/>
      <w:szCs w:val="22"/>
      <w:lang w:val="es-CR"/>
    </w:rPr>
  </w:style>
  <w:style w:type="character" w:customStyle="1" w:styleId="HeaderChar">
    <w:name w:val="Header Char"/>
    <w:basedOn w:val="DefaultParagraphFont"/>
    <w:link w:val="Header"/>
    <w:uiPriority w:val="99"/>
    <w:rsid w:val="00FB723A"/>
    <w:rPr>
      <w:lang w:val="es-CR"/>
    </w:rPr>
  </w:style>
  <w:style w:type="paragraph" w:styleId="CommentSubject">
    <w:name w:val="annotation subject"/>
    <w:basedOn w:val="CommentText"/>
    <w:next w:val="CommentText"/>
    <w:link w:val="CommentSubjectChar"/>
    <w:uiPriority w:val="99"/>
    <w:semiHidden/>
    <w:unhideWhenUsed/>
    <w:rsid w:val="00FB723A"/>
    <w:pPr>
      <w:spacing w:after="200"/>
    </w:pPr>
    <w:rPr>
      <w:rFonts w:asciiTheme="minorHAnsi" w:eastAsiaTheme="minorHAnsi" w:hAnsiTheme="minorHAnsi" w:cstheme="minorBidi"/>
      <w:b/>
      <w:bCs/>
      <w:lang w:val="es-CR"/>
    </w:rPr>
  </w:style>
  <w:style w:type="character" w:customStyle="1" w:styleId="CommentSubjectChar">
    <w:name w:val="Comment Subject Char"/>
    <w:basedOn w:val="CommentTextChar1"/>
    <w:link w:val="CommentSubject"/>
    <w:uiPriority w:val="99"/>
    <w:semiHidden/>
    <w:rsid w:val="00FB723A"/>
    <w:rPr>
      <w:rFonts w:ascii="Times New Roman" w:eastAsia="Calibri" w:hAnsi="Times New Roman" w:cs="Times New Roman"/>
      <w:b/>
      <w:bCs/>
      <w:sz w:val="20"/>
      <w:szCs w:val="20"/>
      <w:lang w:val="es-CR"/>
    </w:rPr>
  </w:style>
  <w:style w:type="paragraph" w:customStyle="1" w:styleId="Footnotes">
    <w:name w:val="**. Footnotes"/>
    <w:basedOn w:val="FootnoteText"/>
    <w:link w:val="FootnotesChar"/>
    <w:autoRedefine/>
    <w:qFormat/>
    <w:rsid w:val="00FB723A"/>
    <w:pPr>
      <w:spacing w:before="120"/>
    </w:pPr>
    <w:rPr>
      <w:rFonts w:cs="Palatino-Italic"/>
      <w:iCs/>
      <w:lang w:eastAsia="en-US"/>
    </w:rPr>
  </w:style>
  <w:style w:type="character" w:customStyle="1" w:styleId="FootnotesChar">
    <w:name w:val="**. Footnotes Char"/>
    <w:basedOn w:val="DefaultParagraphFont"/>
    <w:link w:val="Footnotes"/>
    <w:rsid w:val="00FB723A"/>
    <w:rPr>
      <w:rFonts w:ascii="Verdana" w:eastAsia="Batang" w:hAnsi="Verdana" w:cs="Palatino-Italic"/>
      <w:iCs/>
      <w:sz w:val="16"/>
      <w:szCs w:val="16"/>
      <w:lang w:val="es-ES"/>
    </w:rPr>
  </w:style>
  <w:style w:type="character" w:customStyle="1" w:styleId="apple-style-span">
    <w:name w:val="apple-style-span"/>
    <w:basedOn w:val="DefaultParagraphFont"/>
    <w:rsid w:val="00FB723A"/>
    <w:rPr>
      <w:rFonts w:cs="Times New Roman"/>
    </w:rPr>
  </w:style>
  <w:style w:type="paragraph" w:customStyle="1" w:styleId="Default">
    <w:name w:val="Default"/>
    <w:rsid w:val="00FB723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B723A"/>
    <w:pPr>
      <w:spacing w:after="0" w:line="240" w:lineRule="auto"/>
    </w:pPr>
  </w:style>
  <w:style w:type="character" w:customStyle="1" w:styleId="Ttulo1">
    <w:name w:val="Título1"/>
    <w:basedOn w:val="DefaultParagraphFont"/>
    <w:rsid w:val="00FB723A"/>
  </w:style>
  <w:style w:type="paragraph" w:styleId="NoSpacing">
    <w:name w:val="No Spacing"/>
    <w:uiPriority w:val="1"/>
    <w:qFormat/>
    <w:rsid w:val="00FB723A"/>
    <w:pPr>
      <w:spacing w:after="0" w:line="240" w:lineRule="auto"/>
    </w:pPr>
    <w:rPr>
      <w:rFonts w:eastAsiaTheme="minorEastAsia"/>
    </w:rPr>
  </w:style>
  <w:style w:type="paragraph" w:styleId="TOC4">
    <w:name w:val="toc 4"/>
    <w:basedOn w:val="Normal"/>
    <w:next w:val="Normal"/>
    <w:autoRedefine/>
    <w:uiPriority w:val="39"/>
    <w:unhideWhenUsed/>
    <w:rsid w:val="00FB723A"/>
    <w:pPr>
      <w:spacing w:after="100"/>
      <w:ind w:left="720"/>
    </w:pPr>
  </w:style>
  <w:style w:type="character" w:customStyle="1" w:styleId="PiedepginaCar1">
    <w:name w:val="Pie de página Car1"/>
    <w:basedOn w:val="DefaultParagraphFont"/>
    <w:semiHidden/>
    <w:rsid w:val="00FB723A"/>
    <w:rPr>
      <w:rFonts w:ascii="Times" w:eastAsia="Times New Roman" w:hAnsi="Times" w:cs="Times New Roman"/>
      <w:snapToGrid w:val="0"/>
      <w:sz w:val="24"/>
      <w:szCs w:val="24"/>
      <w:lang w:val="es-ES_tradnl" w:eastAsia="es-ES"/>
    </w:rPr>
  </w:style>
  <w:style w:type="paragraph" w:styleId="TOC5">
    <w:name w:val="toc 5"/>
    <w:basedOn w:val="Normal"/>
    <w:next w:val="Normal"/>
    <w:autoRedefine/>
    <w:uiPriority w:val="39"/>
    <w:unhideWhenUsed/>
    <w:rsid w:val="00FB723A"/>
    <w:pPr>
      <w:spacing w:after="100"/>
      <w:ind w:left="960"/>
    </w:pPr>
  </w:style>
  <w:style w:type="character" w:styleId="LineNumber">
    <w:name w:val="line number"/>
    <w:basedOn w:val="DefaultParagraphFont"/>
    <w:uiPriority w:val="99"/>
    <w:unhideWhenUsed/>
    <w:rsid w:val="00FB723A"/>
    <w:rPr>
      <w:rFonts w:ascii="Verdana" w:hAnsi="Verdana"/>
      <w:sz w:val="20"/>
    </w:rPr>
  </w:style>
  <w:style w:type="paragraph" w:customStyle="1" w:styleId="PrrafodeSentencia">
    <w:name w:val="*. Párrafo de Sentencia"/>
    <w:link w:val="PrrafodeSentenciaChar"/>
    <w:autoRedefine/>
    <w:qFormat/>
    <w:rsid w:val="00FB723A"/>
    <w:pPr>
      <w:tabs>
        <w:tab w:val="left" w:pos="0"/>
        <w:tab w:val="left" w:pos="567"/>
      </w:tabs>
      <w:spacing w:after="0" w:line="240" w:lineRule="auto"/>
      <w:jc w:val="both"/>
    </w:pPr>
    <w:rPr>
      <w:rFonts w:ascii="Verdana" w:eastAsia="Batang" w:hAnsi="Verdana" w:cs="Times New Roman"/>
      <w:sz w:val="16"/>
      <w:szCs w:val="16"/>
      <w:lang w:val="es-MX" w:eastAsia="es-MX"/>
    </w:rPr>
  </w:style>
  <w:style w:type="character" w:customStyle="1" w:styleId="hps">
    <w:name w:val="hps"/>
    <w:basedOn w:val="DefaultParagraphFont"/>
    <w:rsid w:val="00FB723A"/>
  </w:style>
  <w:style w:type="paragraph" w:styleId="HTMLPreformatted">
    <w:name w:val="HTML Preformatted"/>
    <w:basedOn w:val="Normal"/>
    <w:link w:val="HTMLPreformattedChar"/>
    <w:uiPriority w:val="99"/>
    <w:unhideWhenUsed/>
    <w:rsid w:val="00FB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FB723A"/>
    <w:rPr>
      <w:rFonts w:ascii="Courier New" w:eastAsia="Times New Roman" w:hAnsi="Courier New" w:cs="Times New Roman"/>
      <w:sz w:val="20"/>
      <w:szCs w:val="20"/>
      <w:lang w:val="es-ES_tradnl"/>
    </w:rPr>
  </w:style>
  <w:style w:type="paragraph" w:customStyle="1" w:styleId="2Footnotes">
    <w:name w:val="2. Footnotes"/>
    <w:basedOn w:val="FootnoteText"/>
    <w:link w:val="2FootnotesChar"/>
    <w:autoRedefine/>
    <w:qFormat/>
    <w:rsid w:val="00FB723A"/>
    <w:pPr>
      <w:tabs>
        <w:tab w:val="clear" w:pos="567"/>
      </w:tabs>
      <w:spacing w:before="120"/>
    </w:pPr>
    <w:rPr>
      <w:rFonts w:eastAsia="Times New Roman" w:cs="Palatino-Italic"/>
      <w:iCs/>
      <w:noProof/>
      <w:szCs w:val="18"/>
      <w:lang w:eastAsia="en-US"/>
    </w:rPr>
  </w:style>
  <w:style w:type="character" w:customStyle="1" w:styleId="2FootnotesChar">
    <w:name w:val="2. Footnotes Char"/>
    <w:link w:val="2Footnotes"/>
    <w:rsid w:val="00FB723A"/>
    <w:rPr>
      <w:rFonts w:ascii="Verdana" w:eastAsia="Times New Roman" w:hAnsi="Verdana" w:cs="Palatino-Italic"/>
      <w:iCs/>
      <w:noProof/>
      <w:sz w:val="16"/>
      <w:szCs w:val="18"/>
      <w:lang w:val="es-ES"/>
    </w:rPr>
  </w:style>
  <w:style w:type="character" w:customStyle="1" w:styleId="PrrafodeSentenciaChar">
    <w:name w:val="*. Párrafo de Sentencia Char"/>
    <w:link w:val="PrrafodeSentencia"/>
    <w:rsid w:val="00FB723A"/>
    <w:rPr>
      <w:rFonts w:ascii="Verdana" w:eastAsia="Batang" w:hAnsi="Verdana" w:cs="Times New Roman"/>
      <w:sz w:val="16"/>
      <w:szCs w:val="16"/>
      <w:lang w:val="es-MX" w:eastAsia="es-MX"/>
    </w:rPr>
  </w:style>
  <w:style w:type="character" w:styleId="FollowedHyperlink">
    <w:name w:val="FollowedHyperlink"/>
    <w:basedOn w:val="DefaultParagraphFont"/>
    <w:uiPriority w:val="99"/>
    <w:semiHidden/>
    <w:unhideWhenUsed/>
    <w:rsid w:val="00FB723A"/>
    <w:rPr>
      <w:color w:val="800080" w:themeColor="followedHyperlink"/>
      <w:u w:val="single"/>
    </w:rPr>
  </w:style>
  <w:style w:type="paragraph" w:styleId="NormalWeb">
    <w:name w:val="Normal (Web)"/>
    <w:aliases w:val="Normal (Web) Char1,Normal (Web) Char Char,Normal (Web) Char1 Char,Normal (Web) Char Char Char"/>
    <w:basedOn w:val="Normal"/>
    <w:uiPriority w:val="99"/>
    <w:unhideWhenUsed/>
    <w:rsid w:val="00FB723A"/>
    <w:pPr>
      <w:spacing w:before="100" w:beforeAutospacing="1" w:after="100" w:afterAutospacing="1"/>
    </w:pPr>
    <w:rPr>
      <w:rFonts w:eastAsia="Times New Roman"/>
      <w:lang w:val="es-CR" w:eastAsia="es-CR"/>
    </w:rPr>
  </w:style>
  <w:style w:type="paragraph" w:customStyle="1" w:styleId="xmsonormal">
    <w:name w:val="x_msonormal"/>
    <w:basedOn w:val="Normal"/>
    <w:rsid w:val="00FB723A"/>
    <w:pPr>
      <w:spacing w:before="100" w:beforeAutospacing="1" w:after="100" w:afterAutospacing="1"/>
    </w:pPr>
    <w:rPr>
      <w:rFonts w:eastAsia="Times New Roman"/>
      <w:lang w:val="en-US"/>
    </w:rPr>
  </w:style>
  <w:style w:type="paragraph" w:customStyle="1" w:styleId="HChG">
    <w:name w:val="_ H _Ch_G"/>
    <w:basedOn w:val="Normal"/>
    <w:next w:val="Normal"/>
    <w:rsid w:val="00FB723A"/>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FB723A"/>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Estilo1">
    <w:name w:val="Estilo1"/>
    <w:basedOn w:val="ListParagraph"/>
    <w:link w:val="Estilo1Car"/>
    <w:qFormat/>
    <w:rsid w:val="00FB723A"/>
    <w:pPr>
      <w:numPr>
        <w:numId w:val="4"/>
      </w:numPr>
      <w:spacing w:after="240"/>
      <w:contextualSpacing w:val="0"/>
      <w:jc w:val="both"/>
    </w:pPr>
    <w:rPr>
      <w:lang w:val="es-UY"/>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DefaultParagraphFont"/>
    <w:locked/>
    <w:rsid w:val="00FB723A"/>
    <w:rPr>
      <w:rFonts w:ascii="Verdana" w:eastAsia="MS Mincho" w:hAnsi="Verdana" w:cs="Times"/>
      <w:sz w:val="16"/>
      <w:szCs w:val="24"/>
      <w:lang w:val="es-ES_tradnl"/>
    </w:rPr>
  </w:style>
  <w:style w:type="character" w:customStyle="1" w:styleId="Smbolodenotaalpie">
    <w:name w:val="Símbolo de nota al pie"/>
    <w:rsid w:val="00FB723A"/>
    <w:rPr>
      <w:vertAlign w:val="superscript"/>
    </w:rPr>
  </w:style>
  <w:style w:type="paragraph" w:styleId="BodyText">
    <w:name w:val="Body Text"/>
    <w:basedOn w:val="Normal"/>
    <w:link w:val="BodyTextChar"/>
    <w:uiPriority w:val="99"/>
    <w:semiHidden/>
    <w:unhideWhenUsed/>
    <w:rsid w:val="00FB723A"/>
    <w:pPr>
      <w:jc w:val="both"/>
    </w:pPr>
    <w:rPr>
      <w:rFonts w:ascii="Garamond" w:eastAsia="Times" w:hAnsi="Garamond"/>
      <w:noProof/>
      <w:sz w:val="22"/>
      <w:szCs w:val="20"/>
    </w:rPr>
  </w:style>
  <w:style w:type="character" w:customStyle="1" w:styleId="BodyTextChar">
    <w:name w:val="Body Text Char"/>
    <w:basedOn w:val="DefaultParagraphFont"/>
    <w:link w:val="BodyText"/>
    <w:uiPriority w:val="99"/>
    <w:semiHidden/>
    <w:rsid w:val="00FB723A"/>
    <w:rPr>
      <w:rFonts w:ascii="Garamond" w:eastAsia="Times" w:hAnsi="Garamond" w:cs="Times New Roman"/>
      <w:noProof/>
      <w:szCs w:val="20"/>
      <w:lang w:val="es-ES_tradnl"/>
    </w:rPr>
  </w:style>
  <w:style w:type="character" w:customStyle="1" w:styleId="Estilo1Car">
    <w:name w:val="Estilo1 Car"/>
    <w:link w:val="Estilo1"/>
    <w:locked/>
    <w:rsid w:val="00FB723A"/>
    <w:rPr>
      <w:rFonts w:ascii="Times New Roman" w:eastAsia="Calibri" w:hAnsi="Times New Roman" w:cs="Times New Roman"/>
      <w:sz w:val="24"/>
      <w:szCs w:val="24"/>
      <w:lang w:val="es-UY"/>
    </w:rPr>
  </w:style>
  <w:style w:type="paragraph" w:styleId="BodyTextIndent">
    <w:name w:val="Body Text Indent"/>
    <w:basedOn w:val="Normal"/>
    <w:link w:val="BodyTextIndentChar"/>
    <w:uiPriority w:val="99"/>
    <w:semiHidden/>
    <w:unhideWhenUsed/>
    <w:rsid w:val="00FB723A"/>
    <w:pPr>
      <w:spacing w:after="120"/>
      <w:ind w:left="283"/>
    </w:pPr>
  </w:style>
  <w:style w:type="character" w:customStyle="1" w:styleId="BodyTextIndentChar">
    <w:name w:val="Body Text Indent Char"/>
    <w:basedOn w:val="DefaultParagraphFont"/>
    <w:link w:val="BodyTextIndent"/>
    <w:uiPriority w:val="99"/>
    <w:semiHidden/>
    <w:rsid w:val="00FB723A"/>
    <w:rPr>
      <w:rFonts w:ascii="Times New Roman" w:eastAsia="Calibri" w:hAnsi="Times New Roman" w:cs="Times New Roman"/>
      <w:sz w:val="24"/>
      <w:szCs w:val="24"/>
      <w:lang w:val="es-ES_tradnl"/>
    </w:rPr>
  </w:style>
  <w:style w:type="character" w:customStyle="1" w:styleId="Estilo1Char">
    <w:name w:val="Estilo1 Char"/>
    <w:rsid w:val="00FB723A"/>
    <w:rPr>
      <w:rFonts w:ascii="Verdana" w:eastAsia="Calibri" w:hAnsi="Verdana" w:cs="Times New Roman"/>
      <w:sz w:val="20"/>
      <w:szCs w:val="20"/>
      <w:lang w:val="es-ES"/>
    </w:rPr>
  </w:style>
  <w:style w:type="paragraph" w:customStyle="1" w:styleId="Estilo2">
    <w:name w:val="Estilo2"/>
    <w:basedOn w:val="Normal"/>
    <w:qFormat/>
    <w:rsid w:val="00FB723A"/>
    <w:pPr>
      <w:tabs>
        <w:tab w:val="left" w:pos="567"/>
        <w:tab w:val="left" w:pos="1134"/>
        <w:tab w:val="num" w:pos="4767"/>
      </w:tabs>
      <w:spacing w:after="120"/>
      <w:ind w:left="4767" w:hanging="360"/>
      <w:jc w:val="both"/>
    </w:pPr>
    <w:rPr>
      <w:rFonts w:ascii="Verdana" w:hAnsi="Verdana"/>
      <w:sz w:val="20"/>
      <w:szCs w:val="20"/>
      <w:lang w:val="es-ES"/>
    </w:rPr>
  </w:style>
  <w:style w:type="paragraph" w:styleId="BodyTextIndent3">
    <w:name w:val="Body Text Indent 3"/>
    <w:basedOn w:val="Normal"/>
    <w:link w:val="BodyTextIndent3Char"/>
    <w:rsid w:val="00FB723A"/>
    <w:pPr>
      <w:ind w:left="720"/>
      <w:jc w:val="both"/>
    </w:pPr>
    <w:rPr>
      <w:rFonts w:ascii="Verdana" w:eastAsia="Times" w:hAnsi="Verdana"/>
      <w:b/>
      <w:sz w:val="22"/>
      <w:szCs w:val="20"/>
      <w:lang w:eastAsia="es-ES"/>
    </w:rPr>
  </w:style>
  <w:style w:type="character" w:customStyle="1" w:styleId="BodyTextIndent3Char">
    <w:name w:val="Body Text Indent 3 Char"/>
    <w:basedOn w:val="DefaultParagraphFont"/>
    <w:link w:val="BodyTextIndent3"/>
    <w:rsid w:val="00FB723A"/>
    <w:rPr>
      <w:rFonts w:ascii="Verdana" w:eastAsia="Times" w:hAnsi="Verdana" w:cs="Times New Roman"/>
      <w:b/>
      <w:szCs w:val="20"/>
      <w:lang w:val="es-ES_tradnl" w:eastAsia="es-ES"/>
    </w:rPr>
  </w:style>
  <w:style w:type="paragraph" w:customStyle="1" w:styleId="Estilo7">
    <w:name w:val="Estilo7"/>
    <w:basedOn w:val="Normal"/>
    <w:qFormat/>
    <w:rsid w:val="00FB723A"/>
    <w:pPr>
      <w:tabs>
        <w:tab w:val="left" w:pos="567"/>
        <w:tab w:val="left" w:pos="851"/>
        <w:tab w:val="num" w:pos="2160"/>
      </w:tabs>
      <w:spacing w:before="120" w:after="120"/>
      <w:ind w:left="2160" w:hanging="180"/>
      <w:jc w:val="both"/>
    </w:pPr>
    <w:rPr>
      <w:rFonts w:ascii="Verdana" w:eastAsia="Batang" w:hAnsi="Verdana"/>
      <w:b/>
      <w:i/>
      <w:sz w:val="20"/>
      <w:szCs w:val="20"/>
      <w:lang w:eastAsia="es-MX"/>
    </w:rPr>
  </w:style>
  <w:style w:type="paragraph" w:customStyle="1" w:styleId="Sangradetindependiente">
    <w:name w:val="Sangr’a de t. independiente"/>
    <w:basedOn w:val="Normal"/>
    <w:rsid w:val="00FB723A"/>
    <w:pPr>
      <w:overflowPunct w:val="0"/>
      <w:autoSpaceDE w:val="0"/>
      <w:autoSpaceDN w:val="0"/>
      <w:adjustRightInd w:val="0"/>
      <w:jc w:val="both"/>
      <w:textAlignment w:val="baseline"/>
    </w:pPr>
    <w:rPr>
      <w:rFonts w:eastAsia="Times New Roman"/>
      <w:szCs w:val="20"/>
      <w:lang w:eastAsia="es-ES"/>
    </w:rPr>
  </w:style>
  <w:style w:type="paragraph" w:styleId="EndnoteText">
    <w:name w:val="endnote text"/>
    <w:basedOn w:val="Normal"/>
    <w:link w:val="EndnoteTextChar"/>
    <w:rsid w:val="00FB723A"/>
    <w:rPr>
      <w:rFonts w:ascii="Verdana" w:eastAsia="Times" w:hAnsi="Verdana"/>
      <w:sz w:val="20"/>
      <w:szCs w:val="20"/>
      <w:lang w:val="es-CR"/>
    </w:rPr>
  </w:style>
  <w:style w:type="character" w:customStyle="1" w:styleId="EndnoteTextChar">
    <w:name w:val="Endnote Text Char"/>
    <w:basedOn w:val="DefaultParagraphFont"/>
    <w:link w:val="EndnoteText"/>
    <w:rsid w:val="00FB723A"/>
    <w:rPr>
      <w:rFonts w:ascii="Verdana" w:eastAsia="Times" w:hAnsi="Verdana" w:cs="Times New Roman"/>
      <w:sz w:val="20"/>
      <w:szCs w:val="20"/>
      <w:lang w:val="es-CR"/>
    </w:rPr>
  </w:style>
  <w:style w:type="character" w:styleId="EndnoteReference">
    <w:name w:val="endnote reference"/>
    <w:basedOn w:val="DefaultParagraphFont"/>
    <w:semiHidden/>
    <w:rsid w:val="00FB723A"/>
    <w:rPr>
      <w:vertAlign w:val="superscript"/>
    </w:rPr>
  </w:style>
  <w:style w:type="character" w:customStyle="1" w:styleId="Caracteresdenotafinal">
    <w:name w:val="Caracteres de nota final"/>
    <w:basedOn w:val="DefaultParagraphFont"/>
    <w:rsid w:val="00FB723A"/>
    <w:rPr>
      <w:vertAlign w:val="superscript"/>
    </w:rPr>
  </w:style>
  <w:style w:type="character" w:customStyle="1" w:styleId="normalchar1">
    <w:name w:val="normal__char1"/>
    <w:basedOn w:val="DefaultParagraphFont"/>
    <w:rsid w:val="00FB723A"/>
    <w:rPr>
      <w:rFonts w:ascii="Verdana" w:hAnsi="Verdana" w:hint="default"/>
      <w:sz w:val="20"/>
      <w:szCs w:val="20"/>
    </w:rPr>
  </w:style>
  <w:style w:type="character" w:customStyle="1" w:styleId="FootnoteTextCharCar">
    <w:name w:val="Footnote Text Char Car"/>
    <w:aliases w:val="FA Car,Note de bas de page Car Car Car"/>
    <w:basedOn w:val="DefaultParagraphFont"/>
    <w:uiPriority w:val="99"/>
    <w:locked/>
    <w:rsid w:val="00FB723A"/>
  </w:style>
  <w:style w:type="character" w:customStyle="1" w:styleId="sb8d990e2">
    <w:name w:val="sb8d990e2"/>
    <w:uiPriority w:val="99"/>
    <w:rsid w:val="00FB723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B723A"/>
    <w:pPr>
      <w:jc w:val="both"/>
    </w:pPr>
    <w:rPr>
      <w:rFonts w:ascii="Verdana" w:eastAsiaTheme="minorHAnsi" w:hAnsi="Verdana"/>
      <w:sz w:val="20"/>
      <w:szCs w:val="22"/>
      <w:vertAlign w:val="superscript"/>
      <w:lang w:val="en-US"/>
    </w:rPr>
  </w:style>
  <w:style w:type="paragraph" w:customStyle="1" w:styleId="Prrafodelista2">
    <w:name w:val="Párrafo de lista2"/>
    <w:basedOn w:val="Normal"/>
    <w:uiPriority w:val="99"/>
    <w:rsid w:val="00FB723A"/>
    <w:pPr>
      <w:ind w:left="720"/>
    </w:pPr>
    <w:rPr>
      <w:rFonts w:ascii="Verdana" w:eastAsia="MS Mincho" w:hAnsi="Verdana"/>
      <w:sz w:val="20"/>
      <w:szCs w:val="20"/>
      <w:lang w:bidi="en-US"/>
    </w:rPr>
  </w:style>
  <w:style w:type="character" w:customStyle="1" w:styleId="st1">
    <w:name w:val="st1"/>
    <w:basedOn w:val="DefaultParagraphFont"/>
    <w:rsid w:val="00CF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8170">
      <w:bodyDiv w:val="1"/>
      <w:marLeft w:val="0"/>
      <w:marRight w:val="0"/>
      <w:marTop w:val="0"/>
      <w:marBottom w:val="0"/>
      <w:divBdr>
        <w:top w:val="none" w:sz="0" w:space="0" w:color="auto"/>
        <w:left w:val="none" w:sz="0" w:space="0" w:color="auto"/>
        <w:bottom w:val="none" w:sz="0" w:space="0" w:color="auto"/>
        <w:right w:val="none" w:sz="0" w:space="0" w:color="auto"/>
      </w:divBdr>
    </w:div>
    <w:div w:id="462967146">
      <w:bodyDiv w:val="1"/>
      <w:marLeft w:val="0"/>
      <w:marRight w:val="0"/>
      <w:marTop w:val="0"/>
      <w:marBottom w:val="0"/>
      <w:divBdr>
        <w:top w:val="none" w:sz="0" w:space="0" w:color="auto"/>
        <w:left w:val="none" w:sz="0" w:space="0" w:color="auto"/>
        <w:bottom w:val="none" w:sz="0" w:space="0" w:color="auto"/>
        <w:right w:val="none" w:sz="0" w:space="0" w:color="auto"/>
      </w:divBdr>
    </w:div>
    <w:div w:id="7946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peru21.pe/economia/23-anos-despues-clae-todavia-sigues-creyendo-empresas-que-te-estafan-2217766" TargetMode="External"/><Relationship Id="rId7" Type="http://schemas.openxmlformats.org/officeDocument/2006/relationships/hyperlink" Target="http://www.corteidh.or.cr/docs/asuntos/zegarra_17_12_15.pdf" TargetMode="External"/><Relationship Id="rId2" Type="http://schemas.openxmlformats.org/officeDocument/2006/relationships/hyperlink" Target="http://www.corteidh.or.cr/docs/asuntos/zegarra_17_12_15.pdf" TargetMode="External"/><Relationship Id="rId1" Type="http://schemas.openxmlformats.org/officeDocument/2006/relationships/hyperlink" Target="http://www.corteidh.or.cr/docs/asuntos/zegarra_17_12_15.pdf" TargetMode="External"/><Relationship Id="rId6" Type="http://schemas.openxmlformats.org/officeDocument/2006/relationships/hyperlink" Target="http://www.corteidh.or.cr/docs/casos/articulos/seriec_182_esp.pdf" TargetMode="External"/><Relationship Id="rId5" Type="http://schemas.openxmlformats.org/officeDocument/2006/relationships/hyperlink" Target="http://www.corteidh.or.cr/docs/casos/articulos/seriec_275_esp.pdf" TargetMode="External"/><Relationship Id="rId4" Type="http://schemas.openxmlformats.org/officeDocument/2006/relationships/hyperlink" Target="http://www.corteidh.or.cr/docs/casos/articulos/seriec_137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BA68-7C2A-499E-97D3-72838097C42D}">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0CD8A6-0281-4354-9DC8-7D86DB7CF8D7}">
  <ds:schemaRefs>
    <ds:schemaRef ds:uri="http://schemas.microsoft.com/sharepoint/v3/contenttype/forms"/>
  </ds:schemaRefs>
</ds:datastoreItem>
</file>

<file path=customXml/itemProps3.xml><?xml version="1.0" encoding="utf-8"?>
<ds:datastoreItem xmlns:ds="http://schemas.openxmlformats.org/officeDocument/2006/customXml" ds:itemID="{19187588-BF86-43D5-A533-852AE3F71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75257C-69E7-408E-9114-B010E1DC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27195</Words>
  <Characters>149573</Characters>
  <Application>Microsoft Office Word</Application>
  <DocSecurity>4</DocSecurity>
  <Lines>1246</Lines>
  <Paragraphs>352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2017-05-11T18:33:00Z</cp:lastPrinted>
  <dcterms:created xsi:type="dcterms:W3CDTF">2017-05-11T20:55:00Z</dcterms:created>
  <dcterms:modified xsi:type="dcterms:W3CDTF">2017-05-11T20:55:00Z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