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98189" w14:textId="77777777" w:rsidR="00232925" w:rsidRPr="00232925" w:rsidRDefault="00232925" w:rsidP="00B811D7">
      <w:pPr>
        <w:ind w:left="-142" w:right="-138"/>
        <w:jc w:val="center"/>
        <w:rPr>
          <w:rFonts w:eastAsia="MS Mincho" w:cs="Times New Roman"/>
          <w:b/>
          <w:szCs w:val="20"/>
          <w:lang w:val="pt-BR"/>
        </w:rPr>
      </w:pPr>
    </w:p>
    <w:p w14:paraId="534B2030" w14:textId="77777777" w:rsidR="00232925" w:rsidRPr="00232925" w:rsidRDefault="00232925" w:rsidP="00B811D7">
      <w:pPr>
        <w:ind w:left="-142" w:right="-138"/>
        <w:jc w:val="center"/>
        <w:rPr>
          <w:rFonts w:eastAsia="MS Mincho" w:cs="Times New Roman"/>
          <w:b/>
          <w:szCs w:val="20"/>
          <w:lang w:val="pt-BR"/>
        </w:rPr>
      </w:pPr>
    </w:p>
    <w:p w14:paraId="041EACDB" w14:textId="77777777" w:rsidR="00232925" w:rsidRPr="00232925" w:rsidRDefault="00232925" w:rsidP="00B811D7">
      <w:pPr>
        <w:ind w:left="-142" w:right="-138"/>
        <w:jc w:val="center"/>
        <w:rPr>
          <w:rFonts w:eastAsia="MS Mincho" w:cs="Times New Roman"/>
          <w:b/>
          <w:szCs w:val="20"/>
          <w:lang w:val="pt-BR"/>
        </w:rPr>
      </w:pPr>
    </w:p>
    <w:p w14:paraId="27D9F1C0" w14:textId="77777777" w:rsidR="00232925" w:rsidRPr="00232925" w:rsidRDefault="00232925" w:rsidP="00B811D7">
      <w:pPr>
        <w:ind w:left="-142" w:right="-138"/>
        <w:jc w:val="center"/>
        <w:rPr>
          <w:rFonts w:eastAsia="MS Mincho" w:cs="Times New Roman"/>
          <w:b/>
          <w:szCs w:val="20"/>
          <w:lang w:val="pt-BR"/>
        </w:rPr>
      </w:pPr>
    </w:p>
    <w:p w14:paraId="6F1C2252" w14:textId="77777777" w:rsidR="00232925" w:rsidRPr="00232925" w:rsidRDefault="00232925" w:rsidP="00B811D7">
      <w:pPr>
        <w:ind w:left="-142" w:right="-138"/>
        <w:jc w:val="center"/>
        <w:rPr>
          <w:rFonts w:eastAsia="MS Mincho" w:cs="Times New Roman"/>
          <w:b/>
          <w:szCs w:val="20"/>
          <w:lang w:val="pt-BR"/>
        </w:rPr>
      </w:pPr>
    </w:p>
    <w:p w14:paraId="255DA03F" w14:textId="77777777" w:rsidR="00232925" w:rsidRPr="00232925" w:rsidRDefault="00232925" w:rsidP="00B811D7">
      <w:pPr>
        <w:ind w:left="-142" w:right="-138"/>
        <w:jc w:val="center"/>
        <w:rPr>
          <w:rFonts w:eastAsia="MS Mincho" w:cs="Times New Roman"/>
          <w:b/>
          <w:szCs w:val="20"/>
          <w:lang w:val="pt-BR"/>
        </w:rPr>
      </w:pPr>
    </w:p>
    <w:p w14:paraId="13D95F7D" w14:textId="77777777" w:rsidR="00232925" w:rsidRPr="00232925" w:rsidRDefault="00232925" w:rsidP="00B811D7">
      <w:pPr>
        <w:ind w:left="-142" w:right="-138"/>
        <w:jc w:val="center"/>
        <w:rPr>
          <w:rFonts w:eastAsia="MS Mincho" w:cs="Times New Roman"/>
          <w:b/>
          <w:szCs w:val="20"/>
          <w:lang w:val="pt-BR"/>
        </w:rPr>
      </w:pPr>
    </w:p>
    <w:p w14:paraId="153106A5" w14:textId="77777777" w:rsidR="00232925" w:rsidRPr="00232925" w:rsidRDefault="00232925" w:rsidP="00B811D7">
      <w:pPr>
        <w:ind w:left="-142" w:right="-138"/>
        <w:jc w:val="center"/>
        <w:rPr>
          <w:rFonts w:eastAsia="MS Mincho" w:cs="Times New Roman"/>
          <w:b/>
          <w:szCs w:val="20"/>
          <w:lang w:val="pt-BR"/>
        </w:rPr>
      </w:pPr>
    </w:p>
    <w:p w14:paraId="14D89F51" w14:textId="77777777" w:rsidR="00232925" w:rsidRPr="00232925" w:rsidRDefault="00232925" w:rsidP="00B811D7">
      <w:pPr>
        <w:ind w:left="-142" w:right="-138"/>
        <w:jc w:val="center"/>
        <w:rPr>
          <w:rFonts w:eastAsia="MS Mincho" w:cs="Times New Roman"/>
          <w:b/>
          <w:szCs w:val="20"/>
          <w:lang w:val="pt-BR"/>
        </w:rPr>
      </w:pPr>
    </w:p>
    <w:p w14:paraId="5564A2D1" w14:textId="77777777" w:rsidR="00232925" w:rsidRPr="00232925" w:rsidRDefault="00232925" w:rsidP="00B811D7">
      <w:pPr>
        <w:ind w:left="-142" w:right="-138"/>
        <w:jc w:val="center"/>
        <w:rPr>
          <w:rFonts w:eastAsia="MS Mincho" w:cs="Times New Roman"/>
          <w:b/>
          <w:szCs w:val="20"/>
          <w:lang w:val="pt-BR"/>
        </w:rPr>
      </w:pPr>
    </w:p>
    <w:p w14:paraId="10C71534" w14:textId="77777777" w:rsidR="00DB28AA" w:rsidRPr="00232925" w:rsidRDefault="00DB28AA" w:rsidP="00B811D7">
      <w:pPr>
        <w:ind w:left="-142" w:right="-138"/>
        <w:jc w:val="center"/>
        <w:rPr>
          <w:rFonts w:eastAsia="MS Mincho" w:cs="Times New Roman"/>
          <w:b/>
          <w:szCs w:val="20"/>
          <w:lang w:val="pt-BR"/>
        </w:rPr>
      </w:pPr>
      <w:r w:rsidRPr="00232925">
        <w:rPr>
          <w:rFonts w:eastAsia="MS Mincho" w:cs="Times New Roman"/>
          <w:b/>
          <w:szCs w:val="20"/>
          <w:lang w:val="pt-BR"/>
        </w:rPr>
        <w:t>CORTE INTERAMERICANA DE DERECHOS HUMANOS</w:t>
      </w:r>
    </w:p>
    <w:p w14:paraId="4085273C" w14:textId="77777777" w:rsidR="00DB28AA" w:rsidRPr="00232925" w:rsidRDefault="00DB28AA" w:rsidP="00B811D7">
      <w:pPr>
        <w:ind w:left="-142" w:right="-138"/>
        <w:jc w:val="center"/>
        <w:rPr>
          <w:rFonts w:eastAsia="MS Mincho" w:cs="Times New Roman"/>
          <w:b/>
          <w:sz w:val="16"/>
          <w:szCs w:val="20"/>
          <w:lang w:val="pt-BR"/>
        </w:rPr>
      </w:pPr>
    </w:p>
    <w:p w14:paraId="4F3EFD3E" w14:textId="015CD4D1" w:rsidR="00DB28AA" w:rsidRPr="00416D05" w:rsidRDefault="00DB28AA" w:rsidP="00B811D7">
      <w:pPr>
        <w:ind w:left="-142" w:right="-138"/>
        <w:jc w:val="center"/>
        <w:rPr>
          <w:rFonts w:eastAsia="MS Mincho" w:cs="Times New Roman"/>
          <w:b/>
          <w:sz w:val="16"/>
          <w:szCs w:val="20"/>
          <w:lang w:val="es-ES"/>
        </w:rPr>
      </w:pPr>
      <w:r w:rsidRPr="00232925">
        <w:rPr>
          <w:rFonts w:eastAsia="MS Mincho" w:cs="Times New Roman"/>
          <w:b/>
          <w:szCs w:val="20"/>
          <w:lang w:val="pt-BR"/>
        </w:rPr>
        <w:t xml:space="preserve">CASO </w:t>
      </w:r>
      <w:r w:rsidR="00253C66" w:rsidRPr="00232925">
        <w:rPr>
          <w:rFonts w:eastAsia="MS Mincho" w:cs="Times New Roman"/>
          <w:b/>
          <w:szCs w:val="20"/>
          <w:lang w:val="pt-BR"/>
        </w:rPr>
        <w:t>FAVELA NOVA BRASILIA</w:t>
      </w:r>
      <w:r w:rsidR="005706A9">
        <w:rPr>
          <w:rFonts w:eastAsia="MS Mincho" w:cs="Times New Roman"/>
          <w:b/>
          <w:szCs w:val="20"/>
          <w:lang w:val="pt-BR"/>
        </w:rPr>
        <w:t xml:space="preserve"> VS. </w:t>
      </w:r>
      <w:r w:rsidR="005706A9" w:rsidRPr="00416D05">
        <w:rPr>
          <w:rFonts w:eastAsia="MS Mincho" w:cs="Times New Roman"/>
          <w:b/>
          <w:szCs w:val="20"/>
          <w:lang w:val="es-ES"/>
        </w:rPr>
        <w:t>BRASIL</w:t>
      </w:r>
    </w:p>
    <w:p w14:paraId="3E860233" w14:textId="77777777" w:rsidR="00DB28AA" w:rsidRPr="00416D05" w:rsidRDefault="00DB28AA" w:rsidP="00B811D7">
      <w:pPr>
        <w:ind w:left="-142" w:right="-138"/>
        <w:jc w:val="center"/>
        <w:rPr>
          <w:rFonts w:eastAsia="MS Mincho" w:cs="Times New Roman"/>
          <w:b/>
          <w:szCs w:val="20"/>
          <w:lang w:val="es-ES"/>
        </w:rPr>
      </w:pPr>
    </w:p>
    <w:p w14:paraId="360F2DBA" w14:textId="42842E35" w:rsidR="00DB28AA" w:rsidRPr="00232925" w:rsidRDefault="00DB28AA" w:rsidP="00B811D7">
      <w:pPr>
        <w:ind w:left="-142" w:right="-138"/>
        <w:jc w:val="center"/>
        <w:rPr>
          <w:rFonts w:eastAsia="MS Mincho" w:cs="Times New Roman"/>
          <w:b/>
          <w:szCs w:val="20"/>
        </w:rPr>
      </w:pPr>
      <w:r w:rsidRPr="00232925">
        <w:rPr>
          <w:rFonts w:eastAsia="MS Mincho" w:cs="Times New Roman"/>
          <w:b/>
          <w:szCs w:val="20"/>
        </w:rPr>
        <w:t xml:space="preserve">SENTENCIA DE </w:t>
      </w:r>
      <w:r w:rsidR="00FA30C4">
        <w:rPr>
          <w:rFonts w:eastAsia="MS Mincho" w:cs="Times New Roman"/>
          <w:b/>
          <w:szCs w:val="20"/>
        </w:rPr>
        <w:t>16</w:t>
      </w:r>
      <w:r w:rsidRPr="00232925">
        <w:rPr>
          <w:rFonts w:eastAsia="MS Mincho" w:cs="Times New Roman"/>
          <w:b/>
          <w:szCs w:val="20"/>
        </w:rPr>
        <w:t xml:space="preserve"> </w:t>
      </w:r>
      <w:r w:rsidR="00253C66" w:rsidRPr="00232925">
        <w:rPr>
          <w:rFonts w:eastAsia="MS Mincho" w:cs="Times New Roman"/>
          <w:b/>
          <w:szCs w:val="20"/>
        </w:rPr>
        <w:t>FEBRERO DE 2017</w:t>
      </w:r>
    </w:p>
    <w:p w14:paraId="7F5A122E" w14:textId="77777777" w:rsidR="00DB28AA" w:rsidRPr="00232925" w:rsidRDefault="00DB28AA" w:rsidP="00B811D7">
      <w:pPr>
        <w:ind w:left="-142" w:right="-138"/>
        <w:jc w:val="center"/>
        <w:rPr>
          <w:rFonts w:eastAsia="MS Mincho" w:cs="Times New Roman"/>
          <w:b/>
          <w:szCs w:val="20"/>
        </w:rPr>
      </w:pPr>
    </w:p>
    <w:p w14:paraId="3D787834" w14:textId="77777777" w:rsidR="00DB28AA" w:rsidRPr="00232925" w:rsidRDefault="00DB28AA" w:rsidP="00B811D7">
      <w:pPr>
        <w:ind w:left="-142" w:right="-138"/>
        <w:jc w:val="center"/>
        <w:rPr>
          <w:rFonts w:eastAsia="Times New Roman" w:cs="Times New Roman"/>
          <w:b/>
          <w:i/>
          <w:iCs/>
          <w:spacing w:val="15"/>
          <w:szCs w:val="24"/>
          <w:lang w:val="es-ES_tradnl"/>
        </w:rPr>
      </w:pPr>
      <w:r w:rsidRPr="00232925">
        <w:rPr>
          <w:rFonts w:eastAsia="Times New Roman" w:cs="Times New Roman"/>
          <w:b/>
          <w:i/>
          <w:iCs/>
          <w:spacing w:val="15"/>
          <w:szCs w:val="24"/>
          <w:lang w:val="es-ES_tradnl"/>
        </w:rPr>
        <w:t>(Excepciones Preliminares, Fondo, Reparaciones y Costas)</w:t>
      </w:r>
    </w:p>
    <w:p w14:paraId="51A848B8" w14:textId="77777777" w:rsidR="00DB28AA" w:rsidRPr="00232925" w:rsidRDefault="00DB28AA" w:rsidP="00B811D7">
      <w:pPr>
        <w:ind w:left="-142" w:right="-138"/>
        <w:rPr>
          <w:rFonts w:eastAsia="Batang" w:cs="Times"/>
          <w:szCs w:val="20"/>
          <w:lang w:val="es-ES_tradnl"/>
        </w:rPr>
      </w:pPr>
    </w:p>
    <w:p w14:paraId="3FFA8EEA" w14:textId="77777777" w:rsidR="00DB28AA" w:rsidRPr="00232925" w:rsidRDefault="00DB28AA" w:rsidP="00B811D7">
      <w:pPr>
        <w:ind w:left="-142" w:right="-138"/>
        <w:rPr>
          <w:rFonts w:eastAsia="Batang" w:cs="Times"/>
          <w:szCs w:val="20"/>
          <w:lang w:val="es-ES_tradnl"/>
        </w:rPr>
      </w:pPr>
    </w:p>
    <w:p w14:paraId="0A497935" w14:textId="77777777" w:rsidR="00DB28AA" w:rsidRPr="00232925" w:rsidRDefault="00DB28AA" w:rsidP="00B811D7">
      <w:pPr>
        <w:ind w:left="-142" w:right="-138"/>
        <w:rPr>
          <w:rFonts w:eastAsia="Batang" w:cs="Times"/>
          <w:szCs w:val="20"/>
          <w:lang w:val="es-ES_tradnl"/>
        </w:rPr>
      </w:pPr>
    </w:p>
    <w:p w14:paraId="3FBBA3B2" w14:textId="77777777" w:rsidR="00DB28AA" w:rsidRPr="00232925" w:rsidRDefault="00DB28AA" w:rsidP="00B811D7">
      <w:pPr>
        <w:rPr>
          <w:rFonts w:eastAsia="Batang" w:cs="Times"/>
          <w:szCs w:val="20"/>
          <w:lang w:val="es-ES_tradnl"/>
        </w:rPr>
      </w:pPr>
      <w:r w:rsidRPr="00232925">
        <w:rPr>
          <w:rFonts w:eastAsia="Batang" w:cs="Times"/>
          <w:szCs w:val="20"/>
          <w:lang w:val="es-ES_tradnl"/>
        </w:rPr>
        <w:t xml:space="preserve">En el caso </w:t>
      </w:r>
      <w:r w:rsidR="00253C66" w:rsidRPr="00232925">
        <w:rPr>
          <w:rFonts w:eastAsia="Batang" w:cs="Times"/>
          <w:i/>
          <w:szCs w:val="20"/>
          <w:lang w:val="es-ES_tradnl"/>
        </w:rPr>
        <w:t>Favela Nov</w:t>
      </w:r>
      <w:r w:rsidR="00784298">
        <w:rPr>
          <w:rFonts w:eastAsia="Batang" w:cs="Times"/>
          <w:i/>
          <w:szCs w:val="20"/>
          <w:lang w:val="es-ES_tradnl"/>
        </w:rPr>
        <w:t>a</w:t>
      </w:r>
      <w:r w:rsidR="00253C66" w:rsidRPr="00232925">
        <w:rPr>
          <w:rFonts w:eastAsia="Batang" w:cs="Times"/>
          <w:i/>
          <w:szCs w:val="20"/>
          <w:lang w:val="es-ES_tradnl"/>
        </w:rPr>
        <w:t xml:space="preserve"> Brasilia</w:t>
      </w:r>
      <w:r w:rsidRPr="00232925">
        <w:rPr>
          <w:rFonts w:eastAsia="Batang" w:cs="Times"/>
          <w:i/>
          <w:szCs w:val="20"/>
          <w:lang w:val="es-ES_tradnl"/>
        </w:rPr>
        <w:t>,</w:t>
      </w:r>
    </w:p>
    <w:p w14:paraId="1C83BB68" w14:textId="77777777" w:rsidR="00DB28AA" w:rsidRPr="00232925" w:rsidRDefault="00DB28AA" w:rsidP="00B811D7">
      <w:pPr>
        <w:ind w:left="-142" w:right="-138"/>
        <w:rPr>
          <w:rFonts w:eastAsia="Batang" w:cs="Times"/>
          <w:szCs w:val="20"/>
          <w:lang w:val="es-ES_tradnl"/>
        </w:rPr>
      </w:pPr>
    </w:p>
    <w:p w14:paraId="04B95329" w14:textId="77777777" w:rsidR="00DB28AA" w:rsidRPr="00232925" w:rsidRDefault="00DB28AA" w:rsidP="00B811D7">
      <w:pPr>
        <w:ind w:right="-138"/>
        <w:rPr>
          <w:rFonts w:eastAsia="Batang" w:cs="Times"/>
          <w:szCs w:val="24"/>
          <w:lang w:val="es-ES_tradnl"/>
        </w:rPr>
      </w:pPr>
      <w:proofErr w:type="gramStart"/>
      <w:r w:rsidRPr="00232925">
        <w:rPr>
          <w:rFonts w:eastAsia="Batang" w:cs="Times"/>
          <w:szCs w:val="24"/>
          <w:lang w:val="es-ES_tradnl"/>
        </w:rPr>
        <w:t>la</w:t>
      </w:r>
      <w:proofErr w:type="gramEnd"/>
      <w:r w:rsidRPr="00232925">
        <w:rPr>
          <w:rFonts w:eastAsia="Batang" w:cs="Times"/>
          <w:szCs w:val="24"/>
          <w:lang w:val="es-ES_tradnl"/>
        </w:rPr>
        <w:t xml:space="preserve"> Corte Interamericana de Derechos Humanos (en adelante “la Corte Interamericana”, “la Corte” o “este Tribunal”), integrada por los siguientes Jueces</w:t>
      </w:r>
      <w:r w:rsidRPr="00232925">
        <w:rPr>
          <w:rFonts w:eastAsia="Batang" w:cs="Times New Roman"/>
          <w:szCs w:val="20"/>
          <w:vertAlign w:val="superscript"/>
          <w:lang w:val="es-ES_tradnl"/>
        </w:rPr>
        <w:footnoteReference w:id="1"/>
      </w:r>
      <w:r w:rsidRPr="00232925">
        <w:rPr>
          <w:rFonts w:eastAsia="Batang" w:cs="Times"/>
          <w:szCs w:val="24"/>
          <w:lang w:val="es-ES_tradnl"/>
        </w:rPr>
        <w:t>:</w:t>
      </w:r>
    </w:p>
    <w:p w14:paraId="54B7FF38" w14:textId="77777777" w:rsidR="00DB28AA" w:rsidRPr="00232925" w:rsidRDefault="00DB28AA" w:rsidP="00B811D7">
      <w:pPr>
        <w:ind w:right="-138"/>
        <w:rPr>
          <w:rFonts w:eastAsia="Batang" w:cs="Times"/>
          <w:sz w:val="16"/>
          <w:szCs w:val="24"/>
          <w:lang w:val="es-ES_tradnl"/>
        </w:rPr>
      </w:pPr>
    </w:p>
    <w:p w14:paraId="31C6F172" w14:textId="77777777" w:rsidR="00DB28AA" w:rsidRPr="00232925" w:rsidRDefault="00DB28AA" w:rsidP="00B811D7">
      <w:pPr>
        <w:ind w:right="-138"/>
        <w:rPr>
          <w:rFonts w:eastAsia="Times New Roman" w:cs="Times New Roman"/>
          <w:szCs w:val="20"/>
        </w:rPr>
      </w:pPr>
      <w:r w:rsidRPr="00232925">
        <w:rPr>
          <w:rFonts w:eastAsia="Times New Roman" w:cs="Times New Roman"/>
          <w:szCs w:val="20"/>
        </w:rPr>
        <w:t>Eduardo Ferrer Mac-</w:t>
      </w:r>
      <w:proofErr w:type="spellStart"/>
      <w:r w:rsidRPr="00232925">
        <w:rPr>
          <w:rFonts w:eastAsia="Times New Roman" w:cs="Times New Roman"/>
          <w:szCs w:val="20"/>
        </w:rPr>
        <w:t>Gregor</w:t>
      </w:r>
      <w:proofErr w:type="spellEnd"/>
      <w:r w:rsidRPr="00232925">
        <w:rPr>
          <w:rFonts w:eastAsia="Times New Roman" w:cs="Times New Roman"/>
          <w:szCs w:val="20"/>
        </w:rPr>
        <w:t xml:space="preserve"> </w:t>
      </w:r>
      <w:proofErr w:type="spellStart"/>
      <w:r w:rsidRPr="00232925">
        <w:rPr>
          <w:rFonts w:eastAsia="Times New Roman" w:cs="Times New Roman"/>
          <w:szCs w:val="20"/>
        </w:rPr>
        <w:t>Poisot</w:t>
      </w:r>
      <w:proofErr w:type="spellEnd"/>
      <w:r w:rsidRPr="00232925">
        <w:rPr>
          <w:rFonts w:eastAsia="Times New Roman" w:cs="Times New Roman"/>
          <w:szCs w:val="20"/>
        </w:rPr>
        <w:t xml:space="preserve">, Presidente en ejercicio; </w:t>
      </w:r>
    </w:p>
    <w:p w14:paraId="38295DAF" w14:textId="77777777" w:rsidR="00DB28AA" w:rsidRPr="00232925" w:rsidRDefault="00DB28AA" w:rsidP="00B811D7">
      <w:pPr>
        <w:ind w:right="-138"/>
        <w:rPr>
          <w:rFonts w:eastAsia="Times New Roman" w:cs="Times New Roman"/>
          <w:szCs w:val="20"/>
          <w:lang w:val="es-ES_tradnl"/>
        </w:rPr>
      </w:pPr>
      <w:r w:rsidRPr="00232925">
        <w:rPr>
          <w:rFonts w:eastAsia="Times New Roman" w:cs="Times New Roman"/>
          <w:szCs w:val="20"/>
          <w:lang w:val="es-ES_tradnl"/>
        </w:rPr>
        <w:t>Eduardo Vio Grossi, Vicepresidente en ejercicio;</w:t>
      </w:r>
    </w:p>
    <w:p w14:paraId="25FBD00D" w14:textId="77777777" w:rsidR="00DB28AA" w:rsidRPr="00232925" w:rsidRDefault="00DB28AA" w:rsidP="00B811D7">
      <w:pPr>
        <w:ind w:right="-138"/>
        <w:rPr>
          <w:rFonts w:eastAsia="Times New Roman" w:cs="Times New Roman"/>
          <w:szCs w:val="20"/>
          <w:lang w:val="es-ES_tradnl"/>
        </w:rPr>
      </w:pPr>
      <w:r w:rsidRPr="00232925">
        <w:rPr>
          <w:rFonts w:eastAsia="Times New Roman" w:cs="Times New Roman"/>
          <w:szCs w:val="20"/>
          <w:lang w:val="es-ES_tradnl"/>
        </w:rPr>
        <w:t>Humberto Antonio Sierra Porto, Juez;</w:t>
      </w:r>
    </w:p>
    <w:p w14:paraId="48695585" w14:textId="77777777" w:rsidR="00DB28AA" w:rsidRPr="00232925" w:rsidRDefault="00DB28AA" w:rsidP="00B811D7">
      <w:pPr>
        <w:ind w:right="-138"/>
        <w:rPr>
          <w:rFonts w:eastAsia="Times New Roman" w:cs="Times New Roman"/>
          <w:szCs w:val="20"/>
          <w:lang w:val="es-ES_tradnl"/>
        </w:rPr>
      </w:pPr>
      <w:r w:rsidRPr="00232925">
        <w:rPr>
          <w:rFonts w:eastAsia="Times New Roman" w:cs="Times New Roman"/>
          <w:szCs w:val="20"/>
          <w:lang w:val="es-ES_tradnl"/>
        </w:rPr>
        <w:t>Elizabeth Odio Benito, Juez</w:t>
      </w:r>
      <w:r w:rsidR="00232925" w:rsidRPr="00232925">
        <w:rPr>
          <w:rFonts w:eastAsia="Times New Roman" w:cs="Times New Roman"/>
          <w:szCs w:val="20"/>
          <w:lang w:val="es-ES_tradnl"/>
        </w:rPr>
        <w:t>a</w:t>
      </w:r>
      <w:r w:rsidRPr="00232925">
        <w:rPr>
          <w:rFonts w:eastAsia="Times New Roman" w:cs="Times New Roman"/>
          <w:szCs w:val="20"/>
          <w:lang w:val="es-ES_tradnl"/>
        </w:rPr>
        <w:t xml:space="preserve">; </w:t>
      </w:r>
    </w:p>
    <w:p w14:paraId="0C029E25" w14:textId="77777777" w:rsidR="00DB28AA" w:rsidRPr="00232925" w:rsidRDefault="00DB28AA" w:rsidP="00B811D7">
      <w:pPr>
        <w:ind w:right="-138"/>
        <w:rPr>
          <w:rFonts w:eastAsia="Times New Roman" w:cs="Times New Roman"/>
          <w:szCs w:val="20"/>
          <w:lang w:val="es-ES_tradnl"/>
        </w:rPr>
      </w:pPr>
      <w:r w:rsidRPr="00232925">
        <w:rPr>
          <w:rFonts w:eastAsia="Times New Roman" w:cs="Times New Roman"/>
          <w:szCs w:val="20"/>
          <w:lang w:val="es-ES_tradnl"/>
        </w:rPr>
        <w:t xml:space="preserve">Eugenio Raúl </w:t>
      </w:r>
      <w:proofErr w:type="spellStart"/>
      <w:r w:rsidRPr="00232925">
        <w:rPr>
          <w:rFonts w:eastAsia="Times New Roman" w:cs="Times New Roman"/>
          <w:szCs w:val="20"/>
          <w:lang w:val="es-ES_tradnl"/>
        </w:rPr>
        <w:t>Zaffaroni</w:t>
      </w:r>
      <w:proofErr w:type="spellEnd"/>
      <w:r w:rsidRPr="00232925">
        <w:rPr>
          <w:rFonts w:eastAsia="Times New Roman" w:cs="Times New Roman"/>
          <w:szCs w:val="20"/>
          <w:lang w:val="es-ES_tradnl"/>
        </w:rPr>
        <w:t xml:space="preserve">, Juez, y </w:t>
      </w:r>
    </w:p>
    <w:p w14:paraId="5B79A836" w14:textId="77777777" w:rsidR="00DB28AA" w:rsidRPr="00232925" w:rsidRDefault="00DB28AA" w:rsidP="00B811D7">
      <w:pPr>
        <w:ind w:right="-138"/>
        <w:rPr>
          <w:rFonts w:eastAsia="Batang" w:cs="Times"/>
          <w:szCs w:val="24"/>
          <w:lang w:val="es-ES_tradnl"/>
        </w:rPr>
      </w:pPr>
      <w:r w:rsidRPr="00232925">
        <w:rPr>
          <w:rFonts w:eastAsia="Batang" w:cs="Times"/>
          <w:szCs w:val="24"/>
          <w:lang w:val="es-ES_tradnl"/>
        </w:rPr>
        <w:t xml:space="preserve">L. Patricio Pazmiño Freire, Juez; </w:t>
      </w:r>
    </w:p>
    <w:p w14:paraId="6537175A" w14:textId="77777777" w:rsidR="00DB28AA" w:rsidRPr="00232925" w:rsidRDefault="00DB28AA" w:rsidP="00B811D7">
      <w:pPr>
        <w:ind w:right="-138"/>
        <w:rPr>
          <w:rFonts w:eastAsia="Batang" w:cs="Times"/>
          <w:szCs w:val="24"/>
          <w:lang w:val="es-ES_tradnl"/>
        </w:rPr>
      </w:pPr>
    </w:p>
    <w:p w14:paraId="0D87BB94" w14:textId="77777777" w:rsidR="00DB28AA" w:rsidRPr="00232925" w:rsidRDefault="00DB28AA" w:rsidP="00B811D7">
      <w:pPr>
        <w:ind w:right="-138"/>
        <w:rPr>
          <w:rFonts w:eastAsia="Batang" w:cs="Times"/>
          <w:szCs w:val="24"/>
          <w:lang w:val="es-ES_tradnl"/>
        </w:rPr>
      </w:pPr>
      <w:proofErr w:type="gramStart"/>
      <w:r w:rsidRPr="00232925">
        <w:rPr>
          <w:rFonts w:eastAsia="Batang" w:cs="Times"/>
          <w:szCs w:val="24"/>
          <w:lang w:val="es-ES_tradnl"/>
        </w:rPr>
        <w:t>presentes</w:t>
      </w:r>
      <w:proofErr w:type="gramEnd"/>
      <w:r w:rsidRPr="00232925">
        <w:rPr>
          <w:rFonts w:eastAsia="Batang" w:cs="Times"/>
          <w:szCs w:val="24"/>
          <w:lang w:val="es-ES_tradnl"/>
        </w:rPr>
        <w:t>, además,</w:t>
      </w:r>
    </w:p>
    <w:p w14:paraId="2B33D51D" w14:textId="77777777" w:rsidR="00DB28AA" w:rsidRPr="00232925" w:rsidRDefault="00DB28AA" w:rsidP="00B811D7">
      <w:pPr>
        <w:ind w:right="-138"/>
        <w:rPr>
          <w:rFonts w:eastAsia="Batang" w:cs="Times"/>
          <w:szCs w:val="24"/>
          <w:lang w:val="es-ES_tradnl"/>
        </w:rPr>
      </w:pPr>
    </w:p>
    <w:p w14:paraId="7E8383C9" w14:textId="77777777" w:rsidR="00DB28AA" w:rsidRPr="00232925" w:rsidRDefault="00DB28AA" w:rsidP="00B811D7">
      <w:pPr>
        <w:rPr>
          <w:rFonts w:eastAsia="Batang" w:cs="Times"/>
          <w:szCs w:val="24"/>
          <w:lang w:val="es-ES_tradnl"/>
        </w:rPr>
      </w:pPr>
      <w:r w:rsidRPr="00232925">
        <w:rPr>
          <w:rFonts w:eastAsia="Batang" w:cs="Times"/>
          <w:szCs w:val="24"/>
          <w:lang w:val="es-ES_tradnl"/>
        </w:rPr>
        <w:t>Pablo Saavedra Alessandri, Secretario, y</w:t>
      </w:r>
    </w:p>
    <w:p w14:paraId="1663B673" w14:textId="77777777" w:rsidR="00DB28AA" w:rsidRPr="00232925" w:rsidRDefault="00DB28AA" w:rsidP="00B811D7">
      <w:pPr>
        <w:ind w:right="-138"/>
        <w:rPr>
          <w:rFonts w:eastAsia="Batang" w:cs="Times"/>
          <w:szCs w:val="24"/>
          <w:lang w:val="es-ES_tradnl"/>
        </w:rPr>
      </w:pPr>
      <w:r w:rsidRPr="00232925">
        <w:rPr>
          <w:rFonts w:eastAsia="Batang" w:cs="Times"/>
          <w:szCs w:val="24"/>
          <w:lang w:val="es-ES_tradnl"/>
        </w:rPr>
        <w:t>Emilia Segares Rodríguez, Secretaria Adjunta,</w:t>
      </w:r>
    </w:p>
    <w:p w14:paraId="0A5B1A25" w14:textId="77777777" w:rsidR="00DB28AA" w:rsidRPr="00232925" w:rsidRDefault="00DB28AA" w:rsidP="00B811D7">
      <w:pPr>
        <w:ind w:right="-138"/>
        <w:rPr>
          <w:rFonts w:eastAsia="Batang" w:cs="Times"/>
          <w:szCs w:val="24"/>
          <w:lang w:val="es-ES_tradnl"/>
        </w:rPr>
      </w:pPr>
    </w:p>
    <w:p w14:paraId="6FE9171A" w14:textId="4DF13FCE" w:rsidR="00BC31D2" w:rsidRPr="005C6CF5" w:rsidRDefault="00DB28AA" w:rsidP="005C6CF5">
      <w:pPr>
        <w:ind w:right="-138"/>
        <w:rPr>
          <w:rFonts w:eastAsia="Batang" w:cs="Times"/>
          <w:szCs w:val="24"/>
          <w:lang w:val="es-ES_tradnl"/>
        </w:rPr>
      </w:pPr>
      <w:proofErr w:type="gramStart"/>
      <w:r w:rsidRPr="00232925">
        <w:rPr>
          <w:rFonts w:eastAsia="Batang" w:cs="Times"/>
          <w:szCs w:val="24"/>
          <w:lang w:val="es-ES_tradnl"/>
        </w:rPr>
        <w:t>de</w:t>
      </w:r>
      <w:proofErr w:type="gramEnd"/>
      <w:r w:rsidRPr="00232925">
        <w:rPr>
          <w:rFonts w:eastAsia="Batang" w:cs="Times"/>
          <w:szCs w:val="24"/>
          <w:lang w:val="es-ES_tradnl"/>
        </w:rPr>
        <w:t xml:space="preserve"> conformidad con los artículos 62.3 y 63.1 de la Convención Americana sobre Derechos Humanos (en adelante, “la Convención Americana” o “la Convención”) y con los artículos 31, 32, 42, 65 y 67 del Reglamento de la Corte (en adelante “el Reglamento”), dicta la presente Sentencia que se estructura en el siguiente orden:</w:t>
      </w:r>
      <w:r w:rsidRPr="005C6CF5">
        <w:rPr>
          <w:rFonts w:eastAsia="Batang" w:cs="Times"/>
          <w:noProof/>
          <w:szCs w:val="20"/>
          <w:lang w:val="es-ES"/>
        </w:rPr>
        <w:br w:type="page"/>
      </w:r>
    </w:p>
    <w:p w14:paraId="39F6458C" w14:textId="77777777" w:rsidR="007936EC" w:rsidRDefault="007936EC" w:rsidP="00BC31D2">
      <w:pPr>
        <w:spacing w:after="40"/>
        <w:ind w:right="-138"/>
        <w:jc w:val="center"/>
        <w:rPr>
          <w:rFonts w:eastAsia="Batang" w:cs="Times"/>
          <w:b/>
          <w:noProof/>
          <w:szCs w:val="20"/>
          <w:lang w:val="es-ES"/>
        </w:rPr>
      </w:pPr>
    </w:p>
    <w:p w14:paraId="37D6EC71" w14:textId="77777777" w:rsidR="007936EC" w:rsidRDefault="007936EC" w:rsidP="00BC31D2">
      <w:pPr>
        <w:spacing w:after="40"/>
        <w:ind w:right="-138"/>
        <w:jc w:val="center"/>
        <w:rPr>
          <w:rFonts w:eastAsia="Batang" w:cs="Times"/>
          <w:b/>
          <w:noProof/>
          <w:szCs w:val="20"/>
          <w:lang w:val="es-ES"/>
        </w:rPr>
      </w:pPr>
    </w:p>
    <w:p w14:paraId="4B398A0F" w14:textId="77777777" w:rsidR="007936EC" w:rsidRDefault="007936EC" w:rsidP="00BC31D2">
      <w:pPr>
        <w:spacing w:after="40"/>
        <w:ind w:right="-138"/>
        <w:jc w:val="center"/>
        <w:rPr>
          <w:rFonts w:eastAsia="Batang" w:cs="Times"/>
          <w:b/>
          <w:noProof/>
          <w:szCs w:val="20"/>
          <w:lang w:val="es-ES"/>
        </w:rPr>
      </w:pPr>
    </w:p>
    <w:p w14:paraId="79724793" w14:textId="77777777" w:rsidR="007936EC" w:rsidRDefault="007936EC" w:rsidP="00BC31D2">
      <w:pPr>
        <w:spacing w:after="40"/>
        <w:ind w:right="-138"/>
        <w:jc w:val="center"/>
        <w:rPr>
          <w:rFonts w:eastAsia="Batang" w:cs="Times"/>
          <w:b/>
          <w:noProof/>
          <w:szCs w:val="20"/>
          <w:lang w:val="es-ES"/>
        </w:rPr>
      </w:pPr>
    </w:p>
    <w:p w14:paraId="3030C259" w14:textId="77777777" w:rsidR="007936EC" w:rsidRDefault="007936EC" w:rsidP="00BC31D2">
      <w:pPr>
        <w:spacing w:after="40"/>
        <w:ind w:right="-138"/>
        <w:jc w:val="center"/>
        <w:rPr>
          <w:rFonts w:eastAsia="Batang" w:cs="Times"/>
          <w:b/>
          <w:noProof/>
          <w:szCs w:val="20"/>
          <w:lang w:val="es-ES"/>
        </w:rPr>
      </w:pPr>
    </w:p>
    <w:p w14:paraId="5C2828BE" w14:textId="77777777" w:rsidR="00753082" w:rsidRDefault="00363987" w:rsidP="00BC31D2">
      <w:pPr>
        <w:spacing w:after="40"/>
        <w:ind w:right="-138"/>
        <w:jc w:val="center"/>
        <w:rPr>
          <w:rFonts w:eastAsia="Batang" w:cs="Times"/>
          <w:b/>
          <w:noProof/>
          <w:szCs w:val="20"/>
          <w:lang w:val="es-ES"/>
        </w:rPr>
      </w:pPr>
      <w:r w:rsidRPr="00BC31D2">
        <w:rPr>
          <w:rFonts w:eastAsia="Batang" w:cs="Times"/>
          <w:b/>
          <w:noProof/>
          <w:szCs w:val="20"/>
          <w:lang w:val="es-ES"/>
        </w:rPr>
        <w:t>TABLA DE CONTENIDO</w:t>
      </w:r>
    </w:p>
    <w:p w14:paraId="26D41192" w14:textId="77777777" w:rsidR="005069AC" w:rsidRPr="00BC31D2" w:rsidRDefault="005069AC" w:rsidP="00BC31D2">
      <w:pPr>
        <w:spacing w:after="40"/>
        <w:ind w:right="-138"/>
        <w:jc w:val="center"/>
        <w:rPr>
          <w:rFonts w:eastAsia="Batang" w:cs="Times"/>
          <w:b/>
          <w:noProof/>
          <w:szCs w:val="20"/>
          <w:lang w:val="es-ES"/>
        </w:rPr>
      </w:pPr>
    </w:p>
    <w:sdt>
      <w:sdtPr>
        <w:rPr>
          <w:rFonts w:asciiTheme="majorHAnsi" w:eastAsiaTheme="majorEastAsia" w:hAnsiTheme="majorHAnsi" w:cstheme="majorBidi"/>
          <w:bCs w:val="0"/>
          <w:caps w:val="0"/>
          <w:noProof w:val="0"/>
          <w:color w:val="365F91" w:themeColor="accent1" w:themeShade="BF"/>
          <w:sz w:val="28"/>
          <w:szCs w:val="28"/>
          <w:lang w:val="en-US" w:eastAsia="ja-JP"/>
        </w:rPr>
        <w:id w:val="-735782726"/>
        <w:docPartObj>
          <w:docPartGallery w:val="Table of Contents"/>
          <w:docPartUnique/>
        </w:docPartObj>
      </w:sdtPr>
      <w:sdtEndPr>
        <w:rPr>
          <w:rFonts w:ascii="Verdana" w:eastAsiaTheme="minorHAnsi" w:hAnsi="Verdana" w:cs="Times"/>
          <w:noProof/>
          <w:color w:val="auto"/>
          <w:sz w:val="20"/>
          <w:szCs w:val="20"/>
          <w:lang w:val="es-ES" w:eastAsia="es-ES"/>
        </w:rPr>
      </w:sdtEndPr>
      <w:sdtContent>
        <w:p w14:paraId="3017FE23" w14:textId="41DC579D" w:rsidR="00C719E7" w:rsidRDefault="00C719E7" w:rsidP="00547D83">
          <w:pPr>
            <w:pStyle w:val="TOC1"/>
            <w:spacing w:after="120"/>
            <w:rPr>
              <w:rFonts w:asciiTheme="minorHAnsi" w:eastAsiaTheme="minorEastAsia" w:hAnsiTheme="minorHAnsi" w:cstheme="minorBidi"/>
              <w:sz w:val="22"/>
              <w:szCs w:val="22"/>
              <w:lang w:val="es-ES"/>
            </w:rPr>
          </w:pPr>
          <w:r w:rsidRPr="003648C9">
            <w:fldChar w:fldCharType="begin"/>
          </w:r>
          <w:r>
            <w:instrText xml:space="preserve"> TOC \o "1-3" \h \z \u </w:instrText>
          </w:r>
          <w:r w:rsidRPr="003648C9">
            <w:fldChar w:fldCharType="separate"/>
          </w:r>
          <w:hyperlink w:anchor="_Toc472608875" w:history="1">
            <w:r w:rsidRPr="00167B62">
              <w:rPr>
                <w:rStyle w:val="Hyperlink"/>
              </w:rPr>
              <w:t>I INTRODUCCIÓN DE LA CAUSA Y OBJETO DE LA CONTROVERSIA</w:t>
            </w:r>
            <w:r>
              <w:rPr>
                <w:webHidden/>
              </w:rPr>
              <w:tab/>
            </w:r>
            <w:r>
              <w:rPr>
                <w:webHidden/>
              </w:rPr>
              <w:fldChar w:fldCharType="begin"/>
            </w:r>
            <w:r>
              <w:rPr>
                <w:webHidden/>
              </w:rPr>
              <w:instrText xml:space="preserve"> PAGEREF _Toc472608875 \h </w:instrText>
            </w:r>
            <w:r>
              <w:rPr>
                <w:webHidden/>
              </w:rPr>
            </w:r>
            <w:r>
              <w:rPr>
                <w:webHidden/>
              </w:rPr>
              <w:fldChar w:fldCharType="separate"/>
            </w:r>
            <w:r w:rsidR="00ED3229">
              <w:rPr>
                <w:webHidden/>
              </w:rPr>
              <w:t>3</w:t>
            </w:r>
            <w:r>
              <w:rPr>
                <w:webHidden/>
              </w:rPr>
              <w:fldChar w:fldCharType="end"/>
            </w:r>
          </w:hyperlink>
        </w:p>
        <w:p w14:paraId="237D5F15" w14:textId="229AA3BA" w:rsidR="00C719E7" w:rsidRDefault="00F50AEC" w:rsidP="00547D83">
          <w:pPr>
            <w:pStyle w:val="TOC1"/>
            <w:spacing w:after="120"/>
            <w:rPr>
              <w:rFonts w:asciiTheme="minorHAnsi" w:eastAsiaTheme="minorEastAsia" w:hAnsiTheme="minorHAnsi" w:cstheme="minorBidi"/>
              <w:sz w:val="22"/>
              <w:szCs w:val="22"/>
              <w:lang w:val="es-ES"/>
            </w:rPr>
          </w:pPr>
          <w:hyperlink w:anchor="_Toc472608876" w:history="1">
            <w:r w:rsidR="00C719E7" w:rsidRPr="00167B62">
              <w:rPr>
                <w:rStyle w:val="Hyperlink"/>
                <w:lang w:val="es-ES_tradnl"/>
              </w:rPr>
              <w:t>II PROCEDIMIENTO ANTE LA CORTE</w:t>
            </w:r>
            <w:r w:rsidR="00C719E7">
              <w:rPr>
                <w:webHidden/>
              </w:rPr>
              <w:tab/>
            </w:r>
            <w:r w:rsidR="00C719E7">
              <w:rPr>
                <w:webHidden/>
              </w:rPr>
              <w:fldChar w:fldCharType="begin"/>
            </w:r>
            <w:r w:rsidR="00C719E7">
              <w:rPr>
                <w:webHidden/>
              </w:rPr>
              <w:instrText xml:space="preserve"> PAGEREF _Toc472608876 \h </w:instrText>
            </w:r>
            <w:r w:rsidR="00C719E7">
              <w:rPr>
                <w:webHidden/>
              </w:rPr>
            </w:r>
            <w:r w:rsidR="00C719E7">
              <w:rPr>
                <w:webHidden/>
              </w:rPr>
              <w:fldChar w:fldCharType="separate"/>
            </w:r>
            <w:r w:rsidR="00ED3229">
              <w:rPr>
                <w:webHidden/>
              </w:rPr>
              <w:t>6</w:t>
            </w:r>
            <w:r w:rsidR="00C719E7">
              <w:rPr>
                <w:webHidden/>
              </w:rPr>
              <w:fldChar w:fldCharType="end"/>
            </w:r>
          </w:hyperlink>
        </w:p>
        <w:p w14:paraId="1BB55E5B" w14:textId="77777777" w:rsidR="00C719E7" w:rsidRDefault="00F50AEC" w:rsidP="00547D83">
          <w:pPr>
            <w:pStyle w:val="TOC1"/>
            <w:spacing w:after="120"/>
            <w:rPr>
              <w:rFonts w:asciiTheme="minorHAnsi" w:eastAsiaTheme="minorEastAsia" w:hAnsiTheme="minorHAnsi" w:cstheme="minorBidi"/>
              <w:sz w:val="22"/>
              <w:szCs w:val="22"/>
              <w:lang w:val="es-ES"/>
            </w:rPr>
          </w:pPr>
          <w:hyperlink w:anchor="_Toc472608877" w:history="1">
            <w:r w:rsidR="00C719E7" w:rsidRPr="00167B62">
              <w:rPr>
                <w:rStyle w:val="Hyperlink"/>
                <w:snapToGrid w:val="0"/>
              </w:rPr>
              <w:t>III COMPETENCIA</w:t>
            </w:r>
            <w:r w:rsidR="00C719E7">
              <w:rPr>
                <w:webHidden/>
              </w:rPr>
              <w:tab/>
            </w:r>
            <w:r w:rsidR="00C719E7">
              <w:rPr>
                <w:webHidden/>
              </w:rPr>
              <w:fldChar w:fldCharType="begin"/>
            </w:r>
            <w:r w:rsidR="00C719E7">
              <w:rPr>
                <w:webHidden/>
              </w:rPr>
              <w:instrText xml:space="preserve"> PAGEREF _Toc472608877 \h </w:instrText>
            </w:r>
            <w:r w:rsidR="00C719E7">
              <w:rPr>
                <w:webHidden/>
              </w:rPr>
            </w:r>
            <w:r w:rsidR="00C719E7">
              <w:rPr>
                <w:webHidden/>
              </w:rPr>
              <w:fldChar w:fldCharType="separate"/>
            </w:r>
            <w:r w:rsidR="00ED3229">
              <w:rPr>
                <w:webHidden/>
              </w:rPr>
              <w:t>8</w:t>
            </w:r>
            <w:r w:rsidR="00C719E7">
              <w:rPr>
                <w:webHidden/>
              </w:rPr>
              <w:fldChar w:fldCharType="end"/>
            </w:r>
          </w:hyperlink>
        </w:p>
        <w:p w14:paraId="17F1859A" w14:textId="77777777" w:rsidR="00C719E7" w:rsidRDefault="00F50AEC" w:rsidP="00547D83">
          <w:pPr>
            <w:pStyle w:val="TOC1"/>
            <w:spacing w:after="120"/>
            <w:rPr>
              <w:rFonts w:asciiTheme="minorHAnsi" w:eastAsiaTheme="minorEastAsia" w:hAnsiTheme="minorHAnsi" w:cstheme="minorBidi"/>
              <w:sz w:val="22"/>
              <w:szCs w:val="22"/>
              <w:lang w:val="es-ES"/>
            </w:rPr>
          </w:pPr>
          <w:hyperlink w:anchor="_Toc472608878" w:history="1">
            <w:r w:rsidR="00C719E7" w:rsidRPr="00167B62">
              <w:rPr>
                <w:rStyle w:val="Hyperlink"/>
                <w:snapToGrid w:val="0"/>
              </w:rPr>
              <w:t>IV EXCEPCIONES PRELIMINARES</w:t>
            </w:r>
            <w:r w:rsidR="00C719E7">
              <w:rPr>
                <w:webHidden/>
              </w:rPr>
              <w:tab/>
            </w:r>
            <w:r w:rsidR="00C719E7">
              <w:rPr>
                <w:webHidden/>
              </w:rPr>
              <w:fldChar w:fldCharType="begin"/>
            </w:r>
            <w:r w:rsidR="00C719E7">
              <w:rPr>
                <w:webHidden/>
              </w:rPr>
              <w:instrText xml:space="preserve"> PAGEREF _Toc472608878 \h </w:instrText>
            </w:r>
            <w:r w:rsidR="00C719E7">
              <w:rPr>
                <w:webHidden/>
              </w:rPr>
            </w:r>
            <w:r w:rsidR="00C719E7">
              <w:rPr>
                <w:webHidden/>
              </w:rPr>
              <w:fldChar w:fldCharType="separate"/>
            </w:r>
            <w:r w:rsidR="00ED3229">
              <w:rPr>
                <w:webHidden/>
              </w:rPr>
              <w:t>8</w:t>
            </w:r>
            <w:r w:rsidR="00C719E7">
              <w:rPr>
                <w:webHidden/>
              </w:rPr>
              <w:fldChar w:fldCharType="end"/>
            </w:r>
          </w:hyperlink>
        </w:p>
        <w:p w14:paraId="5AB4E3B6" w14:textId="77777777" w:rsidR="00C719E7" w:rsidRDefault="00F50AEC" w:rsidP="00547D83">
          <w:pPr>
            <w:pStyle w:val="TOC1"/>
            <w:spacing w:after="120"/>
            <w:rPr>
              <w:rFonts w:asciiTheme="minorHAnsi" w:eastAsiaTheme="minorEastAsia" w:hAnsiTheme="minorHAnsi" w:cstheme="minorBidi"/>
              <w:sz w:val="22"/>
              <w:szCs w:val="22"/>
              <w:lang w:val="es-ES"/>
            </w:rPr>
          </w:pPr>
          <w:hyperlink w:anchor="_Toc472608939" w:history="1">
            <w:r w:rsidR="00C719E7" w:rsidRPr="00167B62">
              <w:rPr>
                <w:rStyle w:val="Hyperlink"/>
                <w:snapToGrid w:val="0"/>
              </w:rPr>
              <w:t>V PRUEBA</w:t>
            </w:r>
            <w:r w:rsidR="00C719E7">
              <w:rPr>
                <w:webHidden/>
              </w:rPr>
              <w:tab/>
            </w:r>
            <w:r w:rsidR="00C719E7">
              <w:rPr>
                <w:webHidden/>
              </w:rPr>
              <w:fldChar w:fldCharType="begin"/>
            </w:r>
            <w:r w:rsidR="00C719E7">
              <w:rPr>
                <w:webHidden/>
              </w:rPr>
              <w:instrText xml:space="preserve"> PAGEREF _Toc472608939 \h </w:instrText>
            </w:r>
            <w:r w:rsidR="00C719E7">
              <w:rPr>
                <w:webHidden/>
              </w:rPr>
            </w:r>
            <w:r w:rsidR="00C719E7">
              <w:rPr>
                <w:webHidden/>
              </w:rPr>
              <w:fldChar w:fldCharType="separate"/>
            </w:r>
            <w:r w:rsidR="00ED3229">
              <w:rPr>
                <w:webHidden/>
              </w:rPr>
              <w:t>25</w:t>
            </w:r>
            <w:r w:rsidR="00C719E7">
              <w:rPr>
                <w:webHidden/>
              </w:rPr>
              <w:fldChar w:fldCharType="end"/>
            </w:r>
          </w:hyperlink>
        </w:p>
        <w:p w14:paraId="50EBCC05" w14:textId="3E444B3F" w:rsidR="00C719E7" w:rsidRDefault="00F50AEC" w:rsidP="00547D83">
          <w:pPr>
            <w:pStyle w:val="TOC1"/>
            <w:spacing w:after="120"/>
            <w:rPr>
              <w:rFonts w:asciiTheme="minorHAnsi" w:eastAsiaTheme="minorEastAsia" w:hAnsiTheme="minorHAnsi" w:cstheme="minorBidi"/>
              <w:sz w:val="22"/>
              <w:szCs w:val="22"/>
              <w:lang w:val="es-ES"/>
            </w:rPr>
          </w:pPr>
          <w:hyperlink w:anchor="_Toc472608943" w:history="1">
            <w:r w:rsidR="00C719E7" w:rsidRPr="00167B62">
              <w:rPr>
                <w:rStyle w:val="Hyperlink"/>
                <w:lang w:val="es-ES_tradnl"/>
              </w:rPr>
              <w:t>VI</w:t>
            </w:r>
          </w:hyperlink>
          <w:r w:rsidR="003648C9" w:rsidRPr="003648C9">
            <w:rPr>
              <w:rStyle w:val="Hyperlink"/>
              <w:u w:val="none"/>
            </w:rPr>
            <w:t xml:space="preserve"> </w:t>
          </w:r>
          <w:hyperlink w:anchor="_Toc472608944" w:history="1">
            <w:r w:rsidR="00C719E7" w:rsidRPr="00167B62">
              <w:rPr>
                <w:rStyle w:val="Hyperlink"/>
                <w:lang w:val="es-ES_tradnl"/>
              </w:rPr>
              <w:t>HECHOS</w:t>
            </w:r>
            <w:r w:rsidR="00C719E7">
              <w:rPr>
                <w:webHidden/>
              </w:rPr>
              <w:tab/>
            </w:r>
            <w:r w:rsidR="00C719E7">
              <w:rPr>
                <w:webHidden/>
              </w:rPr>
              <w:fldChar w:fldCharType="begin"/>
            </w:r>
            <w:r w:rsidR="00C719E7">
              <w:rPr>
                <w:webHidden/>
              </w:rPr>
              <w:instrText xml:space="preserve"> PAGEREF _Toc472608944 \h </w:instrText>
            </w:r>
            <w:r w:rsidR="00C719E7">
              <w:rPr>
                <w:webHidden/>
              </w:rPr>
            </w:r>
            <w:r w:rsidR="00C719E7">
              <w:rPr>
                <w:webHidden/>
              </w:rPr>
              <w:fldChar w:fldCharType="separate"/>
            </w:r>
            <w:r w:rsidR="00ED3229">
              <w:rPr>
                <w:webHidden/>
              </w:rPr>
              <w:t>27</w:t>
            </w:r>
            <w:r w:rsidR="00C719E7">
              <w:rPr>
                <w:webHidden/>
              </w:rPr>
              <w:fldChar w:fldCharType="end"/>
            </w:r>
          </w:hyperlink>
        </w:p>
        <w:p w14:paraId="3FE58734" w14:textId="46221484" w:rsidR="00C719E7" w:rsidRDefault="00F50AEC" w:rsidP="00547D83">
          <w:pPr>
            <w:pStyle w:val="TOC1"/>
            <w:spacing w:after="120"/>
            <w:rPr>
              <w:rFonts w:asciiTheme="minorHAnsi" w:eastAsiaTheme="minorEastAsia" w:hAnsiTheme="minorHAnsi" w:cstheme="minorBidi"/>
              <w:sz w:val="22"/>
              <w:szCs w:val="22"/>
              <w:lang w:val="es-ES"/>
            </w:rPr>
          </w:pPr>
          <w:hyperlink w:anchor="_Toc472608949" w:history="1">
            <w:r w:rsidR="00C719E7" w:rsidRPr="00167B62">
              <w:rPr>
                <w:rStyle w:val="Hyperlink"/>
              </w:rPr>
              <w:t>VII</w:t>
            </w:r>
            <w:r w:rsidR="005069AC">
              <w:rPr>
                <w:rStyle w:val="Hyperlink"/>
              </w:rPr>
              <w:t xml:space="preserve"> </w:t>
            </w:r>
          </w:hyperlink>
          <w:hyperlink w:anchor="_Toc472608950" w:history="1">
            <w:r w:rsidR="00C719E7" w:rsidRPr="00167B62">
              <w:rPr>
                <w:rStyle w:val="Hyperlink"/>
              </w:rPr>
              <w:t>FONDO</w:t>
            </w:r>
            <w:r w:rsidR="00C719E7">
              <w:rPr>
                <w:webHidden/>
              </w:rPr>
              <w:tab/>
            </w:r>
            <w:r w:rsidR="00C719E7">
              <w:rPr>
                <w:webHidden/>
              </w:rPr>
              <w:fldChar w:fldCharType="begin"/>
            </w:r>
            <w:r w:rsidR="00C719E7">
              <w:rPr>
                <w:webHidden/>
              </w:rPr>
              <w:instrText xml:space="preserve"> PAGEREF _Toc472608950 \h </w:instrText>
            </w:r>
            <w:r w:rsidR="00C719E7">
              <w:rPr>
                <w:webHidden/>
              </w:rPr>
            </w:r>
            <w:r w:rsidR="00C719E7">
              <w:rPr>
                <w:webHidden/>
              </w:rPr>
              <w:fldChar w:fldCharType="separate"/>
            </w:r>
            <w:r w:rsidR="00ED3229">
              <w:rPr>
                <w:webHidden/>
              </w:rPr>
              <w:t>42</w:t>
            </w:r>
            <w:r w:rsidR="00C719E7">
              <w:rPr>
                <w:webHidden/>
              </w:rPr>
              <w:fldChar w:fldCharType="end"/>
            </w:r>
          </w:hyperlink>
        </w:p>
        <w:p w14:paraId="581F4A6B" w14:textId="0B85DFC8" w:rsidR="00C719E7" w:rsidRPr="003648C9" w:rsidRDefault="003648C9" w:rsidP="00547D83">
          <w:pPr>
            <w:pStyle w:val="TOC1"/>
            <w:spacing w:after="120"/>
            <w:rPr>
              <w:rFonts w:asciiTheme="minorHAnsi" w:eastAsiaTheme="minorEastAsia" w:hAnsiTheme="minorHAnsi" w:cstheme="minorBidi"/>
              <w:sz w:val="22"/>
              <w:szCs w:val="22"/>
              <w:lang w:val="es-ES"/>
            </w:rPr>
          </w:pPr>
          <w:r w:rsidRPr="003648C9">
            <w:rPr>
              <w:rStyle w:val="Hyperlink"/>
              <w:u w:val="none"/>
            </w:rPr>
            <w:t xml:space="preserve">  </w:t>
          </w:r>
          <w:hyperlink w:anchor="_Toc472608951" w:history="1">
            <w:r w:rsidR="00C719E7" w:rsidRPr="003648C9">
              <w:rPr>
                <w:rStyle w:val="Hyperlink"/>
                <w:u w:val="none"/>
              </w:rPr>
              <w:t>VII-1</w:t>
            </w:r>
            <w:r w:rsidR="005069AC" w:rsidRPr="003648C9">
              <w:rPr>
                <w:rStyle w:val="Hyperlink"/>
                <w:u w:val="none"/>
              </w:rPr>
              <w:t xml:space="preserve"> </w:t>
            </w:r>
          </w:hyperlink>
          <w:hyperlink w:anchor="_Toc472608952" w:history="1">
            <w:r w:rsidR="00C719E7" w:rsidRPr="003648C9">
              <w:rPr>
                <w:rStyle w:val="Hyperlink"/>
                <w:u w:val="none"/>
              </w:rPr>
              <w:t>DERECHOS A LAS GARANTÍAS JUDICIALES Y A LA PROTECCIÓN JUDICIAL</w:t>
            </w:r>
            <w:r w:rsidR="00C719E7" w:rsidRPr="003648C9">
              <w:rPr>
                <w:webHidden/>
              </w:rPr>
              <w:tab/>
            </w:r>
            <w:r w:rsidR="00C719E7" w:rsidRPr="003648C9">
              <w:rPr>
                <w:webHidden/>
              </w:rPr>
              <w:fldChar w:fldCharType="begin"/>
            </w:r>
            <w:r w:rsidR="00C719E7" w:rsidRPr="003648C9">
              <w:rPr>
                <w:webHidden/>
              </w:rPr>
              <w:instrText xml:space="preserve"> PAGEREF _Toc472608952 \h </w:instrText>
            </w:r>
            <w:r w:rsidR="00C719E7" w:rsidRPr="003648C9">
              <w:rPr>
                <w:webHidden/>
              </w:rPr>
            </w:r>
            <w:r w:rsidR="00C719E7" w:rsidRPr="003648C9">
              <w:rPr>
                <w:webHidden/>
              </w:rPr>
              <w:fldChar w:fldCharType="separate"/>
            </w:r>
            <w:r w:rsidR="00ED3229">
              <w:rPr>
                <w:webHidden/>
              </w:rPr>
              <w:t>42</w:t>
            </w:r>
            <w:r w:rsidR="00C719E7" w:rsidRPr="003648C9">
              <w:rPr>
                <w:webHidden/>
              </w:rPr>
              <w:fldChar w:fldCharType="end"/>
            </w:r>
          </w:hyperlink>
        </w:p>
        <w:p w14:paraId="2BEA5807" w14:textId="0368344A" w:rsidR="00C719E7" w:rsidRPr="003648C9" w:rsidRDefault="003648C9" w:rsidP="00547D83">
          <w:pPr>
            <w:pStyle w:val="TOC1"/>
            <w:spacing w:after="120"/>
            <w:rPr>
              <w:rFonts w:asciiTheme="minorHAnsi" w:eastAsiaTheme="minorEastAsia" w:hAnsiTheme="minorHAnsi" w:cstheme="minorBidi"/>
              <w:sz w:val="22"/>
              <w:szCs w:val="22"/>
              <w:lang w:val="es-ES"/>
            </w:rPr>
          </w:pPr>
          <w:r w:rsidRPr="003648C9">
            <w:rPr>
              <w:rStyle w:val="Hyperlink"/>
              <w:u w:val="none"/>
            </w:rPr>
            <w:t xml:space="preserve">  </w:t>
          </w:r>
          <w:hyperlink w:anchor="_Toc472608960" w:history="1">
            <w:r w:rsidR="00C719E7" w:rsidRPr="003648C9">
              <w:rPr>
                <w:rStyle w:val="Hyperlink"/>
                <w:u w:val="none"/>
              </w:rPr>
              <w:t>VII-2</w:t>
            </w:r>
            <w:r w:rsidR="005069AC" w:rsidRPr="003648C9">
              <w:rPr>
                <w:rStyle w:val="Hyperlink"/>
                <w:u w:val="none"/>
              </w:rPr>
              <w:t xml:space="preserve"> </w:t>
            </w:r>
          </w:hyperlink>
          <w:hyperlink w:anchor="_Toc472608961" w:history="1">
            <w:r w:rsidR="00C719E7" w:rsidRPr="003648C9">
              <w:rPr>
                <w:rStyle w:val="Hyperlink"/>
                <w:u w:val="none"/>
              </w:rPr>
              <w:t>DERECHO A LA INTEGRIDAD PERSONAL</w:t>
            </w:r>
            <w:r w:rsidR="00C719E7" w:rsidRPr="003648C9">
              <w:rPr>
                <w:webHidden/>
              </w:rPr>
              <w:tab/>
            </w:r>
            <w:r w:rsidR="00C719E7" w:rsidRPr="003648C9">
              <w:rPr>
                <w:webHidden/>
              </w:rPr>
              <w:fldChar w:fldCharType="begin"/>
            </w:r>
            <w:r w:rsidR="00C719E7" w:rsidRPr="003648C9">
              <w:rPr>
                <w:webHidden/>
              </w:rPr>
              <w:instrText xml:space="preserve"> PAGEREF _Toc472608961 \h </w:instrText>
            </w:r>
            <w:r w:rsidR="00C719E7" w:rsidRPr="003648C9">
              <w:rPr>
                <w:webHidden/>
              </w:rPr>
            </w:r>
            <w:r w:rsidR="00C719E7" w:rsidRPr="003648C9">
              <w:rPr>
                <w:webHidden/>
              </w:rPr>
              <w:fldChar w:fldCharType="separate"/>
            </w:r>
            <w:r w:rsidR="00ED3229">
              <w:rPr>
                <w:webHidden/>
              </w:rPr>
              <w:t>66</w:t>
            </w:r>
            <w:r w:rsidR="00C719E7" w:rsidRPr="003648C9">
              <w:rPr>
                <w:webHidden/>
              </w:rPr>
              <w:fldChar w:fldCharType="end"/>
            </w:r>
          </w:hyperlink>
        </w:p>
        <w:p w14:paraId="353E926D" w14:textId="70EEE96A" w:rsidR="00C719E7" w:rsidRPr="003648C9" w:rsidRDefault="003648C9" w:rsidP="00547D83">
          <w:pPr>
            <w:pStyle w:val="TOC1"/>
            <w:spacing w:after="120"/>
            <w:rPr>
              <w:rFonts w:asciiTheme="minorHAnsi" w:eastAsiaTheme="minorEastAsia" w:hAnsiTheme="minorHAnsi" w:cstheme="minorBidi"/>
              <w:sz w:val="22"/>
              <w:szCs w:val="22"/>
              <w:lang w:val="es-ES"/>
            </w:rPr>
          </w:pPr>
          <w:r w:rsidRPr="003648C9">
            <w:rPr>
              <w:rStyle w:val="Hyperlink"/>
              <w:u w:val="none"/>
            </w:rPr>
            <w:t xml:space="preserve">  </w:t>
          </w:r>
          <w:hyperlink w:anchor="_Toc472608964" w:history="1">
            <w:r w:rsidR="00C719E7" w:rsidRPr="003648C9">
              <w:rPr>
                <w:rStyle w:val="Hyperlink"/>
                <w:u w:val="none"/>
              </w:rPr>
              <w:t>VII-3</w:t>
            </w:r>
            <w:r w:rsidR="005069AC" w:rsidRPr="003648C9">
              <w:rPr>
                <w:rStyle w:val="Hyperlink"/>
                <w:u w:val="none"/>
              </w:rPr>
              <w:t xml:space="preserve"> </w:t>
            </w:r>
          </w:hyperlink>
          <w:hyperlink w:anchor="_Toc472608965" w:history="1">
            <w:r w:rsidR="00C719E7" w:rsidRPr="003648C9">
              <w:rPr>
                <w:rStyle w:val="Hyperlink"/>
                <w:u w:val="none"/>
              </w:rPr>
              <w:t>DERECHO DE CIRCULACIÓN Y RESIDENCIA</w:t>
            </w:r>
            <w:r w:rsidR="00C719E7" w:rsidRPr="003648C9">
              <w:rPr>
                <w:webHidden/>
              </w:rPr>
              <w:tab/>
            </w:r>
            <w:r w:rsidR="00C719E7" w:rsidRPr="003648C9">
              <w:rPr>
                <w:webHidden/>
              </w:rPr>
              <w:fldChar w:fldCharType="begin"/>
            </w:r>
            <w:r w:rsidR="00C719E7" w:rsidRPr="003648C9">
              <w:rPr>
                <w:webHidden/>
              </w:rPr>
              <w:instrText xml:space="preserve"> PAGEREF _Toc472608965 \h </w:instrText>
            </w:r>
            <w:r w:rsidR="00C719E7" w:rsidRPr="003648C9">
              <w:rPr>
                <w:webHidden/>
              </w:rPr>
            </w:r>
            <w:r w:rsidR="00C719E7" w:rsidRPr="003648C9">
              <w:rPr>
                <w:webHidden/>
              </w:rPr>
              <w:fldChar w:fldCharType="separate"/>
            </w:r>
            <w:r w:rsidR="00ED3229">
              <w:rPr>
                <w:webHidden/>
              </w:rPr>
              <w:t>69</w:t>
            </w:r>
            <w:r w:rsidR="00C719E7" w:rsidRPr="003648C9">
              <w:rPr>
                <w:webHidden/>
              </w:rPr>
              <w:fldChar w:fldCharType="end"/>
            </w:r>
          </w:hyperlink>
        </w:p>
        <w:p w14:paraId="1125D522" w14:textId="4F67A6BF" w:rsidR="00C719E7" w:rsidRDefault="00F50AEC" w:rsidP="00547D83">
          <w:pPr>
            <w:pStyle w:val="TOC1"/>
            <w:spacing w:after="120"/>
            <w:rPr>
              <w:rStyle w:val="Hyperlink"/>
            </w:rPr>
          </w:pPr>
          <w:hyperlink w:anchor="_Toc472608968" w:history="1">
            <w:r w:rsidR="00C719E7" w:rsidRPr="00167B62">
              <w:rPr>
                <w:rStyle w:val="Hyperlink"/>
              </w:rPr>
              <w:t>VIII</w:t>
            </w:r>
            <w:r w:rsidR="005069AC">
              <w:rPr>
                <w:rStyle w:val="Hyperlink"/>
              </w:rPr>
              <w:t xml:space="preserve"> </w:t>
            </w:r>
          </w:hyperlink>
          <w:hyperlink w:anchor="_Toc472608969" w:history="1">
            <w:r w:rsidR="00C719E7" w:rsidRPr="00167B62">
              <w:rPr>
                <w:rStyle w:val="Hyperlink"/>
              </w:rPr>
              <w:t>REPARACIONES</w:t>
            </w:r>
            <w:r w:rsidR="00C719E7">
              <w:rPr>
                <w:webHidden/>
              </w:rPr>
              <w:tab/>
            </w:r>
            <w:r w:rsidR="00C719E7">
              <w:rPr>
                <w:webHidden/>
              </w:rPr>
              <w:fldChar w:fldCharType="begin"/>
            </w:r>
            <w:r w:rsidR="00C719E7">
              <w:rPr>
                <w:webHidden/>
              </w:rPr>
              <w:instrText xml:space="preserve"> PAGEREF _Toc472608969 \h </w:instrText>
            </w:r>
            <w:r w:rsidR="00C719E7">
              <w:rPr>
                <w:webHidden/>
              </w:rPr>
            </w:r>
            <w:r w:rsidR="00C719E7">
              <w:rPr>
                <w:webHidden/>
              </w:rPr>
              <w:fldChar w:fldCharType="separate"/>
            </w:r>
            <w:r w:rsidR="00ED3229">
              <w:rPr>
                <w:webHidden/>
              </w:rPr>
              <w:t>70</w:t>
            </w:r>
            <w:r w:rsidR="00C719E7">
              <w:rPr>
                <w:webHidden/>
              </w:rPr>
              <w:fldChar w:fldCharType="end"/>
            </w:r>
          </w:hyperlink>
        </w:p>
        <w:p w14:paraId="0C633437" w14:textId="3729BDB1" w:rsidR="00E12DAB" w:rsidRDefault="003648C9" w:rsidP="004E4224">
          <w:pPr>
            <w:pStyle w:val="Heading1"/>
            <w:spacing w:after="120"/>
            <w:jc w:val="right"/>
            <w:rPr>
              <w:rFonts w:eastAsiaTheme="minorHAnsi"/>
            </w:rPr>
          </w:pPr>
          <w:r w:rsidRPr="003648C9">
            <w:rPr>
              <w:rFonts w:eastAsiaTheme="minorHAnsi" w:cstheme="minorBidi"/>
              <w:szCs w:val="22"/>
              <w:lang w:val="es-CR"/>
            </w:rPr>
            <w:t>IX PUNTOS RESOLUTIVOS</w:t>
          </w:r>
          <w:r w:rsidR="00547D83">
            <w:rPr>
              <w:rFonts w:ascii="Verdana Bold" w:eastAsiaTheme="minorHAnsi" w:hAnsi="Verdana Bold" w:cstheme="minorBidi"/>
              <w:szCs w:val="22"/>
              <w:lang w:val="es-CR"/>
            </w:rPr>
            <w:t xml:space="preserve"> …..……</w:t>
          </w:r>
          <w:r w:rsidR="00547D83" w:rsidRPr="00547D83">
            <w:rPr>
              <w:rFonts w:ascii="Verdana Bold" w:eastAsiaTheme="minorHAnsi" w:hAnsi="Verdana Bold" w:cstheme="minorBidi"/>
              <w:szCs w:val="22"/>
              <w:lang w:val="es-CR"/>
            </w:rPr>
            <w:t>………………………………………………</w:t>
          </w:r>
          <w:r w:rsidR="00547D83">
            <w:rPr>
              <w:rFonts w:ascii="Verdana Bold" w:eastAsiaTheme="minorHAnsi" w:hAnsi="Verdana Bold" w:cstheme="minorBidi"/>
              <w:szCs w:val="22"/>
              <w:lang w:val="es-CR"/>
            </w:rPr>
            <w:t>…….</w:t>
          </w:r>
          <w:r w:rsidR="00547D83" w:rsidRPr="00547D83">
            <w:rPr>
              <w:rFonts w:ascii="Verdana Bold" w:eastAsiaTheme="minorHAnsi" w:hAnsi="Verdana Bold" w:cstheme="minorBidi"/>
              <w:szCs w:val="22"/>
              <w:lang w:val="es-CR"/>
            </w:rPr>
            <w:t>…</w:t>
          </w:r>
          <w:r w:rsidR="00547D83">
            <w:rPr>
              <w:rFonts w:ascii="Verdana Bold" w:eastAsiaTheme="minorHAnsi" w:hAnsi="Verdana Bold" w:cstheme="minorBidi"/>
              <w:szCs w:val="22"/>
              <w:lang w:val="es-CR"/>
            </w:rPr>
            <w:t>.........</w:t>
          </w:r>
          <w:r w:rsidR="004E4224">
            <w:rPr>
              <w:rFonts w:ascii="Verdana Bold" w:eastAsiaTheme="minorHAnsi" w:hAnsi="Verdana Bold" w:cstheme="minorBidi"/>
              <w:szCs w:val="22"/>
              <w:lang w:val="es-CR"/>
            </w:rPr>
            <w:t>.</w:t>
          </w:r>
          <w:r w:rsidR="00547D83">
            <w:rPr>
              <w:rFonts w:ascii="Verdana Bold" w:eastAsiaTheme="minorHAnsi" w:hAnsi="Verdana Bold" w:cstheme="minorBidi"/>
              <w:szCs w:val="22"/>
              <w:lang w:val="es-CR"/>
            </w:rPr>
            <w:t>.</w:t>
          </w:r>
          <w:r w:rsidR="00547D83" w:rsidRPr="00547D83">
            <w:rPr>
              <w:rFonts w:ascii="Verdana Bold" w:eastAsiaTheme="minorHAnsi" w:hAnsi="Verdana Bold" w:cstheme="minorBidi"/>
              <w:szCs w:val="22"/>
              <w:lang w:val="es-CR"/>
            </w:rPr>
            <w:t xml:space="preserve"> </w:t>
          </w:r>
          <w:r w:rsidR="00547D83">
            <w:rPr>
              <w:rFonts w:eastAsiaTheme="minorHAnsi" w:cstheme="minorBidi"/>
              <w:szCs w:val="22"/>
              <w:lang w:val="es-CR"/>
            </w:rPr>
            <w:t>8</w:t>
          </w:r>
          <w:r w:rsidR="00C719E7" w:rsidRPr="003648C9">
            <w:rPr>
              <w:rFonts w:eastAsiaTheme="minorHAnsi"/>
            </w:rPr>
            <w:fldChar w:fldCharType="end"/>
          </w:r>
          <w:r w:rsidR="004E4224">
            <w:rPr>
              <w:rFonts w:eastAsiaTheme="minorHAnsi"/>
            </w:rPr>
            <w:t>8</w:t>
          </w:r>
        </w:p>
      </w:sdtContent>
    </w:sdt>
    <w:p w14:paraId="7945EA16" w14:textId="6ACE6E1D" w:rsidR="00DB28AA" w:rsidRPr="00865E9F" w:rsidRDefault="00DB28AA" w:rsidP="00547D83">
      <w:pPr>
        <w:pStyle w:val="TOC1"/>
        <w:rPr>
          <w:rFonts w:eastAsia="Batang"/>
        </w:rPr>
      </w:pPr>
      <w:r w:rsidRPr="00232925">
        <w:rPr>
          <w:sz w:val="18"/>
          <w:szCs w:val="18"/>
        </w:rPr>
        <w:br w:type="page"/>
      </w:r>
      <w:bookmarkStart w:id="0" w:name="_Toc369989729"/>
      <w:bookmarkStart w:id="1" w:name="_Toc404770054"/>
      <w:bookmarkStart w:id="2" w:name="_Toc416164784"/>
      <w:bookmarkStart w:id="3" w:name="_Toc468909964"/>
      <w:bookmarkStart w:id="4" w:name="_Toc468910190"/>
      <w:bookmarkStart w:id="5" w:name="_Toc469404430"/>
      <w:bookmarkStart w:id="6" w:name="_Toc472608875"/>
      <w:r w:rsidRPr="00865E9F">
        <w:lastRenderedPageBreak/>
        <w:t>I</w:t>
      </w:r>
      <w:bookmarkStart w:id="7" w:name="_Toc288744729"/>
      <w:r w:rsidRPr="00865E9F">
        <w:br/>
        <w:t>INTRODUCCIÓN DE LA CAUSA Y OBJETO DE LA CONTROVERSIA</w:t>
      </w:r>
      <w:bookmarkEnd w:id="0"/>
      <w:bookmarkEnd w:id="1"/>
      <w:bookmarkEnd w:id="2"/>
      <w:bookmarkEnd w:id="3"/>
      <w:bookmarkEnd w:id="4"/>
      <w:bookmarkEnd w:id="5"/>
      <w:bookmarkEnd w:id="6"/>
      <w:bookmarkEnd w:id="7"/>
    </w:p>
    <w:p w14:paraId="0A323E2A" w14:textId="77777777" w:rsidR="00DB28AA" w:rsidRPr="00232925" w:rsidRDefault="00DB28AA" w:rsidP="00B811D7">
      <w:pPr>
        <w:rPr>
          <w:rFonts w:eastAsia="Batang" w:cs="Times"/>
          <w:noProof/>
          <w:szCs w:val="24"/>
          <w:lang w:eastAsia="es-ES"/>
        </w:rPr>
      </w:pPr>
    </w:p>
    <w:p w14:paraId="44878196" w14:textId="12665470" w:rsidR="00F43DC4" w:rsidRPr="00232925" w:rsidRDefault="00DB28AA" w:rsidP="00D6683A">
      <w:pPr>
        <w:numPr>
          <w:ilvl w:val="0"/>
          <w:numId w:val="1"/>
        </w:numPr>
        <w:autoSpaceDE w:val="0"/>
        <w:autoSpaceDN w:val="0"/>
        <w:adjustRightInd w:val="0"/>
        <w:ind w:right="6"/>
        <w:rPr>
          <w:rFonts w:eastAsia="Batang" w:cs="Times"/>
          <w:noProof/>
          <w:szCs w:val="24"/>
          <w:lang w:val="es-ES"/>
        </w:rPr>
      </w:pPr>
      <w:r w:rsidRPr="00232925">
        <w:rPr>
          <w:rFonts w:eastAsia="Batang" w:cs="Times"/>
          <w:i/>
          <w:noProof/>
          <w:szCs w:val="20"/>
          <w:lang w:val="es-ES"/>
        </w:rPr>
        <w:t xml:space="preserve">El caso </w:t>
      </w:r>
      <w:r w:rsidRPr="00232925">
        <w:rPr>
          <w:rFonts w:eastAsia="Batang" w:cs="Times"/>
          <w:i/>
          <w:szCs w:val="24"/>
          <w:lang w:val="es-ES_tradnl"/>
        </w:rPr>
        <w:t>sometido</w:t>
      </w:r>
      <w:r w:rsidRPr="00232925">
        <w:rPr>
          <w:rFonts w:eastAsia="Batang" w:cs="Times"/>
          <w:i/>
          <w:noProof/>
          <w:szCs w:val="20"/>
          <w:lang w:val="es-ES"/>
        </w:rPr>
        <w:t xml:space="preserve"> a la Corte. </w:t>
      </w:r>
      <w:r w:rsidRPr="00232925">
        <w:rPr>
          <w:rFonts w:eastAsia="Calibri" w:cs="Times"/>
          <w:noProof/>
          <w:szCs w:val="20"/>
          <w:lang w:val="es-ES"/>
        </w:rPr>
        <w:t xml:space="preserve">– </w:t>
      </w:r>
      <w:bookmarkStart w:id="8" w:name="_Ref363651855"/>
      <w:r w:rsidRPr="00232925">
        <w:rPr>
          <w:rFonts w:eastAsia="Batang" w:cs="Times"/>
          <w:noProof/>
          <w:szCs w:val="24"/>
          <w:lang w:val="es-ES_tradnl"/>
        </w:rPr>
        <w:t xml:space="preserve">El </w:t>
      </w:r>
      <w:r w:rsidR="00F26B0D" w:rsidRPr="00232925">
        <w:rPr>
          <w:rFonts w:eastAsia="Batang" w:cs="Times"/>
          <w:noProof/>
          <w:szCs w:val="24"/>
          <w:lang w:val="es-ES_tradnl"/>
        </w:rPr>
        <w:t>19</w:t>
      </w:r>
      <w:r w:rsidRPr="00232925">
        <w:rPr>
          <w:rFonts w:eastAsia="Batang" w:cs="Times"/>
          <w:noProof/>
          <w:szCs w:val="24"/>
          <w:lang w:val="es-ES_tradnl"/>
        </w:rPr>
        <w:t xml:space="preserve"> de ma</w:t>
      </w:r>
      <w:r w:rsidR="00F26B0D" w:rsidRPr="00232925">
        <w:rPr>
          <w:rFonts w:eastAsia="Batang" w:cs="Times"/>
          <w:noProof/>
          <w:szCs w:val="24"/>
          <w:lang w:val="es-ES_tradnl"/>
        </w:rPr>
        <w:t>y</w:t>
      </w:r>
      <w:r w:rsidRPr="00232925">
        <w:rPr>
          <w:rFonts w:eastAsia="Batang" w:cs="Times"/>
          <w:noProof/>
          <w:szCs w:val="24"/>
          <w:lang w:val="es-ES_tradnl"/>
        </w:rPr>
        <w:t xml:space="preserve">o de 2015 la Comisión Interamericana de Derechos Humanos (en adelante “la Comisión Interamericana” o “la Comisión”) sometió a la Corte el caso </w:t>
      </w:r>
      <w:r w:rsidR="00586648">
        <w:rPr>
          <w:rFonts w:eastAsia="Batang" w:cs="Times"/>
          <w:noProof/>
          <w:szCs w:val="24"/>
          <w:lang w:val="es-ES_tradnl"/>
        </w:rPr>
        <w:t xml:space="preserve">Cosme Rosa Genoveva, Evandro de Oliveira y otros </w:t>
      </w:r>
      <w:r w:rsidR="00F26B0D" w:rsidRPr="00232925">
        <w:rPr>
          <w:rFonts w:eastAsia="Batang" w:cs="Times"/>
          <w:noProof/>
          <w:szCs w:val="24"/>
          <w:lang w:val="es-ES_tradnl"/>
        </w:rPr>
        <w:t>(</w:t>
      </w:r>
      <w:r w:rsidR="001E32A4">
        <w:rPr>
          <w:rFonts w:eastAsia="Batang" w:cs="Times"/>
          <w:i/>
          <w:noProof/>
          <w:szCs w:val="24"/>
          <w:lang w:val="es-ES_tradnl"/>
        </w:rPr>
        <w:t>Favela Nova Brasi</w:t>
      </w:r>
      <w:r w:rsidR="00F26B0D" w:rsidRPr="00232925">
        <w:rPr>
          <w:rFonts w:eastAsia="Batang" w:cs="Times"/>
          <w:i/>
          <w:noProof/>
          <w:szCs w:val="24"/>
          <w:lang w:val="es-ES_tradnl"/>
        </w:rPr>
        <w:t xml:space="preserve">lia) </w:t>
      </w:r>
      <w:r w:rsidRPr="00232925">
        <w:rPr>
          <w:rFonts w:eastAsia="Batang" w:cs="Times"/>
          <w:i/>
          <w:noProof/>
          <w:szCs w:val="24"/>
          <w:lang w:val="es-ES_tradnl"/>
        </w:rPr>
        <w:t xml:space="preserve">contra la República Federativa de Brasil </w:t>
      </w:r>
      <w:r w:rsidRPr="00232925">
        <w:rPr>
          <w:rFonts w:eastAsia="Batang" w:cs="Times"/>
          <w:noProof/>
          <w:szCs w:val="24"/>
          <w:lang w:val="es-ES_tradnl"/>
        </w:rPr>
        <w:t>(en adelante “el Estado” o “Brasil”).</w:t>
      </w:r>
      <w:r w:rsidRPr="00232925">
        <w:rPr>
          <w:rFonts w:eastAsia="Batang" w:cs="Times"/>
          <w:noProof/>
          <w:color w:val="000000"/>
          <w:szCs w:val="24"/>
          <w:lang w:val="es-ES_tradnl"/>
        </w:rPr>
        <w:t xml:space="preserve"> </w:t>
      </w:r>
      <w:r w:rsidRPr="00232925">
        <w:rPr>
          <w:rFonts w:eastAsia="Batang" w:cs="Times"/>
          <w:noProof/>
          <w:szCs w:val="24"/>
          <w:lang w:val="es-ES_tradnl"/>
        </w:rPr>
        <w:t xml:space="preserve">El caso se </w:t>
      </w:r>
      <w:r w:rsidR="00F43DC4" w:rsidRPr="00232925">
        <w:rPr>
          <w:rFonts w:eastAsia="Batang" w:cs="Times"/>
          <w:noProof/>
          <w:szCs w:val="24"/>
          <w:lang w:val="es-ES_tradnl"/>
        </w:rPr>
        <w:t xml:space="preserve">refiere a </w:t>
      </w:r>
      <w:r w:rsidR="00F147C5">
        <w:rPr>
          <w:rFonts w:eastAsia="Batang" w:cs="Times"/>
          <w:noProof/>
          <w:szCs w:val="24"/>
          <w:lang w:val="es-ES_tradnl"/>
        </w:rPr>
        <w:t xml:space="preserve">las fallas y demora en la investigación y sanción de los responsables por </w:t>
      </w:r>
      <w:r w:rsidR="00F26B0D" w:rsidRPr="00232925">
        <w:rPr>
          <w:rFonts w:eastAsia="Calibri" w:cs="Times New Roman"/>
          <w:szCs w:val="20"/>
          <w:lang w:val="es-ES"/>
        </w:rPr>
        <w:t xml:space="preserve">las presuntas </w:t>
      </w:r>
      <w:r w:rsidR="001E32A4">
        <w:rPr>
          <w:rFonts w:eastAsia="Calibri" w:cs="Times New Roman"/>
          <w:szCs w:val="20"/>
          <w:lang w:val="es-ES"/>
        </w:rPr>
        <w:t>“</w:t>
      </w:r>
      <w:r w:rsidR="00F26B0D" w:rsidRPr="00232925">
        <w:rPr>
          <w:rFonts w:eastAsia="Calibri" w:cs="Times New Roman"/>
          <w:szCs w:val="20"/>
          <w:lang w:val="es-ES"/>
        </w:rPr>
        <w:t xml:space="preserve">ejecuciones extrajudiciales de 26 personas en el marco de </w:t>
      </w:r>
      <w:r w:rsidR="00232925">
        <w:rPr>
          <w:rFonts w:eastAsia="Calibri" w:cs="Times New Roman"/>
          <w:szCs w:val="20"/>
          <w:lang w:val="es-ES"/>
        </w:rPr>
        <w:t>do</w:t>
      </w:r>
      <w:r w:rsidR="00F26B0D" w:rsidRPr="00232925">
        <w:rPr>
          <w:rFonts w:eastAsia="Calibri" w:cs="Times New Roman"/>
          <w:szCs w:val="20"/>
          <w:lang w:val="es-ES"/>
        </w:rPr>
        <w:t>s redadas policiales efect</w:t>
      </w:r>
      <w:r w:rsidR="001E32A4">
        <w:rPr>
          <w:rFonts w:eastAsia="Calibri" w:cs="Times New Roman"/>
          <w:szCs w:val="20"/>
          <w:lang w:val="es-ES"/>
        </w:rPr>
        <w:t>uadas por la Policía Civil de Rí</w:t>
      </w:r>
      <w:r w:rsidR="00F26B0D" w:rsidRPr="00232925">
        <w:rPr>
          <w:rFonts w:eastAsia="Calibri" w:cs="Times New Roman"/>
          <w:szCs w:val="20"/>
          <w:lang w:val="es-ES"/>
        </w:rPr>
        <w:t>o de Janeiro el 18 de octubre de 1994 y el 8 de mayo de 1995 en la Favela Nova Brasilia</w:t>
      </w:r>
      <w:r w:rsidR="001E32A4">
        <w:rPr>
          <w:rFonts w:eastAsia="Calibri" w:cs="Times New Roman"/>
          <w:szCs w:val="20"/>
          <w:lang w:val="es-ES"/>
        </w:rPr>
        <w:t>”</w:t>
      </w:r>
      <w:r w:rsidR="00F26B0D" w:rsidRPr="00232925">
        <w:rPr>
          <w:rFonts w:eastAsia="Calibri" w:cs="Times New Roman"/>
          <w:szCs w:val="20"/>
          <w:lang w:val="es-ES"/>
        </w:rPr>
        <w:t xml:space="preserve">. Se alega que </w:t>
      </w:r>
      <w:r w:rsidR="00F43DC4" w:rsidRPr="00232925">
        <w:rPr>
          <w:rFonts w:eastAsia="Calibri" w:cs="Times New Roman"/>
          <w:szCs w:val="20"/>
        </w:rPr>
        <w:t>estas</w:t>
      </w:r>
      <w:r w:rsidR="00F26B0D" w:rsidRPr="00232925">
        <w:rPr>
          <w:rFonts w:eastAsia="Calibri" w:cs="Times New Roman"/>
          <w:szCs w:val="20"/>
        </w:rPr>
        <w:t xml:space="preserve"> muertes fueron justificadas por las autoridades policiales mediante el levantamiento de </w:t>
      </w:r>
      <w:r w:rsidR="00232925">
        <w:rPr>
          <w:rFonts w:eastAsia="Calibri" w:cs="Times New Roman"/>
          <w:szCs w:val="20"/>
        </w:rPr>
        <w:t>“</w:t>
      </w:r>
      <w:r w:rsidR="00F26B0D" w:rsidRPr="00232925">
        <w:rPr>
          <w:rFonts w:eastAsia="Calibri" w:cs="Times New Roman"/>
          <w:szCs w:val="20"/>
        </w:rPr>
        <w:t>actas de resistencia al arresto</w:t>
      </w:r>
      <w:r w:rsidR="00232925">
        <w:rPr>
          <w:rFonts w:eastAsia="Calibri" w:cs="Times New Roman"/>
          <w:szCs w:val="20"/>
        </w:rPr>
        <w:t>”</w:t>
      </w:r>
      <w:r w:rsidR="00F26B0D" w:rsidRPr="00232925">
        <w:rPr>
          <w:rFonts w:eastAsia="Calibri" w:cs="Times New Roman"/>
          <w:szCs w:val="20"/>
        </w:rPr>
        <w:t xml:space="preserve">. Además, </w:t>
      </w:r>
      <w:r w:rsidR="00F43DC4" w:rsidRPr="00232925">
        <w:rPr>
          <w:rFonts w:eastAsia="Calibri" w:cs="Times New Roman"/>
          <w:szCs w:val="20"/>
        </w:rPr>
        <w:t>se alega que</w:t>
      </w:r>
      <w:r w:rsidR="00B90E9C">
        <w:rPr>
          <w:rFonts w:eastAsia="Calibri" w:cs="Times New Roman"/>
          <w:szCs w:val="20"/>
        </w:rPr>
        <w:t>,</w:t>
      </w:r>
      <w:r w:rsidR="00F43DC4" w:rsidRPr="00232925">
        <w:rPr>
          <w:rFonts w:eastAsia="Calibri" w:cs="Times New Roman"/>
          <w:szCs w:val="20"/>
        </w:rPr>
        <w:t xml:space="preserve"> </w:t>
      </w:r>
      <w:r w:rsidR="00F26B0D" w:rsidRPr="00232925">
        <w:rPr>
          <w:rFonts w:eastAsia="Calibri" w:cs="Times New Roman"/>
          <w:szCs w:val="20"/>
        </w:rPr>
        <w:t xml:space="preserve">en el marco de la redada de 18 de octubre de 1994, </w:t>
      </w:r>
      <w:r w:rsidR="00232925">
        <w:rPr>
          <w:rFonts w:eastAsia="Calibri" w:cs="Times New Roman"/>
          <w:szCs w:val="20"/>
        </w:rPr>
        <w:t xml:space="preserve">tres mujeres, dos </w:t>
      </w:r>
      <w:r w:rsidR="000D265B">
        <w:rPr>
          <w:rFonts w:eastAsia="Calibri" w:cs="Times New Roman"/>
          <w:szCs w:val="20"/>
        </w:rPr>
        <w:t xml:space="preserve">de ellas </w:t>
      </w:r>
      <w:r w:rsidR="00232925">
        <w:rPr>
          <w:rFonts w:eastAsia="Calibri" w:cs="Times New Roman"/>
          <w:szCs w:val="20"/>
        </w:rPr>
        <w:t>niñas</w:t>
      </w:r>
      <w:r w:rsidR="00F43DC4" w:rsidRPr="00232925">
        <w:rPr>
          <w:rFonts w:eastAsia="Calibri" w:cs="Times New Roman"/>
          <w:szCs w:val="20"/>
        </w:rPr>
        <w:t xml:space="preserve">, habrían </w:t>
      </w:r>
      <w:r w:rsidR="00F26B0D" w:rsidRPr="00232925">
        <w:rPr>
          <w:rFonts w:eastAsia="Calibri" w:cs="Times New Roman"/>
          <w:szCs w:val="20"/>
        </w:rPr>
        <w:t xml:space="preserve">sido víctimas de tortura y actos de violencia sexual por parte de agentes policiales. </w:t>
      </w:r>
      <w:r w:rsidR="00F43DC4" w:rsidRPr="00232925">
        <w:rPr>
          <w:rFonts w:eastAsia="Calibri" w:cs="Times New Roman"/>
          <w:szCs w:val="20"/>
        </w:rPr>
        <w:t xml:space="preserve">Finalmente, se alega que </w:t>
      </w:r>
      <w:r w:rsidR="00F43DC4" w:rsidRPr="00232925">
        <w:rPr>
          <w:rFonts w:eastAsia="Calibri" w:cs="Times New Roman"/>
          <w:szCs w:val="20"/>
          <w:lang w:val="es-ES"/>
        </w:rPr>
        <w:t xml:space="preserve">la investigación de los hechos mencionados habría sido llevada a cabo presuntamente con el objetivo de estigmatizar y </w:t>
      </w:r>
      <w:proofErr w:type="spellStart"/>
      <w:r w:rsidR="00F43DC4" w:rsidRPr="00232925">
        <w:rPr>
          <w:rFonts w:eastAsia="Calibri" w:cs="Times New Roman"/>
          <w:szCs w:val="20"/>
          <w:lang w:val="es-ES"/>
        </w:rPr>
        <w:t>revictimizar</w:t>
      </w:r>
      <w:proofErr w:type="spellEnd"/>
      <w:r w:rsidR="00F43DC4" w:rsidRPr="00232925">
        <w:rPr>
          <w:rFonts w:eastAsia="Calibri" w:cs="Times New Roman"/>
          <w:szCs w:val="20"/>
          <w:lang w:val="es-ES"/>
        </w:rPr>
        <w:t xml:space="preserve"> a las personas fallecidas, pues se habría enfocado en su culpabilidad y no en la verificación de la legitimidad del uso de la</w:t>
      </w:r>
      <w:r w:rsidR="002D676F">
        <w:rPr>
          <w:rFonts w:eastAsia="Calibri" w:cs="Times New Roman"/>
          <w:szCs w:val="20"/>
          <w:lang w:val="es-ES"/>
        </w:rPr>
        <w:t xml:space="preserve"> fuerza.</w:t>
      </w:r>
    </w:p>
    <w:p w14:paraId="1D833767" w14:textId="77777777" w:rsidR="00DB28AA" w:rsidRPr="00232925" w:rsidRDefault="00DB28AA" w:rsidP="00B811D7">
      <w:pPr>
        <w:autoSpaceDE w:val="0"/>
        <w:autoSpaceDN w:val="0"/>
        <w:adjustRightInd w:val="0"/>
        <w:ind w:right="4"/>
        <w:rPr>
          <w:rFonts w:eastAsia="Batang" w:cs="Times"/>
          <w:szCs w:val="20"/>
          <w:lang w:val="es-ES"/>
        </w:rPr>
      </w:pPr>
    </w:p>
    <w:p w14:paraId="4DF13113" w14:textId="77777777" w:rsidR="00DB28AA" w:rsidRPr="00232925" w:rsidRDefault="00DB28AA" w:rsidP="00D6683A">
      <w:pPr>
        <w:numPr>
          <w:ilvl w:val="0"/>
          <w:numId w:val="1"/>
        </w:numPr>
        <w:ind w:right="4"/>
        <w:rPr>
          <w:rFonts w:eastAsia="Batang" w:cs="Times"/>
          <w:szCs w:val="24"/>
          <w:lang w:val="es-ES_tradnl"/>
        </w:rPr>
      </w:pPr>
      <w:r w:rsidRPr="00232925">
        <w:rPr>
          <w:rFonts w:eastAsia="Batang" w:cs="Times"/>
          <w:i/>
          <w:szCs w:val="24"/>
          <w:lang w:val="es-ES_tradnl"/>
        </w:rPr>
        <w:t xml:space="preserve">Trámite ante la Comisión. </w:t>
      </w:r>
      <w:r w:rsidRPr="00232925">
        <w:rPr>
          <w:rFonts w:eastAsia="Batang" w:cs="Times"/>
          <w:szCs w:val="24"/>
          <w:lang w:val="es-ES_tradnl"/>
        </w:rPr>
        <w:t>–</w:t>
      </w:r>
      <w:bookmarkEnd w:id="8"/>
      <w:r w:rsidRPr="00232925">
        <w:rPr>
          <w:rFonts w:eastAsia="Batang" w:cs="Times"/>
          <w:szCs w:val="24"/>
          <w:lang w:val="es-ES_tradnl"/>
        </w:rPr>
        <w:t xml:space="preserve"> El trámite del caso ante la Comisión Interamericana fue el siguiente:</w:t>
      </w:r>
    </w:p>
    <w:p w14:paraId="38F48AC2" w14:textId="77777777" w:rsidR="00DB28AA" w:rsidRPr="00232925" w:rsidRDefault="00DB28AA" w:rsidP="00B811D7">
      <w:pPr>
        <w:rPr>
          <w:rFonts w:eastAsia="Batang" w:cs="Times"/>
          <w:szCs w:val="24"/>
          <w:lang w:val="es-ES_tradnl"/>
        </w:rPr>
      </w:pPr>
    </w:p>
    <w:p w14:paraId="187BFAB0" w14:textId="006C42F1" w:rsidR="00F17667" w:rsidRPr="00B46463" w:rsidRDefault="00DB28AA" w:rsidP="00D6683A">
      <w:pPr>
        <w:numPr>
          <w:ilvl w:val="0"/>
          <w:numId w:val="2"/>
        </w:numPr>
        <w:ind w:right="4"/>
        <w:rPr>
          <w:rFonts w:eastAsia="Batang" w:cs="Times"/>
          <w:sz w:val="22"/>
          <w:szCs w:val="24"/>
          <w:lang w:val="es-ES_tradnl"/>
        </w:rPr>
      </w:pPr>
      <w:r w:rsidRPr="00232925">
        <w:rPr>
          <w:rFonts w:eastAsia="Batang" w:cs="Times"/>
          <w:i/>
          <w:szCs w:val="24"/>
          <w:lang w:val="es-ES_tradnl"/>
        </w:rPr>
        <w:t>Petici</w:t>
      </w:r>
      <w:r w:rsidR="00232925">
        <w:rPr>
          <w:rFonts w:eastAsia="Batang" w:cs="Times"/>
          <w:i/>
          <w:szCs w:val="24"/>
          <w:lang w:val="es-ES_tradnl"/>
        </w:rPr>
        <w:t>ones</w:t>
      </w:r>
      <w:r w:rsidRPr="00232925">
        <w:rPr>
          <w:rFonts w:eastAsia="Batang" w:cs="Times"/>
          <w:i/>
          <w:szCs w:val="24"/>
          <w:lang w:val="es-ES_tradnl"/>
        </w:rPr>
        <w:t xml:space="preserve">. – </w:t>
      </w:r>
      <w:r w:rsidR="00F17667" w:rsidRPr="00232925">
        <w:rPr>
          <w:rFonts w:eastAsia="Batang" w:cs="Times"/>
          <w:szCs w:val="24"/>
        </w:rPr>
        <w:t xml:space="preserve">El 3 de noviembre de 1995 y el 24 de julio de 1996 </w:t>
      </w:r>
      <w:r w:rsidRPr="00232925">
        <w:rPr>
          <w:rFonts w:eastAsia="Batang" w:cs="Times"/>
          <w:szCs w:val="24"/>
          <w:lang w:val="es-ES_tradnl"/>
        </w:rPr>
        <w:t>la Comisión recibió la</w:t>
      </w:r>
      <w:r w:rsidR="00232925">
        <w:rPr>
          <w:rFonts w:eastAsia="Batang" w:cs="Times"/>
          <w:szCs w:val="24"/>
          <w:lang w:val="es-ES_tradnl"/>
        </w:rPr>
        <w:t>s</w:t>
      </w:r>
      <w:r w:rsidRPr="00232925">
        <w:rPr>
          <w:rFonts w:eastAsia="Batang" w:cs="Times"/>
          <w:szCs w:val="24"/>
          <w:lang w:val="es-ES_tradnl"/>
        </w:rPr>
        <w:t xml:space="preserve"> petici</w:t>
      </w:r>
      <w:r w:rsidR="00B46463">
        <w:rPr>
          <w:rFonts w:eastAsia="Batang" w:cs="Times"/>
          <w:szCs w:val="24"/>
          <w:lang w:val="es-ES_tradnl"/>
        </w:rPr>
        <w:t>ones</w:t>
      </w:r>
      <w:r w:rsidRPr="00232925">
        <w:rPr>
          <w:rFonts w:eastAsia="Batang" w:cs="Times"/>
          <w:szCs w:val="24"/>
          <w:lang w:val="es-ES_tradnl"/>
        </w:rPr>
        <w:t xml:space="preserve"> presentada</w:t>
      </w:r>
      <w:r w:rsidR="00232925">
        <w:rPr>
          <w:rFonts w:eastAsia="Batang" w:cs="Times"/>
          <w:szCs w:val="24"/>
          <w:lang w:val="es-ES_tradnl"/>
        </w:rPr>
        <w:t>s</w:t>
      </w:r>
      <w:r w:rsidR="00F17667" w:rsidRPr="00232925">
        <w:rPr>
          <w:rFonts w:eastAsia="Batang" w:cs="Times"/>
          <w:szCs w:val="24"/>
        </w:rPr>
        <w:t xml:space="preserve"> por el Centro por la Justi</w:t>
      </w:r>
      <w:r w:rsidR="00232925">
        <w:rPr>
          <w:rFonts w:eastAsia="Batang" w:cs="Times"/>
          <w:szCs w:val="24"/>
        </w:rPr>
        <w:t>cia y el Derecho Internacional (</w:t>
      </w:r>
      <w:r w:rsidR="00F17667" w:rsidRPr="00232925">
        <w:rPr>
          <w:rFonts w:eastAsia="Batang" w:cs="Times"/>
          <w:szCs w:val="24"/>
        </w:rPr>
        <w:t>CEJIL</w:t>
      </w:r>
      <w:r w:rsidR="00232925">
        <w:rPr>
          <w:rFonts w:eastAsia="Batang" w:cs="Times"/>
          <w:szCs w:val="24"/>
        </w:rPr>
        <w:t>)</w:t>
      </w:r>
      <w:r w:rsidR="00F17667" w:rsidRPr="00232925">
        <w:rPr>
          <w:rFonts w:eastAsia="Batang" w:cs="Times"/>
          <w:szCs w:val="24"/>
        </w:rPr>
        <w:t xml:space="preserve"> y Human </w:t>
      </w:r>
      <w:proofErr w:type="spellStart"/>
      <w:r w:rsidR="00F17667" w:rsidRPr="00232925">
        <w:rPr>
          <w:rFonts w:eastAsia="Batang" w:cs="Times"/>
          <w:szCs w:val="24"/>
        </w:rPr>
        <w:t>Rights</w:t>
      </w:r>
      <w:proofErr w:type="spellEnd"/>
      <w:r w:rsidR="00F17667" w:rsidRPr="00232925">
        <w:rPr>
          <w:rFonts w:eastAsia="Batang" w:cs="Times"/>
          <w:szCs w:val="24"/>
        </w:rPr>
        <w:t xml:space="preserve"> </w:t>
      </w:r>
      <w:proofErr w:type="spellStart"/>
      <w:r w:rsidR="00F17667" w:rsidRPr="00232925">
        <w:rPr>
          <w:rFonts w:eastAsia="Batang" w:cs="Times"/>
          <w:szCs w:val="24"/>
        </w:rPr>
        <w:t>Watch</w:t>
      </w:r>
      <w:proofErr w:type="spellEnd"/>
      <w:r w:rsidR="00F17667" w:rsidRPr="00232925">
        <w:rPr>
          <w:rFonts w:eastAsia="Batang" w:cs="Times"/>
          <w:szCs w:val="24"/>
        </w:rPr>
        <w:t xml:space="preserve"> </w:t>
      </w:r>
      <w:proofErr w:type="spellStart"/>
      <w:r w:rsidR="00F17667" w:rsidRPr="00232925">
        <w:rPr>
          <w:rFonts w:eastAsia="Batang" w:cs="Times"/>
          <w:szCs w:val="24"/>
        </w:rPr>
        <w:t>Americas</w:t>
      </w:r>
      <w:proofErr w:type="spellEnd"/>
      <w:r w:rsidR="007E1488" w:rsidRPr="00232925">
        <w:rPr>
          <w:rStyle w:val="FootnoteReference"/>
          <w:rFonts w:eastAsia="Batang"/>
        </w:rPr>
        <w:footnoteReference w:id="2"/>
      </w:r>
      <w:r w:rsidR="00B46463">
        <w:rPr>
          <w:rFonts w:eastAsia="Batang" w:cs="Times"/>
          <w:szCs w:val="24"/>
        </w:rPr>
        <w:t xml:space="preserve">, a </w:t>
      </w:r>
      <w:r w:rsidR="00B46463" w:rsidRPr="00B46463">
        <w:rPr>
          <w:rFonts w:eastAsia="Calibri" w:cs="Times New Roman"/>
          <w:noProof/>
          <w:szCs w:val="18"/>
        </w:rPr>
        <w:t>las cuales</w:t>
      </w:r>
      <w:r w:rsidR="00B46463">
        <w:rPr>
          <w:rFonts w:eastAsia="Calibri" w:cs="Times New Roman"/>
          <w:noProof/>
          <w:szCs w:val="18"/>
        </w:rPr>
        <w:t xml:space="preserve"> les</w:t>
      </w:r>
      <w:r w:rsidR="00B46463" w:rsidRPr="00B46463">
        <w:rPr>
          <w:rFonts w:eastAsia="Calibri" w:cs="Times New Roman"/>
          <w:noProof/>
          <w:szCs w:val="18"/>
        </w:rPr>
        <w:t xml:space="preserve"> fueron asignad</w:t>
      </w:r>
      <w:r w:rsidR="00952AB5">
        <w:rPr>
          <w:rFonts w:eastAsia="Calibri" w:cs="Times New Roman"/>
          <w:noProof/>
          <w:szCs w:val="18"/>
        </w:rPr>
        <w:t>o</w:t>
      </w:r>
      <w:r w:rsidR="00B46463" w:rsidRPr="00B46463">
        <w:rPr>
          <w:rFonts w:eastAsia="Calibri" w:cs="Times New Roman"/>
          <w:noProof/>
          <w:szCs w:val="18"/>
        </w:rPr>
        <w:t>s los números de caso 11.566 y 11.694.</w:t>
      </w:r>
    </w:p>
    <w:p w14:paraId="674CECFB" w14:textId="77777777" w:rsidR="00D50ACB" w:rsidRPr="00232925" w:rsidRDefault="00D50ACB" w:rsidP="00B811D7">
      <w:pPr>
        <w:ind w:left="720" w:right="4"/>
        <w:rPr>
          <w:rFonts w:eastAsia="Batang" w:cs="Times"/>
          <w:szCs w:val="24"/>
          <w:lang w:val="es-ES_tradnl"/>
        </w:rPr>
      </w:pPr>
    </w:p>
    <w:p w14:paraId="0D2C381F" w14:textId="1B214EBE" w:rsidR="00B46463" w:rsidRPr="00B46463" w:rsidRDefault="00D50ACB" w:rsidP="00D6683A">
      <w:pPr>
        <w:numPr>
          <w:ilvl w:val="0"/>
          <w:numId w:val="2"/>
        </w:numPr>
        <w:ind w:right="4"/>
        <w:rPr>
          <w:rFonts w:eastAsia="Calibri" w:cs="Times New Roman"/>
          <w:b/>
          <w:noProof/>
          <w:sz w:val="18"/>
          <w:szCs w:val="18"/>
        </w:rPr>
      </w:pPr>
      <w:r w:rsidRPr="00232925">
        <w:rPr>
          <w:rFonts w:eastAsia="Batang" w:cs="Times"/>
          <w:i/>
          <w:szCs w:val="24"/>
          <w:lang w:val="es-ES_tradnl"/>
        </w:rPr>
        <w:t>Informe</w:t>
      </w:r>
      <w:r w:rsidR="00232925">
        <w:rPr>
          <w:rFonts w:eastAsia="Batang" w:cs="Times"/>
          <w:i/>
          <w:szCs w:val="24"/>
          <w:lang w:val="es-ES_tradnl"/>
        </w:rPr>
        <w:t>s</w:t>
      </w:r>
      <w:r w:rsidRPr="00232925">
        <w:rPr>
          <w:rFonts w:eastAsia="Batang" w:cs="Times"/>
          <w:i/>
          <w:szCs w:val="24"/>
          <w:lang w:val="es-ES_tradnl"/>
        </w:rPr>
        <w:t xml:space="preserve"> de Admisibilidad</w:t>
      </w:r>
      <w:r w:rsidR="00BC50E2">
        <w:rPr>
          <w:rFonts w:eastAsia="Batang" w:cs="Times"/>
          <w:i/>
          <w:szCs w:val="24"/>
          <w:lang w:val="es-ES_tradnl"/>
        </w:rPr>
        <w:t xml:space="preserve">.- </w:t>
      </w:r>
      <w:r w:rsidRPr="00232925">
        <w:rPr>
          <w:rFonts w:eastAsia="Batang" w:cs="Times"/>
          <w:noProof/>
          <w:szCs w:val="24"/>
        </w:rPr>
        <w:t>E</w:t>
      </w:r>
      <w:r w:rsidRPr="00232925">
        <w:rPr>
          <w:rFonts w:eastAsia="Batang" w:cs="Times"/>
          <w:noProof/>
          <w:szCs w:val="24"/>
          <w:lang w:val="es-ES_tradnl"/>
        </w:rPr>
        <w:t xml:space="preserve">l </w:t>
      </w:r>
      <w:r w:rsidRPr="00232925">
        <w:rPr>
          <w:rFonts w:eastAsia="Batang" w:cs="Times"/>
          <w:noProof/>
          <w:szCs w:val="24"/>
        </w:rPr>
        <w:t xml:space="preserve">25 de septiembre de 1998 y el </w:t>
      </w:r>
      <w:r w:rsidRPr="00232925">
        <w:rPr>
          <w:szCs w:val="20"/>
        </w:rPr>
        <w:t xml:space="preserve">22 de febrero de 2001 </w:t>
      </w:r>
      <w:r w:rsidRPr="00232925">
        <w:rPr>
          <w:rFonts w:eastAsia="Batang" w:cs="Times"/>
          <w:noProof/>
          <w:szCs w:val="24"/>
          <w:lang w:val="es-ES_tradnl"/>
        </w:rPr>
        <w:t xml:space="preserve">la Comisión emitió, respectivamente, el Informe de Admisibilidad No. </w:t>
      </w:r>
      <w:r w:rsidRPr="00232925">
        <w:rPr>
          <w:rFonts w:eastAsia="Batang" w:cs="Times"/>
          <w:noProof/>
          <w:szCs w:val="24"/>
        </w:rPr>
        <w:t>11.566 y No. 11.694</w:t>
      </w:r>
      <w:r w:rsidRPr="00232925">
        <w:rPr>
          <w:rFonts w:eastAsia="Batang" w:cs="Times"/>
          <w:noProof/>
          <w:szCs w:val="24"/>
          <w:lang w:val="es-ES_tradnl"/>
        </w:rPr>
        <w:t>.</w:t>
      </w:r>
      <w:r w:rsidR="00C67345" w:rsidRPr="00232925">
        <w:rPr>
          <w:rFonts w:eastAsia="Batang" w:cs="Times"/>
          <w:noProof/>
          <w:szCs w:val="24"/>
          <w:lang w:val="es-ES_tradnl"/>
        </w:rPr>
        <w:t xml:space="preserve"> </w:t>
      </w:r>
      <w:r w:rsidR="00F147C5">
        <w:rPr>
          <w:rFonts w:eastAsia="Calibri" w:cs="Times New Roman"/>
          <w:noProof/>
          <w:szCs w:val="18"/>
        </w:rPr>
        <w:t>Posteriormente</w:t>
      </w:r>
      <w:r w:rsidR="00B46463" w:rsidRPr="00B46463">
        <w:rPr>
          <w:rFonts w:eastAsia="Calibri" w:cs="Times New Roman"/>
          <w:noProof/>
          <w:szCs w:val="18"/>
        </w:rPr>
        <w:t xml:space="preserve">, al emitir su Informe de Fondo, la </w:t>
      </w:r>
      <w:r w:rsidR="00F147C5">
        <w:rPr>
          <w:rFonts w:eastAsia="Calibri" w:cs="Times New Roman"/>
          <w:noProof/>
          <w:szCs w:val="18"/>
        </w:rPr>
        <w:t xml:space="preserve">Comisión </w:t>
      </w:r>
      <w:r w:rsidR="00B46463" w:rsidRPr="00B46463">
        <w:rPr>
          <w:rFonts w:eastAsia="Calibri" w:cs="Times New Roman"/>
          <w:noProof/>
          <w:szCs w:val="18"/>
        </w:rPr>
        <w:t>decidió acumular estos dos casos y tramitarlos conjuntamente asignándoles el número de caso 11.566, de conformidad con el artículo 29.1 de su Reglamento, en vista de que ambos casos versan sobre hechos similares y aparentemente revelan un mismo patrón de conducta.</w:t>
      </w:r>
    </w:p>
    <w:p w14:paraId="7471B60E" w14:textId="77777777" w:rsidR="00D50ACB" w:rsidRPr="00232925" w:rsidRDefault="00D50ACB" w:rsidP="00B811D7">
      <w:pPr>
        <w:ind w:right="4"/>
        <w:rPr>
          <w:rFonts w:eastAsia="Batang" w:cs="Times"/>
          <w:szCs w:val="24"/>
          <w:lang w:val="es-ES_tradnl"/>
        </w:rPr>
      </w:pPr>
    </w:p>
    <w:p w14:paraId="49622B26" w14:textId="23BC256E" w:rsidR="00DB28AA" w:rsidRPr="00232925" w:rsidRDefault="00DB28AA" w:rsidP="00D6683A">
      <w:pPr>
        <w:numPr>
          <w:ilvl w:val="0"/>
          <w:numId w:val="2"/>
        </w:numPr>
        <w:ind w:right="4"/>
        <w:rPr>
          <w:rFonts w:eastAsia="Batang" w:cs="Times"/>
          <w:szCs w:val="24"/>
          <w:lang w:val="es-ES_tradnl"/>
        </w:rPr>
      </w:pPr>
      <w:r w:rsidRPr="00232925">
        <w:rPr>
          <w:rFonts w:eastAsia="Batang" w:cs="Times"/>
          <w:i/>
          <w:szCs w:val="24"/>
          <w:lang w:val="es-ES_tradnl"/>
        </w:rPr>
        <w:t>Informe de Fondo</w:t>
      </w:r>
      <w:r w:rsidR="00BC50E2">
        <w:rPr>
          <w:rFonts w:eastAsia="Batang" w:cs="Times"/>
          <w:i/>
          <w:szCs w:val="24"/>
          <w:lang w:val="es-ES_tradnl"/>
        </w:rPr>
        <w:t xml:space="preserve">.- </w:t>
      </w:r>
      <w:r w:rsidRPr="00232925">
        <w:rPr>
          <w:rFonts w:eastAsia="Batang" w:cs="Times"/>
          <w:noProof/>
          <w:szCs w:val="24"/>
        </w:rPr>
        <w:t>E</w:t>
      </w:r>
      <w:r w:rsidRPr="00232925">
        <w:rPr>
          <w:rFonts w:eastAsia="Batang" w:cs="Times"/>
          <w:noProof/>
          <w:szCs w:val="24"/>
          <w:lang w:val="es-ES_tradnl"/>
        </w:rPr>
        <w:t xml:space="preserve">l </w:t>
      </w:r>
      <w:r w:rsidR="00D50ACB" w:rsidRPr="00232925">
        <w:rPr>
          <w:szCs w:val="20"/>
        </w:rPr>
        <w:t>31 de octubre de 2011</w:t>
      </w:r>
      <w:r w:rsidR="00F17667" w:rsidRPr="00232925">
        <w:rPr>
          <w:szCs w:val="20"/>
        </w:rPr>
        <w:t xml:space="preserve"> </w:t>
      </w:r>
      <w:r w:rsidRPr="00232925">
        <w:rPr>
          <w:rFonts w:eastAsia="Batang" w:cs="Times"/>
          <w:noProof/>
          <w:szCs w:val="24"/>
          <w:lang w:val="es-ES_tradnl"/>
        </w:rPr>
        <w:t>la Comisión emitió</w:t>
      </w:r>
      <w:r w:rsidR="00D50ACB" w:rsidRPr="00232925">
        <w:rPr>
          <w:rFonts w:eastAsia="Batang" w:cs="Times"/>
          <w:noProof/>
          <w:szCs w:val="24"/>
          <w:lang w:val="es-ES_tradnl"/>
        </w:rPr>
        <w:t xml:space="preserve"> </w:t>
      </w:r>
      <w:r w:rsidRPr="00232925">
        <w:rPr>
          <w:rFonts w:eastAsia="Batang" w:cs="Times"/>
          <w:noProof/>
          <w:szCs w:val="24"/>
          <w:lang w:val="es-ES_tradnl"/>
        </w:rPr>
        <w:t xml:space="preserve">el Informe de Fondo No. </w:t>
      </w:r>
      <w:r w:rsidR="00D50ACB" w:rsidRPr="00232925">
        <w:rPr>
          <w:rFonts w:eastAsia="Batang" w:cs="Times"/>
          <w:noProof/>
          <w:szCs w:val="24"/>
          <w:lang w:val="es-ES_tradnl"/>
        </w:rPr>
        <w:t>1</w:t>
      </w:r>
      <w:r w:rsidR="00D50ACB" w:rsidRPr="00232925">
        <w:rPr>
          <w:rFonts w:eastAsia="Batang" w:cs="Times"/>
          <w:noProof/>
          <w:szCs w:val="24"/>
        </w:rPr>
        <w:t xml:space="preserve">41/11, </w:t>
      </w:r>
      <w:r w:rsidRPr="00232925">
        <w:rPr>
          <w:rFonts w:eastAsia="Batang" w:cs="Times"/>
          <w:noProof/>
          <w:szCs w:val="24"/>
          <w:lang w:val="es-ES_tradnl"/>
        </w:rPr>
        <w:t xml:space="preserve">de conformidad con el artículo 50 de la Convención Americana (en adelante “Informe de Fondo”), en el cual llegó a una serie de conclusiones y formuló varias recomendaciones al Estado. </w:t>
      </w:r>
    </w:p>
    <w:p w14:paraId="561E3894" w14:textId="77777777" w:rsidR="00DB28AA" w:rsidRPr="00232925" w:rsidRDefault="00DB28AA" w:rsidP="00B811D7">
      <w:pPr>
        <w:rPr>
          <w:rFonts w:eastAsia="Batang" w:cs="Times"/>
          <w:szCs w:val="24"/>
          <w:lang w:val="es-ES_tradnl"/>
        </w:rPr>
      </w:pPr>
    </w:p>
    <w:p w14:paraId="606D758F" w14:textId="77777777" w:rsidR="00DB28AA" w:rsidRPr="00232925" w:rsidRDefault="00DB28AA" w:rsidP="00D6683A">
      <w:pPr>
        <w:numPr>
          <w:ilvl w:val="0"/>
          <w:numId w:val="3"/>
        </w:numPr>
        <w:ind w:left="1418" w:right="29"/>
        <w:rPr>
          <w:rFonts w:eastAsia="Calibri" w:cs="Times New Roman"/>
          <w:noProof/>
          <w:szCs w:val="20"/>
        </w:rPr>
      </w:pPr>
      <w:r w:rsidRPr="00232925">
        <w:rPr>
          <w:rFonts w:eastAsia="Calibri" w:cs="Times New Roman"/>
          <w:i/>
          <w:noProof/>
          <w:szCs w:val="20"/>
        </w:rPr>
        <w:t xml:space="preserve">Conclusiones.- </w:t>
      </w:r>
      <w:r w:rsidRPr="00232925">
        <w:rPr>
          <w:rFonts w:eastAsia="Calibri" w:cs="Times New Roman"/>
          <w:noProof/>
          <w:szCs w:val="20"/>
        </w:rPr>
        <w:t xml:space="preserve">La Comisión llegó a la conclusión de que el Estado era responsable internacionalmente por: </w:t>
      </w:r>
    </w:p>
    <w:p w14:paraId="6243C916" w14:textId="77777777" w:rsidR="00DB28AA" w:rsidRPr="002372A0" w:rsidRDefault="00DB28AA" w:rsidP="00B811D7">
      <w:pPr>
        <w:ind w:left="2214" w:right="29"/>
        <w:rPr>
          <w:rFonts w:eastAsia="Calibri" w:cs="Times New Roman"/>
          <w:noProof/>
          <w:sz w:val="16"/>
          <w:szCs w:val="16"/>
        </w:rPr>
      </w:pPr>
      <w:r w:rsidRPr="002372A0">
        <w:rPr>
          <w:rFonts w:eastAsia="Calibri" w:cs="Times New Roman"/>
          <w:noProof/>
          <w:sz w:val="16"/>
          <w:szCs w:val="16"/>
        </w:rPr>
        <w:t xml:space="preserve"> </w:t>
      </w:r>
    </w:p>
    <w:p w14:paraId="5D863E89" w14:textId="0630DC95" w:rsidR="00D50ACB" w:rsidRPr="002372A0" w:rsidRDefault="00D50ACB" w:rsidP="002372A0">
      <w:pPr>
        <w:numPr>
          <w:ilvl w:val="1"/>
          <w:numId w:val="3"/>
        </w:numPr>
        <w:ind w:left="1702" w:right="28" w:hanging="284"/>
        <w:rPr>
          <w:rFonts w:eastAsia="Calibri" w:cs="Times New Roman"/>
          <w:noProof/>
          <w:sz w:val="18"/>
          <w:szCs w:val="18"/>
        </w:rPr>
      </w:pPr>
      <w:r w:rsidRPr="002372A0">
        <w:rPr>
          <w:rFonts w:eastAsia="Calibri" w:cs="Times New Roman"/>
          <w:noProof/>
          <w:sz w:val="18"/>
          <w:szCs w:val="18"/>
        </w:rPr>
        <w:t>La violación de</w:t>
      </w:r>
      <w:r w:rsidR="00232925" w:rsidRPr="002372A0">
        <w:rPr>
          <w:rFonts w:eastAsia="Calibri" w:cs="Times New Roman"/>
          <w:noProof/>
          <w:sz w:val="18"/>
          <w:szCs w:val="18"/>
        </w:rPr>
        <w:t xml:space="preserve"> los derechos consagrados en el</w:t>
      </w:r>
      <w:r w:rsidR="002372A0">
        <w:rPr>
          <w:rFonts w:eastAsia="Calibri" w:cs="Times New Roman"/>
          <w:noProof/>
          <w:sz w:val="18"/>
          <w:szCs w:val="18"/>
        </w:rPr>
        <w:t xml:space="preserve"> artículo 4.1 de la Convención </w:t>
      </w:r>
      <w:r w:rsidRPr="002372A0">
        <w:rPr>
          <w:rFonts w:eastAsia="Calibri" w:cs="Times New Roman"/>
          <w:noProof/>
          <w:sz w:val="18"/>
          <w:szCs w:val="18"/>
        </w:rPr>
        <w:t>Americana, en conexión con el artículo 1.1 del mismo instrumento</w:t>
      </w:r>
      <w:r w:rsidR="00232925" w:rsidRPr="002372A0">
        <w:rPr>
          <w:rFonts w:eastAsia="Calibri" w:cs="Times New Roman"/>
          <w:noProof/>
          <w:sz w:val="18"/>
          <w:szCs w:val="18"/>
        </w:rPr>
        <w:t>,</w:t>
      </w:r>
      <w:r w:rsidRPr="002372A0">
        <w:rPr>
          <w:rFonts w:eastAsia="Calibri" w:cs="Times New Roman"/>
          <w:noProof/>
          <w:sz w:val="18"/>
          <w:szCs w:val="18"/>
        </w:rPr>
        <w:t xml:space="preserve"> en perjuicio de Alberto dos Santos Ramos; Fabio Henrique Fernandes; Robson Genuino dos Santos; Adriano Silva Donato; Evandro de Oliveira; Sergio Mendes Oliveira; Ranilson José de Souza; Clemilson dos Santos Moura; Alexander Batista de Souza; Cosme Rosa Genoveva; Anderson Mendes; Eduardo Pinto da Silva; Anderson Abrantes da Silva; Marcio Felix; Alex Fonseca Costa; Jacques Douglas Melo Rodrigues; Renato Inacio da Silva; Ciro Pereira Dutra; Fabio Ribeiro Castor</w:t>
      </w:r>
      <w:r w:rsidR="00586648" w:rsidRPr="002372A0">
        <w:rPr>
          <w:rFonts w:eastAsia="Calibri" w:cs="Times New Roman"/>
          <w:noProof/>
          <w:sz w:val="18"/>
          <w:szCs w:val="18"/>
        </w:rPr>
        <w:t>,</w:t>
      </w:r>
      <w:r w:rsidRPr="002372A0">
        <w:rPr>
          <w:rFonts w:eastAsia="Calibri" w:cs="Times New Roman"/>
          <w:noProof/>
          <w:sz w:val="18"/>
          <w:szCs w:val="18"/>
        </w:rPr>
        <w:t xml:space="preserve"> y Alex Sandro Alves dos Reis.</w:t>
      </w:r>
    </w:p>
    <w:p w14:paraId="0219FD0B" w14:textId="77777777" w:rsidR="00D50ACB" w:rsidRPr="002372A0" w:rsidRDefault="00DB28AA" w:rsidP="00D6683A">
      <w:pPr>
        <w:numPr>
          <w:ilvl w:val="1"/>
          <w:numId w:val="3"/>
        </w:numPr>
        <w:ind w:left="1701" w:right="29" w:hanging="283"/>
        <w:rPr>
          <w:rFonts w:eastAsia="Calibri" w:cs="Times New Roman"/>
          <w:noProof/>
          <w:sz w:val="18"/>
          <w:szCs w:val="18"/>
        </w:rPr>
      </w:pPr>
      <w:r w:rsidRPr="002372A0">
        <w:rPr>
          <w:rFonts w:eastAsia="Calibri" w:cs="Times New Roman"/>
          <w:noProof/>
          <w:sz w:val="18"/>
          <w:szCs w:val="18"/>
        </w:rPr>
        <w:lastRenderedPageBreak/>
        <w:t>La violación de los derechos consagrados en los artículos</w:t>
      </w:r>
      <w:r w:rsidR="00D50ACB" w:rsidRPr="002372A0">
        <w:rPr>
          <w:rFonts w:eastAsia="Calibri" w:cs="Times New Roman"/>
          <w:noProof/>
          <w:sz w:val="18"/>
          <w:szCs w:val="18"/>
        </w:rPr>
        <w:t xml:space="preserve"> artículos 4.1 y 19 de la Convención Americana, en conexión con el artículo 1.1 del mismo instrumento, en perjuicio de André Luiz Neri da Silva, Alex Vianna dos Santos, Alan Kardec Silva de Oliveira, Macmiller Faria Neves, Nilton Ramos de Oliveira Junior y</w:t>
      </w:r>
      <w:r w:rsidR="00232925" w:rsidRPr="002372A0">
        <w:rPr>
          <w:rFonts w:eastAsia="Calibri" w:cs="Times New Roman"/>
          <w:noProof/>
          <w:sz w:val="18"/>
          <w:szCs w:val="18"/>
        </w:rPr>
        <w:t xml:space="preserve"> </w:t>
      </w:r>
      <w:r w:rsidR="00D50ACB" w:rsidRPr="002372A0">
        <w:rPr>
          <w:rFonts w:eastAsia="Calibri" w:cs="Times New Roman"/>
          <w:noProof/>
          <w:sz w:val="18"/>
          <w:szCs w:val="18"/>
        </w:rPr>
        <w:t>Welington Silva.</w:t>
      </w:r>
    </w:p>
    <w:p w14:paraId="3A0D385B" w14:textId="58EBEFBD" w:rsidR="00D50ACB" w:rsidRPr="002372A0" w:rsidRDefault="00DB28AA" w:rsidP="00D6683A">
      <w:pPr>
        <w:numPr>
          <w:ilvl w:val="1"/>
          <w:numId w:val="3"/>
        </w:numPr>
        <w:ind w:left="1701" w:right="29" w:hanging="283"/>
        <w:rPr>
          <w:rFonts w:eastAsia="Calibri" w:cs="Times New Roman"/>
          <w:noProof/>
          <w:sz w:val="18"/>
          <w:szCs w:val="18"/>
        </w:rPr>
      </w:pPr>
      <w:r w:rsidRPr="002372A0">
        <w:rPr>
          <w:rFonts w:eastAsia="Calibri" w:cs="Times New Roman"/>
          <w:noProof/>
          <w:sz w:val="18"/>
          <w:szCs w:val="18"/>
        </w:rPr>
        <w:t xml:space="preserve">La </w:t>
      </w:r>
      <w:r w:rsidRPr="002372A0">
        <w:rPr>
          <w:rFonts w:eastAsia="Calibri" w:cs="Times New Roman"/>
          <w:noProof/>
          <w:spacing w:val="-2"/>
          <w:sz w:val="18"/>
          <w:szCs w:val="18"/>
        </w:rPr>
        <w:t xml:space="preserve">violación de los derechos consagrados en los artículos </w:t>
      </w:r>
      <w:r w:rsidR="00D50ACB" w:rsidRPr="002372A0">
        <w:rPr>
          <w:rFonts w:eastAsia="Calibri" w:cs="Times New Roman"/>
          <w:noProof/>
          <w:spacing w:val="-2"/>
          <w:sz w:val="18"/>
          <w:szCs w:val="18"/>
        </w:rPr>
        <w:t xml:space="preserve">5.2 y 11 de la Convención Americana, en conexión con el artículo 1.1 del mismo instrumento, y artículos 1, 6 y 8 de la </w:t>
      </w:r>
      <w:r w:rsidR="00232925" w:rsidRPr="002372A0">
        <w:rPr>
          <w:rFonts w:eastAsia="Calibri" w:cs="Times New Roman"/>
          <w:noProof/>
          <w:spacing w:val="-2"/>
          <w:sz w:val="18"/>
          <w:szCs w:val="18"/>
        </w:rPr>
        <w:t>Convención Interamericana</w:t>
      </w:r>
      <w:r w:rsidR="00232925" w:rsidRPr="002372A0">
        <w:rPr>
          <w:rFonts w:eastAsia="Calibri" w:cs="Times New Roman"/>
          <w:noProof/>
          <w:sz w:val="18"/>
          <w:szCs w:val="18"/>
        </w:rPr>
        <w:t xml:space="preserve"> para Prevenir y Sancionar la Tortura</w:t>
      </w:r>
      <w:r w:rsidR="00D50ACB" w:rsidRPr="002372A0">
        <w:rPr>
          <w:rFonts w:eastAsia="Calibri" w:cs="Times New Roman"/>
          <w:noProof/>
          <w:sz w:val="18"/>
          <w:szCs w:val="18"/>
        </w:rPr>
        <w:t xml:space="preserve"> en perjuicio de L.R.J</w:t>
      </w:r>
      <w:r w:rsidR="00BC50E2" w:rsidRPr="002372A0">
        <w:rPr>
          <w:rFonts w:eastAsia="Calibri" w:cs="Times New Roman"/>
          <w:noProof/>
          <w:sz w:val="18"/>
          <w:szCs w:val="18"/>
        </w:rPr>
        <w:t>.</w:t>
      </w:r>
    </w:p>
    <w:p w14:paraId="2837DF18" w14:textId="77777777" w:rsidR="00D50ACB" w:rsidRPr="002372A0" w:rsidRDefault="00DB28AA" w:rsidP="00D6683A">
      <w:pPr>
        <w:numPr>
          <w:ilvl w:val="1"/>
          <w:numId w:val="3"/>
        </w:numPr>
        <w:ind w:left="1701" w:right="29" w:hanging="283"/>
        <w:rPr>
          <w:rFonts w:eastAsia="Calibri" w:cs="Times New Roman"/>
          <w:noProof/>
          <w:sz w:val="18"/>
          <w:szCs w:val="18"/>
        </w:rPr>
      </w:pPr>
      <w:r w:rsidRPr="002372A0">
        <w:rPr>
          <w:rFonts w:eastAsia="Calibri" w:cs="Times New Roman"/>
          <w:noProof/>
          <w:sz w:val="18"/>
          <w:szCs w:val="18"/>
        </w:rPr>
        <w:t xml:space="preserve">La violación de los artículos </w:t>
      </w:r>
      <w:r w:rsidR="00D50ACB" w:rsidRPr="002372A0">
        <w:rPr>
          <w:rFonts w:eastAsia="Calibri" w:cs="Times New Roman"/>
          <w:noProof/>
          <w:sz w:val="18"/>
          <w:szCs w:val="18"/>
        </w:rPr>
        <w:t xml:space="preserve">5.2, 11 y 19 de la Convención Americana, en conexión con el artículo 1.1 del mismo instrumento, y artículos 1, 6 y 8 de la </w:t>
      </w:r>
      <w:r w:rsidR="00232925" w:rsidRPr="002372A0">
        <w:rPr>
          <w:rFonts w:eastAsia="Calibri" w:cs="Times New Roman"/>
          <w:noProof/>
          <w:sz w:val="18"/>
          <w:szCs w:val="18"/>
        </w:rPr>
        <w:t>Convención Interamericana para Prevenir y Sancionar la Tortura</w:t>
      </w:r>
      <w:r w:rsidR="00D50ACB" w:rsidRPr="002372A0">
        <w:rPr>
          <w:rFonts w:eastAsia="Calibri" w:cs="Times New Roman"/>
          <w:noProof/>
          <w:sz w:val="18"/>
          <w:szCs w:val="18"/>
        </w:rPr>
        <w:t>, en perjuicio de C.S.S. y J.F.C.</w:t>
      </w:r>
    </w:p>
    <w:p w14:paraId="027652A5" w14:textId="50CF836B" w:rsidR="00D50ACB" w:rsidRPr="002372A0" w:rsidRDefault="00D50ACB" w:rsidP="00D6683A">
      <w:pPr>
        <w:numPr>
          <w:ilvl w:val="1"/>
          <w:numId w:val="3"/>
        </w:numPr>
        <w:ind w:left="1701" w:right="29" w:hanging="283"/>
        <w:rPr>
          <w:rFonts w:eastAsia="Calibri" w:cs="Times New Roman"/>
          <w:noProof/>
          <w:sz w:val="18"/>
          <w:szCs w:val="18"/>
        </w:rPr>
      </w:pPr>
      <w:r w:rsidRPr="002372A0">
        <w:rPr>
          <w:rFonts w:eastAsia="Calibri" w:cs="Times New Roman"/>
          <w:noProof/>
          <w:sz w:val="18"/>
          <w:szCs w:val="18"/>
        </w:rPr>
        <w:t>La violación de los artículos 5.1, 8.1 y 25.1 de la Convención Americana, en conexión con el artículo 1.1 del mismo instrument</w:t>
      </w:r>
      <w:r w:rsidR="00B46463" w:rsidRPr="002372A0">
        <w:rPr>
          <w:rFonts w:eastAsia="Calibri" w:cs="Times New Roman"/>
          <w:noProof/>
          <w:sz w:val="18"/>
          <w:szCs w:val="18"/>
        </w:rPr>
        <w:t>o</w:t>
      </w:r>
      <w:r w:rsidRPr="002372A0">
        <w:rPr>
          <w:rFonts w:eastAsia="Calibri" w:cs="Times New Roman"/>
          <w:noProof/>
          <w:sz w:val="18"/>
          <w:szCs w:val="18"/>
        </w:rPr>
        <w:t>, en perjuicio de las víctimas ide</w:t>
      </w:r>
      <w:r w:rsidR="00FC00B8" w:rsidRPr="002372A0">
        <w:rPr>
          <w:rFonts w:eastAsia="Calibri" w:cs="Times New Roman"/>
          <w:noProof/>
          <w:sz w:val="18"/>
          <w:szCs w:val="18"/>
        </w:rPr>
        <w:t xml:space="preserve">ntificadas en el párrafo 191 del </w:t>
      </w:r>
      <w:r w:rsidR="00586648" w:rsidRPr="002372A0">
        <w:rPr>
          <w:rFonts w:eastAsia="Calibri" w:cs="Times New Roman"/>
          <w:noProof/>
          <w:sz w:val="18"/>
          <w:szCs w:val="18"/>
        </w:rPr>
        <w:t xml:space="preserve">Informe </w:t>
      </w:r>
      <w:r w:rsidR="00FC00B8" w:rsidRPr="002372A0">
        <w:rPr>
          <w:rFonts w:eastAsia="Calibri" w:cs="Times New Roman"/>
          <w:noProof/>
          <w:sz w:val="18"/>
          <w:szCs w:val="18"/>
        </w:rPr>
        <w:t xml:space="preserve">de </w:t>
      </w:r>
      <w:r w:rsidR="00586648" w:rsidRPr="002372A0">
        <w:rPr>
          <w:rFonts w:eastAsia="Calibri" w:cs="Times New Roman"/>
          <w:noProof/>
          <w:sz w:val="18"/>
          <w:szCs w:val="18"/>
        </w:rPr>
        <w:t>Fondo</w:t>
      </w:r>
      <w:r w:rsidR="00FC00B8" w:rsidRPr="002372A0">
        <w:rPr>
          <w:rStyle w:val="FootnoteReference"/>
          <w:rFonts w:eastAsia="Calibri"/>
          <w:noProof/>
          <w:sz w:val="18"/>
          <w:szCs w:val="18"/>
        </w:rPr>
        <w:footnoteReference w:id="3"/>
      </w:r>
      <w:r w:rsidRPr="002372A0">
        <w:rPr>
          <w:rFonts w:eastAsia="Calibri" w:cs="Times New Roman"/>
          <w:noProof/>
          <w:sz w:val="18"/>
          <w:szCs w:val="18"/>
        </w:rPr>
        <w:t>.</w:t>
      </w:r>
    </w:p>
    <w:p w14:paraId="104D3CE4" w14:textId="603FC4EE" w:rsidR="00D50ACB" w:rsidRPr="002372A0" w:rsidRDefault="00D50ACB" w:rsidP="00D6683A">
      <w:pPr>
        <w:numPr>
          <w:ilvl w:val="1"/>
          <w:numId w:val="3"/>
        </w:numPr>
        <w:ind w:left="1701" w:right="29" w:hanging="283"/>
        <w:rPr>
          <w:rFonts w:eastAsia="Calibri" w:cs="Times New Roman"/>
          <w:noProof/>
          <w:sz w:val="18"/>
          <w:szCs w:val="18"/>
        </w:rPr>
      </w:pPr>
      <w:r w:rsidRPr="002372A0">
        <w:rPr>
          <w:rFonts w:eastAsia="Calibri" w:cs="Times New Roman"/>
          <w:noProof/>
          <w:sz w:val="18"/>
          <w:szCs w:val="18"/>
        </w:rPr>
        <w:t>La violación de los artículos 5.1, 8.1 y 25.1 de la Convención Americana, en conexión con el artículo 1.1 del mismo instrumento y el artículo 7 de la Convención de Belém do Pará, en perjuicio de L.R.J., C.S.S. y J.F.C.</w:t>
      </w:r>
      <w:r w:rsidR="007E1488" w:rsidRPr="002372A0">
        <w:rPr>
          <w:rFonts w:eastAsia="Calibri" w:cs="Times New Roman"/>
          <w:noProof/>
          <w:sz w:val="18"/>
          <w:szCs w:val="18"/>
        </w:rPr>
        <w:t xml:space="preserve"> </w:t>
      </w:r>
    </w:p>
    <w:p w14:paraId="7E25AC1A" w14:textId="77777777" w:rsidR="00D50ACB" w:rsidRPr="00445685" w:rsidRDefault="00D50ACB" w:rsidP="00B811D7">
      <w:pPr>
        <w:ind w:left="1701" w:right="29"/>
        <w:rPr>
          <w:rFonts w:eastAsia="Calibri" w:cs="Times New Roman"/>
          <w:noProof/>
          <w:sz w:val="16"/>
          <w:szCs w:val="16"/>
        </w:rPr>
      </w:pPr>
    </w:p>
    <w:p w14:paraId="064857E9" w14:textId="77777777" w:rsidR="00DB28AA" w:rsidRPr="00232925" w:rsidRDefault="00DB28AA" w:rsidP="00D6683A">
      <w:pPr>
        <w:numPr>
          <w:ilvl w:val="0"/>
          <w:numId w:val="3"/>
        </w:numPr>
        <w:ind w:left="1418" w:right="29"/>
        <w:rPr>
          <w:rFonts w:eastAsia="Calibri" w:cs="Times New Roman"/>
          <w:noProof/>
          <w:szCs w:val="20"/>
        </w:rPr>
      </w:pPr>
      <w:r w:rsidRPr="00232925">
        <w:rPr>
          <w:rFonts w:eastAsia="Calibri" w:cs="Verdana"/>
          <w:i/>
          <w:szCs w:val="20"/>
          <w:lang w:eastAsia="es-ES"/>
        </w:rPr>
        <w:t>Recomendaciones</w:t>
      </w:r>
      <w:r w:rsidRPr="00232925">
        <w:rPr>
          <w:rFonts w:eastAsia="Calibri" w:cs="Verdana"/>
          <w:szCs w:val="20"/>
          <w:lang w:eastAsia="es-ES"/>
        </w:rPr>
        <w:t xml:space="preserve">.– </w:t>
      </w:r>
      <w:r w:rsidRPr="00232925">
        <w:rPr>
          <w:rFonts w:eastAsia="Calibri" w:cs="Times New Roman"/>
          <w:szCs w:val="20"/>
        </w:rPr>
        <w:t xml:space="preserve">En consecuencia, la Comisión recomendó al Estado lo siguiente: </w:t>
      </w:r>
    </w:p>
    <w:p w14:paraId="20613FDE" w14:textId="77777777" w:rsidR="007E1488" w:rsidRPr="00445685" w:rsidRDefault="007E1488" w:rsidP="00B811D7">
      <w:pPr>
        <w:ind w:left="1701" w:right="29"/>
        <w:rPr>
          <w:rFonts w:eastAsia="Calibri" w:cs="Times New Roman"/>
          <w:noProof/>
          <w:sz w:val="16"/>
          <w:szCs w:val="16"/>
        </w:rPr>
      </w:pPr>
    </w:p>
    <w:p w14:paraId="4DDBE04B" w14:textId="76ED37F8" w:rsidR="007E1488" w:rsidRPr="00445685" w:rsidRDefault="007E1488" w:rsidP="00D6683A">
      <w:pPr>
        <w:numPr>
          <w:ilvl w:val="1"/>
          <w:numId w:val="3"/>
        </w:numPr>
        <w:ind w:left="1701" w:right="29" w:hanging="283"/>
        <w:rPr>
          <w:rFonts w:eastAsia="Calibri" w:cs="Times New Roman"/>
          <w:noProof/>
          <w:sz w:val="18"/>
          <w:szCs w:val="18"/>
        </w:rPr>
      </w:pPr>
      <w:r w:rsidRPr="00445685">
        <w:rPr>
          <w:rFonts w:eastAsia="Calibri" w:cs="Times New Roman"/>
          <w:noProof/>
          <w:sz w:val="18"/>
          <w:szCs w:val="18"/>
        </w:rPr>
        <w:t xml:space="preserve">Llevar a cabo una investigación exhaustiva, imparcial y efectiva de las violaciones descritas en </w:t>
      </w:r>
      <w:r w:rsidR="00586648" w:rsidRPr="00445685">
        <w:rPr>
          <w:rFonts w:eastAsia="Calibri" w:cs="Times New Roman"/>
          <w:noProof/>
          <w:sz w:val="18"/>
          <w:szCs w:val="18"/>
        </w:rPr>
        <w:t>el I</w:t>
      </w:r>
      <w:r w:rsidRPr="00445685">
        <w:rPr>
          <w:rFonts w:eastAsia="Calibri" w:cs="Times New Roman"/>
          <w:noProof/>
          <w:sz w:val="18"/>
          <w:szCs w:val="18"/>
        </w:rPr>
        <w:t>nforme</w:t>
      </w:r>
      <w:r w:rsidR="00586648" w:rsidRPr="00445685">
        <w:rPr>
          <w:rFonts w:eastAsia="Calibri" w:cs="Times New Roman"/>
          <w:noProof/>
          <w:sz w:val="18"/>
          <w:szCs w:val="18"/>
        </w:rPr>
        <w:t xml:space="preserve"> de Fondo</w:t>
      </w:r>
      <w:r w:rsidRPr="00445685">
        <w:rPr>
          <w:rFonts w:eastAsia="Calibri" w:cs="Times New Roman"/>
          <w:noProof/>
          <w:sz w:val="18"/>
          <w:szCs w:val="18"/>
        </w:rPr>
        <w:t xml:space="preserve">, en un plazo de tiempo razonable, por parte de autoridades judiciales independientes de la policía, con miras a determinar la verdad y sancionar a los responsables. La investigación debe tomar en cuenta los vínculos existentes entre las violaciones de derechos humanos descritas en </w:t>
      </w:r>
      <w:r w:rsidR="00586648" w:rsidRPr="00445685">
        <w:rPr>
          <w:rFonts w:eastAsia="Calibri" w:cs="Times New Roman"/>
          <w:noProof/>
          <w:sz w:val="18"/>
          <w:szCs w:val="18"/>
        </w:rPr>
        <w:t xml:space="preserve">el Informe </w:t>
      </w:r>
      <w:r w:rsidRPr="00445685">
        <w:rPr>
          <w:rFonts w:eastAsia="Calibri" w:cs="Times New Roman"/>
          <w:noProof/>
          <w:sz w:val="18"/>
          <w:szCs w:val="18"/>
        </w:rPr>
        <w:t>y el patrón de uso excesivo de la fuerza letal por parte de la policía. También debe considerar las posibles omisiones, retrasos, negligencias y obstrucciones en la justicia provocadas por agentes del Estado.</w:t>
      </w:r>
    </w:p>
    <w:p w14:paraId="07388361" w14:textId="76D663E5" w:rsidR="007E1488" w:rsidRPr="00445685" w:rsidRDefault="007E1488" w:rsidP="00D6683A">
      <w:pPr>
        <w:numPr>
          <w:ilvl w:val="1"/>
          <w:numId w:val="3"/>
        </w:numPr>
        <w:ind w:left="1701" w:right="29" w:hanging="283"/>
        <w:rPr>
          <w:rFonts w:eastAsia="Calibri" w:cs="Times New Roman"/>
          <w:noProof/>
          <w:sz w:val="18"/>
          <w:szCs w:val="18"/>
        </w:rPr>
      </w:pPr>
      <w:r w:rsidRPr="00445685">
        <w:rPr>
          <w:rFonts w:eastAsia="Calibri" w:cs="Times New Roman"/>
          <w:noProof/>
          <w:sz w:val="18"/>
          <w:szCs w:val="18"/>
        </w:rPr>
        <w:t xml:space="preserve">Adoptar todas las medidas necesarias para garantizar una compensación adecuada y completa tanto por los daños morales como por los daños materiales generados por las violaciones descritas en </w:t>
      </w:r>
      <w:r w:rsidR="00586648" w:rsidRPr="00445685">
        <w:rPr>
          <w:rFonts w:eastAsia="Calibri" w:cs="Times New Roman"/>
          <w:noProof/>
          <w:sz w:val="18"/>
          <w:szCs w:val="18"/>
        </w:rPr>
        <w:t>el I</w:t>
      </w:r>
      <w:r w:rsidRPr="00445685">
        <w:rPr>
          <w:rFonts w:eastAsia="Calibri" w:cs="Times New Roman"/>
          <w:noProof/>
          <w:sz w:val="18"/>
          <w:szCs w:val="18"/>
        </w:rPr>
        <w:t>nforme, a favor de L.R.J., C.S.S., J.F.C. y las víctimas</w:t>
      </w:r>
      <w:r w:rsidR="00DB4054" w:rsidRPr="00445685">
        <w:rPr>
          <w:rFonts w:eastAsia="Calibri" w:cs="Times New Roman"/>
          <w:noProof/>
          <w:sz w:val="18"/>
          <w:szCs w:val="18"/>
        </w:rPr>
        <w:t xml:space="preserve"> señaladas en el párrafo 191 del </w:t>
      </w:r>
      <w:r w:rsidRPr="00445685">
        <w:rPr>
          <w:rFonts w:eastAsia="Calibri" w:cs="Times New Roman"/>
          <w:noProof/>
          <w:sz w:val="18"/>
          <w:szCs w:val="18"/>
        </w:rPr>
        <w:t xml:space="preserve">informe. </w:t>
      </w:r>
    </w:p>
    <w:p w14:paraId="1E14C375" w14:textId="77777777" w:rsidR="007E1488" w:rsidRPr="00445685" w:rsidRDefault="007E1488" w:rsidP="00D6683A">
      <w:pPr>
        <w:numPr>
          <w:ilvl w:val="1"/>
          <w:numId w:val="3"/>
        </w:numPr>
        <w:ind w:left="1701" w:right="29" w:hanging="283"/>
        <w:rPr>
          <w:rFonts w:eastAsia="Calibri" w:cs="Times New Roman"/>
          <w:noProof/>
          <w:sz w:val="18"/>
          <w:szCs w:val="18"/>
        </w:rPr>
      </w:pPr>
      <w:r w:rsidRPr="00445685">
        <w:rPr>
          <w:rFonts w:eastAsia="Calibri" w:cs="Times New Roman"/>
          <w:noProof/>
          <w:sz w:val="18"/>
          <w:szCs w:val="18"/>
        </w:rPr>
        <w:t xml:space="preserve">Eliminar inmediatamente la práctica de registrar automáticamente las muertes perpetradas por la policía como “resistencia al arresto”.  </w:t>
      </w:r>
    </w:p>
    <w:p w14:paraId="1D9B2138" w14:textId="77777777" w:rsidR="007E1488" w:rsidRPr="00445685" w:rsidRDefault="007E1488" w:rsidP="00D6683A">
      <w:pPr>
        <w:numPr>
          <w:ilvl w:val="1"/>
          <w:numId w:val="3"/>
        </w:numPr>
        <w:ind w:left="1701" w:right="29" w:hanging="283"/>
        <w:rPr>
          <w:rFonts w:eastAsia="Calibri" w:cs="Times New Roman"/>
          <w:noProof/>
          <w:sz w:val="18"/>
          <w:szCs w:val="18"/>
        </w:rPr>
      </w:pPr>
      <w:r w:rsidRPr="00445685">
        <w:rPr>
          <w:rFonts w:eastAsia="Calibri" w:cs="Times New Roman"/>
          <w:noProof/>
          <w:sz w:val="18"/>
          <w:szCs w:val="18"/>
        </w:rPr>
        <w:t xml:space="preserve">Erradicar la impunidad de la violencia policial en general, adaptando sus leyes internas, regulaciones administrativas, procedimientos y planes operativos de las instituciones con competencia en políticas de seguridad ciudadana, a fin de garantizar que sean capaces de prevenir, investigar y sancionar cualquier violación de derechos humanos resultante de los actos de violencia cometidos por agentes del Estado. </w:t>
      </w:r>
    </w:p>
    <w:p w14:paraId="63562048" w14:textId="2F79A911" w:rsidR="007E1488" w:rsidRPr="00445685" w:rsidRDefault="007E1488" w:rsidP="00D6683A">
      <w:pPr>
        <w:numPr>
          <w:ilvl w:val="1"/>
          <w:numId w:val="3"/>
        </w:numPr>
        <w:ind w:left="1701" w:right="29" w:hanging="283"/>
        <w:rPr>
          <w:rFonts w:eastAsia="Calibri" w:cs="Times New Roman"/>
          <w:noProof/>
          <w:sz w:val="18"/>
          <w:szCs w:val="18"/>
        </w:rPr>
      </w:pPr>
      <w:r w:rsidRPr="00445685">
        <w:rPr>
          <w:rFonts w:eastAsia="Calibri" w:cs="Times New Roman"/>
          <w:noProof/>
          <w:sz w:val="18"/>
          <w:szCs w:val="18"/>
        </w:rPr>
        <w:lastRenderedPageBreak/>
        <w:t>Establecer sistemas de control y rendición de cuentas internos y externos para hacer efectivo el deber de investigar, con una perspectiva de género y étnico-racial, todos los casos en los que los agentes del orden utilizan la fuerza letal y/o la violencia sexual, y fortale</w:t>
      </w:r>
      <w:r w:rsidR="00BC50E2" w:rsidRPr="00445685">
        <w:rPr>
          <w:rFonts w:eastAsia="Calibri" w:cs="Times New Roman"/>
          <w:noProof/>
          <w:sz w:val="18"/>
          <w:szCs w:val="18"/>
        </w:rPr>
        <w:t>cer</w:t>
      </w:r>
      <w:r w:rsidRPr="00445685">
        <w:rPr>
          <w:rFonts w:eastAsia="Calibri" w:cs="Times New Roman"/>
          <w:noProof/>
          <w:sz w:val="18"/>
          <w:szCs w:val="18"/>
        </w:rPr>
        <w:t xml:space="preserve"> la capacidad institucional de órganos independientes de supervisión, incluidos los órganos forenses, para enfrentar el patrón de impunidad de los casos de ejecuciones extrajudiciales por parte de la policía.  </w:t>
      </w:r>
    </w:p>
    <w:p w14:paraId="7A215A2C" w14:textId="77777777" w:rsidR="007E1488" w:rsidRPr="00445685" w:rsidRDefault="007E1488" w:rsidP="00D6683A">
      <w:pPr>
        <w:numPr>
          <w:ilvl w:val="1"/>
          <w:numId w:val="3"/>
        </w:numPr>
        <w:ind w:left="1701" w:right="29" w:hanging="283"/>
        <w:rPr>
          <w:rFonts w:eastAsia="Calibri" w:cs="Times New Roman"/>
          <w:noProof/>
          <w:sz w:val="18"/>
          <w:szCs w:val="18"/>
        </w:rPr>
      </w:pPr>
      <w:r w:rsidRPr="00445685">
        <w:rPr>
          <w:rFonts w:eastAsia="Calibri" w:cs="Times New Roman"/>
          <w:noProof/>
          <w:sz w:val="18"/>
          <w:szCs w:val="18"/>
        </w:rPr>
        <w:t xml:space="preserve">Implementar planes para modernizar y profesionalizar las fuerzas policiales, asegurando la rendición de cuentas por abusos del pasado mediante la expulsión de conocidos perpetradores de los órganos de seguridad del Estado, así como de otros puestos de autoridad, y realizando ajustes en su filosofía institucional para cumplir con los estándares y principios internacionales de derechos humanos relativos a la seguridad ciudadana. </w:t>
      </w:r>
    </w:p>
    <w:p w14:paraId="6C8D3907" w14:textId="77777777" w:rsidR="007E1488" w:rsidRPr="00445685" w:rsidRDefault="007E1488" w:rsidP="00D6683A">
      <w:pPr>
        <w:numPr>
          <w:ilvl w:val="1"/>
          <w:numId w:val="3"/>
        </w:numPr>
        <w:ind w:left="1701" w:right="29" w:hanging="283"/>
        <w:rPr>
          <w:rFonts w:eastAsia="Calibri" w:cs="Times New Roman"/>
          <w:noProof/>
          <w:sz w:val="18"/>
          <w:szCs w:val="18"/>
        </w:rPr>
      </w:pPr>
      <w:r w:rsidRPr="00445685">
        <w:rPr>
          <w:rFonts w:eastAsia="Calibri" w:cs="Times New Roman"/>
          <w:noProof/>
          <w:sz w:val="18"/>
          <w:szCs w:val="18"/>
        </w:rPr>
        <w:t xml:space="preserve">Entrenar adecuadamente al personal policial sobre cómo tratar de manera efectiva y eficiente a las personas provenientes de los sectores más vulnerables de la sociedad, incluyendo niños, mujeres y residentes de </w:t>
      </w:r>
      <w:r w:rsidRPr="00445685">
        <w:rPr>
          <w:rFonts w:eastAsia="Calibri" w:cs="Times New Roman"/>
          <w:i/>
          <w:iCs/>
          <w:noProof/>
          <w:sz w:val="18"/>
          <w:szCs w:val="18"/>
        </w:rPr>
        <w:t>favelas</w:t>
      </w:r>
      <w:r w:rsidRPr="00445685">
        <w:rPr>
          <w:rFonts w:eastAsia="Calibri" w:cs="Times New Roman"/>
          <w:noProof/>
          <w:sz w:val="18"/>
          <w:szCs w:val="18"/>
        </w:rPr>
        <w:t xml:space="preserve">, buscando superar el estigma de que todos los pobres son criminales.  </w:t>
      </w:r>
    </w:p>
    <w:p w14:paraId="00D1A2E1" w14:textId="229EF516" w:rsidR="007E1488" w:rsidRPr="00445685" w:rsidRDefault="007E1488" w:rsidP="00D6683A">
      <w:pPr>
        <w:numPr>
          <w:ilvl w:val="1"/>
          <w:numId w:val="3"/>
        </w:numPr>
        <w:ind w:left="1701" w:right="29" w:hanging="283"/>
        <w:rPr>
          <w:rFonts w:eastAsia="Calibri" w:cs="Times New Roman"/>
          <w:noProof/>
          <w:sz w:val="18"/>
          <w:szCs w:val="18"/>
        </w:rPr>
      </w:pPr>
      <w:r w:rsidRPr="00445685">
        <w:rPr>
          <w:rFonts w:eastAsia="Calibri" w:cs="Times New Roman"/>
          <w:noProof/>
          <w:sz w:val="18"/>
          <w:szCs w:val="18"/>
        </w:rPr>
        <w:t xml:space="preserve">Regular legalmente, tanto en el aspecto formal como material, los procedimientos policiales que involucran uso legítimo de la fuerza, estipulando expresamente que sólo se puede recurrir a este extremo como un último recurso y que el uso de la fuerza debe estar inspirado por los principios de excepcionalidad, necesidad y proporcionalidad. Al respecto, el Estado debe tomar en cuenta, </w:t>
      </w:r>
      <w:r w:rsidRPr="00445685">
        <w:rPr>
          <w:rFonts w:eastAsia="Calibri" w:cs="Times New Roman"/>
          <w:i/>
          <w:iCs/>
          <w:noProof/>
          <w:sz w:val="18"/>
          <w:szCs w:val="18"/>
        </w:rPr>
        <w:t>inter alia</w:t>
      </w:r>
      <w:r w:rsidRPr="00445685">
        <w:rPr>
          <w:rFonts w:eastAsia="Calibri" w:cs="Times New Roman"/>
          <w:noProof/>
          <w:sz w:val="18"/>
          <w:szCs w:val="18"/>
        </w:rPr>
        <w:t>, los Principios Básicos de Naciones Unidas sobre el Empleo de la Fuerza y de Armas de Fuego por los Funcionarios Encargados de Hacer Cumplir la Ley y los Principios de Naciones Unidas Relativos a una Eficaz Prevención e Investigación de las Ejecuciones Extral</w:t>
      </w:r>
      <w:r w:rsidR="002D676F" w:rsidRPr="00445685">
        <w:rPr>
          <w:rFonts w:eastAsia="Calibri" w:cs="Times New Roman"/>
          <w:noProof/>
          <w:sz w:val="18"/>
          <w:szCs w:val="18"/>
        </w:rPr>
        <w:t>egales, Arbitrarias o Sumarias.</w:t>
      </w:r>
    </w:p>
    <w:p w14:paraId="0562436B" w14:textId="77777777" w:rsidR="007E1488" w:rsidRPr="00445685" w:rsidRDefault="007E1488" w:rsidP="00B811D7">
      <w:pPr>
        <w:autoSpaceDE w:val="0"/>
        <w:autoSpaceDN w:val="0"/>
        <w:adjustRightInd w:val="0"/>
        <w:ind w:left="720"/>
        <w:rPr>
          <w:rFonts w:eastAsia="Batang" w:cs="Times"/>
          <w:b/>
          <w:i/>
          <w:sz w:val="16"/>
          <w:szCs w:val="16"/>
          <w:lang w:val="es-ES_tradnl"/>
        </w:rPr>
      </w:pPr>
    </w:p>
    <w:p w14:paraId="25C123C2" w14:textId="7AC218D0" w:rsidR="00DB28AA" w:rsidRPr="00232925" w:rsidRDefault="00DB28AA" w:rsidP="00D6683A">
      <w:pPr>
        <w:numPr>
          <w:ilvl w:val="0"/>
          <w:numId w:val="2"/>
        </w:numPr>
        <w:autoSpaceDE w:val="0"/>
        <w:autoSpaceDN w:val="0"/>
        <w:adjustRightInd w:val="0"/>
        <w:rPr>
          <w:rFonts w:eastAsia="Batang" w:cs="Times"/>
          <w:b/>
          <w:i/>
          <w:szCs w:val="24"/>
          <w:lang w:val="es-ES_tradnl"/>
        </w:rPr>
      </w:pPr>
      <w:r w:rsidRPr="00232925">
        <w:rPr>
          <w:rFonts w:eastAsia="Batang" w:cs="Times"/>
          <w:i/>
          <w:szCs w:val="24"/>
          <w:lang w:val="es-ES_tradnl"/>
        </w:rPr>
        <w:t>Notificación al Estado</w:t>
      </w:r>
      <w:r w:rsidR="00C930DA" w:rsidRPr="00232925">
        <w:rPr>
          <w:rFonts w:eastAsia="Batang" w:cs="Times"/>
          <w:i/>
          <w:szCs w:val="24"/>
          <w:lang w:val="es-ES_tradnl"/>
        </w:rPr>
        <w:t>. –</w:t>
      </w:r>
      <w:r w:rsidRPr="00232925">
        <w:rPr>
          <w:rFonts w:eastAsia="Batang" w:cs="Times"/>
          <w:i/>
          <w:szCs w:val="24"/>
          <w:lang w:val="es-ES_tradnl"/>
        </w:rPr>
        <w:t xml:space="preserve"> </w:t>
      </w:r>
      <w:r w:rsidRPr="00232925">
        <w:rPr>
          <w:rFonts w:eastAsia="Batang" w:cs="Times"/>
          <w:szCs w:val="24"/>
          <w:lang w:val="es-ES_tradnl"/>
        </w:rPr>
        <w:t xml:space="preserve">El Informe de Fondo fue notificado al Estado </w:t>
      </w:r>
      <w:r w:rsidR="00EF6FD3">
        <w:rPr>
          <w:rFonts w:eastAsia="Batang" w:cs="Times"/>
          <w:szCs w:val="24"/>
          <w:lang w:val="es-ES_tradnl"/>
        </w:rPr>
        <w:t>el</w:t>
      </w:r>
      <w:r w:rsidR="00EF6FD3" w:rsidRPr="00232925">
        <w:rPr>
          <w:rFonts w:eastAsia="Batang" w:cs="Times"/>
          <w:szCs w:val="24"/>
          <w:lang w:val="es-ES_tradnl"/>
        </w:rPr>
        <w:t xml:space="preserve"> </w:t>
      </w:r>
      <w:r w:rsidR="00174EEC" w:rsidRPr="00232925">
        <w:rPr>
          <w:rFonts w:eastAsia="Batang" w:cs="Times"/>
          <w:szCs w:val="24"/>
          <w:lang w:val="es-ES_tradnl"/>
        </w:rPr>
        <w:t>19</w:t>
      </w:r>
      <w:r w:rsidRPr="00232925">
        <w:rPr>
          <w:rFonts w:eastAsia="Batang" w:cs="Times"/>
          <w:szCs w:val="24"/>
          <w:lang w:val="es-ES_tradnl"/>
        </w:rPr>
        <w:t xml:space="preserve"> de </w:t>
      </w:r>
      <w:r w:rsidR="00174EEC" w:rsidRPr="00232925">
        <w:rPr>
          <w:rFonts w:eastAsia="Batang" w:cs="Times"/>
          <w:szCs w:val="24"/>
          <w:lang w:val="es-ES_tradnl"/>
        </w:rPr>
        <w:t>enero</w:t>
      </w:r>
      <w:r w:rsidRPr="00232925">
        <w:rPr>
          <w:rFonts w:eastAsia="Batang" w:cs="Times"/>
          <w:szCs w:val="24"/>
          <w:lang w:val="es-ES_tradnl"/>
        </w:rPr>
        <w:t xml:space="preserve"> de 201</w:t>
      </w:r>
      <w:r w:rsidR="00174EEC" w:rsidRPr="00232925">
        <w:rPr>
          <w:rFonts w:eastAsia="Batang" w:cs="Times"/>
          <w:szCs w:val="24"/>
          <w:lang w:val="es-ES_tradnl"/>
        </w:rPr>
        <w:t>2</w:t>
      </w:r>
      <w:r w:rsidR="00904E90">
        <w:rPr>
          <w:rFonts w:eastAsia="Batang" w:cs="Times"/>
          <w:szCs w:val="24"/>
          <w:lang w:val="es-ES_tradnl"/>
        </w:rPr>
        <w:t xml:space="preserve"> y se le otorgó</w:t>
      </w:r>
      <w:r w:rsidRPr="00232925">
        <w:rPr>
          <w:rFonts w:eastAsia="Batang" w:cs="Times"/>
          <w:szCs w:val="24"/>
          <w:lang w:val="es-ES_tradnl"/>
        </w:rPr>
        <w:t xml:space="preserve"> un plazo de dos meses para informar sobre el cumplimiento de las recomendaciones. Tras el otorgamiento de 1</w:t>
      </w:r>
      <w:r w:rsidR="00174EEC" w:rsidRPr="00232925">
        <w:rPr>
          <w:rFonts w:eastAsia="Batang" w:cs="Times"/>
          <w:szCs w:val="24"/>
          <w:lang w:val="es-ES_tradnl"/>
        </w:rPr>
        <w:t>2</w:t>
      </w:r>
      <w:r w:rsidRPr="00232925">
        <w:rPr>
          <w:rFonts w:eastAsia="Batang" w:cs="Times"/>
          <w:szCs w:val="24"/>
          <w:lang w:val="es-ES_tradnl"/>
        </w:rPr>
        <w:t xml:space="preserve"> prórrogas, la Comisión determinó que el Estado no había avanzado de manera concreta en el cumpl</w:t>
      </w:r>
      <w:r w:rsidR="002D676F">
        <w:rPr>
          <w:rFonts w:eastAsia="Batang" w:cs="Times"/>
          <w:szCs w:val="24"/>
          <w:lang w:val="es-ES_tradnl"/>
        </w:rPr>
        <w:t>imiento de las recomendaciones.</w:t>
      </w:r>
    </w:p>
    <w:p w14:paraId="7D859E2D" w14:textId="77777777" w:rsidR="00DB28AA" w:rsidRPr="00232925" w:rsidRDefault="00DB28AA" w:rsidP="00B811D7">
      <w:pPr>
        <w:autoSpaceDE w:val="0"/>
        <w:autoSpaceDN w:val="0"/>
        <w:adjustRightInd w:val="0"/>
        <w:rPr>
          <w:rFonts w:eastAsia="Batang" w:cs="Verdana"/>
          <w:szCs w:val="20"/>
          <w:lang w:val="es-ES_tradnl" w:eastAsia="es-ES"/>
        </w:rPr>
      </w:pPr>
    </w:p>
    <w:p w14:paraId="0A1216F4" w14:textId="6BD56117" w:rsidR="00DB28AA" w:rsidRPr="00232925" w:rsidRDefault="00DB28AA" w:rsidP="00D6683A">
      <w:pPr>
        <w:numPr>
          <w:ilvl w:val="0"/>
          <w:numId w:val="1"/>
        </w:numPr>
        <w:autoSpaceDE w:val="0"/>
        <w:autoSpaceDN w:val="0"/>
        <w:adjustRightInd w:val="0"/>
        <w:rPr>
          <w:rFonts w:eastAsia="Batang" w:cs="Verdana"/>
          <w:szCs w:val="20"/>
          <w:lang w:val="es-ES_tradnl" w:eastAsia="es-ES"/>
        </w:rPr>
      </w:pPr>
      <w:r w:rsidRPr="00232925">
        <w:rPr>
          <w:rFonts w:eastAsia="Batang" w:cs="Verdana"/>
          <w:i/>
          <w:szCs w:val="20"/>
          <w:lang w:val="es-ES_tradnl" w:eastAsia="es-ES"/>
        </w:rPr>
        <w:t>Sometimiento a la Corte.</w:t>
      </w:r>
      <w:r w:rsidRPr="00232925">
        <w:rPr>
          <w:rFonts w:eastAsia="Batang" w:cs="Verdana"/>
          <w:szCs w:val="20"/>
          <w:lang w:val="es-ES_tradnl" w:eastAsia="es-ES"/>
        </w:rPr>
        <w:t xml:space="preserve">- </w:t>
      </w:r>
      <w:r w:rsidRPr="00232925">
        <w:rPr>
          <w:rFonts w:eastAsia="Batang" w:cs="Verdana"/>
          <w:szCs w:val="20"/>
          <w:lang w:val="es-ES" w:eastAsia="es-ES"/>
        </w:rPr>
        <w:t xml:space="preserve">El </w:t>
      </w:r>
      <w:r w:rsidR="00174EEC" w:rsidRPr="00232925">
        <w:rPr>
          <w:rFonts w:eastAsia="Batang" w:cs="Verdana"/>
          <w:szCs w:val="20"/>
          <w:lang w:val="es-ES" w:eastAsia="es-ES"/>
        </w:rPr>
        <w:t>19</w:t>
      </w:r>
      <w:r w:rsidRPr="00232925">
        <w:rPr>
          <w:rFonts w:eastAsia="Batang" w:cs="Verdana"/>
          <w:szCs w:val="20"/>
          <w:lang w:val="es-ES" w:eastAsia="es-ES"/>
        </w:rPr>
        <w:t xml:space="preserve"> de ma</w:t>
      </w:r>
      <w:r w:rsidR="00174EEC" w:rsidRPr="00232925">
        <w:rPr>
          <w:rFonts w:eastAsia="Batang" w:cs="Verdana"/>
          <w:szCs w:val="20"/>
          <w:lang w:val="es-ES" w:eastAsia="es-ES"/>
        </w:rPr>
        <w:t>y</w:t>
      </w:r>
      <w:r w:rsidRPr="00232925">
        <w:rPr>
          <w:rFonts w:eastAsia="Batang" w:cs="Verdana"/>
          <w:szCs w:val="20"/>
          <w:lang w:val="es-ES" w:eastAsia="es-ES"/>
        </w:rPr>
        <w:t>o de 2015 la Comisión sometió a la jurisdicción de la Corte, “</w:t>
      </w:r>
      <w:r w:rsidR="00611E74" w:rsidRPr="00232925">
        <w:rPr>
          <w:rFonts w:eastAsia="Batang" w:cs="Verdana"/>
          <w:szCs w:val="20"/>
          <w:lang w:val="es-ES" w:eastAsia="es-ES"/>
        </w:rPr>
        <w:t>ante</w:t>
      </w:r>
      <w:r w:rsidRPr="00232925">
        <w:rPr>
          <w:rFonts w:eastAsia="Batang" w:cs="Verdana"/>
          <w:szCs w:val="20"/>
          <w:lang w:val="es-ES" w:eastAsia="es-ES"/>
        </w:rPr>
        <w:t xml:space="preserve"> la necesidad de obtención de justicia”, los hechos y violaciones de derechos humanos descritos en el Informe de Fondo</w:t>
      </w:r>
      <w:r w:rsidRPr="00232925">
        <w:rPr>
          <w:rFonts w:eastAsia="Batang" w:cs="Times New Roman"/>
          <w:szCs w:val="20"/>
          <w:vertAlign w:val="superscript"/>
          <w:lang w:val="es-ES" w:eastAsia="es-ES"/>
        </w:rPr>
        <w:footnoteReference w:id="4"/>
      </w:r>
      <w:r w:rsidRPr="00232925">
        <w:rPr>
          <w:rFonts w:eastAsia="Batang" w:cs="Verdana"/>
          <w:szCs w:val="20"/>
          <w:lang w:val="es-ES" w:eastAsia="es-ES"/>
        </w:rPr>
        <w:t>. Específicamente, la Comisión sometió a la Corte las acciones y omisiones estatales que ocurrieron o continuaron ocurriendo con posterioridad al 10 de diciembre de 1998, fecha de aceptación de la competencia de la Corte por parte del Estado</w:t>
      </w:r>
      <w:r w:rsidRPr="00232925">
        <w:rPr>
          <w:rFonts w:eastAsia="Batang" w:cs="Times New Roman"/>
          <w:szCs w:val="20"/>
          <w:vertAlign w:val="superscript"/>
          <w:lang w:val="es-ES" w:eastAsia="es-ES"/>
        </w:rPr>
        <w:footnoteReference w:id="5"/>
      </w:r>
      <w:r w:rsidRPr="00232925">
        <w:rPr>
          <w:rFonts w:eastAsia="Batang" w:cs="Verdana"/>
          <w:szCs w:val="20"/>
          <w:lang w:val="es-ES" w:eastAsia="es-ES"/>
        </w:rPr>
        <w:t xml:space="preserve">, sin perjuicio de que el Estado pudiera aceptar la competencia de la Corte para conocer la totalidad del caso, de conformidad con lo estipulado en el </w:t>
      </w:r>
      <w:r w:rsidR="002D676F">
        <w:rPr>
          <w:rFonts w:eastAsia="Batang" w:cs="Verdana"/>
          <w:szCs w:val="20"/>
          <w:lang w:val="es-ES" w:eastAsia="es-ES"/>
        </w:rPr>
        <w:t>artículo 62.2 de la Convención.</w:t>
      </w:r>
    </w:p>
    <w:p w14:paraId="73074E67" w14:textId="77777777" w:rsidR="00DB28AA" w:rsidRPr="00232925" w:rsidRDefault="00DB28AA" w:rsidP="00B811D7">
      <w:pPr>
        <w:autoSpaceDE w:val="0"/>
        <w:autoSpaceDN w:val="0"/>
        <w:adjustRightInd w:val="0"/>
        <w:rPr>
          <w:rFonts w:eastAsia="Batang" w:cs="Verdana"/>
          <w:szCs w:val="20"/>
          <w:lang w:val="es-ES_tradnl" w:eastAsia="es-ES"/>
        </w:rPr>
      </w:pPr>
    </w:p>
    <w:p w14:paraId="7A57B55C" w14:textId="77777777" w:rsidR="00DB28AA" w:rsidRPr="00232925" w:rsidRDefault="00DB28AA" w:rsidP="00D6683A">
      <w:pPr>
        <w:numPr>
          <w:ilvl w:val="0"/>
          <w:numId w:val="1"/>
        </w:numPr>
        <w:autoSpaceDE w:val="0"/>
        <w:autoSpaceDN w:val="0"/>
        <w:adjustRightInd w:val="0"/>
        <w:rPr>
          <w:rFonts w:eastAsia="Batang" w:cs="Verdana"/>
          <w:szCs w:val="20"/>
          <w:lang w:val="es-ES_tradnl" w:eastAsia="es-ES"/>
        </w:rPr>
      </w:pPr>
      <w:r w:rsidRPr="00232925">
        <w:rPr>
          <w:rFonts w:eastAsia="Batang" w:cs="Verdana"/>
          <w:i/>
          <w:szCs w:val="20"/>
          <w:lang w:val="es-ES_tradnl" w:eastAsia="es-ES"/>
        </w:rPr>
        <w:t xml:space="preserve">Solicitudes de la Comisión Interamericana.– </w:t>
      </w:r>
      <w:r w:rsidRPr="00232925">
        <w:rPr>
          <w:rFonts w:eastAsia="Batang" w:cs="Verdana"/>
          <w:szCs w:val="20"/>
          <w:lang w:val="es-ES_tradnl" w:eastAsia="es-ES"/>
        </w:rPr>
        <w:t>Con base en lo anterior, la Comisión Interamericana solicitó a este Tribunal que declarara la responsabilidad internacional de Brasil por las violacion</w:t>
      </w:r>
      <w:r w:rsidR="0050610F">
        <w:rPr>
          <w:rFonts w:eastAsia="Batang" w:cs="Verdana"/>
          <w:szCs w:val="20"/>
          <w:lang w:val="es-ES_tradnl" w:eastAsia="es-ES"/>
        </w:rPr>
        <w:t xml:space="preserve">es contenidas en el Informe de </w:t>
      </w:r>
      <w:r w:rsidRPr="00232925">
        <w:rPr>
          <w:rFonts w:eastAsia="Batang" w:cs="Verdana"/>
          <w:szCs w:val="20"/>
          <w:lang w:val="es-ES_tradnl" w:eastAsia="es-ES"/>
        </w:rPr>
        <w:t>Fondo y que se ordenara al Estado, como medidas de reparación, las recomendaciones incluidas en dicho Informe (</w:t>
      </w:r>
      <w:r w:rsidRPr="00232925">
        <w:rPr>
          <w:rFonts w:eastAsia="Batang" w:cs="Verdana"/>
          <w:i/>
          <w:szCs w:val="20"/>
          <w:lang w:val="es-ES_tradnl" w:eastAsia="es-ES"/>
        </w:rPr>
        <w:t xml:space="preserve">supra </w:t>
      </w:r>
      <w:r w:rsidRPr="00232925">
        <w:rPr>
          <w:rFonts w:eastAsia="Batang" w:cs="Verdana"/>
          <w:szCs w:val="20"/>
          <w:lang w:val="es-ES_tradnl" w:eastAsia="es-ES"/>
        </w:rPr>
        <w:t>párr. 2).</w:t>
      </w:r>
      <w:r w:rsidR="00C67345" w:rsidRPr="00232925">
        <w:rPr>
          <w:rFonts w:eastAsia="Batang" w:cs="Verdana"/>
          <w:szCs w:val="20"/>
          <w:lang w:val="es-ES_tradnl" w:eastAsia="es-ES"/>
        </w:rPr>
        <w:t xml:space="preserve"> </w:t>
      </w:r>
    </w:p>
    <w:p w14:paraId="449C1742" w14:textId="77777777" w:rsidR="00DB28AA" w:rsidRPr="00232925" w:rsidRDefault="00DB28AA" w:rsidP="00547D83">
      <w:pPr>
        <w:pStyle w:val="TOC1"/>
        <w:rPr>
          <w:lang w:val="es-ES_tradnl"/>
        </w:rPr>
      </w:pPr>
      <w:bookmarkStart w:id="9" w:name="_Toc359314415"/>
      <w:bookmarkStart w:id="10" w:name="_Toc361671572"/>
      <w:bookmarkStart w:id="11" w:name="_Toc361671992"/>
      <w:bookmarkStart w:id="12" w:name="_Toc361732789"/>
      <w:bookmarkStart w:id="13" w:name="_Toc361732832"/>
      <w:bookmarkStart w:id="14" w:name="_Toc362456863"/>
      <w:bookmarkStart w:id="15" w:name="_Toc365021392"/>
      <w:bookmarkStart w:id="16" w:name="_Toc369076778"/>
      <w:bookmarkStart w:id="17" w:name="_Toc369989362"/>
      <w:bookmarkStart w:id="18" w:name="_Toc369989449"/>
      <w:bookmarkStart w:id="19" w:name="_Toc369989730"/>
      <w:bookmarkStart w:id="20" w:name="_Toc404770055"/>
      <w:bookmarkStart w:id="21" w:name="_Toc416164785"/>
      <w:bookmarkStart w:id="22" w:name="_Toc468909965"/>
      <w:bookmarkStart w:id="23" w:name="_Toc468910191"/>
      <w:bookmarkStart w:id="24" w:name="_Toc469404431"/>
      <w:bookmarkStart w:id="25" w:name="_Toc472608876"/>
      <w:r w:rsidRPr="00232925">
        <w:rPr>
          <w:lang w:val="es-ES_tradnl"/>
        </w:rPr>
        <w:lastRenderedPageBreak/>
        <w:t>II</w:t>
      </w:r>
      <w:r w:rsidRPr="00232925">
        <w:rPr>
          <w:lang w:val="es-ES_tradnl"/>
        </w:rPr>
        <w:br/>
      </w:r>
      <w:bookmarkStart w:id="26" w:name="_Toc311128353"/>
      <w:bookmarkStart w:id="27" w:name="_Toc311128156"/>
      <w:r w:rsidRPr="00232925">
        <w:rPr>
          <w:lang w:val="es-ES_tradnl"/>
        </w:rPr>
        <w:t>PROCEDIMIENTO ANTE LA CORTE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335075C" w14:textId="77777777" w:rsidR="00DB28AA" w:rsidRPr="00232925" w:rsidRDefault="00DB28AA" w:rsidP="00B811D7">
      <w:pPr>
        <w:autoSpaceDE w:val="0"/>
        <w:autoSpaceDN w:val="0"/>
        <w:adjustRightInd w:val="0"/>
        <w:rPr>
          <w:rFonts w:eastAsia="Batang" w:cs="Verdana"/>
          <w:szCs w:val="20"/>
          <w:lang w:val="es-ES_tradnl" w:eastAsia="es-ES"/>
        </w:rPr>
      </w:pPr>
    </w:p>
    <w:p w14:paraId="146819BC" w14:textId="3A9426A1" w:rsidR="00DB28AA" w:rsidRPr="00232925" w:rsidRDefault="00DB28AA" w:rsidP="00D6683A">
      <w:pPr>
        <w:numPr>
          <w:ilvl w:val="0"/>
          <w:numId w:val="1"/>
        </w:numPr>
        <w:rPr>
          <w:rFonts w:eastAsia="Batang" w:cs="Times New Roman"/>
          <w:b/>
          <w:i/>
          <w:noProof/>
          <w:szCs w:val="20"/>
          <w:lang w:val="es-ES_tradnl" w:eastAsia="es-ES"/>
        </w:rPr>
      </w:pPr>
      <w:r w:rsidRPr="00232925">
        <w:rPr>
          <w:rFonts w:eastAsia="Batang" w:cs="Times New Roman"/>
          <w:i/>
          <w:noProof/>
          <w:szCs w:val="20"/>
          <w:lang w:val="es-ES_tradnl" w:eastAsia="es-ES"/>
        </w:rPr>
        <w:t xml:space="preserve">Notificación al Estado y a los representantes. – </w:t>
      </w:r>
      <w:r w:rsidRPr="00232925">
        <w:rPr>
          <w:rFonts w:eastAsia="Batang" w:cs="Times New Roman"/>
          <w:noProof/>
          <w:szCs w:val="20"/>
          <w:lang w:val="es-ES_tradnl"/>
        </w:rPr>
        <w:t>El sometimiento del caso por parte de la Comisión fue notificado al Estado y a los representantes el 1</w:t>
      </w:r>
      <w:r w:rsidR="00E27E1B" w:rsidRPr="00232925">
        <w:rPr>
          <w:rFonts w:eastAsia="Batang" w:cs="Times New Roman"/>
          <w:noProof/>
          <w:szCs w:val="20"/>
          <w:lang w:val="es-ES_tradnl"/>
        </w:rPr>
        <w:t xml:space="preserve">2 </w:t>
      </w:r>
      <w:r w:rsidRPr="00232925">
        <w:rPr>
          <w:rFonts w:eastAsia="Batang" w:cs="Times New Roman"/>
          <w:noProof/>
          <w:szCs w:val="20"/>
          <w:lang w:val="es-ES_tradnl"/>
        </w:rPr>
        <w:t xml:space="preserve">de </w:t>
      </w:r>
      <w:r w:rsidR="00E27E1B" w:rsidRPr="00232925">
        <w:rPr>
          <w:rFonts w:eastAsia="Batang" w:cs="Times New Roman"/>
          <w:noProof/>
          <w:szCs w:val="20"/>
          <w:lang w:val="es-ES_tradnl"/>
        </w:rPr>
        <w:t>junio</w:t>
      </w:r>
      <w:r w:rsidR="002D676F">
        <w:rPr>
          <w:rFonts w:eastAsia="Batang" w:cs="Times New Roman"/>
          <w:noProof/>
          <w:szCs w:val="20"/>
          <w:lang w:val="es-ES_tradnl"/>
        </w:rPr>
        <w:t xml:space="preserve"> de 2015.</w:t>
      </w:r>
    </w:p>
    <w:p w14:paraId="78AFF572" w14:textId="77777777" w:rsidR="00DB28AA" w:rsidRPr="00232925" w:rsidRDefault="00DB28AA" w:rsidP="00B811D7">
      <w:pPr>
        <w:rPr>
          <w:rFonts w:eastAsia="Batang" w:cs="Times New Roman"/>
          <w:b/>
          <w:i/>
          <w:noProof/>
          <w:szCs w:val="20"/>
          <w:lang w:val="es-ES_tradnl" w:eastAsia="es-ES"/>
        </w:rPr>
      </w:pPr>
    </w:p>
    <w:p w14:paraId="11680071" w14:textId="5382DF90" w:rsidR="00DB28AA" w:rsidRPr="00A62044" w:rsidRDefault="00DB28AA" w:rsidP="00D6683A">
      <w:pPr>
        <w:numPr>
          <w:ilvl w:val="0"/>
          <w:numId w:val="1"/>
        </w:numPr>
        <w:rPr>
          <w:rFonts w:eastAsia="Batang" w:cs="Times New Roman"/>
          <w:i/>
          <w:noProof/>
          <w:szCs w:val="20"/>
          <w:lang w:val="es-ES_tradnl" w:eastAsia="es-ES"/>
        </w:rPr>
      </w:pPr>
      <w:r w:rsidRPr="00232925">
        <w:rPr>
          <w:rFonts w:eastAsia="Batang" w:cs="Times New Roman"/>
          <w:i/>
          <w:noProof/>
          <w:szCs w:val="20"/>
          <w:lang w:val="es-ES_tradnl" w:eastAsia="es-ES"/>
        </w:rPr>
        <w:t xml:space="preserve">Escrito de solicitudes, argumentos y pruebas. – </w:t>
      </w:r>
      <w:r w:rsidRPr="00232925">
        <w:rPr>
          <w:rFonts w:eastAsia="Batang" w:cs="Times New Roman"/>
          <w:noProof/>
          <w:szCs w:val="20"/>
          <w:lang w:val="es-ES_tradnl"/>
        </w:rPr>
        <w:t xml:space="preserve">El </w:t>
      </w:r>
      <w:r w:rsidR="0014789B" w:rsidRPr="00232925">
        <w:rPr>
          <w:rFonts w:eastAsia="Batang" w:cs="Times New Roman"/>
          <w:noProof/>
          <w:szCs w:val="20"/>
          <w:lang w:val="es-ES_tradnl"/>
        </w:rPr>
        <w:t>17 de agosto</w:t>
      </w:r>
      <w:r w:rsidRPr="00232925">
        <w:rPr>
          <w:rFonts w:eastAsia="Batang" w:cs="Times New Roman"/>
          <w:noProof/>
          <w:szCs w:val="20"/>
          <w:lang w:val="es-ES_tradnl"/>
        </w:rPr>
        <w:t xml:space="preserve"> de 2015 los representantes presentaron su escrito de solicitudes, argumentos y pruebas (en adelante “escrito de solicitudes y </w:t>
      </w:r>
      <w:r w:rsidRPr="00A62044">
        <w:rPr>
          <w:rFonts w:eastAsia="Batang" w:cs="Times New Roman"/>
          <w:noProof/>
          <w:szCs w:val="20"/>
          <w:lang w:val="es-ES_tradnl"/>
        </w:rPr>
        <w:t>argumentos”), en los términos de los artículos 25 y 40 del Reglamento de la Corte</w:t>
      </w:r>
      <w:r w:rsidRPr="00A62044">
        <w:rPr>
          <w:rFonts w:eastAsia="Batang" w:cs="Times New Roman"/>
          <w:noProof/>
          <w:szCs w:val="20"/>
          <w:vertAlign w:val="superscript"/>
          <w:lang w:val="es-ES_tradnl"/>
        </w:rPr>
        <w:footnoteReference w:id="6"/>
      </w:r>
      <w:r w:rsidRPr="00A62044">
        <w:rPr>
          <w:rFonts w:eastAsia="Batang" w:cs="Times New Roman"/>
          <w:noProof/>
          <w:szCs w:val="20"/>
          <w:lang w:val="es-ES_tradnl"/>
        </w:rPr>
        <w:t xml:space="preserve">. </w:t>
      </w:r>
      <w:r w:rsidR="00013B8B" w:rsidRPr="00A62044">
        <w:rPr>
          <w:szCs w:val="20"/>
          <w:lang w:val="es-ES"/>
        </w:rPr>
        <w:t>En dicho escrito, los representantes coincidieron con los alegatos de la Comisión y presentaron alegatos adicionales respecto a la violación del artículo 22.1 de la Convención Am</w:t>
      </w:r>
      <w:r w:rsidR="0050610F">
        <w:rPr>
          <w:szCs w:val="20"/>
          <w:lang w:val="es-ES"/>
        </w:rPr>
        <w:t>ericana, en relación con el artículo</w:t>
      </w:r>
      <w:r w:rsidR="00013B8B" w:rsidRPr="00A62044">
        <w:rPr>
          <w:szCs w:val="20"/>
          <w:lang w:val="es-ES"/>
        </w:rPr>
        <w:t xml:space="preserve"> 1.1 del mismo instrumento, en perjuicio de L.R.J., C.S.S. y J.F.C. </w:t>
      </w:r>
      <w:r w:rsidR="009E372D" w:rsidRPr="00A62044">
        <w:rPr>
          <w:rFonts w:eastAsia="Batang" w:cs="Times New Roman"/>
          <w:noProof/>
          <w:szCs w:val="20"/>
          <w:lang w:val="es-ES_tradnl"/>
        </w:rPr>
        <w:t>Asimismo, a través de sus representantes, la presuntas víctimas solicit</w:t>
      </w:r>
      <w:r w:rsidR="00013B8B" w:rsidRPr="00A62044">
        <w:rPr>
          <w:rFonts w:eastAsia="Batang" w:cs="Times New Roman"/>
          <w:noProof/>
          <w:szCs w:val="20"/>
          <w:lang w:val="es-ES_tradnl"/>
        </w:rPr>
        <w:t>aron</w:t>
      </w:r>
      <w:r w:rsidR="009E372D" w:rsidRPr="00A62044">
        <w:rPr>
          <w:rFonts w:eastAsia="Batang" w:cs="Times New Roman"/>
          <w:noProof/>
          <w:szCs w:val="20"/>
          <w:lang w:val="es-ES_tradnl"/>
        </w:rPr>
        <w:t xml:space="preserve"> acogerse al Fondo de Asistencia Legal de Víctimas de la Corte Interamericana (en adelante “Fondo de Asistencia Legal”)</w:t>
      </w:r>
      <w:r w:rsidR="00A62044">
        <w:rPr>
          <w:rFonts w:eastAsia="Batang" w:cs="Times New Roman"/>
          <w:noProof/>
          <w:szCs w:val="20"/>
          <w:lang w:val="es-ES_tradnl"/>
        </w:rPr>
        <w:t>.</w:t>
      </w:r>
    </w:p>
    <w:p w14:paraId="5DE5A36D" w14:textId="77777777" w:rsidR="00DB28AA" w:rsidRPr="00A62044" w:rsidRDefault="00DB28AA" w:rsidP="00B811D7">
      <w:pPr>
        <w:rPr>
          <w:rFonts w:eastAsia="Batang" w:cs="Times New Roman"/>
          <w:i/>
          <w:noProof/>
          <w:szCs w:val="20"/>
          <w:lang w:val="es-ES_tradnl" w:eastAsia="es-ES"/>
        </w:rPr>
      </w:pPr>
    </w:p>
    <w:p w14:paraId="4DBB652A" w14:textId="0725E890" w:rsidR="00DB28AA" w:rsidRPr="00A62044" w:rsidRDefault="00DB28AA" w:rsidP="00D6683A">
      <w:pPr>
        <w:numPr>
          <w:ilvl w:val="0"/>
          <w:numId w:val="1"/>
        </w:numPr>
        <w:rPr>
          <w:rFonts w:eastAsia="Batang" w:cs="Times New Roman"/>
          <w:noProof/>
          <w:szCs w:val="20"/>
          <w:lang w:val="es-ES_tradnl" w:eastAsia="es-ES"/>
        </w:rPr>
      </w:pPr>
      <w:r w:rsidRPr="00A62044">
        <w:rPr>
          <w:rFonts w:eastAsia="Calibri" w:cs="Times New Roman"/>
          <w:bCs/>
          <w:i/>
          <w:noProof/>
          <w:szCs w:val="20"/>
          <w:lang w:val="es-ES_tradnl"/>
        </w:rPr>
        <w:t xml:space="preserve">Escrito de contestación. – </w:t>
      </w:r>
      <w:r w:rsidRPr="00A62044">
        <w:rPr>
          <w:rFonts w:eastAsia="Batang" w:cs="Times New Roman"/>
          <w:noProof/>
          <w:szCs w:val="20"/>
          <w:lang w:val="es-ES_tradnl"/>
        </w:rPr>
        <w:t xml:space="preserve">El </w:t>
      </w:r>
      <w:r w:rsidR="00E27E1B" w:rsidRPr="00A62044">
        <w:rPr>
          <w:rFonts w:eastAsia="Batang" w:cs="Times New Roman"/>
          <w:noProof/>
          <w:szCs w:val="20"/>
          <w:lang w:val="es-ES_tradnl"/>
        </w:rPr>
        <w:t xml:space="preserve">9 de noviembre de 2015 </w:t>
      </w:r>
      <w:r w:rsidRPr="00A62044">
        <w:rPr>
          <w:rFonts w:eastAsia="Batang" w:cs="Times New Roman"/>
          <w:noProof/>
          <w:szCs w:val="20"/>
          <w:lang w:val="es-ES_tradnl"/>
        </w:rPr>
        <w:t xml:space="preserve">el Estado presentó </w:t>
      </w:r>
      <w:r w:rsidR="00A62044">
        <w:rPr>
          <w:rFonts w:eastAsia="Batang" w:cs="Times New Roman"/>
          <w:noProof/>
          <w:szCs w:val="20"/>
          <w:lang w:val="es-ES_tradnl"/>
        </w:rPr>
        <w:t xml:space="preserve">el escrito de </w:t>
      </w:r>
      <w:r w:rsidR="00564B87" w:rsidRPr="00A62044">
        <w:rPr>
          <w:rFonts w:eastAsia="Batang" w:cs="Times New Roman"/>
          <w:noProof/>
          <w:szCs w:val="20"/>
          <w:lang w:val="es-ES_tradnl"/>
        </w:rPr>
        <w:t xml:space="preserve">excepciones preliminares, </w:t>
      </w:r>
      <w:r w:rsidRPr="00A62044">
        <w:rPr>
          <w:rFonts w:eastAsia="Batang" w:cs="Times New Roman"/>
          <w:noProof/>
          <w:szCs w:val="20"/>
          <w:lang w:val="es-ES_tradnl"/>
        </w:rPr>
        <w:t xml:space="preserve">contestación al sometimiento del caso y </w:t>
      </w:r>
      <w:r w:rsidR="00564B87" w:rsidRPr="00A62044">
        <w:rPr>
          <w:rFonts w:eastAsia="Batang" w:cs="Times New Roman"/>
          <w:noProof/>
          <w:szCs w:val="20"/>
          <w:lang w:val="es-ES_tradnl"/>
        </w:rPr>
        <w:t xml:space="preserve">observaciones </w:t>
      </w:r>
      <w:r w:rsidRPr="00A62044">
        <w:rPr>
          <w:rFonts w:eastAsia="Batang" w:cs="Times New Roman"/>
          <w:noProof/>
          <w:szCs w:val="20"/>
          <w:lang w:val="es-ES_tradnl"/>
        </w:rPr>
        <w:t>al escrito de solicitudes</w:t>
      </w:r>
      <w:r w:rsidR="00A62044">
        <w:rPr>
          <w:rFonts w:eastAsia="Batang" w:cs="Times New Roman"/>
          <w:noProof/>
          <w:szCs w:val="20"/>
          <w:lang w:val="es-ES_tradnl"/>
        </w:rPr>
        <w:t>,</w:t>
      </w:r>
      <w:r w:rsidRPr="00A62044">
        <w:rPr>
          <w:rFonts w:eastAsia="Batang" w:cs="Times New Roman"/>
          <w:noProof/>
          <w:szCs w:val="20"/>
          <w:lang w:val="es-ES_tradnl"/>
        </w:rPr>
        <w:t xml:space="preserve"> argumentos </w:t>
      </w:r>
      <w:r w:rsidR="00A62044">
        <w:rPr>
          <w:rFonts w:eastAsia="Batang" w:cs="Times New Roman"/>
          <w:noProof/>
          <w:szCs w:val="20"/>
          <w:lang w:val="es-ES_tradnl"/>
        </w:rPr>
        <w:t xml:space="preserve">y </w:t>
      </w:r>
      <w:r w:rsidR="00564B87" w:rsidRPr="00A62044">
        <w:rPr>
          <w:rFonts w:eastAsia="Batang" w:cs="Times New Roman"/>
          <w:noProof/>
          <w:szCs w:val="20"/>
          <w:lang w:val="es-ES_tradnl"/>
        </w:rPr>
        <w:t>pruebas</w:t>
      </w:r>
      <w:r w:rsidRPr="00A62044">
        <w:rPr>
          <w:rFonts w:eastAsia="Batang" w:cs="Times New Roman"/>
          <w:noProof/>
          <w:szCs w:val="20"/>
          <w:lang w:val="es-ES_tradnl"/>
        </w:rPr>
        <w:t xml:space="preserve"> (en adelante “contestación” o “escrito de contestación”)</w:t>
      </w:r>
      <w:r w:rsidR="00A62044" w:rsidRPr="00A62044">
        <w:rPr>
          <w:rFonts w:eastAsia="Batang" w:cs="Times New Roman"/>
          <w:noProof/>
          <w:szCs w:val="20"/>
          <w:vertAlign w:val="superscript"/>
          <w:lang w:val="es-ES_tradnl"/>
        </w:rPr>
        <w:footnoteReference w:id="7"/>
      </w:r>
      <w:r w:rsidRPr="00A62044">
        <w:rPr>
          <w:rFonts w:eastAsia="Batang" w:cs="Times New Roman"/>
          <w:noProof/>
          <w:szCs w:val="20"/>
          <w:lang w:val="es-ES_tradnl"/>
        </w:rPr>
        <w:t>, en los términos del artículo 41 del Reglamento del Tribunal</w:t>
      </w:r>
      <w:r w:rsidR="00564B87" w:rsidRPr="00A62044">
        <w:rPr>
          <w:rFonts w:eastAsia="Batang" w:cs="Times New Roman"/>
          <w:noProof/>
          <w:szCs w:val="20"/>
          <w:lang w:val="es-ES_tradnl"/>
        </w:rPr>
        <w:t xml:space="preserve">. El Estado interpuso </w:t>
      </w:r>
      <w:r w:rsidR="00C14A90" w:rsidRPr="00A62044">
        <w:rPr>
          <w:rFonts w:eastAsia="Batang" w:cs="Times New Roman"/>
          <w:noProof/>
          <w:szCs w:val="20"/>
          <w:lang w:val="es-ES_tradnl"/>
        </w:rPr>
        <w:t>siete</w:t>
      </w:r>
      <w:r w:rsidR="00564B87" w:rsidRPr="00A62044">
        <w:rPr>
          <w:rFonts w:eastAsia="Batang" w:cs="Times New Roman"/>
          <w:noProof/>
          <w:szCs w:val="20"/>
          <w:lang w:val="es-ES_tradnl"/>
        </w:rPr>
        <w:t xml:space="preserve"> excepciones preliminares </w:t>
      </w:r>
      <w:r w:rsidR="00FA1F5B" w:rsidRPr="00A62044">
        <w:rPr>
          <w:rFonts w:eastAsia="Batang" w:cs="Times New Roman"/>
          <w:noProof/>
          <w:szCs w:val="20"/>
          <w:lang w:val="es-ES_tradnl"/>
        </w:rPr>
        <w:t>y se opuso a las violaciones alegadas</w:t>
      </w:r>
      <w:r w:rsidRPr="00A62044">
        <w:rPr>
          <w:rFonts w:eastAsia="Batang" w:cs="Verdana"/>
          <w:noProof/>
          <w:szCs w:val="20"/>
          <w:lang w:val="es-ES_tradnl"/>
        </w:rPr>
        <w:t xml:space="preserve">. </w:t>
      </w:r>
    </w:p>
    <w:p w14:paraId="2924CA8F" w14:textId="77777777" w:rsidR="00A62044" w:rsidRPr="00A62044" w:rsidRDefault="00A62044" w:rsidP="00B811D7">
      <w:pPr>
        <w:rPr>
          <w:rFonts w:eastAsia="Batang" w:cs="Times New Roman"/>
          <w:noProof/>
          <w:szCs w:val="20"/>
          <w:lang w:val="es-ES_tradnl" w:eastAsia="es-ES"/>
        </w:rPr>
      </w:pPr>
    </w:p>
    <w:p w14:paraId="037BA2AD" w14:textId="2D276984" w:rsidR="000A23CE" w:rsidRPr="00232925" w:rsidRDefault="000A23CE" w:rsidP="00D6683A">
      <w:pPr>
        <w:numPr>
          <w:ilvl w:val="0"/>
          <w:numId w:val="1"/>
        </w:numPr>
        <w:rPr>
          <w:rFonts w:eastAsia="Batang" w:cs="Times New Roman"/>
          <w:noProof/>
          <w:szCs w:val="20"/>
          <w:lang w:val="es-ES_tradnl" w:eastAsia="es-ES"/>
        </w:rPr>
      </w:pPr>
      <w:r w:rsidRPr="00232925">
        <w:rPr>
          <w:rFonts w:eastAsia="Batang" w:cs="Times New Roman"/>
          <w:i/>
          <w:noProof/>
          <w:szCs w:val="20"/>
          <w:lang w:val="es-ES_tradnl" w:eastAsia="es-ES"/>
        </w:rPr>
        <w:t>Acogimiento al Fondo de Asistencia Legal</w:t>
      </w:r>
      <w:r w:rsidRPr="00232925">
        <w:rPr>
          <w:rFonts w:eastAsia="Batang" w:cs="Times New Roman"/>
          <w:noProof/>
          <w:szCs w:val="20"/>
          <w:lang w:val="es-ES_tradnl" w:eastAsia="es-ES"/>
        </w:rPr>
        <w:t xml:space="preserve"> – Mediante Resolución del Pr</w:t>
      </w:r>
      <w:r w:rsidR="00A62044">
        <w:rPr>
          <w:rFonts w:eastAsia="Batang" w:cs="Times New Roman"/>
          <w:noProof/>
          <w:szCs w:val="20"/>
          <w:lang w:val="es-ES_tradnl" w:eastAsia="es-ES"/>
        </w:rPr>
        <w:t>e</w:t>
      </w:r>
      <w:r w:rsidRPr="00232925">
        <w:rPr>
          <w:rFonts w:eastAsia="Batang" w:cs="Times New Roman"/>
          <w:noProof/>
          <w:szCs w:val="20"/>
          <w:lang w:val="es-ES_tradnl" w:eastAsia="es-ES"/>
        </w:rPr>
        <w:t xml:space="preserve">sidente </w:t>
      </w:r>
      <w:r w:rsidR="00EF6FD3" w:rsidRPr="00232925">
        <w:rPr>
          <w:rFonts w:eastAsia="Batang" w:cs="Times New Roman"/>
          <w:noProof/>
          <w:szCs w:val="20"/>
          <w:lang w:val="es-ES_tradnl" w:eastAsia="es-ES"/>
        </w:rPr>
        <w:t xml:space="preserve">en ejercicio </w:t>
      </w:r>
      <w:r w:rsidR="00A62044" w:rsidRPr="00232925">
        <w:rPr>
          <w:rFonts w:eastAsia="Batang" w:cs="Times New Roman"/>
          <w:noProof/>
          <w:szCs w:val="20"/>
          <w:lang w:val="es-ES_tradnl" w:eastAsia="es-ES"/>
        </w:rPr>
        <w:t xml:space="preserve">de la Corte </w:t>
      </w:r>
      <w:r w:rsidR="00A62044">
        <w:rPr>
          <w:rFonts w:eastAsia="Batang" w:cs="Times New Roman"/>
          <w:noProof/>
          <w:szCs w:val="20"/>
          <w:lang w:val="es-ES_tradnl" w:eastAsia="es-ES"/>
        </w:rPr>
        <w:t xml:space="preserve">para el presente caso (en adelante “el Presidente”) </w:t>
      </w:r>
      <w:r w:rsidRPr="00232925">
        <w:rPr>
          <w:rFonts w:eastAsia="Batang" w:cs="Times New Roman"/>
          <w:noProof/>
          <w:szCs w:val="20"/>
          <w:lang w:val="es-ES_tradnl" w:eastAsia="es-ES"/>
        </w:rPr>
        <w:t xml:space="preserve">de 3 de diciembre de 2015, se declaró procedente la solicitud interpuesta por las presuntas vícitimas a través de sus representantes, para acogerse al Fondo de Asistencia </w:t>
      </w:r>
      <w:r w:rsidR="00BC50E2">
        <w:rPr>
          <w:rFonts w:eastAsia="Batang" w:cs="Times New Roman"/>
          <w:noProof/>
          <w:szCs w:val="20"/>
          <w:lang w:val="es-ES_tradnl" w:eastAsia="es-ES"/>
        </w:rPr>
        <w:t>Legal</w:t>
      </w:r>
      <w:r w:rsidRPr="00232925">
        <w:rPr>
          <w:rStyle w:val="FootnoteReference"/>
          <w:rFonts w:eastAsia="Batang"/>
          <w:noProof/>
          <w:lang w:val="es-ES_tradnl" w:eastAsia="es-ES"/>
        </w:rPr>
        <w:footnoteReference w:id="8"/>
      </w:r>
      <w:r w:rsidRPr="00232925">
        <w:rPr>
          <w:rFonts w:eastAsia="Batang" w:cs="Times New Roman"/>
          <w:noProof/>
          <w:szCs w:val="20"/>
          <w:lang w:val="es-ES_tradnl" w:eastAsia="es-ES"/>
        </w:rPr>
        <w:t>.</w:t>
      </w:r>
    </w:p>
    <w:p w14:paraId="391C6857" w14:textId="77777777" w:rsidR="00DB28AA" w:rsidRPr="00232925" w:rsidRDefault="00DB28AA" w:rsidP="00B811D7">
      <w:pPr>
        <w:rPr>
          <w:rFonts w:eastAsia="Batang" w:cs="Times New Roman"/>
          <w:noProof/>
          <w:szCs w:val="20"/>
          <w:lang w:val="es-ES_tradnl" w:eastAsia="es-ES"/>
        </w:rPr>
      </w:pPr>
    </w:p>
    <w:p w14:paraId="11DBB2DE" w14:textId="3D6FA261" w:rsidR="00DB28AA" w:rsidRPr="00232925" w:rsidRDefault="00DB28AA" w:rsidP="00D6683A">
      <w:pPr>
        <w:numPr>
          <w:ilvl w:val="0"/>
          <w:numId w:val="1"/>
        </w:numPr>
        <w:rPr>
          <w:rFonts w:eastAsia="Batang" w:cs="Times New Roman"/>
          <w:noProof/>
          <w:szCs w:val="20"/>
          <w:lang w:val="es-ES_tradnl" w:eastAsia="es-ES"/>
        </w:rPr>
      </w:pPr>
      <w:r w:rsidRPr="00232925">
        <w:rPr>
          <w:rFonts w:eastAsia="Batang" w:cs="Times New Roman"/>
          <w:i/>
          <w:noProof/>
          <w:szCs w:val="20"/>
          <w:lang w:val="es-ES_tradnl" w:eastAsia="es-ES"/>
        </w:rPr>
        <w:t>Observaciones a las excepciones preliminares</w:t>
      </w:r>
      <w:r w:rsidR="00BC50E2">
        <w:rPr>
          <w:rFonts w:eastAsia="Batang" w:cs="Times New Roman"/>
          <w:i/>
          <w:noProof/>
          <w:szCs w:val="20"/>
          <w:lang w:val="es-ES_tradnl" w:eastAsia="es-ES"/>
        </w:rPr>
        <w:t xml:space="preserve">.- </w:t>
      </w:r>
      <w:r w:rsidR="000A23CE" w:rsidRPr="00232925">
        <w:rPr>
          <w:rFonts w:eastAsia="Batang" w:cs="Times New Roman"/>
          <w:noProof/>
          <w:szCs w:val="20"/>
          <w:lang w:val="es-ES_tradnl" w:eastAsia="es-ES"/>
        </w:rPr>
        <w:t>El</w:t>
      </w:r>
      <w:r w:rsidRPr="00232925">
        <w:rPr>
          <w:rFonts w:eastAsia="Batang" w:cs="Times New Roman"/>
          <w:noProof/>
          <w:szCs w:val="20"/>
          <w:lang w:val="es-ES_tradnl" w:eastAsia="es-ES"/>
        </w:rPr>
        <w:t xml:space="preserve"> </w:t>
      </w:r>
      <w:r w:rsidR="000E69E2" w:rsidRPr="00232925">
        <w:rPr>
          <w:rFonts w:eastAsia="Batang" w:cs="Times New Roman"/>
          <w:noProof/>
          <w:szCs w:val="20"/>
          <w:lang w:val="es-ES_tradnl" w:eastAsia="es-ES"/>
        </w:rPr>
        <w:t>12 de enero de 2016</w:t>
      </w:r>
      <w:r w:rsidRPr="00232925">
        <w:rPr>
          <w:rFonts w:eastAsia="Batang" w:cs="Times New Roman"/>
          <w:noProof/>
          <w:szCs w:val="20"/>
          <w:lang w:val="es-ES_tradnl" w:eastAsia="es-ES"/>
        </w:rPr>
        <w:t xml:space="preserve">, los representantes y la Comisión presentaron sus observaciones a las excepciones </w:t>
      </w:r>
      <w:r w:rsidRPr="00A62044">
        <w:rPr>
          <w:rFonts w:eastAsia="Batang" w:cs="Times New Roman"/>
          <w:noProof/>
          <w:szCs w:val="20"/>
          <w:lang w:val="es-ES_tradnl" w:eastAsia="es-ES"/>
        </w:rPr>
        <w:t xml:space="preserve">preliminares </w:t>
      </w:r>
      <w:r w:rsidR="000A23CE" w:rsidRPr="00A62044">
        <w:rPr>
          <w:rFonts w:eastAsia="Batang" w:cs="Times New Roman"/>
          <w:noProof/>
          <w:szCs w:val="20"/>
          <w:lang w:val="es-ES_tradnl" w:eastAsia="es-ES"/>
        </w:rPr>
        <w:t xml:space="preserve">y solicitaron </w:t>
      </w:r>
      <w:r w:rsidR="00A62044" w:rsidRPr="00A62044">
        <w:rPr>
          <w:rFonts w:eastAsia="Batang" w:cs="Times New Roman"/>
          <w:noProof/>
          <w:szCs w:val="20"/>
          <w:lang w:val="es-ES_tradnl" w:eastAsia="es-ES"/>
        </w:rPr>
        <w:t>que fueran desestimadas</w:t>
      </w:r>
      <w:r w:rsidR="002D676F">
        <w:rPr>
          <w:rFonts w:eastAsia="Batang" w:cs="Times New Roman"/>
          <w:noProof/>
          <w:szCs w:val="20"/>
          <w:lang w:val="es-ES_tradnl" w:eastAsia="es-ES"/>
        </w:rPr>
        <w:t>.</w:t>
      </w:r>
    </w:p>
    <w:p w14:paraId="34699949" w14:textId="77777777" w:rsidR="00DB28AA" w:rsidRPr="00232925" w:rsidRDefault="00DB28AA" w:rsidP="00B811D7">
      <w:pPr>
        <w:autoSpaceDE w:val="0"/>
        <w:autoSpaceDN w:val="0"/>
        <w:adjustRightInd w:val="0"/>
        <w:rPr>
          <w:rFonts w:eastAsia="Batang" w:cs="Verdana"/>
          <w:noProof/>
          <w:szCs w:val="20"/>
          <w:lang w:val="es-ES_tradnl" w:eastAsia="es-ES"/>
        </w:rPr>
      </w:pPr>
    </w:p>
    <w:p w14:paraId="522A468E" w14:textId="474605A3" w:rsidR="00C170F8" w:rsidRPr="00232925" w:rsidRDefault="00DB28AA" w:rsidP="00D6683A">
      <w:pPr>
        <w:numPr>
          <w:ilvl w:val="0"/>
          <w:numId w:val="1"/>
        </w:numPr>
        <w:rPr>
          <w:rFonts w:eastAsia="Batang" w:cs="Times New Roman"/>
          <w:noProof/>
          <w:szCs w:val="20"/>
          <w:lang w:val="es-ES_tradnl" w:eastAsia="es-ES"/>
        </w:rPr>
      </w:pPr>
      <w:r w:rsidRPr="00232925">
        <w:rPr>
          <w:rFonts w:eastAsia="Batang" w:cs="Times New Roman"/>
          <w:i/>
          <w:noProof/>
          <w:szCs w:val="20"/>
          <w:lang w:val="es-ES_tradnl" w:eastAsia="es-ES"/>
        </w:rPr>
        <w:lastRenderedPageBreak/>
        <w:t>Audiencia pública.–</w:t>
      </w:r>
      <w:r w:rsidRPr="00232925">
        <w:rPr>
          <w:rFonts w:eastAsia="Batang" w:cs="Times New Roman"/>
          <w:noProof/>
          <w:szCs w:val="20"/>
          <w:lang w:val="es-ES_tradnl" w:eastAsia="es-ES"/>
        </w:rPr>
        <w:t xml:space="preserve"> Mediante Resoluci</w:t>
      </w:r>
      <w:r w:rsidR="00A62044">
        <w:rPr>
          <w:rFonts w:eastAsia="Batang" w:cs="Times New Roman"/>
          <w:noProof/>
          <w:szCs w:val="20"/>
          <w:lang w:val="es-ES_tradnl" w:eastAsia="es-ES"/>
        </w:rPr>
        <w:t>o</w:t>
      </w:r>
      <w:r w:rsidRPr="00232925">
        <w:rPr>
          <w:rFonts w:eastAsia="Batang" w:cs="Times New Roman"/>
          <w:noProof/>
          <w:szCs w:val="20"/>
          <w:lang w:val="es-ES_tradnl" w:eastAsia="es-ES"/>
        </w:rPr>
        <w:t>n</w:t>
      </w:r>
      <w:r w:rsidR="00A62044">
        <w:rPr>
          <w:rFonts w:eastAsia="Batang" w:cs="Times New Roman"/>
          <w:noProof/>
          <w:szCs w:val="20"/>
          <w:lang w:val="es-ES_tradnl" w:eastAsia="es-ES"/>
        </w:rPr>
        <w:t xml:space="preserve">es </w:t>
      </w:r>
      <w:r w:rsidRPr="00232925">
        <w:rPr>
          <w:rFonts w:eastAsia="Batang" w:cs="Times New Roman"/>
          <w:noProof/>
          <w:szCs w:val="20"/>
          <w:lang w:val="es-ES_tradnl" w:eastAsia="es-ES"/>
        </w:rPr>
        <w:t xml:space="preserve">del Presidente de la Corte de </w:t>
      </w:r>
      <w:r w:rsidR="005269B7" w:rsidRPr="00232925">
        <w:rPr>
          <w:rFonts w:eastAsia="Batang" w:cs="Times New Roman"/>
          <w:noProof/>
          <w:szCs w:val="20"/>
          <w:lang w:val="es-ES_tradnl" w:eastAsia="es-ES"/>
        </w:rPr>
        <w:t>4 de agosto de 2016</w:t>
      </w:r>
      <w:r w:rsidRPr="00232925">
        <w:rPr>
          <w:rFonts w:eastAsia="Batang" w:cs="Times New Roman"/>
          <w:noProof/>
          <w:szCs w:val="20"/>
          <w:vertAlign w:val="superscript"/>
          <w:lang w:val="es-ES_tradnl" w:eastAsia="es-ES"/>
        </w:rPr>
        <w:footnoteReference w:id="9"/>
      </w:r>
      <w:r w:rsidR="00A62044">
        <w:rPr>
          <w:rFonts w:eastAsia="Batang" w:cs="Times New Roman"/>
          <w:noProof/>
          <w:szCs w:val="20"/>
          <w:lang w:val="es-ES_tradnl" w:eastAsia="es-ES"/>
        </w:rPr>
        <w:t xml:space="preserve"> y</w:t>
      </w:r>
      <w:r w:rsidR="005269B7" w:rsidRPr="00232925">
        <w:rPr>
          <w:rFonts w:eastAsia="Batang" w:cs="Times New Roman"/>
          <w:noProof/>
          <w:szCs w:val="20"/>
          <w:lang w:val="es-ES_tradnl" w:eastAsia="es-ES"/>
        </w:rPr>
        <w:t xml:space="preserve"> </w:t>
      </w:r>
      <w:r w:rsidR="00672BF2" w:rsidRPr="00232925">
        <w:rPr>
          <w:rFonts w:eastAsia="Batang" w:cs="Times New Roman"/>
          <w:noProof/>
          <w:szCs w:val="20"/>
          <w:lang w:val="es-ES_tradnl" w:eastAsia="es-ES"/>
        </w:rPr>
        <w:t>16 de septiembre de 2016</w:t>
      </w:r>
      <w:r w:rsidR="00672BF2" w:rsidRPr="00232925">
        <w:rPr>
          <w:rStyle w:val="FootnoteReference"/>
          <w:rFonts w:eastAsia="Batang"/>
          <w:noProof/>
          <w:lang w:val="es-ES_tradnl" w:eastAsia="es-ES"/>
        </w:rPr>
        <w:footnoteReference w:id="10"/>
      </w:r>
      <w:r w:rsidR="00A62044">
        <w:rPr>
          <w:rFonts w:eastAsia="Batang" w:cs="Times New Roman"/>
          <w:noProof/>
          <w:szCs w:val="20"/>
          <w:lang w:val="es-ES_tradnl" w:eastAsia="es-ES"/>
        </w:rPr>
        <w:t>,</w:t>
      </w:r>
      <w:r w:rsidR="00672BF2" w:rsidRPr="00232925">
        <w:rPr>
          <w:rFonts w:eastAsia="Batang" w:cs="Times New Roman"/>
          <w:noProof/>
          <w:szCs w:val="20"/>
          <w:lang w:val="es-ES_tradnl" w:eastAsia="es-ES"/>
        </w:rPr>
        <w:t xml:space="preserve"> </w:t>
      </w:r>
      <w:r w:rsidRPr="00232925">
        <w:rPr>
          <w:rFonts w:eastAsia="Batang" w:cs="Times New Roman"/>
          <w:noProof/>
          <w:szCs w:val="20"/>
          <w:lang w:val="es-ES_tradnl" w:eastAsia="es-ES"/>
        </w:rPr>
        <w:t xml:space="preserve">y </w:t>
      </w:r>
      <w:r w:rsidR="00A62044">
        <w:rPr>
          <w:rFonts w:eastAsia="Batang" w:cs="Times New Roman"/>
          <w:noProof/>
          <w:szCs w:val="20"/>
          <w:lang w:val="es-ES_tradnl" w:eastAsia="es-ES"/>
        </w:rPr>
        <w:t xml:space="preserve">la </w:t>
      </w:r>
      <w:r w:rsidRPr="00232925">
        <w:rPr>
          <w:rFonts w:eastAsia="Batang" w:cs="Times New Roman"/>
          <w:noProof/>
          <w:szCs w:val="20"/>
          <w:lang w:val="es-ES_tradnl" w:eastAsia="es-ES"/>
        </w:rPr>
        <w:t>Resolución de la Corte de 1</w:t>
      </w:r>
      <w:r w:rsidR="00672BF2" w:rsidRPr="00232925">
        <w:rPr>
          <w:rFonts w:eastAsia="Batang" w:cs="Times New Roman"/>
          <w:noProof/>
          <w:szCs w:val="20"/>
          <w:lang w:val="es-ES_tradnl" w:eastAsia="es-ES"/>
        </w:rPr>
        <w:t>0</w:t>
      </w:r>
      <w:r w:rsidRPr="00232925">
        <w:rPr>
          <w:rFonts w:eastAsia="Batang" w:cs="Times New Roman"/>
          <w:noProof/>
          <w:szCs w:val="20"/>
          <w:lang w:val="es-ES_tradnl" w:eastAsia="es-ES"/>
        </w:rPr>
        <w:t xml:space="preserve"> de </w:t>
      </w:r>
      <w:r w:rsidR="00672BF2" w:rsidRPr="00232925">
        <w:rPr>
          <w:rFonts w:eastAsia="Batang" w:cs="Times New Roman"/>
          <w:noProof/>
          <w:szCs w:val="20"/>
          <w:lang w:val="es-ES_tradnl" w:eastAsia="es-ES"/>
        </w:rPr>
        <w:t>octubre</w:t>
      </w:r>
      <w:r w:rsidRPr="00232925">
        <w:rPr>
          <w:rFonts w:eastAsia="Batang" w:cs="Times New Roman"/>
          <w:noProof/>
          <w:szCs w:val="20"/>
          <w:lang w:val="es-ES_tradnl" w:eastAsia="es-ES"/>
        </w:rPr>
        <w:t xml:space="preserve"> de 2016</w:t>
      </w:r>
      <w:r w:rsidRPr="00232925">
        <w:rPr>
          <w:rFonts w:eastAsia="Batang" w:cs="Times New Roman"/>
          <w:noProof/>
          <w:szCs w:val="20"/>
          <w:vertAlign w:val="superscript"/>
          <w:lang w:val="es-ES_tradnl" w:eastAsia="es-ES"/>
        </w:rPr>
        <w:footnoteReference w:id="11"/>
      </w:r>
      <w:r w:rsidRPr="00232925">
        <w:rPr>
          <w:rFonts w:eastAsia="Batang" w:cs="Times New Roman"/>
          <w:noProof/>
          <w:szCs w:val="20"/>
          <w:lang w:val="es-ES_tradnl" w:eastAsia="es-ES"/>
        </w:rPr>
        <w:t xml:space="preserve">, se convocó a las partes y a la Comisión a una audiencia pública </w:t>
      </w:r>
      <w:r w:rsidR="00672BF2" w:rsidRPr="00232925">
        <w:rPr>
          <w:rFonts w:eastAsia="Batang" w:cs="Times New Roman"/>
          <w:noProof/>
          <w:szCs w:val="20"/>
          <w:lang w:val="es-ES_tradnl" w:eastAsia="es-ES"/>
        </w:rPr>
        <w:t>sobre excepciones preliminares</w:t>
      </w:r>
      <w:r w:rsidR="00BA2568" w:rsidRPr="00232925">
        <w:rPr>
          <w:rFonts w:eastAsia="Batang" w:cs="Times New Roman"/>
          <w:noProof/>
          <w:szCs w:val="20"/>
          <w:lang w:val="es-ES_tradnl" w:eastAsia="es-ES"/>
        </w:rPr>
        <w:t xml:space="preserve"> y eventuales fondo, reparaciones y costas, para escuchar los alegatos y observaciones finales orales de las partes y de la Comisión, respectivamente. Asimismo, </w:t>
      </w:r>
      <w:r w:rsidR="00895810">
        <w:rPr>
          <w:rFonts w:eastAsia="Batang" w:cs="Times New Roman"/>
          <w:noProof/>
          <w:szCs w:val="20"/>
          <w:lang w:val="es-ES_tradnl" w:eastAsia="es-ES"/>
        </w:rPr>
        <w:t xml:space="preserve">se </w:t>
      </w:r>
      <w:r w:rsidR="00BA2568" w:rsidRPr="00232925">
        <w:rPr>
          <w:rFonts w:eastAsia="Batang" w:cs="Times New Roman"/>
          <w:noProof/>
          <w:szCs w:val="20"/>
          <w:lang w:val="es-ES_tradnl" w:eastAsia="es-ES"/>
        </w:rPr>
        <w:t xml:space="preserve">ordenó la recepción de </w:t>
      </w:r>
      <w:r w:rsidR="006B603C" w:rsidRPr="00232925">
        <w:rPr>
          <w:rFonts w:eastAsia="Batang" w:cs="Times New Roman"/>
          <w:noProof/>
          <w:szCs w:val="20"/>
          <w:lang w:val="es-ES_tradnl" w:eastAsia="es-ES"/>
        </w:rPr>
        <w:t>l</w:t>
      </w:r>
      <w:r w:rsidR="00BA2568" w:rsidRPr="00232925">
        <w:rPr>
          <w:rFonts w:eastAsia="Batang" w:cs="Times New Roman"/>
          <w:noProof/>
          <w:szCs w:val="20"/>
          <w:lang w:val="es-ES_tradnl" w:eastAsia="es-ES"/>
        </w:rPr>
        <w:t>a declaración de</w:t>
      </w:r>
      <w:r w:rsidR="006B603C" w:rsidRPr="00232925">
        <w:rPr>
          <w:rFonts w:eastAsia="Batang" w:cs="Times New Roman"/>
          <w:noProof/>
          <w:szCs w:val="20"/>
          <w:lang w:val="es-ES_tradnl" w:eastAsia="es-ES"/>
        </w:rPr>
        <w:t xml:space="preserve"> dos presuntas víctimas y tres peritos propuestos por los representantes, el Estado y la Comisión. Del mismo modo, en dichas resoluciones se ordenó recibir las declaraciones rendidas ante fedatario público (</w:t>
      </w:r>
      <w:r w:rsidR="004422AF">
        <w:rPr>
          <w:rFonts w:eastAsia="Batang" w:cs="Times New Roman"/>
          <w:i/>
          <w:noProof/>
          <w:szCs w:val="20"/>
          <w:lang w:val="es-ES_tradnl" w:eastAsia="es-ES"/>
        </w:rPr>
        <w:t>affidávit</w:t>
      </w:r>
      <w:r w:rsidR="006B603C" w:rsidRPr="00232925">
        <w:rPr>
          <w:rFonts w:eastAsia="Batang" w:cs="Times New Roman"/>
          <w:noProof/>
          <w:szCs w:val="20"/>
          <w:lang w:val="es-ES_tradnl" w:eastAsia="es-ES"/>
        </w:rPr>
        <w:t xml:space="preserve">) de </w:t>
      </w:r>
      <w:r w:rsidR="00895810">
        <w:rPr>
          <w:rFonts w:eastAsia="Batang" w:cs="Times New Roman"/>
          <w:noProof/>
          <w:szCs w:val="20"/>
          <w:lang w:val="es-ES_tradnl" w:eastAsia="es-ES"/>
        </w:rPr>
        <w:t>18</w:t>
      </w:r>
      <w:r w:rsidR="006B603C" w:rsidRPr="00232925">
        <w:rPr>
          <w:rFonts w:eastAsia="Batang" w:cs="Times New Roman"/>
          <w:noProof/>
          <w:szCs w:val="20"/>
          <w:lang w:val="es-ES_tradnl" w:eastAsia="es-ES"/>
        </w:rPr>
        <w:t xml:space="preserve"> presuntas víctimas, un testigo y </w:t>
      </w:r>
      <w:r w:rsidR="00895810">
        <w:rPr>
          <w:rFonts w:eastAsia="Batang" w:cs="Times New Roman"/>
          <w:noProof/>
          <w:szCs w:val="20"/>
          <w:lang w:val="es-ES_tradnl" w:eastAsia="es-ES"/>
        </w:rPr>
        <w:t>12</w:t>
      </w:r>
      <w:r w:rsidR="006B603C" w:rsidRPr="00232925">
        <w:rPr>
          <w:rFonts w:eastAsia="Batang" w:cs="Times New Roman"/>
          <w:noProof/>
          <w:szCs w:val="20"/>
          <w:lang w:val="es-ES_tradnl" w:eastAsia="es-ES"/>
        </w:rPr>
        <w:t xml:space="preserve"> peritos propuestos por las partes y la Comisión. La audiencia pública fue celebrada el 12 y 13 de octubre de 2016 durante el 56° Período Extraordinario de Sesiones de la Corte, llevado a cabo en Quito, Ecuador</w:t>
      </w:r>
      <w:r w:rsidR="00575A5D" w:rsidRPr="00232925">
        <w:rPr>
          <w:rStyle w:val="FootnoteReference"/>
          <w:rFonts w:eastAsia="Batang"/>
          <w:noProof/>
          <w:lang w:val="es-ES_tradnl" w:eastAsia="es-ES"/>
        </w:rPr>
        <w:footnoteReference w:id="12"/>
      </w:r>
      <w:r w:rsidR="006B603C" w:rsidRPr="00232925">
        <w:rPr>
          <w:rFonts w:eastAsia="Batang" w:cs="Times New Roman"/>
          <w:noProof/>
          <w:szCs w:val="20"/>
          <w:lang w:val="es-ES_tradnl" w:eastAsia="es-ES"/>
        </w:rPr>
        <w:t>.</w:t>
      </w:r>
    </w:p>
    <w:p w14:paraId="3AE1A8E7" w14:textId="77777777" w:rsidR="00A62044" w:rsidRPr="00A62044" w:rsidRDefault="00A62044" w:rsidP="00B811D7">
      <w:pPr>
        <w:rPr>
          <w:rFonts w:eastAsia="Batang" w:cs="Times New Roman"/>
          <w:noProof/>
          <w:szCs w:val="20"/>
          <w:lang w:val="es-ES_tradnl" w:eastAsia="es-ES"/>
        </w:rPr>
      </w:pPr>
    </w:p>
    <w:p w14:paraId="7E196E4C" w14:textId="427854F2" w:rsidR="00911DF1" w:rsidRPr="00232925" w:rsidRDefault="00DB28AA" w:rsidP="00D6683A">
      <w:pPr>
        <w:numPr>
          <w:ilvl w:val="0"/>
          <w:numId w:val="1"/>
        </w:numPr>
        <w:rPr>
          <w:rFonts w:eastAsia="Batang" w:cs="Arial"/>
          <w:noProof/>
          <w:szCs w:val="20"/>
        </w:rPr>
      </w:pPr>
      <w:r w:rsidRPr="00232925">
        <w:rPr>
          <w:rFonts w:eastAsia="Batang" w:cs="Times New Roman"/>
          <w:i/>
          <w:noProof/>
          <w:szCs w:val="20"/>
          <w:lang w:val="es-ES_tradnl"/>
        </w:rPr>
        <w:t>Amici curiae.</w:t>
      </w:r>
      <w:r w:rsidRPr="00232925">
        <w:rPr>
          <w:rFonts w:eastAsia="Batang" w:cs="Arial"/>
          <w:i/>
          <w:noProof/>
          <w:szCs w:val="20"/>
          <w:lang w:val="es-ES_tradnl"/>
        </w:rPr>
        <w:t xml:space="preserve">- </w:t>
      </w:r>
      <w:r w:rsidRPr="00232925">
        <w:rPr>
          <w:rFonts w:eastAsia="Batang" w:cs="Arial"/>
          <w:noProof/>
          <w:szCs w:val="20"/>
          <w:lang w:val="es-ES_tradnl"/>
        </w:rPr>
        <w:t>E</w:t>
      </w:r>
      <w:r w:rsidRPr="00232925">
        <w:rPr>
          <w:rFonts w:eastAsia="Batang" w:cs="Times New Roman"/>
          <w:noProof/>
          <w:szCs w:val="20"/>
          <w:lang w:val="es-ES_tradnl"/>
        </w:rPr>
        <w:t xml:space="preserve">l Tribunal recibió </w:t>
      </w:r>
      <w:r w:rsidR="00911DF1" w:rsidRPr="00232925">
        <w:rPr>
          <w:rFonts w:eastAsia="Batang" w:cs="Times New Roman"/>
          <w:noProof/>
          <w:szCs w:val="20"/>
          <w:lang w:val="es-ES_tradnl"/>
        </w:rPr>
        <w:t>cuatro</w:t>
      </w:r>
      <w:r w:rsidRPr="00232925">
        <w:rPr>
          <w:rFonts w:eastAsia="Batang" w:cs="Times New Roman"/>
          <w:noProof/>
          <w:szCs w:val="20"/>
          <w:lang w:val="es-ES_tradnl"/>
        </w:rPr>
        <w:t xml:space="preserve"> escritos de </w:t>
      </w:r>
      <w:r w:rsidRPr="00232925">
        <w:rPr>
          <w:rFonts w:eastAsia="Batang" w:cs="Times New Roman"/>
          <w:i/>
          <w:noProof/>
          <w:szCs w:val="20"/>
          <w:lang w:val="es-ES_tradnl"/>
        </w:rPr>
        <w:t>amici curiae</w:t>
      </w:r>
      <w:r w:rsidRPr="00232925">
        <w:rPr>
          <w:rFonts w:eastAsia="Batang" w:cs="Times New Roman"/>
          <w:noProof/>
          <w:szCs w:val="20"/>
          <w:lang w:val="es-ES_tradnl"/>
        </w:rPr>
        <w:t>, presentados por: 1)</w:t>
      </w:r>
      <w:r w:rsidR="00911DF1" w:rsidRPr="00232925">
        <w:rPr>
          <w:rFonts w:eastAsia="Batang" w:cs="Times New Roman"/>
          <w:noProof/>
          <w:szCs w:val="20"/>
          <w:lang w:val="es-ES_tradnl"/>
        </w:rPr>
        <w:t xml:space="preserve"> Defensoria Pública da Uni</w:t>
      </w:r>
      <w:r w:rsidR="00BC50E2">
        <w:rPr>
          <w:rFonts w:eastAsia="Batang" w:cs="Times New Roman"/>
          <w:noProof/>
          <w:szCs w:val="20"/>
          <w:lang w:val="es-ES_tradnl"/>
        </w:rPr>
        <w:t>ón</w:t>
      </w:r>
      <w:r w:rsidR="00911DF1" w:rsidRPr="00232925">
        <w:rPr>
          <w:rStyle w:val="FootnoteReference"/>
          <w:rFonts w:eastAsia="Batang"/>
          <w:noProof/>
          <w:lang w:val="es-ES_tradnl"/>
        </w:rPr>
        <w:footnoteReference w:id="13"/>
      </w:r>
      <w:r w:rsidR="00710504" w:rsidRPr="00232925">
        <w:rPr>
          <w:rFonts w:eastAsia="Batang" w:cs="Times New Roman"/>
          <w:noProof/>
          <w:szCs w:val="20"/>
          <w:lang w:val="es-ES_tradnl"/>
        </w:rPr>
        <w:t>,</w:t>
      </w:r>
      <w:r w:rsidR="00693C1A">
        <w:rPr>
          <w:rFonts w:eastAsia="Batang" w:cs="Times New Roman"/>
          <w:noProof/>
          <w:szCs w:val="20"/>
          <w:lang w:val="es-ES_tradnl"/>
        </w:rPr>
        <w:t xml:space="preserve"> sobre </w:t>
      </w:r>
      <w:r w:rsidR="00AA2405">
        <w:rPr>
          <w:rFonts w:eastAsia="Batang" w:cs="Times New Roman"/>
          <w:noProof/>
          <w:szCs w:val="20"/>
          <w:lang w:val="es-ES_tradnl"/>
        </w:rPr>
        <w:t xml:space="preserve">los </w:t>
      </w:r>
      <w:r w:rsidR="00A42D70">
        <w:rPr>
          <w:rFonts w:eastAsia="Batang" w:cs="Times New Roman"/>
          <w:noProof/>
          <w:szCs w:val="20"/>
          <w:lang w:val="es-ES_tradnl"/>
        </w:rPr>
        <w:t xml:space="preserve">alarmantes </w:t>
      </w:r>
      <w:r w:rsidR="00693C1A" w:rsidRPr="00693C1A">
        <w:rPr>
          <w:rFonts w:eastAsia="Batang" w:cs="Times New Roman"/>
          <w:noProof/>
          <w:szCs w:val="20"/>
        </w:rPr>
        <w:t xml:space="preserve">niveles de violencia policial contra la población pobre y </w:t>
      </w:r>
      <w:r w:rsidR="006C5160">
        <w:rPr>
          <w:rFonts w:eastAsia="Batang" w:cs="Times New Roman"/>
          <w:noProof/>
          <w:szCs w:val="20"/>
        </w:rPr>
        <w:t>afrodescendiente</w:t>
      </w:r>
      <w:r w:rsidR="00693C1A" w:rsidRPr="00693C1A">
        <w:rPr>
          <w:rFonts w:eastAsia="Batang" w:cs="Times New Roman"/>
          <w:noProof/>
          <w:szCs w:val="20"/>
        </w:rPr>
        <w:t xml:space="preserve"> en Brasil</w:t>
      </w:r>
      <w:r w:rsidR="006C5160">
        <w:rPr>
          <w:rFonts w:eastAsia="Batang" w:cs="Times New Roman"/>
          <w:noProof/>
          <w:szCs w:val="20"/>
        </w:rPr>
        <w:t>, los cuales</w:t>
      </w:r>
      <w:r w:rsidR="00693C1A" w:rsidRPr="00693C1A">
        <w:rPr>
          <w:rFonts w:eastAsia="Batang" w:cs="Times New Roman"/>
          <w:noProof/>
          <w:szCs w:val="20"/>
        </w:rPr>
        <w:t xml:space="preserve"> violarían varios derechos consagrados en la </w:t>
      </w:r>
      <w:r w:rsidR="00693C1A">
        <w:rPr>
          <w:rFonts w:eastAsia="Batang" w:cs="Times New Roman"/>
          <w:noProof/>
          <w:szCs w:val="20"/>
        </w:rPr>
        <w:t xml:space="preserve">Convención Americana </w:t>
      </w:r>
      <w:r w:rsidR="00693C1A" w:rsidRPr="00693C1A">
        <w:rPr>
          <w:rFonts w:eastAsia="Batang" w:cs="Times New Roman"/>
          <w:noProof/>
          <w:szCs w:val="20"/>
        </w:rPr>
        <w:t xml:space="preserve">y demás instrumentos del </w:t>
      </w:r>
      <w:r w:rsidR="00693C1A">
        <w:rPr>
          <w:rFonts w:eastAsia="Batang" w:cs="Times New Roman"/>
          <w:noProof/>
          <w:szCs w:val="20"/>
        </w:rPr>
        <w:t xml:space="preserve">sistema interamericano; </w:t>
      </w:r>
      <w:r w:rsidR="00710504" w:rsidRPr="00232925">
        <w:rPr>
          <w:rFonts w:eastAsia="Batang" w:cs="Times New Roman"/>
          <w:noProof/>
          <w:szCs w:val="20"/>
          <w:lang w:val="es-ES_tradnl"/>
        </w:rPr>
        <w:t xml:space="preserve">2) </w:t>
      </w:r>
      <w:r w:rsidR="00EF6FD3">
        <w:rPr>
          <w:rFonts w:eastAsia="Batang" w:cs="Times New Roman"/>
          <w:noProof/>
          <w:szCs w:val="20"/>
          <w:lang w:val="es-ES_tradnl"/>
        </w:rPr>
        <w:t xml:space="preserve">Núcleo de Derechos Humanos de la Pontifícia </w:t>
      </w:r>
      <w:r w:rsidR="00710504" w:rsidRPr="00232925">
        <w:rPr>
          <w:rFonts w:eastAsia="Batang" w:cs="Times New Roman"/>
          <w:noProof/>
          <w:szCs w:val="20"/>
          <w:lang w:val="es-ES_tradnl"/>
        </w:rPr>
        <w:t>Universidad Católica de Río de Janeiro</w:t>
      </w:r>
      <w:r w:rsidR="00710504" w:rsidRPr="00232925">
        <w:rPr>
          <w:rStyle w:val="FootnoteReference"/>
          <w:rFonts w:eastAsia="Batang"/>
          <w:noProof/>
          <w:lang w:val="es-ES_tradnl"/>
        </w:rPr>
        <w:footnoteReference w:id="14"/>
      </w:r>
      <w:r w:rsidR="00710504" w:rsidRPr="00232925">
        <w:rPr>
          <w:rFonts w:eastAsia="Batang" w:cs="Times New Roman"/>
          <w:noProof/>
          <w:szCs w:val="20"/>
          <w:lang w:val="es-ES_tradnl"/>
        </w:rPr>
        <w:t>,</w:t>
      </w:r>
      <w:r w:rsidR="00693C1A">
        <w:rPr>
          <w:rFonts w:eastAsia="Batang" w:cs="Times New Roman"/>
          <w:noProof/>
          <w:szCs w:val="20"/>
          <w:lang w:val="es-ES_tradnl"/>
        </w:rPr>
        <w:t xml:space="preserve"> </w:t>
      </w:r>
      <w:r w:rsidR="00693C1A" w:rsidRPr="00693C1A">
        <w:rPr>
          <w:rFonts w:eastAsia="Batang" w:cs="Times New Roman"/>
          <w:noProof/>
          <w:szCs w:val="20"/>
        </w:rPr>
        <w:t>sobre el patrón sistemático de violencia sexual contra las mujeres en Brasil</w:t>
      </w:r>
      <w:r w:rsidR="00693C1A">
        <w:rPr>
          <w:rFonts w:eastAsia="Batang" w:cs="Times New Roman"/>
          <w:noProof/>
          <w:szCs w:val="20"/>
        </w:rPr>
        <w:t>;</w:t>
      </w:r>
      <w:r w:rsidR="00710504" w:rsidRPr="00232925">
        <w:rPr>
          <w:rFonts w:eastAsia="Batang" w:cs="Times New Roman"/>
          <w:noProof/>
          <w:szCs w:val="20"/>
          <w:lang w:val="es-ES_tradnl"/>
        </w:rPr>
        <w:t xml:space="preserve"> 3) </w:t>
      </w:r>
      <w:r w:rsidR="00710504" w:rsidRPr="00232925">
        <w:rPr>
          <w:rFonts w:eastAsia="Batang" w:cs="Times New Roman"/>
          <w:noProof/>
          <w:szCs w:val="20"/>
        </w:rPr>
        <w:t>lnstituto HEGOA, Universidad del Pa</w:t>
      </w:r>
      <w:r w:rsidR="00CF05FB">
        <w:rPr>
          <w:rFonts w:eastAsia="Batang" w:cs="Times New Roman"/>
          <w:noProof/>
          <w:szCs w:val="20"/>
        </w:rPr>
        <w:t>í</w:t>
      </w:r>
      <w:r w:rsidR="00710504" w:rsidRPr="00232925">
        <w:rPr>
          <w:rFonts w:eastAsia="Batang" w:cs="Times New Roman"/>
          <w:noProof/>
          <w:szCs w:val="20"/>
        </w:rPr>
        <w:t>s Vasco</w:t>
      </w:r>
      <w:r w:rsidR="00710504" w:rsidRPr="00232925">
        <w:rPr>
          <w:rStyle w:val="FootnoteReference"/>
          <w:rFonts w:eastAsia="Batang"/>
          <w:noProof/>
        </w:rPr>
        <w:footnoteReference w:id="15"/>
      </w:r>
      <w:r w:rsidR="00693C1A">
        <w:rPr>
          <w:rFonts w:eastAsia="Batang" w:cs="Times New Roman"/>
          <w:noProof/>
          <w:szCs w:val="20"/>
        </w:rPr>
        <w:t xml:space="preserve">, sobre </w:t>
      </w:r>
      <w:r w:rsidR="00693C1A" w:rsidRPr="00693C1A">
        <w:rPr>
          <w:rFonts w:eastAsia="Batang" w:cs="Times New Roman"/>
          <w:noProof/>
          <w:szCs w:val="20"/>
        </w:rPr>
        <w:t>la valoración de daños y medidas de reparación en casos de violencia sexual perpetrada por agentes del Estado en contextos de fuerte vulnerabilidad y diversidad cultural</w:t>
      </w:r>
      <w:r w:rsidR="00A42D70">
        <w:rPr>
          <w:rFonts w:eastAsia="Batang" w:cs="Times New Roman"/>
          <w:noProof/>
          <w:szCs w:val="20"/>
        </w:rPr>
        <w:t>, a</w:t>
      </w:r>
      <w:r w:rsidR="00693C1A" w:rsidRPr="00693C1A">
        <w:rPr>
          <w:rFonts w:eastAsia="Batang" w:cs="Times New Roman"/>
          <w:noProof/>
          <w:szCs w:val="20"/>
        </w:rPr>
        <w:t>simismo, ofrece un análisis sobre el impacto de la violencia sexual, las consecuencias de la impunidad para las víctimas y las condiciones para evita</w:t>
      </w:r>
      <w:r w:rsidR="00235A33">
        <w:rPr>
          <w:rFonts w:eastAsia="Batang" w:cs="Times New Roman"/>
          <w:noProof/>
          <w:szCs w:val="20"/>
        </w:rPr>
        <w:t xml:space="preserve">r la victimización secundaria </w:t>
      </w:r>
      <w:r w:rsidR="00693C1A" w:rsidRPr="00693C1A">
        <w:rPr>
          <w:rFonts w:eastAsia="Batang" w:cs="Times New Roman"/>
          <w:noProof/>
          <w:szCs w:val="20"/>
        </w:rPr>
        <w:t>o la revictimización de estas en los procesos de investigación y judicialización</w:t>
      </w:r>
      <w:r w:rsidR="00A42D70">
        <w:rPr>
          <w:rFonts w:eastAsia="Batang" w:cs="Times New Roman"/>
          <w:noProof/>
          <w:szCs w:val="20"/>
        </w:rPr>
        <w:t>;</w:t>
      </w:r>
      <w:r w:rsidR="00693C1A" w:rsidRPr="00693C1A">
        <w:rPr>
          <w:rFonts w:eastAsia="Batang" w:cs="Times New Roman"/>
          <w:noProof/>
          <w:szCs w:val="20"/>
        </w:rPr>
        <w:t xml:space="preserve"> </w:t>
      </w:r>
      <w:r w:rsidR="00693C1A">
        <w:rPr>
          <w:rFonts w:eastAsia="Batang" w:cs="Times New Roman"/>
          <w:noProof/>
          <w:szCs w:val="20"/>
        </w:rPr>
        <w:t xml:space="preserve">y </w:t>
      </w:r>
      <w:r w:rsidR="00895810">
        <w:rPr>
          <w:rFonts w:eastAsia="Batang" w:cs="Times New Roman"/>
          <w:noProof/>
          <w:szCs w:val="20"/>
        </w:rPr>
        <w:t>4) Núcleo especializado de C</w:t>
      </w:r>
      <w:r w:rsidR="00710504" w:rsidRPr="00232925">
        <w:rPr>
          <w:rFonts w:eastAsia="Batang" w:cs="Times New Roman"/>
          <w:noProof/>
          <w:szCs w:val="20"/>
        </w:rPr>
        <w:t xml:space="preserve">iudadania y </w:t>
      </w:r>
      <w:r w:rsidR="00895810">
        <w:rPr>
          <w:rFonts w:eastAsia="Batang" w:cs="Times New Roman"/>
          <w:noProof/>
          <w:szCs w:val="20"/>
        </w:rPr>
        <w:t>D</w:t>
      </w:r>
      <w:r w:rsidR="00710504" w:rsidRPr="00232925">
        <w:rPr>
          <w:rFonts w:eastAsia="Batang" w:cs="Times New Roman"/>
          <w:noProof/>
          <w:szCs w:val="20"/>
        </w:rPr>
        <w:t xml:space="preserve">erechos </w:t>
      </w:r>
      <w:r w:rsidR="00895810">
        <w:rPr>
          <w:rFonts w:eastAsia="Batang" w:cs="Times New Roman"/>
          <w:noProof/>
          <w:szCs w:val="20"/>
        </w:rPr>
        <w:t>H</w:t>
      </w:r>
      <w:r w:rsidR="00710504" w:rsidRPr="00232925">
        <w:rPr>
          <w:rFonts w:eastAsia="Batang" w:cs="Times New Roman"/>
          <w:noProof/>
          <w:szCs w:val="20"/>
        </w:rPr>
        <w:t>umanos de la Defe</w:t>
      </w:r>
      <w:r w:rsidR="00895810">
        <w:rPr>
          <w:rFonts w:eastAsia="Batang" w:cs="Times New Roman"/>
          <w:noProof/>
          <w:szCs w:val="20"/>
        </w:rPr>
        <w:t>nsoría Pública del Estado de São</w:t>
      </w:r>
      <w:r w:rsidR="00710504" w:rsidRPr="00232925">
        <w:rPr>
          <w:rFonts w:eastAsia="Batang" w:cs="Times New Roman"/>
          <w:noProof/>
          <w:szCs w:val="20"/>
        </w:rPr>
        <w:t xml:space="preserve"> Paulo</w:t>
      </w:r>
      <w:r w:rsidR="00710504" w:rsidRPr="00232925">
        <w:rPr>
          <w:rStyle w:val="FootnoteReference"/>
          <w:rFonts w:eastAsia="Batang"/>
          <w:noProof/>
        </w:rPr>
        <w:footnoteReference w:id="16"/>
      </w:r>
      <w:r w:rsidR="00693C1A">
        <w:rPr>
          <w:rFonts w:eastAsia="Batang" w:cs="Times New Roman"/>
          <w:noProof/>
          <w:szCs w:val="20"/>
        </w:rPr>
        <w:t xml:space="preserve">, sobre </w:t>
      </w:r>
      <w:r w:rsidR="006F725F">
        <w:rPr>
          <w:rFonts w:eastAsia="Batang" w:cs="Times New Roman"/>
          <w:noProof/>
          <w:szCs w:val="20"/>
          <w:lang w:val="es-ES"/>
        </w:rPr>
        <w:t>los elementos que demuestra</w:t>
      </w:r>
      <w:r w:rsidR="00693C1A" w:rsidRPr="00693C1A">
        <w:rPr>
          <w:rFonts w:eastAsia="Batang" w:cs="Times New Roman"/>
          <w:noProof/>
          <w:szCs w:val="20"/>
          <w:lang w:val="es-ES"/>
        </w:rPr>
        <w:t xml:space="preserve">n la </w:t>
      </w:r>
      <w:r w:rsidR="00693C1A" w:rsidRPr="00693C1A">
        <w:rPr>
          <w:rFonts w:eastAsia="Batang" w:cs="Times New Roman"/>
          <w:noProof/>
          <w:szCs w:val="20"/>
          <w:lang w:val="es-ES"/>
        </w:rPr>
        <w:lastRenderedPageBreak/>
        <w:t>existencia de un patrón de violencia de derechos humanos por parte del Estado, específicamente a través de la violencia policial y el uso excesivo de la fuerza</w:t>
      </w:r>
      <w:r w:rsidR="002D676F">
        <w:rPr>
          <w:rFonts w:eastAsia="Batang" w:cs="Times New Roman"/>
          <w:noProof/>
          <w:szCs w:val="20"/>
        </w:rPr>
        <w:t>.</w:t>
      </w:r>
    </w:p>
    <w:p w14:paraId="30A94548" w14:textId="77777777" w:rsidR="00DB28AA" w:rsidRPr="00232925" w:rsidRDefault="00DB28AA" w:rsidP="00B811D7">
      <w:pPr>
        <w:rPr>
          <w:rFonts w:eastAsia="Batang" w:cs="Arial"/>
          <w:noProof/>
          <w:szCs w:val="20"/>
        </w:rPr>
      </w:pPr>
    </w:p>
    <w:p w14:paraId="68D3B5BE" w14:textId="4DD99827" w:rsidR="00DB28AA" w:rsidRPr="00232925" w:rsidRDefault="00DB28AA" w:rsidP="00D6683A">
      <w:pPr>
        <w:numPr>
          <w:ilvl w:val="0"/>
          <w:numId w:val="1"/>
        </w:numPr>
        <w:rPr>
          <w:rFonts w:eastAsia="Batang" w:cs="Verdana"/>
          <w:i/>
          <w:noProof/>
          <w:szCs w:val="20"/>
          <w:lang w:val="es-ES_tradnl" w:eastAsia="es-ES"/>
        </w:rPr>
      </w:pPr>
      <w:r w:rsidRPr="00232925">
        <w:rPr>
          <w:rFonts w:eastAsia="Batang" w:cs="Arial"/>
          <w:i/>
          <w:noProof/>
          <w:szCs w:val="20"/>
          <w:lang w:val="es-ES_tradnl" w:eastAsia="es-ES"/>
        </w:rPr>
        <w:t>A</w:t>
      </w:r>
      <w:r w:rsidRPr="00232925">
        <w:rPr>
          <w:rFonts w:eastAsia="Batang" w:cs="Verdana"/>
          <w:i/>
          <w:noProof/>
          <w:szCs w:val="20"/>
          <w:lang w:val="es-ES_tradnl" w:eastAsia="es-ES"/>
        </w:rPr>
        <w:t>legatos y observaciones finales escritos.</w:t>
      </w:r>
      <w:r w:rsidRPr="00232925">
        <w:rPr>
          <w:rFonts w:eastAsia="Batang" w:cs="Verdana"/>
          <w:noProof/>
          <w:szCs w:val="20"/>
          <w:lang w:val="es-ES_tradnl" w:eastAsia="es-ES"/>
        </w:rPr>
        <w:t xml:space="preserve">– </w:t>
      </w:r>
      <w:bookmarkStart w:id="28" w:name="_Ref313990861"/>
      <w:r w:rsidRPr="00232925">
        <w:rPr>
          <w:rFonts w:eastAsia="Batang" w:cs="Verdana"/>
          <w:noProof/>
          <w:szCs w:val="20"/>
          <w:lang w:val="es-ES_tradnl" w:eastAsia="es-ES"/>
        </w:rPr>
        <w:t xml:space="preserve">El </w:t>
      </w:r>
      <w:r w:rsidR="00C170F8" w:rsidRPr="00232925">
        <w:rPr>
          <w:rFonts w:eastAsia="Batang" w:cs="Verdana"/>
          <w:noProof/>
          <w:szCs w:val="20"/>
          <w:lang w:val="es-ES_tradnl" w:eastAsia="es-ES"/>
        </w:rPr>
        <w:t>11 de noviembre</w:t>
      </w:r>
      <w:r w:rsidRPr="00232925">
        <w:rPr>
          <w:rFonts w:eastAsia="Batang" w:cs="Verdana"/>
          <w:noProof/>
          <w:szCs w:val="20"/>
          <w:lang w:val="es-ES_tradnl" w:eastAsia="es-ES"/>
        </w:rPr>
        <w:t xml:space="preserve"> de 2016 los representantes y el Estado </w:t>
      </w:r>
      <w:r w:rsidR="00C170F8" w:rsidRPr="00232925">
        <w:rPr>
          <w:rFonts w:eastAsia="Batang" w:cs="Verdana"/>
          <w:noProof/>
          <w:szCs w:val="20"/>
          <w:lang w:val="es-ES_tradnl" w:eastAsia="es-ES"/>
        </w:rPr>
        <w:t>remitieron, respectivamente, sus</w:t>
      </w:r>
      <w:r w:rsidRPr="00232925">
        <w:rPr>
          <w:rFonts w:eastAsia="Batang" w:cs="Verdana"/>
          <w:noProof/>
          <w:szCs w:val="20"/>
          <w:lang w:val="es-ES_tradnl" w:eastAsia="es-ES"/>
        </w:rPr>
        <w:t xml:space="preserve"> alegatos finales escritos</w:t>
      </w:r>
      <w:r w:rsidR="00C170F8" w:rsidRPr="00232925">
        <w:rPr>
          <w:rFonts w:eastAsia="Batang" w:cs="Verdana"/>
          <w:noProof/>
          <w:szCs w:val="20"/>
          <w:lang w:val="es-ES_tradnl" w:eastAsia="es-ES"/>
        </w:rPr>
        <w:t>, así como determinados anexos,</w:t>
      </w:r>
      <w:r w:rsidRPr="00232925">
        <w:rPr>
          <w:rFonts w:eastAsia="Batang" w:cs="Verdana"/>
          <w:noProof/>
          <w:szCs w:val="20"/>
          <w:lang w:val="es-ES_tradnl" w:eastAsia="es-ES"/>
        </w:rPr>
        <w:t xml:space="preserve"> y la Comisión </w:t>
      </w:r>
      <w:r w:rsidR="00C170F8" w:rsidRPr="00232925">
        <w:rPr>
          <w:rFonts w:eastAsia="Batang" w:cs="Verdana"/>
          <w:noProof/>
          <w:szCs w:val="20"/>
          <w:lang w:val="es-ES_tradnl" w:eastAsia="es-ES"/>
        </w:rPr>
        <w:t>presentó</w:t>
      </w:r>
      <w:r w:rsidRPr="00232925">
        <w:rPr>
          <w:rFonts w:eastAsia="Batang" w:cs="Verdana"/>
          <w:noProof/>
          <w:szCs w:val="20"/>
          <w:lang w:val="es-ES_tradnl" w:eastAsia="es-ES"/>
        </w:rPr>
        <w:t xml:space="preserve"> sus observaciones finales escritas. </w:t>
      </w:r>
    </w:p>
    <w:p w14:paraId="1CF02B05" w14:textId="77777777" w:rsidR="00DB28AA" w:rsidRPr="00232925" w:rsidRDefault="00DB28AA" w:rsidP="00B811D7">
      <w:pPr>
        <w:ind w:left="720"/>
        <w:contextualSpacing/>
        <w:rPr>
          <w:rFonts w:eastAsia="Batang" w:cs="Verdana"/>
          <w:i/>
          <w:noProof/>
          <w:szCs w:val="20"/>
          <w:lang w:val="es-ES_tradnl" w:eastAsia="es-ES"/>
        </w:rPr>
      </w:pPr>
    </w:p>
    <w:p w14:paraId="44AF0EFF" w14:textId="2FAEDDB8" w:rsidR="00C170F8" w:rsidRPr="00232925" w:rsidRDefault="00DB28AA" w:rsidP="00D6683A">
      <w:pPr>
        <w:widowControl w:val="0"/>
        <w:numPr>
          <w:ilvl w:val="0"/>
          <w:numId w:val="1"/>
        </w:numPr>
        <w:autoSpaceDE w:val="0"/>
        <w:autoSpaceDN w:val="0"/>
        <w:adjustRightInd w:val="0"/>
        <w:contextualSpacing/>
        <w:rPr>
          <w:rFonts w:eastAsia="Calibri" w:cs="Verdana"/>
          <w:snapToGrid w:val="0"/>
          <w:szCs w:val="20"/>
          <w:lang w:val="es-ES" w:eastAsia="es-ES"/>
        </w:rPr>
      </w:pPr>
      <w:r w:rsidRPr="00232925">
        <w:rPr>
          <w:rFonts w:cs="Verdana"/>
          <w:i/>
          <w:snapToGrid w:val="0"/>
          <w:szCs w:val="20"/>
          <w:lang w:val="es-ES" w:eastAsia="es-ES"/>
        </w:rPr>
        <w:t>Observaciones de las partes y la Comisión</w:t>
      </w:r>
      <w:proofErr w:type="gramStart"/>
      <w:r w:rsidRPr="00232925">
        <w:rPr>
          <w:rFonts w:cs="Verdana"/>
          <w:i/>
          <w:snapToGrid w:val="0"/>
          <w:szCs w:val="20"/>
          <w:lang w:val="es-ES" w:eastAsia="es-ES"/>
        </w:rPr>
        <w:t>.–</w:t>
      </w:r>
      <w:proofErr w:type="gramEnd"/>
      <w:r w:rsidRPr="00232925">
        <w:rPr>
          <w:rFonts w:cs="Verdana"/>
          <w:i/>
          <w:snapToGrid w:val="0"/>
          <w:szCs w:val="20"/>
          <w:lang w:val="es-ES" w:eastAsia="es-ES"/>
        </w:rPr>
        <w:t xml:space="preserve"> </w:t>
      </w:r>
      <w:r w:rsidRPr="00232925">
        <w:rPr>
          <w:rFonts w:cs="Verdana"/>
          <w:snapToGrid w:val="0"/>
          <w:szCs w:val="20"/>
          <w:lang w:val="es-ES" w:eastAsia="es-ES"/>
        </w:rPr>
        <w:t>E</w:t>
      </w:r>
      <w:r w:rsidR="00C170F8" w:rsidRPr="00232925">
        <w:rPr>
          <w:rFonts w:cs="Verdana"/>
          <w:snapToGrid w:val="0"/>
          <w:szCs w:val="20"/>
          <w:lang w:val="es-ES" w:eastAsia="es-ES"/>
        </w:rPr>
        <w:t xml:space="preserve">l 15 de noviembre de 2016 la Secretaría de la Corte remitió los anexos a los alegatos finales escritos </w:t>
      </w:r>
      <w:r w:rsidR="00F97C49" w:rsidRPr="00232925">
        <w:rPr>
          <w:rFonts w:cs="Verdana"/>
          <w:snapToGrid w:val="0"/>
          <w:szCs w:val="20"/>
          <w:lang w:val="es-ES" w:eastAsia="es-ES"/>
        </w:rPr>
        <w:t>y solicitó al Estado y a la Comisió</w:t>
      </w:r>
      <w:r w:rsidR="00895810">
        <w:rPr>
          <w:rFonts w:cs="Verdana"/>
          <w:snapToGrid w:val="0"/>
          <w:szCs w:val="20"/>
          <w:lang w:val="es-ES" w:eastAsia="es-ES"/>
        </w:rPr>
        <w:t>n las observaciones que estimara</w:t>
      </w:r>
      <w:r w:rsidR="00F97C49" w:rsidRPr="00232925">
        <w:rPr>
          <w:rFonts w:cs="Verdana"/>
          <w:snapToGrid w:val="0"/>
          <w:szCs w:val="20"/>
          <w:lang w:val="es-ES" w:eastAsia="es-ES"/>
        </w:rPr>
        <w:t xml:space="preserve">n pertinentes. Mediante comunicación de 24 de noviembre de 2016 el Estado remitió las observaciones solicitadas. La Comisión </w:t>
      </w:r>
      <w:r w:rsidR="00895810">
        <w:rPr>
          <w:rFonts w:cs="Verdana"/>
          <w:snapToGrid w:val="0"/>
          <w:szCs w:val="20"/>
          <w:lang w:val="es-ES" w:eastAsia="es-ES"/>
        </w:rPr>
        <w:t xml:space="preserve">no </w:t>
      </w:r>
      <w:r w:rsidR="00CF05FB">
        <w:rPr>
          <w:rFonts w:cs="Verdana"/>
          <w:snapToGrid w:val="0"/>
          <w:szCs w:val="20"/>
          <w:lang w:val="es-ES" w:eastAsia="es-ES"/>
        </w:rPr>
        <w:t xml:space="preserve">presentó </w:t>
      </w:r>
      <w:r w:rsidR="00F97C49" w:rsidRPr="00232925">
        <w:rPr>
          <w:rFonts w:cs="Verdana"/>
          <w:snapToGrid w:val="0"/>
          <w:szCs w:val="20"/>
          <w:lang w:val="es-ES" w:eastAsia="es-ES"/>
        </w:rPr>
        <w:t xml:space="preserve">observaciones. </w:t>
      </w:r>
    </w:p>
    <w:p w14:paraId="0ADF1E9D" w14:textId="77777777" w:rsidR="00895810" w:rsidRPr="00895810" w:rsidRDefault="00895810" w:rsidP="00B811D7">
      <w:pPr>
        <w:widowControl w:val="0"/>
        <w:autoSpaceDE w:val="0"/>
        <w:autoSpaceDN w:val="0"/>
        <w:adjustRightInd w:val="0"/>
        <w:contextualSpacing/>
        <w:rPr>
          <w:rFonts w:eastAsia="Calibri" w:cs="Verdana"/>
          <w:snapToGrid w:val="0"/>
          <w:szCs w:val="20"/>
          <w:highlight w:val="yellow"/>
          <w:lang w:val="es-ES" w:eastAsia="es-ES"/>
        </w:rPr>
      </w:pPr>
    </w:p>
    <w:p w14:paraId="2CA61593" w14:textId="5BCB3588" w:rsidR="00A47932" w:rsidRPr="00C11590" w:rsidRDefault="00481143" w:rsidP="00D6683A">
      <w:pPr>
        <w:widowControl w:val="0"/>
        <w:numPr>
          <w:ilvl w:val="0"/>
          <w:numId w:val="1"/>
        </w:numPr>
        <w:autoSpaceDE w:val="0"/>
        <w:autoSpaceDN w:val="0"/>
        <w:adjustRightInd w:val="0"/>
        <w:contextualSpacing/>
        <w:rPr>
          <w:rFonts w:eastAsia="Calibri" w:cs="Verdana"/>
          <w:snapToGrid w:val="0"/>
          <w:szCs w:val="20"/>
          <w:lang w:val="es-ES" w:eastAsia="es-ES"/>
        </w:rPr>
      </w:pPr>
      <w:r w:rsidRPr="00D9438A">
        <w:rPr>
          <w:rFonts w:eastAsia="Calibri" w:cs="Verdana"/>
          <w:i/>
          <w:snapToGrid w:val="0"/>
          <w:szCs w:val="20"/>
          <w:lang w:val="es-ES" w:eastAsia="es-ES"/>
        </w:rPr>
        <w:t>Erogaciones en aplicación del Fondo de Asistencia</w:t>
      </w:r>
      <w:r w:rsidR="00CF05FB">
        <w:rPr>
          <w:rFonts w:eastAsia="Calibri" w:cs="Verdana"/>
          <w:i/>
          <w:snapToGrid w:val="0"/>
          <w:szCs w:val="20"/>
          <w:lang w:val="es-ES" w:eastAsia="es-ES"/>
        </w:rPr>
        <w:t xml:space="preserve"> Legal</w:t>
      </w:r>
      <w:r w:rsidRPr="00D9438A">
        <w:rPr>
          <w:rFonts w:eastAsia="Calibri" w:cs="Verdana"/>
          <w:i/>
          <w:snapToGrid w:val="0"/>
          <w:szCs w:val="20"/>
          <w:lang w:val="es-ES" w:eastAsia="es-ES"/>
        </w:rPr>
        <w:t>.</w:t>
      </w:r>
      <w:r w:rsidR="00BC50E2">
        <w:rPr>
          <w:rFonts w:eastAsia="Calibri" w:cs="Verdana"/>
          <w:snapToGrid w:val="0"/>
          <w:szCs w:val="20"/>
          <w:lang w:val="es-ES" w:eastAsia="es-ES"/>
        </w:rPr>
        <w:t>-</w:t>
      </w:r>
      <w:r w:rsidRPr="00D9438A">
        <w:rPr>
          <w:rFonts w:eastAsia="Calibri" w:cs="Verdana"/>
          <w:i/>
          <w:snapToGrid w:val="0"/>
          <w:szCs w:val="20"/>
          <w:lang w:val="es-ES" w:eastAsia="es-ES"/>
        </w:rPr>
        <w:t xml:space="preserve"> </w:t>
      </w:r>
      <w:r w:rsidR="00D9438A" w:rsidRPr="00D9438A">
        <w:rPr>
          <w:rFonts w:eastAsia="Calibri" w:cs="Verdana"/>
          <w:snapToGrid w:val="0"/>
          <w:szCs w:val="20"/>
          <w:lang w:val="es-ES" w:eastAsia="es-ES"/>
        </w:rPr>
        <w:t>El 16</w:t>
      </w:r>
      <w:r w:rsidRPr="00D9438A">
        <w:rPr>
          <w:rFonts w:eastAsia="Calibri" w:cs="Verdana"/>
          <w:snapToGrid w:val="0"/>
          <w:szCs w:val="20"/>
          <w:lang w:val="es-ES" w:eastAsia="es-ES"/>
        </w:rPr>
        <w:t xml:space="preserve"> de </w:t>
      </w:r>
      <w:r w:rsidR="00D9438A" w:rsidRPr="00D9438A">
        <w:rPr>
          <w:rFonts w:eastAsia="Calibri" w:cs="Verdana"/>
          <w:snapToGrid w:val="0"/>
          <w:szCs w:val="20"/>
          <w:lang w:val="es-ES" w:eastAsia="es-ES"/>
        </w:rPr>
        <w:t>diciembre</w:t>
      </w:r>
      <w:r w:rsidRPr="00D9438A">
        <w:rPr>
          <w:rFonts w:eastAsia="Calibri" w:cs="Verdana"/>
          <w:snapToGrid w:val="0"/>
          <w:szCs w:val="20"/>
          <w:lang w:val="es-ES" w:eastAsia="es-ES"/>
        </w:rPr>
        <w:t xml:space="preserve"> de </w:t>
      </w:r>
      <w:r w:rsidR="00D9438A" w:rsidRPr="00D9438A">
        <w:rPr>
          <w:rFonts w:eastAsia="Calibri" w:cs="Verdana"/>
          <w:snapToGrid w:val="0"/>
          <w:szCs w:val="20"/>
          <w:lang w:val="es-ES" w:eastAsia="es-ES"/>
        </w:rPr>
        <w:t>2016</w:t>
      </w:r>
      <w:r w:rsidRPr="00D9438A">
        <w:rPr>
          <w:rFonts w:eastAsia="Calibri" w:cs="Verdana"/>
          <w:snapToGrid w:val="0"/>
          <w:szCs w:val="20"/>
          <w:lang w:val="es-ES" w:eastAsia="es-ES"/>
        </w:rPr>
        <w:t xml:space="preserve"> la</w:t>
      </w:r>
      <w:r w:rsidRPr="00232925">
        <w:rPr>
          <w:rFonts w:eastAsia="Calibri" w:cs="Verdana"/>
          <w:snapToGrid w:val="0"/>
          <w:szCs w:val="20"/>
          <w:lang w:val="es-ES" w:eastAsia="es-ES"/>
        </w:rPr>
        <w:t xml:space="preserve"> Secretaría, siguiendo instrucciones del Presidente de la Corte, remitió información al Estado sobre las erogaciones efectuadas en aplicación del Fondo de Asistencia Legal en el presente caso y, según lo dispuesto en el artículo 5 del Reglamento de la Corte sobre el </w:t>
      </w:r>
      <w:r w:rsidR="00CF05FB">
        <w:rPr>
          <w:rFonts w:eastAsia="Calibri" w:cs="Verdana"/>
          <w:snapToGrid w:val="0"/>
          <w:szCs w:val="20"/>
          <w:lang w:val="es-ES" w:eastAsia="es-ES"/>
        </w:rPr>
        <w:t>f</w:t>
      </w:r>
      <w:r w:rsidRPr="00232925">
        <w:rPr>
          <w:rFonts w:eastAsia="Calibri" w:cs="Verdana"/>
          <w:snapToGrid w:val="0"/>
          <w:szCs w:val="20"/>
          <w:lang w:val="es-ES" w:eastAsia="es-ES"/>
        </w:rPr>
        <w:t>uncionamiento del referido Fondo, le otorgó un plazo para</w:t>
      </w:r>
      <w:r w:rsidR="00D52347">
        <w:rPr>
          <w:rFonts w:eastAsia="Calibri" w:cs="Verdana"/>
          <w:snapToGrid w:val="0"/>
          <w:szCs w:val="20"/>
          <w:lang w:val="es-ES" w:eastAsia="es-ES"/>
        </w:rPr>
        <w:t xml:space="preserve"> </w:t>
      </w:r>
      <w:r w:rsidRPr="00232925">
        <w:rPr>
          <w:rFonts w:eastAsia="Calibri" w:cs="Verdana"/>
          <w:snapToGrid w:val="0"/>
          <w:szCs w:val="20"/>
          <w:lang w:val="es-ES" w:eastAsia="es-ES"/>
        </w:rPr>
        <w:t xml:space="preserve">presentar las observaciones que </w:t>
      </w:r>
      <w:r w:rsidRPr="008028A2">
        <w:rPr>
          <w:rFonts w:eastAsia="Calibri" w:cs="Verdana"/>
          <w:snapToGrid w:val="0"/>
          <w:szCs w:val="20"/>
          <w:lang w:val="es-ES" w:eastAsia="es-ES"/>
        </w:rPr>
        <w:t xml:space="preserve">estimara pertinentes. </w:t>
      </w:r>
      <w:r w:rsidRPr="00C11590">
        <w:rPr>
          <w:rFonts w:eastAsia="Calibri" w:cs="Verdana"/>
          <w:snapToGrid w:val="0"/>
          <w:szCs w:val="20"/>
          <w:lang w:val="es-ES" w:eastAsia="es-ES"/>
        </w:rPr>
        <w:t xml:space="preserve">El Estado </w:t>
      </w:r>
      <w:r w:rsidR="008028A2" w:rsidRPr="00C11590">
        <w:rPr>
          <w:rFonts w:eastAsia="Calibri" w:cs="Verdana"/>
          <w:snapToGrid w:val="0"/>
          <w:szCs w:val="20"/>
          <w:lang w:val="es-ES" w:eastAsia="es-ES"/>
        </w:rPr>
        <w:t xml:space="preserve">no </w:t>
      </w:r>
      <w:r w:rsidRPr="00C11590">
        <w:rPr>
          <w:rFonts w:eastAsia="Calibri" w:cs="Verdana"/>
          <w:snapToGrid w:val="0"/>
          <w:szCs w:val="20"/>
          <w:lang w:val="es-ES" w:eastAsia="es-ES"/>
        </w:rPr>
        <w:t>presentó observaciones en el plazo otorgado a tal efecto.</w:t>
      </w:r>
    </w:p>
    <w:p w14:paraId="7A966624" w14:textId="77777777" w:rsidR="00895810" w:rsidRPr="00895810" w:rsidRDefault="00895810" w:rsidP="00B811D7">
      <w:pPr>
        <w:widowControl w:val="0"/>
        <w:autoSpaceDE w:val="0"/>
        <w:autoSpaceDN w:val="0"/>
        <w:adjustRightInd w:val="0"/>
        <w:contextualSpacing/>
        <w:rPr>
          <w:rFonts w:eastAsia="Calibri" w:cs="Verdana"/>
          <w:snapToGrid w:val="0"/>
          <w:szCs w:val="20"/>
          <w:highlight w:val="yellow"/>
          <w:lang w:val="es-ES" w:eastAsia="es-ES"/>
        </w:rPr>
      </w:pPr>
    </w:p>
    <w:p w14:paraId="76D966B1" w14:textId="654FEC60" w:rsidR="00A47932" w:rsidRPr="00232925" w:rsidRDefault="00A47932" w:rsidP="00D6683A">
      <w:pPr>
        <w:widowControl w:val="0"/>
        <w:numPr>
          <w:ilvl w:val="0"/>
          <w:numId w:val="1"/>
        </w:numPr>
        <w:autoSpaceDE w:val="0"/>
        <w:autoSpaceDN w:val="0"/>
        <w:adjustRightInd w:val="0"/>
        <w:contextualSpacing/>
        <w:rPr>
          <w:rFonts w:eastAsia="Calibri" w:cs="Verdana"/>
          <w:snapToGrid w:val="0"/>
          <w:szCs w:val="20"/>
          <w:lang w:val="es-ES" w:eastAsia="es-ES"/>
        </w:rPr>
      </w:pPr>
      <w:r w:rsidRPr="00232925">
        <w:rPr>
          <w:rFonts w:eastAsia="Calibri" w:cs="Verdana"/>
          <w:i/>
          <w:snapToGrid w:val="0"/>
          <w:szCs w:val="20"/>
          <w:lang w:val="es-ES" w:eastAsia="es-ES"/>
        </w:rPr>
        <w:t>Prueba superviniente</w:t>
      </w:r>
      <w:r w:rsidRPr="00232925">
        <w:rPr>
          <w:rFonts w:eastAsia="Calibri" w:cs="Verdana"/>
          <w:snapToGrid w:val="0"/>
          <w:szCs w:val="20"/>
          <w:lang w:val="es-ES" w:eastAsia="es-ES"/>
        </w:rPr>
        <w:t>.</w:t>
      </w:r>
      <w:r w:rsidR="00C90C4F">
        <w:rPr>
          <w:rFonts w:eastAsia="Calibri" w:cs="Verdana"/>
          <w:snapToGrid w:val="0"/>
          <w:szCs w:val="20"/>
          <w:lang w:val="es-ES" w:eastAsia="es-ES"/>
        </w:rPr>
        <w:t>-</w:t>
      </w:r>
      <w:r w:rsidRPr="00232925">
        <w:rPr>
          <w:rFonts w:eastAsia="Calibri" w:cs="Verdana"/>
          <w:snapToGrid w:val="0"/>
          <w:szCs w:val="20"/>
          <w:lang w:val="es-ES" w:eastAsia="es-ES"/>
        </w:rPr>
        <w:t xml:space="preserve"> </w:t>
      </w:r>
      <w:r w:rsidR="008705A8" w:rsidRPr="00232925">
        <w:rPr>
          <w:rFonts w:eastAsia="Calibri" w:cs="Verdana"/>
          <w:snapToGrid w:val="0"/>
          <w:szCs w:val="20"/>
          <w:lang w:val="es-ES" w:eastAsia="es-ES"/>
        </w:rPr>
        <w:t>E</w:t>
      </w:r>
      <w:r w:rsidRPr="00232925">
        <w:rPr>
          <w:rFonts w:eastAsia="Calibri" w:cs="Verdana"/>
          <w:snapToGrid w:val="0"/>
          <w:szCs w:val="20"/>
          <w:lang w:val="es-ES" w:eastAsia="es-ES"/>
        </w:rPr>
        <w:t xml:space="preserve">l 3 de octubre de 2016 los representantes presentaron un anexo como prueba documental superviniente. </w:t>
      </w:r>
    </w:p>
    <w:p w14:paraId="0D4578A2" w14:textId="77777777" w:rsidR="00DB28AA" w:rsidRPr="00232925" w:rsidRDefault="00DB28AA" w:rsidP="00B811D7">
      <w:pPr>
        <w:rPr>
          <w:rFonts w:eastAsia="Batang" w:cs="Verdana"/>
          <w:i/>
          <w:noProof/>
          <w:szCs w:val="20"/>
          <w:lang w:val="es-ES_tradnl" w:eastAsia="es-ES"/>
        </w:rPr>
      </w:pPr>
    </w:p>
    <w:bookmarkEnd w:id="28"/>
    <w:p w14:paraId="3D319AB8" w14:textId="71126C62" w:rsidR="00DB28AA" w:rsidRPr="00895810" w:rsidRDefault="00DB28AA" w:rsidP="00D6683A">
      <w:pPr>
        <w:numPr>
          <w:ilvl w:val="0"/>
          <w:numId w:val="1"/>
        </w:numPr>
        <w:rPr>
          <w:rFonts w:eastAsia="Batang" w:cs="Verdana"/>
          <w:noProof/>
          <w:szCs w:val="20"/>
          <w:lang w:val="es-ES_tradnl" w:eastAsia="es-ES"/>
        </w:rPr>
      </w:pPr>
      <w:r w:rsidRPr="00232925">
        <w:rPr>
          <w:rFonts w:eastAsia="Batang" w:cs="Times New Roman"/>
          <w:i/>
          <w:noProof/>
          <w:szCs w:val="24"/>
          <w:lang w:val="es-ES_tradnl" w:eastAsia="es-CR"/>
        </w:rPr>
        <w:t>Deliberación del presente caso</w:t>
      </w:r>
      <w:r w:rsidR="00BC50E2">
        <w:rPr>
          <w:rFonts w:eastAsia="Batang" w:cs="Times New Roman"/>
          <w:i/>
          <w:noProof/>
          <w:szCs w:val="24"/>
          <w:lang w:val="es-ES_tradnl" w:eastAsia="es-CR"/>
        </w:rPr>
        <w:t xml:space="preserve">.- </w:t>
      </w:r>
      <w:r w:rsidRPr="00232925">
        <w:rPr>
          <w:rFonts w:eastAsia="Batang" w:cs="Times New Roman"/>
          <w:noProof/>
          <w:szCs w:val="24"/>
          <w:lang w:val="es-ES_tradnl" w:eastAsia="es-CR"/>
        </w:rPr>
        <w:t xml:space="preserve">La Corte inició la deliberación de la presente Sentencia el </w:t>
      </w:r>
      <w:r w:rsidR="00CF05FB">
        <w:rPr>
          <w:rFonts w:eastAsia="Batang" w:cs="Times New Roman"/>
          <w:noProof/>
          <w:szCs w:val="24"/>
          <w:lang w:val="es-ES_tradnl" w:eastAsia="es-CR"/>
        </w:rPr>
        <w:t>16</w:t>
      </w:r>
      <w:r w:rsidRPr="00895810">
        <w:rPr>
          <w:rFonts w:eastAsia="Batang" w:cs="Times New Roman"/>
          <w:noProof/>
          <w:szCs w:val="24"/>
          <w:lang w:val="es-ES_tradnl" w:eastAsia="es-CR"/>
        </w:rPr>
        <w:t xml:space="preserve"> de </w:t>
      </w:r>
      <w:r w:rsidR="00F97C49" w:rsidRPr="00895810">
        <w:rPr>
          <w:rFonts w:eastAsia="Batang" w:cs="Times New Roman"/>
          <w:noProof/>
          <w:szCs w:val="24"/>
          <w:lang w:val="es-ES_tradnl" w:eastAsia="es-CR"/>
        </w:rPr>
        <w:t>febrero</w:t>
      </w:r>
      <w:r w:rsidRPr="00895810">
        <w:rPr>
          <w:rFonts w:eastAsia="Batang" w:cs="Times New Roman"/>
          <w:noProof/>
          <w:szCs w:val="24"/>
          <w:lang w:val="es-ES_tradnl" w:eastAsia="es-CR"/>
        </w:rPr>
        <w:t xml:space="preserve"> de 201</w:t>
      </w:r>
      <w:r w:rsidR="00F97C49" w:rsidRPr="00895810">
        <w:rPr>
          <w:rFonts w:eastAsia="Batang" w:cs="Times New Roman"/>
          <w:noProof/>
          <w:szCs w:val="24"/>
          <w:lang w:val="es-ES_tradnl" w:eastAsia="es-CR"/>
        </w:rPr>
        <w:t>7</w:t>
      </w:r>
      <w:r w:rsidRPr="00895810">
        <w:rPr>
          <w:rFonts w:eastAsia="Batang" w:cs="Times New Roman"/>
          <w:noProof/>
          <w:szCs w:val="24"/>
          <w:lang w:val="es-ES_tradnl" w:eastAsia="es-CR"/>
        </w:rPr>
        <w:t>.</w:t>
      </w:r>
    </w:p>
    <w:p w14:paraId="330963B4" w14:textId="77777777" w:rsidR="00DB28AA" w:rsidRPr="00232925" w:rsidRDefault="00DB28AA" w:rsidP="00B811D7">
      <w:pPr>
        <w:autoSpaceDE w:val="0"/>
        <w:autoSpaceDN w:val="0"/>
        <w:adjustRightInd w:val="0"/>
        <w:rPr>
          <w:rFonts w:eastAsia="Batang" w:cs="Verdana"/>
          <w:szCs w:val="20"/>
          <w:lang w:val="es-ES_tradnl" w:eastAsia="es-ES"/>
        </w:rPr>
      </w:pPr>
    </w:p>
    <w:p w14:paraId="0A42C896" w14:textId="77777777" w:rsidR="00DB28AA" w:rsidRPr="00232925" w:rsidRDefault="00DB28AA" w:rsidP="00547D83">
      <w:pPr>
        <w:pStyle w:val="TOC1"/>
        <w:rPr>
          <w:snapToGrid w:val="0"/>
        </w:rPr>
      </w:pPr>
      <w:bookmarkStart w:id="29" w:name="_Toc416164786"/>
      <w:bookmarkStart w:id="30" w:name="_Toc404770056"/>
      <w:bookmarkStart w:id="31" w:name="_Toc468909966"/>
      <w:bookmarkStart w:id="32" w:name="_Toc468910192"/>
      <w:bookmarkStart w:id="33" w:name="_Toc469404432"/>
      <w:bookmarkStart w:id="34" w:name="_Toc472608877"/>
      <w:r w:rsidRPr="00232925">
        <w:rPr>
          <w:snapToGrid w:val="0"/>
        </w:rPr>
        <w:t>III</w:t>
      </w:r>
      <w:r w:rsidRPr="00232925">
        <w:rPr>
          <w:snapToGrid w:val="0"/>
        </w:rPr>
        <w:br/>
        <w:t>COMPETENCIA</w:t>
      </w:r>
      <w:bookmarkEnd w:id="29"/>
      <w:bookmarkEnd w:id="30"/>
      <w:bookmarkEnd w:id="31"/>
      <w:bookmarkEnd w:id="32"/>
      <w:bookmarkEnd w:id="33"/>
      <w:bookmarkEnd w:id="34"/>
    </w:p>
    <w:p w14:paraId="3F15CDF3" w14:textId="77777777" w:rsidR="00DB28AA" w:rsidRPr="00232925" w:rsidRDefault="00DB28AA" w:rsidP="00B811D7">
      <w:pPr>
        <w:rPr>
          <w:rFonts w:eastAsia="Batang" w:cs="Times"/>
          <w:noProof/>
          <w:szCs w:val="24"/>
          <w:lang w:eastAsia="es-ES"/>
        </w:rPr>
      </w:pPr>
    </w:p>
    <w:p w14:paraId="428ACA9B" w14:textId="462BFC63" w:rsidR="00DB28AA" w:rsidRPr="00232925" w:rsidRDefault="00DB28AA" w:rsidP="00D6683A">
      <w:pPr>
        <w:numPr>
          <w:ilvl w:val="0"/>
          <w:numId w:val="1"/>
        </w:numPr>
        <w:rPr>
          <w:rFonts w:eastAsia="Batang" w:cs="Times"/>
          <w:noProof/>
          <w:szCs w:val="20"/>
          <w:lang w:val="es-ES_tradnl"/>
        </w:rPr>
      </w:pPr>
      <w:r w:rsidRPr="00232925">
        <w:rPr>
          <w:rFonts w:eastAsia="Batang" w:cs="Times"/>
          <w:noProof/>
          <w:szCs w:val="20"/>
          <w:lang w:val="es-ES_tradnl"/>
        </w:rPr>
        <w:t>La Corte Interamericana es competente, en los términos del artículo 62.3 de la Convención</w:t>
      </w:r>
      <w:r w:rsidR="00F33515">
        <w:rPr>
          <w:rFonts w:eastAsia="Batang" w:cs="Times"/>
          <w:noProof/>
          <w:szCs w:val="20"/>
          <w:lang w:val="es-ES_tradnl"/>
        </w:rPr>
        <w:t>,</w:t>
      </w:r>
      <w:r w:rsidRPr="00232925">
        <w:rPr>
          <w:rFonts w:eastAsia="Batang" w:cs="Times"/>
          <w:noProof/>
          <w:szCs w:val="20"/>
          <w:lang w:val="es-ES_tradnl"/>
        </w:rPr>
        <w:t xml:space="preserve"> para conocer el presente caso, en razón de que Brasil es Estado Parte de la Convención Americana desde el 25 de septiembre de 1992 y reconoció la competencia contenciosa de la Corte el 10 de diciembre de 1998</w:t>
      </w:r>
      <w:r w:rsidR="00E731AC">
        <w:rPr>
          <w:rFonts w:eastAsia="Batang" w:cs="Times"/>
          <w:noProof/>
          <w:szCs w:val="20"/>
          <w:lang w:val="es-ES_tradnl"/>
        </w:rPr>
        <w:t>,</w:t>
      </w:r>
      <w:r w:rsidR="002C1CC2" w:rsidRPr="00232925">
        <w:rPr>
          <w:rFonts w:eastAsia="Batang" w:cs="Times"/>
          <w:noProof/>
          <w:szCs w:val="20"/>
          <w:lang w:val="es-ES_tradnl"/>
        </w:rPr>
        <w:t xml:space="preserve"> </w:t>
      </w:r>
      <w:r w:rsidR="00E731AC">
        <w:rPr>
          <w:rFonts w:eastAsia="Batang" w:cs="Times"/>
          <w:noProof/>
          <w:szCs w:val="20"/>
          <w:lang w:val="es-ES_tradnl"/>
        </w:rPr>
        <w:t>sin perjuicio de lo que será analizado en el capítulo siguiente.</w:t>
      </w:r>
    </w:p>
    <w:p w14:paraId="618B624A" w14:textId="77777777" w:rsidR="00DB28AA" w:rsidRDefault="00DB28AA" w:rsidP="00B811D7">
      <w:pPr>
        <w:rPr>
          <w:rFonts w:eastAsia="Batang" w:cs="Times"/>
          <w:szCs w:val="24"/>
          <w:lang w:val="es-ES_tradnl"/>
        </w:rPr>
      </w:pPr>
    </w:p>
    <w:p w14:paraId="3B46A3C0" w14:textId="77777777" w:rsidR="00DA09A9" w:rsidRPr="00232925" w:rsidRDefault="00106DB0" w:rsidP="00547D83">
      <w:pPr>
        <w:pStyle w:val="TOC1"/>
        <w:rPr>
          <w:snapToGrid w:val="0"/>
        </w:rPr>
      </w:pPr>
      <w:bookmarkStart w:id="35" w:name="_Toc468909967"/>
      <w:bookmarkStart w:id="36" w:name="_Toc468910193"/>
      <w:bookmarkStart w:id="37" w:name="_Toc469404433"/>
      <w:bookmarkStart w:id="38" w:name="_Toc472608878"/>
      <w:r>
        <w:rPr>
          <w:snapToGrid w:val="0"/>
        </w:rPr>
        <w:t>I</w:t>
      </w:r>
      <w:r w:rsidR="00DA09A9">
        <w:rPr>
          <w:snapToGrid w:val="0"/>
        </w:rPr>
        <w:t>V</w:t>
      </w:r>
      <w:r w:rsidR="00DA09A9" w:rsidRPr="00232925">
        <w:rPr>
          <w:snapToGrid w:val="0"/>
        </w:rPr>
        <w:br/>
      </w:r>
      <w:r w:rsidR="00DA09A9">
        <w:rPr>
          <w:snapToGrid w:val="0"/>
        </w:rPr>
        <w:t>EXCEPCIONES PRELIMINARES</w:t>
      </w:r>
      <w:bookmarkEnd w:id="35"/>
      <w:bookmarkEnd w:id="36"/>
      <w:bookmarkEnd w:id="37"/>
      <w:bookmarkEnd w:id="38"/>
    </w:p>
    <w:p w14:paraId="2004C1B0" w14:textId="77777777" w:rsidR="005166F9" w:rsidRPr="005166F9" w:rsidRDefault="005166F9" w:rsidP="00547D83">
      <w:pPr>
        <w:pStyle w:val="TOC1"/>
        <w:rPr>
          <w:lang w:val="es-ES"/>
        </w:rPr>
      </w:pPr>
    </w:p>
    <w:p w14:paraId="7187349B" w14:textId="586CA8F5" w:rsidR="005166F9" w:rsidRPr="001C46C0" w:rsidRDefault="005166F9" w:rsidP="00D6683A">
      <w:pPr>
        <w:pStyle w:val="ListParagraph"/>
        <w:numPr>
          <w:ilvl w:val="0"/>
          <w:numId w:val="1"/>
        </w:numPr>
        <w:ind w:right="49"/>
        <w:outlineLvl w:val="0"/>
        <w:rPr>
          <w:rFonts w:cs="Verdana Bold"/>
          <w:b/>
          <w:bCs/>
          <w:szCs w:val="20"/>
          <w:lang w:val="es-ES"/>
        </w:rPr>
      </w:pPr>
      <w:bookmarkStart w:id="39" w:name="_Toc468909968"/>
      <w:bookmarkStart w:id="40" w:name="_Toc468910194"/>
      <w:bookmarkStart w:id="41" w:name="_Toc469404434"/>
      <w:bookmarkStart w:id="42" w:name="_Toc472608879"/>
      <w:r w:rsidRPr="001C46C0">
        <w:rPr>
          <w:szCs w:val="20"/>
          <w:lang w:val="es-ES"/>
        </w:rPr>
        <w:t xml:space="preserve">En su escrito de contestación, el Estado presentó siete excepciones preliminares respecto a: </w:t>
      </w:r>
      <w:r w:rsidRPr="001C46C0">
        <w:rPr>
          <w:rFonts w:cs="Verdana Bold"/>
          <w:b/>
          <w:bCs/>
          <w:szCs w:val="20"/>
          <w:lang w:val="es-ES"/>
        </w:rPr>
        <w:t>A</w:t>
      </w:r>
      <w:r w:rsidRPr="001C46C0">
        <w:rPr>
          <w:rFonts w:cs="Verdana Bold"/>
          <w:bCs/>
          <w:szCs w:val="20"/>
          <w:lang w:val="es-ES"/>
        </w:rPr>
        <w:t xml:space="preserve">. Inadmisibilidad del caso en la Corte por la publicación del </w:t>
      </w:r>
      <w:r w:rsidR="002D676F">
        <w:rPr>
          <w:rFonts w:cs="Verdana Bold"/>
          <w:bCs/>
          <w:szCs w:val="20"/>
          <w:lang w:val="es-ES"/>
        </w:rPr>
        <w:t>Informe de Fondo de la Comisión</w:t>
      </w:r>
      <w:r w:rsidRPr="001C46C0">
        <w:rPr>
          <w:rFonts w:cs="Verdana Bold"/>
          <w:b/>
          <w:bCs/>
          <w:szCs w:val="20"/>
          <w:lang w:val="es-ES"/>
        </w:rPr>
        <w:t>;</w:t>
      </w:r>
      <w:r w:rsidRPr="001C46C0">
        <w:rPr>
          <w:rFonts w:cs="Verdana Bold"/>
          <w:bCs/>
          <w:szCs w:val="20"/>
          <w:lang w:val="es-ES"/>
        </w:rPr>
        <w:t xml:space="preserve"> </w:t>
      </w:r>
      <w:r w:rsidRPr="001C46C0">
        <w:rPr>
          <w:rFonts w:cs="Verdana Bold"/>
          <w:b/>
          <w:bCs/>
          <w:szCs w:val="20"/>
          <w:lang w:val="es-ES"/>
        </w:rPr>
        <w:t>B.</w:t>
      </w:r>
      <w:r w:rsidRPr="001C46C0">
        <w:rPr>
          <w:rFonts w:cs="Verdana Bold"/>
          <w:bCs/>
          <w:szCs w:val="20"/>
          <w:lang w:val="es-ES"/>
        </w:rPr>
        <w:t xml:space="preserve"> Incompetencia </w:t>
      </w:r>
      <w:proofErr w:type="spellStart"/>
      <w:r w:rsidRPr="001C46C0">
        <w:rPr>
          <w:rFonts w:cs="Verdana Bold"/>
          <w:bCs/>
          <w:i/>
          <w:szCs w:val="20"/>
          <w:lang w:val="es-ES"/>
        </w:rPr>
        <w:t>ratione</w:t>
      </w:r>
      <w:proofErr w:type="spellEnd"/>
      <w:r w:rsidRPr="001C46C0">
        <w:rPr>
          <w:rFonts w:cs="Verdana Bold"/>
          <w:bCs/>
          <w:i/>
          <w:szCs w:val="20"/>
          <w:lang w:val="es-ES"/>
        </w:rPr>
        <w:t xml:space="preserve"> </w:t>
      </w:r>
      <w:proofErr w:type="spellStart"/>
      <w:r w:rsidRPr="001C46C0">
        <w:rPr>
          <w:rFonts w:cs="Verdana Bold"/>
          <w:bCs/>
          <w:i/>
          <w:szCs w:val="20"/>
          <w:lang w:val="es-ES"/>
        </w:rPr>
        <w:t>personae</w:t>
      </w:r>
      <w:proofErr w:type="spellEnd"/>
      <w:r w:rsidRPr="001C46C0">
        <w:rPr>
          <w:rFonts w:cs="Verdana Bold"/>
          <w:bCs/>
          <w:szCs w:val="20"/>
          <w:lang w:val="es-ES"/>
        </w:rPr>
        <w:t xml:space="preserve"> en cuanto a víctimas no ide</w:t>
      </w:r>
      <w:r w:rsidR="002D676F">
        <w:rPr>
          <w:rFonts w:cs="Verdana Bold"/>
          <w:bCs/>
          <w:szCs w:val="20"/>
          <w:lang w:val="es-ES"/>
        </w:rPr>
        <w:t>ntificadas o sin representación</w:t>
      </w:r>
      <w:r w:rsidRPr="001C46C0">
        <w:rPr>
          <w:rFonts w:cs="Verdana Bold"/>
          <w:b/>
          <w:bCs/>
          <w:szCs w:val="20"/>
          <w:lang w:val="es-ES"/>
        </w:rPr>
        <w:t>; C.</w:t>
      </w:r>
      <w:r w:rsidRPr="001C46C0">
        <w:rPr>
          <w:rFonts w:cs="Verdana Bold"/>
          <w:bCs/>
          <w:szCs w:val="20"/>
          <w:lang w:val="es-ES"/>
        </w:rPr>
        <w:t xml:space="preserve"> Incompetencia </w:t>
      </w:r>
      <w:proofErr w:type="spellStart"/>
      <w:r w:rsidRPr="001C46C0">
        <w:rPr>
          <w:rFonts w:cs="Verdana Bold"/>
          <w:bCs/>
          <w:i/>
          <w:szCs w:val="20"/>
          <w:lang w:val="es-ES"/>
        </w:rPr>
        <w:t>ratione</w:t>
      </w:r>
      <w:proofErr w:type="spellEnd"/>
      <w:r w:rsidRPr="001C46C0">
        <w:rPr>
          <w:rFonts w:cs="Verdana Bold"/>
          <w:bCs/>
          <w:i/>
          <w:szCs w:val="20"/>
          <w:lang w:val="es-ES"/>
        </w:rPr>
        <w:t xml:space="preserve"> </w:t>
      </w:r>
      <w:proofErr w:type="spellStart"/>
      <w:r w:rsidRPr="001C46C0">
        <w:rPr>
          <w:rFonts w:cs="Verdana Bold"/>
          <w:bCs/>
          <w:i/>
          <w:szCs w:val="20"/>
          <w:lang w:val="es-ES"/>
        </w:rPr>
        <w:t>temporis</w:t>
      </w:r>
      <w:proofErr w:type="spellEnd"/>
      <w:r w:rsidRPr="001C46C0">
        <w:rPr>
          <w:rFonts w:cs="Verdana Bold"/>
          <w:bCs/>
          <w:szCs w:val="20"/>
          <w:lang w:val="es-ES"/>
        </w:rPr>
        <w:t xml:space="preserve"> respecto de actos anteriores a la fecha de reconocimiento de la jurisdicción de la Corte y en relación con la Convención Interamericana para Prevenir, Sancionar y Erradicar la Violencia contra la Mujer (Convención de</w:t>
      </w:r>
      <w:r w:rsidR="00582327">
        <w:rPr>
          <w:rFonts w:cs="Verdana Bold"/>
          <w:bCs/>
          <w:szCs w:val="20"/>
          <w:lang w:val="es-ES"/>
        </w:rPr>
        <w:t xml:space="preserve"> Belém </w:t>
      </w:r>
      <w:r w:rsidRPr="001C46C0">
        <w:rPr>
          <w:rFonts w:cs="Verdana Bold"/>
          <w:bCs/>
          <w:szCs w:val="20"/>
          <w:lang w:val="es-ES"/>
        </w:rPr>
        <w:t xml:space="preserve">do Pará); </w:t>
      </w:r>
      <w:r w:rsidRPr="001C46C0">
        <w:rPr>
          <w:rFonts w:cs="Verdana Bold"/>
          <w:b/>
          <w:bCs/>
          <w:szCs w:val="20"/>
          <w:lang w:val="es-ES"/>
        </w:rPr>
        <w:t>D.</w:t>
      </w:r>
      <w:r w:rsidRPr="001C46C0">
        <w:rPr>
          <w:rFonts w:cs="Verdana Bold"/>
          <w:bCs/>
          <w:szCs w:val="20"/>
          <w:lang w:val="es-ES"/>
        </w:rPr>
        <w:t xml:space="preserve"> Incompetencia </w:t>
      </w:r>
      <w:proofErr w:type="spellStart"/>
      <w:r w:rsidRPr="001C46C0">
        <w:rPr>
          <w:rFonts w:cs="Verdana Bold"/>
          <w:bCs/>
          <w:i/>
          <w:szCs w:val="20"/>
          <w:lang w:val="es-ES"/>
        </w:rPr>
        <w:t>ratione</w:t>
      </w:r>
      <w:proofErr w:type="spellEnd"/>
      <w:r w:rsidRPr="001C46C0">
        <w:rPr>
          <w:rFonts w:cs="Verdana Bold"/>
          <w:bCs/>
          <w:i/>
          <w:szCs w:val="20"/>
          <w:lang w:val="es-ES"/>
        </w:rPr>
        <w:t xml:space="preserve"> </w:t>
      </w:r>
      <w:proofErr w:type="spellStart"/>
      <w:r w:rsidRPr="001C46C0">
        <w:rPr>
          <w:rFonts w:cs="Verdana Bold"/>
          <w:bCs/>
          <w:i/>
          <w:szCs w:val="20"/>
          <w:lang w:val="es-ES"/>
        </w:rPr>
        <w:t>materiae</w:t>
      </w:r>
      <w:proofErr w:type="spellEnd"/>
      <w:r w:rsidRPr="001C46C0">
        <w:rPr>
          <w:rFonts w:cs="Verdana Bold"/>
          <w:bCs/>
          <w:szCs w:val="20"/>
          <w:lang w:val="es-ES"/>
        </w:rPr>
        <w:t xml:space="preserve"> por violación al principio de subsidiaridad del sistema interamer</w:t>
      </w:r>
      <w:r w:rsidR="002D676F">
        <w:rPr>
          <w:rFonts w:cs="Verdana Bold"/>
          <w:bCs/>
          <w:szCs w:val="20"/>
          <w:lang w:val="es-ES"/>
        </w:rPr>
        <w:t>icano (Fórmula de 4ª instancia)</w:t>
      </w:r>
      <w:r w:rsidRPr="001C46C0">
        <w:rPr>
          <w:rFonts w:cs="Verdana Bold"/>
          <w:bCs/>
          <w:szCs w:val="20"/>
          <w:lang w:val="es-ES"/>
        </w:rPr>
        <w:t xml:space="preserve">; </w:t>
      </w:r>
      <w:r w:rsidRPr="001C46C0">
        <w:rPr>
          <w:rFonts w:cs="Verdana Bold"/>
          <w:b/>
          <w:bCs/>
          <w:szCs w:val="20"/>
          <w:lang w:val="es-ES"/>
        </w:rPr>
        <w:t>E.</w:t>
      </w:r>
      <w:r w:rsidRPr="001C46C0">
        <w:rPr>
          <w:rFonts w:cs="Verdana Bold"/>
          <w:bCs/>
          <w:szCs w:val="20"/>
          <w:lang w:val="es-ES"/>
        </w:rPr>
        <w:t xml:space="preserve"> Incompetencia </w:t>
      </w:r>
      <w:proofErr w:type="spellStart"/>
      <w:r w:rsidRPr="001C46C0">
        <w:rPr>
          <w:rFonts w:cs="Verdana Bold"/>
          <w:bCs/>
          <w:i/>
          <w:szCs w:val="20"/>
          <w:lang w:val="es-ES"/>
        </w:rPr>
        <w:t>ratione</w:t>
      </w:r>
      <w:proofErr w:type="spellEnd"/>
      <w:r w:rsidRPr="001C46C0">
        <w:rPr>
          <w:rFonts w:cs="Verdana Bold"/>
          <w:bCs/>
          <w:i/>
          <w:szCs w:val="20"/>
          <w:lang w:val="es-ES"/>
        </w:rPr>
        <w:t xml:space="preserve"> </w:t>
      </w:r>
      <w:proofErr w:type="spellStart"/>
      <w:r w:rsidRPr="001C46C0">
        <w:rPr>
          <w:rFonts w:cs="Verdana Bold"/>
          <w:bCs/>
          <w:i/>
          <w:szCs w:val="20"/>
          <w:lang w:val="es-ES"/>
        </w:rPr>
        <w:t>materiae</w:t>
      </w:r>
      <w:proofErr w:type="spellEnd"/>
      <w:r w:rsidRPr="001C46C0">
        <w:rPr>
          <w:rFonts w:cs="Verdana Bold"/>
          <w:bCs/>
          <w:szCs w:val="20"/>
          <w:lang w:val="es-ES"/>
        </w:rPr>
        <w:t xml:space="preserve"> en cuanto a supuestas violaciones de derechos humanos previstos en la Convención Interamericana para Prevenir y Sancionar la Tortura, así como la Convención de</w:t>
      </w:r>
      <w:r w:rsidR="00582327">
        <w:rPr>
          <w:rFonts w:cs="Verdana Bold"/>
          <w:bCs/>
          <w:szCs w:val="20"/>
          <w:lang w:val="es-ES"/>
        </w:rPr>
        <w:t xml:space="preserve"> Belém </w:t>
      </w:r>
      <w:r w:rsidR="002D676F">
        <w:rPr>
          <w:rFonts w:cs="Verdana Bold"/>
          <w:bCs/>
          <w:szCs w:val="20"/>
          <w:lang w:val="es-ES"/>
        </w:rPr>
        <w:t>do Pará</w:t>
      </w:r>
      <w:r w:rsidRPr="001C46C0">
        <w:rPr>
          <w:rFonts w:cs="Verdana Bold"/>
          <w:bCs/>
          <w:szCs w:val="20"/>
          <w:lang w:val="es-ES"/>
        </w:rPr>
        <w:t xml:space="preserve">; </w:t>
      </w:r>
      <w:r w:rsidRPr="001C46C0">
        <w:rPr>
          <w:rFonts w:cs="Verdana Bold"/>
          <w:b/>
          <w:bCs/>
          <w:szCs w:val="20"/>
          <w:lang w:val="es-ES"/>
        </w:rPr>
        <w:t>F.</w:t>
      </w:r>
      <w:r w:rsidRPr="001C46C0">
        <w:rPr>
          <w:rFonts w:cs="Verdana Bold"/>
          <w:bCs/>
          <w:szCs w:val="20"/>
          <w:lang w:val="es-ES"/>
        </w:rPr>
        <w:t xml:space="preserve"> </w:t>
      </w:r>
      <w:r w:rsidR="005B698A">
        <w:rPr>
          <w:rFonts w:cs="Verdana Bold"/>
          <w:bCs/>
          <w:szCs w:val="20"/>
          <w:lang w:val="es-ES"/>
        </w:rPr>
        <w:t xml:space="preserve">Falta de </w:t>
      </w:r>
      <w:r w:rsidRPr="001C46C0">
        <w:rPr>
          <w:rFonts w:cs="Verdana Bold"/>
          <w:bCs/>
          <w:szCs w:val="20"/>
          <w:lang w:val="es-ES"/>
        </w:rPr>
        <w:t>agotamie</w:t>
      </w:r>
      <w:r w:rsidR="002D676F">
        <w:rPr>
          <w:rFonts w:cs="Verdana Bold"/>
          <w:bCs/>
          <w:szCs w:val="20"/>
          <w:lang w:val="es-ES"/>
        </w:rPr>
        <w:t>nto previo de recursos internos</w:t>
      </w:r>
      <w:r>
        <w:rPr>
          <w:rFonts w:cs="Verdana Bold"/>
          <w:bCs/>
          <w:szCs w:val="20"/>
          <w:lang w:val="es-ES"/>
        </w:rPr>
        <w:t xml:space="preserve">, </w:t>
      </w:r>
      <w:r w:rsidR="002C3CF9">
        <w:rPr>
          <w:rFonts w:cs="Verdana Bold"/>
          <w:bCs/>
          <w:szCs w:val="20"/>
          <w:lang w:val="es-ES"/>
        </w:rPr>
        <w:t>y</w:t>
      </w:r>
      <w:r w:rsidRPr="001C46C0">
        <w:rPr>
          <w:rFonts w:cs="Verdana Bold"/>
          <w:bCs/>
          <w:szCs w:val="20"/>
          <w:lang w:val="es-ES"/>
        </w:rPr>
        <w:t xml:space="preserve"> </w:t>
      </w:r>
      <w:r w:rsidRPr="001C46C0">
        <w:rPr>
          <w:rFonts w:cs="Verdana Bold"/>
          <w:b/>
          <w:bCs/>
          <w:szCs w:val="20"/>
          <w:lang w:val="es-ES"/>
        </w:rPr>
        <w:t>G.</w:t>
      </w:r>
      <w:r w:rsidRPr="001C46C0">
        <w:rPr>
          <w:rFonts w:cs="Verdana Bold"/>
          <w:bCs/>
          <w:szCs w:val="20"/>
          <w:lang w:val="es-ES"/>
        </w:rPr>
        <w:t xml:space="preserve"> Inobservancia del plazo razonable para someter a la Corte la pretensión de investigación criminal</w:t>
      </w:r>
      <w:r w:rsidR="00C90C4F">
        <w:rPr>
          <w:rFonts w:cs="Verdana Bold"/>
          <w:bCs/>
          <w:szCs w:val="20"/>
          <w:lang w:val="es-ES"/>
        </w:rPr>
        <w:t>.</w:t>
      </w:r>
      <w:bookmarkEnd w:id="39"/>
      <w:bookmarkEnd w:id="40"/>
      <w:bookmarkEnd w:id="41"/>
      <w:bookmarkEnd w:id="42"/>
    </w:p>
    <w:p w14:paraId="6AFA1CEF" w14:textId="77777777" w:rsidR="005166F9" w:rsidRPr="001C46C0" w:rsidRDefault="005166F9" w:rsidP="00B811D7">
      <w:pPr>
        <w:pStyle w:val="ListParagraph"/>
        <w:ind w:left="0" w:right="49"/>
        <w:outlineLvl w:val="0"/>
        <w:rPr>
          <w:rFonts w:cs="Verdana Bold"/>
          <w:bCs/>
          <w:szCs w:val="20"/>
          <w:lang w:val="es-ES"/>
        </w:rPr>
      </w:pPr>
    </w:p>
    <w:p w14:paraId="1834FC21" w14:textId="5B525B5F" w:rsidR="005166F9" w:rsidRPr="001C46C0" w:rsidRDefault="005166F9" w:rsidP="00D6683A">
      <w:pPr>
        <w:pStyle w:val="ListParagraph"/>
        <w:numPr>
          <w:ilvl w:val="0"/>
          <w:numId w:val="1"/>
        </w:numPr>
        <w:ind w:right="49"/>
        <w:outlineLvl w:val="0"/>
        <w:rPr>
          <w:rFonts w:cs="Verdana Bold"/>
          <w:bCs/>
          <w:szCs w:val="20"/>
          <w:lang w:val="es-ES"/>
        </w:rPr>
      </w:pPr>
      <w:bookmarkStart w:id="43" w:name="_Toc468909969"/>
      <w:bookmarkStart w:id="44" w:name="_Toc468910195"/>
      <w:bookmarkStart w:id="45" w:name="_Toc469404435"/>
      <w:bookmarkStart w:id="46" w:name="_Toc472608880"/>
      <w:r w:rsidRPr="001C46C0">
        <w:rPr>
          <w:rFonts w:eastAsia="Batang" w:cs="Times"/>
          <w:noProof/>
          <w:szCs w:val="20"/>
          <w:lang w:val="es-MX" w:eastAsia="es-ES"/>
        </w:rPr>
        <w:lastRenderedPageBreak/>
        <w:t xml:space="preserve">Para resolver las excepciones planteadas por el Estado, la Corte recuerda </w:t>
      </w:r>
      <w:r w:rsidRPr="001C46C0">
        <w:rPr>
          <w:rFonts w:eastAsia="Batang" w:cs="Times"/>
          <w:noProof/>
          <w:szCs w:val="20"/>
          <w:lang w:val="es-ES" w:eastAsia="es-ES"/>
        </w:rPr>
        <w:t xml:space="preserve">que se considerarán como excepciones preliminares únicamente aquellos argumentos que tienen o podrían tener exclusivamente tal naturaleza atendiendo a su contenido y finalidad, </w:t>
      </w:r>
      <w:r w:rsidRPr="001C46C0">
        <w:rPr>
          <w:rFonts w:eastAsia="Batang" w:cs="Times"/>
          <w:noProof/>
          <w:szCs w:val="20"/>
          <w:lang w:val="es-ES_tradnl" w:eastAsia="es-ES"/>
        </w:rPr>
        <w:t>es decir, que de resolverse favorablemente impedirían la continuación del procedimiento o el pronunciamiento sobre el fondo</w:t>
      </w:r>
      <w:r w:rsidRPr="001C46C0">
        <w:rPr>
          <w:rFonts w:eastAsia="Batang" w:cs="Times"/>
          <w:noProof/>
          <w:szCs w:val="20"/>
          <w:vertAlign w:val="superscript"/>
          <w:lang w:val="es-ES_tradnl" w:eastAsia="es-ES"/>
        </w:rPr>
        <w:footnoteReference w:id="17"/>
      </w:r>
      <w:r w:rsidRPr="001C46C0">
        <w:rPr>
          <w:rFonts w:eastAsia="Batang" w:cs="Times"/>
          <w:noProof/>
          <w:szCs w:val="20"/>
          <w:lang w:val="es-ES" w:eastAsia="es-ES"/>
        </w:rPr>
        <w:t xml:space="preserve">. Ha sido criterio reiterado de la Corte que por medio de una excepción preliminar se presentan </w:t>
      </w:r>
      <w:r w:rsidRPr="001C46C0">
        <w:rPr>
          <w:rFonts w:eastAsia="Batang" w:cs="Times"/>
          <w:noProof/>
          <w:szCs w:val="20"/>
          <w:lang w:val="es-ES_tradnl" w:eastAsia="es-ES"/>
        </w:rPr>
        <w:t xml:space="preserve">objeciones relacionadas con la admisibilidad de un caso o </w:t>
      </w:r>
      <w:r w:rsidR="00A42D70">
        <w:rPr>
          <w:rFonts w:eastAsia="Batang" w:cs="Times"/>
          <w:noProof/>
          <w:szCs w:val="20"/>
          <w:lang w:val="es-ES_tradnl" w:eastAsia="es-ES"/>
        </w:rPr>
        <w:t xml:space="preserve">con </w:t>
      </w:r>
      <w:r w:rsidRPr="001C46C0">
        <w:rPr>
          <w:rFonts w:eastAsia="Batang" w:cs="Times"/>
          <w:noProof/>
          <w:szCs w:val="20"/>
          <w:lang w:val="es-ES_tradnl" w:eastAsia="es-ES"/>
        </w:rPr>
        <w:t>su competencia para conocer de un determinado asunto o parte de ello, ya sea en razón de la persona, materia, tiempo o lugar</w:t>
      </w:r>
      <w:r w:rsidRPr="001C46C0">
        <w:rPr>
          <w:rFonts w:eastAsia="Batang" w:cs="Times"/>
          <w:noProof/>
          <w:szCs w:val="20"/>
          <w:vertAlign w:val="superscript"/>
          <w:lang w:val="es-ES_tradnl" w:eastAsia="es-ES"/>
        </w:rPr>
        <w:footnoteReference w:id="18"/>
      </w:r>
      <w:r w:rsidRPr="001C46C0">
        <w:rPr>
          <w:rFonts w:eastAsia="Batang" w:cs="Times"/>
          <w:noProof/>
          <w:szCs w:val="20"/>
          <w:lang w:val="es-ES_tradnl" w:eastAsia="es-ES"/>
        </w:rPr>
        <w:t>.</w:t>
      </w:r>
      <w:bookmarkEnd w:id="43"/>
      <w:bookmarkEnd w:id="44"/>
      <w:bookmarkEnd w:id="45"/>
      <w:bookmarkEnd w:id="46"/>
    </w:p>
    <w:p w14:paraId="43B948D7" w14:textId="77777777" w:rsidR="005166F9" w:rsidRPr="001C46C0" w:rsidRDefault="005166F9" w:rsidP="00B811D7">
      <w:pPr>
        <w:pStyle w:val="ListParagraph"/>
        <w:ind w:left="0" w:right="49"/>
        <w:outlineLvl w:val="0"/>
        <w:rPr>
          <w:rFonts w:cs="Verdana Bold"/>
          <w:bCs/>
          <w:szCs w:val="20"/>
          <w:lang w:val="es-ES"/>
        </w:rPr>
      </w:pPr>
    </w:p>
    <w:p w14:paraId="362C4B8E" w14:textId="77777777" w:rsidR="005166F9" w:rsidRPr="001C46C0" w:rsidRDefault="005166F9" w:rsidP="00D6683A">
      <w:pPr>
        <w:pStyle w:val="ListParagraph"/>
        <w:numPr>
          <w:ilvl w:val="0"/>
          <w:numId w:val="1"/>
        </w:numPr>
        <w:ind w:right="49"/>
        <w:outlineLvl w:val="0"/>
        <w:rPr>
          <w:rFonts w:cs="Verdana Bold"/>
          <w:bCs/>
          <w:szCs w:val="20"/>
          <w:lang w:val="es-ES"/>
        </w:rPr>
      </w:pPr>
      <w:bookmarkStart w:id="47" w:name="_Toc468909970"/>
      <w:bookmarkStart w:id="48" w:name="_Toc468910196"/>
      <w:bookmarkStart w:id="49" w:name="_Toc469404436"/>
      <w:bookmarkStart w:id="50" w:name="_Toc472608881"/>
      <w:r w:rsidRPr="001C46C0">
        <w:rPr>
          <w:rFonts w:eastAsia="Batang" w:cs="Times"/>
          <w:noProof/>
          <w:szCs w:val="20"/>
          <w:lang w:val="es-MX" w:eastAsia="es-ES"/>
        </w:rPr>
        <w:t>A continuación, la Corte procederá a analizar las excepciones preliminares aludidas, en el orden en que fueron presentadas por el Estado.</w:t>
      </w:r>
      <w:bookmarkEnd w:id="47"/>
      <w:bookmarkEnd w:id="48"/>
      <w:bookmarkEnd w:id="49"/>
      <w:bookmarkEnd w:id="50"/>
      <w:r w:rsidRPr="001C46C0">
        <w:rPr>
          <w:rFonts w:eastAsia="Batang" w:cs="Times"/>
          <w:noProof/>
          <w:szCs w:val="20"/>
          <w:lang w:val="es-MX" w:eastAsia="es-ES"/>
        </w:rPr>
        <w:t xml:space="preserve"> </w:t>
      </w:r>
    </w:p>
    <w:p w14:paraId="5C5B4C31" w14:textId="77777777" w:rsidR="005166F9" w:rsidRPr="001C46C0" w:rsidRDefault="005166F9" w:rsidP="00B811D7">
      <w:pPr>
        <w:pStyle w:val="ListParagraph"/>
        <w:ind w:left="0" w:right="49"/>
        <w:outlineLvl w:val="0"/>
        <w:rPr>
          <w:rFonts w:cs="Verdana Bold"/>
          <w:bCs/>
          <w:szCs w:val="20"/>
          <w:lang w:val="es-ES"/>
        </w:rPr>
      </w:pPr>
    </w:p>
    <w:p w14:paraId="3586EA30" w14:textId="48E898DA" w:rsidR="005166F9" w:rsidRPr="00865E9F" w:rsidRDefault="005166F9" w:rsidP="00123780">
      <w:pPr>
        <w:pStyle w:val="TOC2"/>
      </w:pPr>
      <w:bookmarkStart w:id="51" w:name="_Toc468909971"/>
      <w:bookmarkStart w:id="52" w:name="_Toc468910197"/>
      <w:bookmarkStart w:id="53" w:name="_Toc469404437"/>
      <w:bookmarkStart w:id="54" w:name="_Toc472608882"/>
      <w:r w:rsidRPr="00865E9F">
        <w:t>A. Inadmisibilidad del caso en virtud de la publicación del Informe de Fondo por parte de la Comisión</w:t>
      </w:r>
      <w:bookmarkEnd w:id="51"/>
      <w:bookmarkEnd w:id="52"/>
      <w:bookmarkEnd w:id="53"/>
      <w:bookmarkEnd w:id="54"/>
    </w:p>
    <w:p w14:paraId="13D30CFB" w14:textId="77777777" w:rsidR="005166F9" w:rsidRPr="001C46C0" w:rsidRDefault="005166F9" w:rsidP="00B811D7">
      <w:pPr>
        <w:ind w:right="49"/>
        <w:outlineLvl w:val="0"/>
        <w:rPr>
          <w:rFonts w:eastAsia="Batang" w:cs="Times"/>
          <w:noProof/>
          <w:szCs w:val="20"/>
          <w:lang w:val="es-MX" w:eastAsia="es-ES"/>
        </w:rPr>
      </w:pPr>
    </w:p>
    <w:p w14:paraId="22A5AEFC" w14:textId="77777777" w:rsidR="005166F9" w:rsidRPr="001C46C0" w:rsidRDefault="005166F9" w:rsidP="00B811D7">
      <w:pPr>
        <w:pStyle w:val="Heading3"/>
        <w:ind w:left="0"/>
        <w:rPr>
          <w:noProof/>
          <w:szCs w:val="20"/>
          <w:lang w:eastAsia="es-ES"/>
        </w:rPr>
      </w:pPr>
      <w:bookmarkStart w:id="55" w:name="_Toc460432962"/>
      <w:bookmarkStart w:id="56" w:name="_Toc460441893"/>
      <w:bookmarkStart w:id="57" w:name="_Toc462750713"/>
      <w:bookmarkStart w:id="58" w:name="_Toc462751037"/>
      <w:bookmarkStart w:id="59" w:name="_Toc468909972"/>
      <w:bookmarkStart w:id="60" w:name="_Toc468910198"/>
      <w:bookmarkStart w:id="61" w:name="_Toc469404438"/>
      <w:bookmarkStart w:id="62" w:name="_Toc472608883"/>
      <w:r w:rsidRPr="001C46C0">
        <w:rPr>
          <w:noProof/>
          <w:szCs w:val="20"/>
          <w:lang w:eastAsia="es-ES"/>
        </w:rPr>
        <w:t>A.1. Alegatos del Estado, observaciones de la Comisión y de los representantes</w:t>
      </w:r>
      <w:bookmarkEnd w:id="55"/>
      <w:bookmarkEnd w:id="56"/>
      <w:bookmarkEnd w:id="57"/>
      <w:bookmarkEnd w:id="58"/>
      <w:bookmarkEnd w:id="59"/>
      <w:bookmarkEnd w:id="60"/>
      <w:bookmarkEnd w:id="61"/>
      <w:bookmarkEnd w:id="62"/>
    </w:p>
    <w:p w14:paraId="4936BD0F" w14:textId="77777777" w:rsidR="005166F9" w:rsidRPr="001C46C0" w:rsidRDefault="005166F9" w:rsidP="00B811D7">
      <w:pPr>
        <w:rPr>
          <w:szCs w:val="20"/>
          <w:lang w:val="es-MX" w:eastAsia="es-ES"/>
        </w:rPr>
      </w:pPr>
    </w:p>
    <w:p w14:paraId="53FFB52D" w14:textId="0B2936F9" w:rsidR="005166F9" w:rsidRPr="001C46C0" w:rsidRDefault="005166F9" w:rsidP="00D6683A">
      <w:pPr>
        <w:pStyle w:val="ListParagraph"/>
        <w:numPr>
          <w:ilvl w:val="0"/>
          <w:numId w:val="1"/>
        </w:numPr>
        <w:ind w:right="49"/>
        <w:outlineLvl w:val="0"/>
        <w:rPr>
          <w:rFonts w:cs="Verdana Bold"/>
          <w:bCs/>
          <w:szCs w:val="20"/>
          <w:lang w:val="es-ES"/>
        </w:rPr>
      </w:pPr>
      <w:bookmarkStart w:id="63" w:name="_Toc468909973"/>
      <w:bookmarkStart w:id="64" w:name="_Toc468910199"/>
      <w:bookmarkStart w:id="65" w:name="_Toc469404439"/>
      <w:bookmarkStart w:id="66" w:name="_Toc472608884"/>
      <w:r w:rsidRPr="001C46C0">
        <w:rPr>
          <w:rFonts w:cs="Verdana Bold"/>
          <w:bCs/>
          <w:szCs w:val="20"/>
          <w:lang w:val="es-MX"/>
        </w:rPr>
        <w:t xml:space="preserve">El </w:t>
      </w:r>
      <w:r w:rsidRPr="001C46C0">
        <w:rPr>
          <w:rFonts w:cs="Verdana Bold"/>
          <w:b/>
          <w:bCs/>
          <w:i/>
          <w:szCs w:val="20"/>
          <w:lang w:val="es-MX"/>
        </w:rPr>
        <w:t>Estado</w:t>
      </w:r>
      <w:r w:rsidRPr="001C46C0">
        <w:rPr>
          <w:rFonts w:cs="Verdana Bold"/>
          <w:bCs/>
          <w:szCs w:val="20"/>
          <w:lang w:val="es-MX"/>
        </w:rPr>
        <w:t xml:space="preserve"> indicó</w:t>
      </w:r>
      <w:r w:rsidRPr="001C46C0">
        <w:rPr>
          <w:rFonts w:cs="Verdana Bold"/>
          <w:bCs/>
          <w:szCs w:val="20"/>
          <w:lang w:val="es-ES"/>
        </w:rPr>
        <w:t xml:space="preserve"> que la publicación del Informe de Admisibilidad y Fondo No.</w:t>
      </w:r>
      <w:r>
        <w:rPr>
          <w:rFonts w:cs="Verdana Bold"/>
          <w:bCs/>
          <w:szCs w:val="20"/>
          <w:lang w:val="es-ES"/>
        </w:rPr>
        <w:t xml:space="preserve"> </w:t>
      </w:r>
      <w:r w:rsidRPr="001C46C0">
        <w:rPr>
          <w:rFonts w:cs="Verdana Bold"/>
          <w:bCs/>
          <w:szCs w:val="20"/>
          <w:lang w:val="es-ES"/>
        </w:rPr>
        <w:t xml:space="preserve">141/11, de 31 de enero de 2011, antes del </w:t>
      </w:r>
      <w:r>
        <w:rPr>
          <w:rFonts w:cs="Verdana Bold"/>
          <w:bCs/>
          <w:szCs w:val="20"/>
          <w:lang w:val="es-ES"/>
        </w:rPr>
        <w:t>envío</w:t>
      </w:r>
      <w:r w:rsidRPr="001C46C0">
        <w:rPr>
          <w:rFonts w:cs="Verdana Bold"/>
          <w:bCs/>
          <w:szCs w:val="20"/>
          <w:lang w:val="es-ES"/>
        </w:rPr>
        <w:t xml:space="preserve"> del caso a la Corte</w:t>
      </w:r>
      <w:r>
        <w:rPr>
          <w:rFonts w:cs="Verdana Bold"/>
          <w:bCs/>
          <w:szCs w:val="20"/>
          <w:lang w:val="es-ES"/>
        </w:rPr>
        <w:t>,</w:t>
      </w:r>
      <w:r w:rsidRPr="001C46C0">
        <w:rPr>
          <w:rFonts w:cs="Verdana Bold"/>
          <w:bCs/>
          <w:szCs w:val="20"/>
          <w:lang w:val="es-ES"/>
        </w:rPr>
        <w:t xml:space="preserve"> violó el artículo 51 de la Conve</w:t>
      </w:r>
      <w:r>
        <w:rPr>
          <w:rFonts w:cs="Verdana Bold"/>
          <w:bCs/>
          <w:szCs w:val="20"/>
          <w:lang w:val="es-ES"/>
        </w:rPr>
        <w:t>nción Americana, dado que este artículo es</w:t>
      </w:r>
      <w:r w:rsidRPr="001C46C0">
        <w:rPr>
          <w:rFonts w:cs="Verdana Bold"/>
          <w:bCs/>
          <w:szCs w:val="20"/>
          <w:lang w:val="es-ES"/>
        </w:rPr>
        <w:t xml:space="preserve"> claro al autorizar a la Comisión </w:t>
      </w:r>
      <w:r>
        <w:rPr>
          <w:rFonts w:cs="Verdana Bold"/>
          <w:bCs/>
          <w:szCs w:val="20"/>
          <w:lang w:val="es-ES"/>
        </w:rPr>
        <w:t xml:space="preserve">para </w:t>
      </w:r>
      <w:r w:rsidRPr="001C46C0">
        <w:rPr>
          <w:rFonts w:cs="Verdana Bold"/>
          <w:bCs/>
          <w:szCs w:val="20"/>
          <w:lang w:val="es-ES"/>
        </w:rPr>
        <w:t>emitir el Informe definitivo y, eventualmente, publicarlo o someterlo a la jurisdicción de la Corte, pero de ninguna manera</w:t>
      </w:r>
      <w:r>
        <w:rPr>
          <w:rFonts w:cs="Verdana Bold"/>
          <w:bCs/>
          <w:szCs w:val="20"/>
          <w:lang w:val="es-ES"/>
        </w:rPr>
        <w:t xml:space="preserve"> la</w:t>
      </w:r>
      <w:r w:rsidRPr="001C46C0">
        <w:rPr>
          <w:rFonts w:cs="Verdana Bold"/>
          <w:bCs/>
          <w:szCs w:val="20"/>
          <w:lang w:val="es-ES"/>
        </w:rPr>
        <w:t xml:space="preserve"> faculta </w:t>
      </w:r>
      <w:r>
        <w:rPr>
          <w:rFonts w:cs="Verdana Bold"/>
          <w:bCs/>
          <w:szCs w:val="20"/>
          <w:lang w:val="es-ES"/>
        </w:rPr>
        <w:t>par</w:t>
      </w:r>
      <w:r w:rsidRPr="001C46C0">
        <w:rPr>
          <w:rFonts w:cs="Verdana Bold"/>
          <w:bCs/>
          <w:szCs w:val="20"/>
          <w:lang w:val="es-ES"/>
        </w:rPr>
        <w:t>a publicarlo antes de llevar el caso a la Corte. Por lo tanto, el Estado solicitó que se declare que la Comisión vulneró los artículos 50 y 51 de la Convención y que retire de su sitio electrónico el Informe aludido</w:t>
      </w:r>
      <w:bookmarkEnd w:id="63"/>
      <w:bookmarkEnd w:id="64"/>
      <w:bookmarkEnd w:id="65"/>
      <w:bookmarkEnd w:id="66"/>
      <w:r w:rsidR="002D676F">
        <w:rPr>
          <w:rFonts w:cs="Verdana Bold"/>
          <w:bCs/>
          <w:szCs w:val="20"/>
          <w:lang w:val="es-ES"/>
        </w:rPr>
        <w:t>.</w:t>
      </w:r>
    </w:p>
    <w:p w14:paraId="13D65931" w14:textId="77777777" w:rsidR="005166F9" w:rsidRPr="001C46C0" w:rsidRDefault="005166F9" w:rsidP="00B811D7">
      <w:pPr>
        <w:pStyle w:val="ListParagraph"/>
        <w:ind w:left="0" w:right="49"/>
        <w:outlineLvl w:val="0"/>
        <w:rPr>
          <w:rFonts w:cs="Verdana Bold"/>
          <w:bCs/>
          <w:szCs w:val="20"/>
          <w:lang w:val="es-ES"/>
        </w:rPr>
      </w:pPr>
    </w:p>
    <w:p w14:paraId="583E78E6" w14:textId="3DFB011B" w:rsidR="00C90C4F" w:rsidRPr="00CC36D9" w:rsidRDefault="005166F9" w:rsidP="00C90C4F">
      <w:pPr>
        <w:pStyle w:val="ListParagraph"/>
        <w:numPr>
          <w:ilvl w:val="0"/>
          <w:numId w:val="1"/>
        </w:numPr>
        <w:ind w:right="49"/>
        <w:outlineLvl w:val="0"/>
        <w:rPr>
          <w:szCs w:val="20"/>
          <w:lang w:val="es-MX"/>
        </w:rPr>
      </w:pPr>
      <w:r w:rsidRPr="00CC36D9">
        <w:rPr>
          <w:rFonts w:cs="Verdana Bold"/>
          <w:bCs/>
          <w:szCs w:val="20"/>
          <w:lang w:val="es-ES"/>
        </w:rPr>
        <w:t xml:space="preserve">La </w:t>
      </w:r>
      <w:r w:rsidRPr="00CC36D9">
        <w:rPr>
          <w:rFonts w:cs="Verdana Bold"/>
          <w:b/>
          <w:bCs/>
          <w:i/>
          <w:szCs w:val="20"/>
          <w:lang w:val="es-ES"/>
        </w:rPr>
        <w:t>Comisión</w:t>
      </w:r>
      <w:r w:rsidRPr="00CC36D9">
        <w:rPr>
          <w:rFonts w:cs="Verdana Bold"/>
          <w:bCs/>
          <w:szCs w:val="20"/>
          <w:lang w:val="es-ES"/>
        </w:rPr>
        <w:t xml:space="preserve"> señaló que el alegato del Estado no constituye una excepción preliminar, pues no se refiere a cuestiones de competencia, ni a los requisitos de admisibilidad establecidos en la Convención. Además, indicó que el Informe emitido de conformidad con el artículo 50 de la Convención Americana, constituye un informe preliminar y de naturaleza confidencial, el cual puede dar lugar a dos acciones: el sometimiento del caso a la Corte Interamericana o proceder hacia su eventual publicación. En el presente caso, tras la presentación del caso a la Corte, la Comisión publicó el Informe final, hecho que no vulneró la Convención. Finalmente, la Comisión señaló que el Estado no presentó ningún elemento probatorio sobre esa supuesta publicación indebida</w:t>
      </w:r>
      <w:bookmarkStart w:id="67" w:name="_Toc468909974"/>
      <w:bookmarkStart w:id="68" w:name="_Toc468910200"/>
      <w:bookmarkStart w:id="69" w:name="_Toc469404440"/>
      <w:bookmarkStart w:id="70" w:name="_Toc472608885"/>
      <w:bookmarkStart w:id="71" w:name="_Toc468909975"/>
      <w:bookmarkStart w:id="72" w:name="_Toc468910201"/>
      <w:bookmarkStart w:id="73" w:name="_Toc469404441"/>
      <w:bookmarkStart w:id="74" w:name="_Toc472608886"/>
      <w:bookmarkEnd w:id="67"/>
      <w:bookmarkEnd w:id="68"/>
      <w:bookmarkEnd w:id="69"/>
      <w:bookmarkEnd w:id="70"/>
      <w:r w:rsidR="002D676F">
        <w:rPr>
          <w:rFonts w:cs="Verdana Bold"/>
          <w:bCs/>
          <w:szCs w:val="20"/>
          <w:lang w:val="es-ES"/>
        </w:rPr>
        <w:t>.</w:t>
      </w:r>
    </w:p>
    <w:p w14:paraId="717513AC" w14:textId="25A3F99C" w:rsidR="00C90C4F" w:rsidRDefault="00C90C4F" w:rsidP="00C90C4F">
      <w:pPr>
        <w:pStyle w:val="ListParagraph"/>
        <w:ind w:left="0" w:right="49"/>
        <w:outlineLvl w:val="0"/>
        <w:rPr>
          <w:szCs w:val="20"/>
          <w:lang w:val="es-MX"/>
        </w:rPr>
      </w:pPr>
    </w:p>
    <w:p w14:paraId="4E356EE3" w14:textId="29967D4F" w:rsidR="005166F9" w:rsidRPr="00C90C4F" w:rsidRDefault="005166F9" w:rsidP="00C90C4F">
      <w:pPr>
        <w:pStyle w:val="ListParagraph"/>
        <w:numPr>
          <w:ilvl w:val="0"/>
          <w:numId w:val="1"/>
        </w:numPr>
        <w:ind w:right="49"/>
        <w:outlineLvl w:val="0"/>
        <w:rPr>
          <w:szCs w:val="20"/>
          <w:lang w:val="es-MX"/>
        </w:rPr>
      </w:pPr>
      <w:r w:rsidRPr="00C90C4F">
        <w:rPr>
          <w:rFonts w:cs="Verdana Bold"/>
          <w:bCs/>
          <w:szCs w:val="20"/>
          <w:lang w:val="es-ES"/>
        </w:rPr>
        <w:t xml:space="preserve">Los </w:t>
      </w:r>
      <w:r w:rsidRPr="00C90C4F">
        <w:rPr>
          <w:rFonts w:cs="Verdana Bold"/>
          <w:b/>
          <w:bCs/>
          <w:i/>
          <w:szCs w:val="20"/>
          <w:lang w:val="es-ES"/>
        </w:rPr>
        <w:t>representantes</w:t>
      </w:r>
      <w:r w:rsidRPr="00C90C4F">
        <w:rPr>
          <w:rFonts w:cs="Verdana Bold"/>
          <w:bCs/>
          <w:szCs w:val="20"/>
          <w:lang w:val="es-ES"/>
        </w:rPr>
        <w:t xml:space="preserve"> manifestaron que la petición de inadmisibilidad</w:t>
      </w:r>
      <w:r w:rsidR="002C3CF9">
        <w:rPr>
          <w:rFonts w:cs="Verdana Bold"/>
          <w:bCs/>
          <w:szCs w:val="20"/>
          <w:lang w:val="es-ES"/>
        </w:rPr>
        <w:t>,</w:t>
      </w:r>
      <w:r w:rsidRPr="00C90C4F">
        <w:rPr>
          <w:rFonts w:cs="Verdana Bold"/>
          <w:bCs/>
          <w:szCs w:val="20"/>
          <w:lang w:val="es-ES"/>
        </w:rPr>
        <w:t xml:space="preserve"> basada en la publicación del Informe de Fondo</w:t>
      </w:r>
      <w:r w:rsidR="002C3CF9">
        <w:rPr>
          <w:rFonts w:cs="Verdana Bold"/>
          <w:bCs/>
          <w:szCs w:val="20"/>
          <w:lang w:val="es-ES"/>
        </w:rPr>
        <w:t>,</w:t>
      </w:r>
      <w:r w:rsidRPr="00C90C4F">
        <w:rPr>
          <w:rFonts w:cs="Verdana Bold"/>
          <w:bCs/>
          <w:szCs w:val="20"/>
          <w:lang w:val="es-ES"/>
        </w:rPr>
        <w:t xml:space="preserve"> no constituye una excepción preliminar, por lo que no corresponde ser analizada. Señalaron que, al realizar su objeción sobre este punto, el Estado no presentó ningún argumento que genere la posibilidad de excluir la competencia de la Corte. Adicionalmente, añadieron que la Corte tiene la atribución de efectuar un control de legalidad de las actuaciones de la Comisión siempre que exista un </w:t>
      </w:r>
      <w:r w:rsidR="005866C5" w:rsidRPr="00C90C4F">
        <w:rPr>
          <w:rFonts w:cs="Verdana Bold"/>
          <w:bCs/>
          <w:szCs w:val="20"/>
          <w:lang w:val="es-ES"/>
        </w:rPr>
        <w:t xml:space="preserve">grave </w:t>
      </w:r>
      <w:r w:rsidRPr="00C90C4F">
        <w:rPr>
          <w:rFonts w:cs="Verdana Bold"/>
          <w:bCs/>
          <w:szCs w:val="20"/>
          <w:lang w:val="es-ES"/>
        </w:rPr>
        <w:t>error en la actuación de la misma que vulnere el derecho de defensa de las partes. Y en ese caso, la parte que afirma la irregularidad debe demonstrar el perjuicio, por lo que no es suficiente presentar una queja o discrepancia de criterios en relación con lo actuado por la Comisión</w:t>
      </w:r>
      <w:bookmarkEnd w:id="71"/>
      <w:bookmarkEnd w:id="72"/>
      <w:bookmarkEnd w:id="73"/>
      <w:bookmarkEnd w:id="74"/>
      <w:r w:rsidR="002D676F">
        <w:rPr>
          <w:rFonts w:cs="Verdana Bold"/>
          <w:bCs/>
          <w:szCs w:val="20"/>
          <w:lang w:val="es-ES"/>
        </w:rPr>
        <w:t>.</w:t>
      </w:r>
    </w:p>
    <w:p w14:paraId="72EBC684" w14:textId="77777777" w:rsidR="005166F9" w:rsidRPr="001C46C0" w:rsidRDefault="005166F9" w:rsidP="00B811D7">
      <w:pPr>
        <w:pStyle w:val="Heading3"/>
        <w:ind w:left="0"/>
        <w:rPr>
          <w:noProof/>
          <w:szCs w:val="20"/>
          <w:lang w:val="es-ES" w:eastAsia="es-ES"/>
        </w:rPr>
      </w:pPr>
      <w:bookmarkStart w:id="75" w:name="_Toc460432963"/>
      <w:bookmarkStart w:id="76" w:name="_Toc460441894"/>
      <w:bookmarkStart w:id="77" w:name="_Toc462750714"/>
      <w:bookmarkStart w:id="78" w:name="_Toc462751038"/>
    </w:p>
    <w:p w14:paraId="5A2B9DCD" w14:textId="77777777" w:rsidR="005166F9" w:rsidRPr="001C46C0" w:rsidRDefault="005166F9" w:rsidP="00B811D7">
      <w:pPr>
        <w:pStyle w:val="Heading3"/>
        <w:ind w:left="0"/>
        <w:rPr>
          <w:noProof/>
          <w:szCs w:val="20"/>
          <w:lang w:eastAsia="es-ES"/>
        </w:rPr>
      </w:pPr>
      <w:bookmarkStart w:id="79" w:name="_Toc468909976"/>
      <w:bookmarkStart w:id="80" w:name="_Toc468910202"/>
      <w:bookmarkStart w:id="81" w:name="_Toc469404442"/>
      <w:bookmarkStart w:id="82" w:name="_Toc472608887"/>
      <w:r w:rsidRPr="001C46C0">
        <w:rPr>
          <w:noProof/>
          <w:szCs w:val="20"/>
          <w:lang w:eastAsia="es-ES"/>
        </w:rPr>
        <w:t>A.2. Consideraciones de la Corte</w:t>
      </w:r>
      <w:bookmarkEnd w:id="75"/>
      <w:bookmarkEnd w:id="76"/>
      <w:bookmarkEnd w:id="77"/>
      <w:bookmarkEnd w:id="78"/>
      <w:bookmarkEnd w:id="79"/>
      <w:bookmarkEnd w:id="80"/>
      <w:bookmarkEnd w:id="81"/>
      <w:bookmarkEnd w:id="82"/>
    </w:p>
    <w:p w14:paraId="5651B862" w14:textId="77777777" w:rsidR="005166F9" w:rsidRPr="001C46C0" w:rsidRDefault="005166F9" w:rsidP="00B811D7">
      <w:pPr>
        <w:rPr>
          <w:rFonts w:eastAsia="Batang" w:cs="Times"/>
          <w:i/>
          <w:noProof/>
          <w:szCs w:val="20"/>
          <w:lang w:val="es-MX" w:eastAsia="es-ES"/>
        </w:rPr>
      </w:pPr>
    </w:p>
    <w:p w14:paraId="181B6B8F" w14:textId="0DAABC5E" w:rsidR="005166F9" w:rsidRPr="001C46C0" w:rsidRDefault="005166F9" w:rsidP="00D6683A">
      <w:pPr>
        <w:numPr>
          <w:ilvl w:val="0"/>
          <w:numId w:val="1"/>
        </w:numPr>
        <w:rPr>
          <w:rFonts w:eastAsia="Batang" w:cs="Times"/>
          <w:noProof/>
          <w:szCs w:val="20"/>
          <w:lang w:val="es-ES" w:eastAsia="es-ES"/>
        </w:rPr>
      </w:pPr>
      <w:r w:rsidRPr="001C46C0">
        <w:rPr>
          <w:rFonts w:eastAsia="Batang" w:cs="Times"/>
          <w:noProof/>
          <w:szCs w:val="20"/>
          <w:lang w:val="es-MX" w:eastAsia="es-ES"/>
        </w:rPr>
        <w:lastRenderedPageBreak/>
        <w:t>Es interpretación reiterada de este Tribunal que los artículos 50 y 51 de la Convención aluden a dos Informes</w:t>
      </w:r>
      <w:r w:rsidR="00E731AC">
        <w:rPr>
          <w:rFonts w:eastAsia="Batang" w:cs="Times"/>
          <w:noProof/>
          <w:szCs w:val="20"/>
          <w:lang w:val="es-MX" w:eastAsia="es-ES"/>
        </w:rPr>
        <w:t xml:space="preserve"> con naturaleza distinta</w:t>
      </w:r>
      <w:r w:rsidRPr="001C46C0">
        <w:rPr>
          <w:rFonts w:eastAsia="Batang" w:cs="Times"/>
          <w:noProof/>
          <w:szCs w:val="20"/>
          <w:lang w:val="es-MX" w:eastAsia="es-ES"/>
        </w:rPr>
        <w:t>, el primero identificado como informe preliminar, y el segundo como definitivo</w:t>
      </w:r>
      <w:r w:rsidR="00977AB2">
        <w:rPr>
          <w:rFonts w:eastAsia="Batang" w:cs="Times"/>
          <w:noProof/>
          <w:szCs w:val="20"/>
          <w:lang w:val="es-MX" w:eastAsia="es-ES"/>
        </w:rPr>
        <w:t>, por lo que c</w:t>
      </w:r>
      <w:r w:rsidRPr="001C46C0">
        <w:rPr>
          <w:rFonts w:eastAsia="Batang" w:cs="Times"/>
          <w:noProof/>
          <w:szCs w:val="20"/>
          <w:lang w:val="es-MX" w:eastAsia="es-ES"/>
        </w:rPr>
        <w:t xml:space="preserve">ada uno corresponde a etapas </w:t>
      </w:r>
      <w:r w:rsidR="00E731AC">
        <w:rPr>
          <w:rFonts w:eastAsia="Batang" w:cs="Times"/>
          <w:noProof/>
          <w:szCs w:val="20"/>
          <w:lang w:val="es-MX" w:eastAsia="es-ES"/>
        </w:rPr>
        <w:t>diferentes</w:t>
      </w:r>
      <w:r w:rsidRPr="001C46C0">
        <w:rPr>
          <w:rFonts w:eastAsia="Batang" w:cs="Times"/>
          <w:noProof/>
          <w:szCs w:val="20"/>
          <w:vertAlign w:val="superscript"/>
          <w:lang w:val="es-MX" w:eastAsia="es-ES"/>
        </w:rPr>
        <w:footnoteReference w:id="19"/>
      </w:r>
      <w:r w:rsidRPr="001C46C0">
        <w:rPr>
          <w:rFonts w:eastAsia="Batang" w:cs="Times"/>
          <w:noProof/>
          <w:szCs w:val="20"/>
          <w:lang w:val="es-MX" w:eastAsia="es-ES"/>
        </w:rPr>
        <w:t>.</w:t>
      </w:r>
    </w:p>
    <w:p w14:paraId="6EFA0C43" w14:textId="77777777" w:rsidR="005166F9" w:rsidRPr="001C46C0" w:rsidRDefault="005166F9" w:rsidP="00B811D7">
      <w:pPr>
        <w:pStyle w:val="ListParagraph"/>
        <w:ind w:left="0" w:right="49"/>
        <w:outlineLvl w:val="0"/>
        <w:rPr>
          <w:rFonts w:cs="Verdana Bold"/>
          <w:bCs/>
          <w:szCs w:val="20"/>
          <w:lang w:val="es-ES"/>
        </w:rPr>
      </w:pPr>
    </w:p>
    <w:p w14:paraId="09B552D7" w14:textId="4540A042" w:rsidR="005166F9" w:rsidRPr="001C46C0" w:rsidRDefault="005166F9" w:rsidP="00D6683A">
      <w:pPr>
        <w:pStyle w:val="ListParagraph"/>
        <w:numPr>
          <w:ilvl w:val="0"/>
          <w:numId w:val="1"/>
        </w:numPr>
        <w:ind w:right="49"/>
        <w:outlineLvl w:val="0"/>
        <w:rPr>
          <w:rFonts w:cs="Verdana Bold"/>
          <w:bCs/>
          <w:szCs w:val="20"/>
          <w:lang w:val="es-ES"/>
        </w:rPr>
      </w:pPr>
      <w:bookmarkStart w:id="83" w:name="_Toc468909977"/>
      <w:bookmarkStart w:id="84" w:name="_Toc468910203"/>
      <w:bookmarkStart w:id="85" w:name="_Toc469404443"/>
      <w:bookmarkStart w:id="86" w:name="_Toc472608888"/>
      <w:r w:rsidRPr="001C46C0">
        <w:rPr>
          <w:rFonts w:eastAsia="Batang" w:cs="Times"/>
          <w:noProof/>
          <w:szCs w:val="20"/>
          <w:lang w:val="es-MX" w:eastAsia="es-ES"/>
        </w:rPr>
        <w:t xml:space="preserve">El informe preliminar responde a la primera etapa del procedimiento y está previsto en el artículo 50 de la Convención, el cual dispone que la Comisión, si </w:t>
      </w:r>
      <w:r w:rsidRPr="001C46C0">
        <w:rPr>
          <w:rFonts w:eastAsia="Batang" w:cs="Times"/>
          <w:noProof/>
          <w:szCs w:val="20"/>
          <w:lang w:val="es-ES" w:eastAsia="es-ES"/>
        </w:rPr>
        <w:t xml:space="preserve">no </w:t>
      </w:r>
      <w:r w:rsidR="005866C5" w:rsidRPr="001C46C0">
        <w:rPr>
          <w:rFonts w:eastAsia="Batang" w:cs="Times"/>
          <w:noProof/>
          <w:szCs w:val="20"/>
          <w:lang w:val="es-ES" w:eastAsia="es-ES"/>
        </w:rPr>
        <w:t>llegar</w:t>
      </w:r>
      <w:r w:rsidR="005866C5">
        <w:rPr>
          <w:rFonts w:eastAsia="Batang" w:cs="Times"/>
          <w:noProof/>
          <w:szCs w:val="20"/>
          <w:lang w:val="es-ES" w:eastAsia="es-ES"/>
        </w:rPr>
        <w:t>a</w:t>
      </w:r>
      <w:r w:rsidR="005866C5" w:rsidRPr="001C46C0">
        <w:rPr>
          <w:rFonts w:eastAsia="Batang" w:cs="Times"/>
          <w:noProof/>
          <w:szCs w:val="20"/>
          <w:lang w:val="es-ES" w:eastAsia="es-ES"/>
        </w:rPr>
        <w:t xml:space="preserve"> </w:t>
      </w:r>
      <w:r w:rsidRPr="001C46C0">
        <w:rPr>
          <w:rFonts w:eastAsia="Batang" w:cs="Times"/>
          <w:noProof/>
          <w:szCs w:val="20"/>
          <w:lang w:val="es-ES" w:eastAsia="es-ES"/>
        </w:rPr>
        <w:t>a una solución, redactará un informe en el que expondrá los hechos y sus conclusiones, mismo que transmitirá al Estado interesado. Este documento es de carácter preliminar, por lo que se transmitirá con calidad de reservado al Estado a efecto de que adopte las proposiciones y recomendaciones de la Comisión y solucione el problema planteado. La calidad de preliminar y reservado del documento hacen que el Estado no tenga la facultad de publicarlo, por lo que, en observancia a los principios de igualdad y equilibrio procesal de las partes, es razonable considerar que la Comisión tampoco se encuentra en posibilidad material y jurídica de publicar ese informe preliminar</w:t>
      </w:r>
      <w:r w:rsidRPr="001C46C0">
        <w:rPr>
          <w:rFonts w:eastAsia="Batang" w:cs="Times"/>
          <w:noProof/>
          <w:szCs w:val="20"/>
          <w:vertAlign w:val="superscript"/>
          <w:lang w:val="es-ES" w:eastAsia="es-ES"/>
        </w:rPr>
        <w:footnoteReference w:id="20"/>
      </w:r>
      <w:r w:rsidRPr="001C46C0">
        <w:rPr>
          <w:rFonts w:eastAsia="Batang" w:cs="Times"/>
          <w:noProof/>
          <w:szCs w:val="20"/>
          <w:lang w:val="es-ES" w:eastAsia="es-ES"/>
        </w:rPr>
        <w:t>.</w:t>
      </w:r>
      <w:bookmarkEnd w:id="83"/>
      <w:bookmarkEnd w:id="84"/>
      <w:bookmarkEnd w:id="85"/>
      <w:bookmarkEnd w:id="86"/>
      <w:r w:rsidRPr="001C46C0">
        <w:rPr>
          <w:rFonts w:eastAsia="Batang" w:cs="Times"/>
          <w:noProof/>
          <w:szCs w:val="20"/>
          <w:lang w:val="es-ES" w:eastAsia="es-ES"/>
        </w:rPr>
        <w:t xml:space="preserve">  </w:t>
      </w:r>
    </w:p>
    <w:p w14:paraId="0F6A8115" w14:textId="77777777" w:rsidR="00977AB2" w:rsidRPr="00CA3759" w:rsidRDefault="00977AB2" w:rsidP="00CA3759">
      <w:pPr>
        <w:pStyle w:val="ListParagraph"/>
        <w:rPr>
          <w:rFonts w:eastAsia="Batang" w:cs="Times"/>
          <w:noProof/>
          <w:szCs w:val="20"/>
          <w:lang w:val="es-ES" w:eastAsia="es-ES"/>
        </w:rPr>
      </w:pPr>
    </w:p>
    <w:p w14:paraId="1EE38ECF" w14:textId="750990A0" w:rsidR="00977AB2" w:rsidRPr="001C46C0" w:rsidRDefault="00977AB2" w:rsidP="00977AB2">
      <w:pPr>
        <w:numPr>
          <w:ilvl w:val="0"/>
          <w:numId w:val="1"/>
        </w:numPr>
        <w:rPr>
          <w:rFonts w:eastAsia="Batang" w:cs="Times"/>
          <w:noProof/>
          <w:szCs w:val="20"/>
          <w:lang w:val="es-ES" w:eastAsia="es-ES"/>
        </w:rPr>
      </w:pPr>
      <w:r>
        <w:rPr>
          <w:rFonts w:eastAsia="Batang" w:cs="Times"/>
          <w:noProof/>
          <w:szCs w:val="20"/>
          <w:lang w:val="es-ES" w:eastAsia="es-ES"/>
        </w:rPr>
        <w:t>La Corte hace notar que u</w:t>
      </w:r>
      <w:r w:rsidRPr="001C46C0">
        <w:rPr>
          <w:rFonts w:eastAsia="Batang" w:cs="Times"/>
          <w:noProof/>
          <w:szCs w:val="20"/>
          <w:lang w:val="es-ES" w:eastAsia="es-ES"/>
        </w:rPr>
        <w:t>na vez transcurrido un plazo de tres meses, si el asunto no ha sido solucionado por el Estado al cual se ha dirigido el informe preliminar, atendiendo las prop</w:t>
      </w:r>
      <w:r w:rsidR="00A42D70">
        <w:rPr>
          <w:rFonts w:eastAsia="Batang" w:cs="Times"/>
          <w:noProof/>
          <w:szCs w:val="20"/>
          <w:lang w:val="es-ES" w:eastAsia="es-ES"/>
        </w:rPr>
        <w:t>uestas</w:t>
      </w:r>
      <w:r w:rsidRPr="001C46C0">
        <w:rPr>
          <w:rFonts w:eastAsia="Batang" w:cs="Times"/>
          <w:noProof/>
          <w:szCs w:val="20"/>
          <w:lang w:val="es-ES" w:eastAsia="es-ES"/>
        </w:rPr>
        <w:t xml:space="preserve"> formuladas en el mismo, la Comisión está facultada dentro de dicho período a decidir si </w:t>
      </w:r>
      <w:r w:rsidR="00A42D70">
        <w:rPr>
          <w:rFonts w:eastAsia="Batang" w:cs="Times"/>
          <w:noProof/>
          <w:szCs w:val="20"/>
          <w:lang w:val="es-ES" w:eastAsia="es-ES"/>
        </w:rPr>
        <w:t>presenta</w:t>
      </w:r>
      <w:r w:rsidRPr="001C46C0">
        <w:rPr>
          <w:rFonts w:eastAsia="Batang" w:cs="Times"/>
          <w:noProof/>
          <w:szCs w:val="20"/>
          <w:lang w:val="es-ES" w:eastAsia="es-ES"/>
        </w:rPr>
        <w:t xml:space="preserve"> el caso a la Corte </w:t>
      </w:r>
      <w:r w:rsidR="004E1D92" w:rsidRPr="0073167D">
        <w:rPr>
          <w:rFonts w:eastAsia="Batang" w:cs="Times"/>
          <w:noProof/>
          <w:szCs w:val="20"/>
          <w:lang w:val="es-ES" w:eastAsia="es-ES"/>
        </w:rPr>
        <w:t>a través del sometimiento del Informe previsto en el arcítulo 50 de la Convención,</w:t>
      </w:r>
      <w:r w:rsidR="004E1D92">
        <w:rPr>
          <w:rFonts w:eastAsia="Batang" w:cs="Times"/>
          <w:noProof/>
          <w:szCs w:val="20"/>
          <w:lang w:val="es-ES" w:eastAsia="es-ES"/>
        </w:rPr>
        <w:t xml:space="preserve"> </w:t>
      </w:r>
      <w:r w:rsidRPr="001C46C0">
        <w:rPr>
          <w:rFonts w:eastAsia="Batang" w:cs="Times"/>
          <w:noProof/>
          <w:szCs w:val="20"/>
          <w:lang w:val="es-ES" w:eastAsia="es-ES"/>
        </w:rPr>
        <w:t>o si realiza la publicación del Informe de acuerdo al artículo 51</w:t>
      </w:r>
      <w:r w:rsidR="00C14826">
        <w:rPr>
          <w:rStyle w:val="FootnoteReference"/>
          <w:rFonts w:eastAsia="Batang"/>
          <w:noProof/>
          <w:lang w:val="es-ES" w:eastAsia="es-ES"/>
        </w:rPr>
        <w:footnoteReference w:id="21"/>
      </w:r>
      <w:r w:rsidRPr="001C46C0">
        <w:rPr>
          <w:rFonts w:eastAsia="Batang" w:cs="Times"/>
          <w:noProof/>
          <w:szCs w:val="20"/>
          <w:lang w:val="es-ES" w:eastAsia="es-ES"/>
        </w:rPr>
        <w:t xml:space="preserve">. </w:t>
      </w:r>
    </w:p>
    <w:p w14:paraId="1AEA6AC7" w14:textId="77777777" w:rsidR="00977AB2" w:rsidRPr="001C46C0" w:rsidRDefault="00977AB2" w:rsidP="00977AB2">
      <w:pPr>
        <w:rPr>
          <w:rFonts w:eastAsia="Batang" w:cs="Times"/>
          <w:noProof/>
          <w:szCs w:val="20"/>
          <w:lang w:val="es-ES" w:eastAsia="es-ES"/>
        </w:rPr>
      </w:pPr>
    </w:p>
    <w:p w14:paraId="2E0F0406" w14:textId="4E2E1562" w:rsidR="00977AB2" w:rsidRPr="001C46C0" w:rsidRDefault="00977AB2" w:rsidP="00977AB2">
      <w:pPr>
        <w:numPr>
          <w:ilvl w:val="0"/>
          <w:numId w:val="1"/>
        </w:numPr>
        <w:rPr>
          <w:rFonts w:eastAsia="Batang" w:cs="Times"/>
          <w:noProof/>
          <w:szCs w:val="20"/>
          <w:lang w:val="es-ES" w:eastAsia="es-ES"/>
        </w:rPr>
      </w:pPr>
      <w:r w:rsidRPr="001C46C0">
        <w:rPr>
          <w:rFonts w:eastAsia="Batang" w:cs="Times"/>
          <w:noProof/>
          <w:szCs w:val="20"/>
          <w:lang w:val="es-ES" w:eastAsia="es-ES"/>
        </w:rPr>
        <w:t>En ese sentido, el Informe previsto en el artículo 50 puede ser publicado, siempre que ello suceda después de la presentación del caso a la Corte. Esto en razón de que en ese momento del procedimiento el Estado ya conoce de su contenido y tuvo la oportunidad para cumplir las recomendaciones. Así, no se puede considerar vulnerado el principio de equilibrio procesal entre las partes. Esa ha sido la práctica reiterada de la Comisión por muchos años, en particular desde la reforma de</w:t>
      </w:r>
      <w:r w:rsidR="00430041">
        <w:rPr>
          <w:rFonts w:eastAsia="Batang" w:cs="Times"/>
          <w:noProof/>
          <w:szCs w:val="20"/>
          <w:lang w:val="es-ES" w:eastAsia="es-ES"/>
        </w:rPr>
        <w:t xml:space="preserve"> su</w:t>
      </w:r>
      <w:r w:rsidRPr="001C46C0">
        <w:rPr>
          <w:rFonts w:eastAsia="Batang" w:cs="Times"/>
          <w:noProof/>
          <w:szCs w:val="20"/>
          <w:lang w:val="es-ES" w:eastAsia="es-ES"/>
        </w:rPr>
        <w:t xml:space="preserve"> Reglamento del año 2009. </w:t>
      </w:r>
    </w:p>
    <w:p w14:paraId="111A28B5" w14:textId="77777777" w:rsidR="00977AB2" w:rsidRDefault="00977AB2" w:rsidP="00977AB2">
      <w:pPr>
        <w:rPr>
          <w:rFonts w:eastAsia="Batang" w:cs="Times"/>
          <w:noProof/>
          <w:szCs w:val="20"/>
          <w:lang w:val="es-ES" w:eastAsia="es-ES"/>
        </w:rPr>
      </w:pPr>
    </w:p>
    <w:p w14:paraId="33986904" w14:textId="796D2ECB" w:rsidR="00977AB2" w:rsidRPr="001C46C0" w:rsidRDefault="00977AB2" w:rsidP="00977AB2">
      <w:pPr>
        <w:numPr>
          <w:ilvl w:val="0"/>
          <w:numId w:val="1"/>
        </w:numPr>
        <w:rPr>
          <w:rFonts w:eastAsia="Batang" w:cs="Times"/>
          <w:noProof/>
          <w:szCs w:val="20"/>
          <w:lang w:val="es-ES" w:eastAsia="es-ES"/>
        </w:rPr>
      </w:pPr>
      <w:r w:rsidRPr="001C46C0">
        <w:rPr>
          <w:rFonts w:eastAsia="Batang" w:cs="Times"/>
          <w:noProof/>
          <w:szCs w:val="20"/>
          <w:lang w:val="es-ES" w:eastAsia="es-ES"/>
        </w:rPr>
        <w:t>En el presente caso, el Estado afirmó que la Comisión publicó</w:t>
      </w:r>
      <w:r>
        <w:rPr>
          <w:rFonts w:eastAsia="Batang" w:cs="Times"/>
          <w:noProof/>
          <w:szCs w:val="20"/>
          <w:lang w:val="es-ES" w:eastAsia="es-ES"/>
        </w:rPr>
        <w:t xml:space="preserve"> en su sitio electró</w:t>
      </w:r>
      <w:r w:rsidRPr="001C46C0">
        <w:rPr>
          <w:rFonts w:eastAsia="Batang" w:cs="Times"/>
          <w:noProof/>
          <w:szCs w:val="20"/>
          <w:lang w:val="es-ES" w:eastAsia="es-ES"/>
        </w:rPr>
        <w:t>nico</w:t>
      </w:r>
      <w:r>
        <w:rPr>
          <w:rFonts w:eastAsia="Batang" w:cs="Times"/>
          <w:noProof/>
          <w:szCs w:val="20"/>
          <w:lang w:val="es-ES" w:eastAsia="es-ES"/>
        </w:rPr>
        <w:t>,</w:t>
      </w:r>
      <w:r w:rsidRPr="001C46C0">
        <w:rPr>
          <w:rFonts w:eastAsia="Batang" w:cs="Times"/>
          <w:noProof/>
          <w:szCs w:val="20"/>
          <w:lang w:val="es-ES" w:eastAsia="es-ES"/>
        </w:rPr>
        <w:t xml:space="preserve"> con anterioridad a la remision a la Corte, el Informe No. 141/2011</w:t>
      </w:r>
      <w:r w:rsidRPr="00E31C39">
        <w:rPr>
          <w:rFonts w:eastAsia="Batang" w:cs="Times"/>
          <w:noProof/>
          <w:szCs w:val="20"/>
          <w:lang w:val="es-MX" w:eastAsia="es-ES"/>
        </w:rPr>
        <w:t>.</w:t>
      </w:r>
      <w:r w:rsidRPr="001C46C0">
        <w:rPr>
          <w:rFonts w:eastAsia="Batang" w:cs="Times"/>
          <w:noProof/>
          <w:szCs w:val="20"/>
          <w:lang w:val="es-MX" w:eastAsia="es-ES"/>
        </w:rPr>
        <w:t xml:space="preserve"> </w:t>
      </w:r>
      <w:r>
        <w:rPr>
          <w:rFonts w:eastAsia="Batang" w:cs="Times"/>
          <w:noProof/>
          <w:szCs w:val="20"/>
          <w:lang w:val="es-MX" w:eastAsia="es-ES"/>
        </w:rPr>
        <w:t xml:space="preserve">Al respecto, la Corte nota </w:t>
      </w:r>
      <w:r w:rsidRPr="001C46C0">
        <w:rPr>
          <w:rFonts w:eastAsia="Batang" w:cs="Times"/>
          <w:noProof/>
          <w:szCs w:val="20"/>
          <w:lang w:val="es-MX" w:eastAsia="es-ES"/>
        </w:rPr>
        <w:t xml:space="preserve">que el </w:t>
      </w:r>
      <w:r>
        <w:rPr>
          <w:rFonts w:eastAsia="Batang" w:cs="Times"/>
          <w:noProof/>
          <w:szCs w:val="20"/>
          <w:lang w:val="es-MX" w:eastAsia="es-ES"/>
        </w:rPr>
        <w:t>Estado cita un enlace electró</w:t>
      </w:r>
      <w:r w:rsidRPr="001C46C0">
        <w:rPr>
          <w:rFonts w:eastAsia="Batang" w:cs="Times"/>
          <w:noProof/>
          <w:szCs w:val="20"/>
          <w:lang w:val="es-MX" w:eastAsia="es-ES"/>
        </w:rPr>
        <w:t>nico con acceso de fecha 23 de octubre de 2015, esto es, posterior al sometimiento del caso, el cual t</w:t>
      </w:r>
      <w:r w:rsidR="002D676F">
        <w:rPr>
          <w:rFonts w:eastAsia="Batang" w:cs="Times"/>
          <w:noProof/>
          <w:szCs w:val="20"/>
          <w:lang w:val="es-MX" w:eastAsia="es-ES"/>
        </w:rPr>
        <w:t>uvo lugar el 19 de mayo de 2015</w:t>
      </w:r>
      <w:r w:rsidRPr="001C46C0">
        <w:rPr>
          <w:rFonts w:eastAsia="Batang" w:cs="Times"/>
          <w:noProof/>
          <w:szCs w:val="20"/>
          <w:lang w:val="es-MX" w:eastAsia="es-ES"/>
        </w:rPr>
        <w:t>. El Estado no demostró su afirmación relativa a que la publicación del Informe de Fondo del presente caso se dio de forma distinta a lo expuesto por la Comisión o de manera contraria a lo establecido en la Convención Americana.</w:t>
      </w:r>
    </w:p>
    <w:p w14:paraId="610EBC39" w14:textId="77777777" w:rsidR="00977AB2" w:rsidRDefault="00977AB2" w:rsidP="00CA3759">
      <w:pPr>
        <w:rPr>
          <w:rFonts w:eastAsia="Batang" w:cs="Times"/>
          <w:noProof/>
          <w:szCs w:val="20"/>
          <w:lang w:val="es-MX" w:eastAsia="es-ES"/>
        </w:rPr>
      </w:pPr>
    </w:p>
    <w:p w14:paraId="55652B0A" w14:textId="77777777" w:rsidR="00977AB2" w:rsidRPr="001C46C0" w:rsidRDefault="00977AB2" w:rsidP="00977AB2">
      <w:pPr>
        <w:numPr>
          <w:ilvl w:val="0"/>
          <w:numId w:val="1"/>
        </w:numPr>
        <w:rPr>
          <w:rFonts w:eastAsia="Batang" w:cs="Times"/>
          <w:noProof/>
          <w:szCs w:val="20"/>
          <w:lang w:val="es-MX" w:eastAsia="es-ES"/>
        </w:rPr>
      </w:pPr>
      <w:r w:rsidRPr="001C46C0">
        <w:rPr>
          <w:rFonts w:eastAsia="Batang" w:cs="Times"/>
          <w:noProof/>
          <w:szCs w:val="20"/>
          <w:lang w:val="es-MX" w:eastAsia="es-ES"/>
        </w:rPr>
        <w:t xml:space="preserve">En vista de lo anterior, la Corte considera que el alegato estatal es improcedente. </w:t>
      </w:r>
    </w:p>
    <w:p w14:paraId="5951B122" w14:textId="77777777" w:rsidR="00D9438A" w:rsidRPr="00D06319" w:rsidRDefault="00D9438A" w:rsidP="00B811D7">
      <w:pPr>
        <w:pStyle w:val="ListParagraph"/>
        <w:ind w:left="0"/>
        <w:rPr>
          <w:rFonts w:eastAsia="Batang" w:cs="Times"/>
          <w:noProof/>
          <w:szCs w:val="20"/>
          <w:lang w:val="es-ES" w:eastAsia="es-ES"/>
        </w:rPr>
      </w:pPr>
    </w:p>
    <w:p w14:paraId="2E053B4C" w14:textId="77777777" w:rsidR="005166F9" w:rsidRPr="001C46C0" w:rsidRDefault="005166F9" w:rsidP="00123780">
      <w:pPr>
        <w:pStyle w:val="TOC2"/>
      </w:pPr>
      <w:bookmarkStart w:id="87" w:name="_Toc469404444"/>
      <w:bookmarkStart w:id="88" w:name="_Toc472608889"/>
      <w:r w:rsidRPr="001C46C0">
        <w:t xml:space="preserve">B. Alegada </w:t>
      </w:r>
      <w:r>
        <w:t>i</w:t>
      </w:r>
      <w:r w:rsidRPr="001C46C0">
        <w:t>ncompetencia ratione personae respecto de algunas presuntas víctimas</w:t>
      </w:r>
      <w:bookmarkEnd w:id="87"/>
      <w:bookmarkEnd w:id="88"/>
    </w:p>
    <w:p w14:paraId="19C09333" w14:textId="77777777" w:rsidR="005166F9" w:rsidRPr="001C46C0" w:rsidRDefault="005166F9" w:rsidP="00B811D7">
      <w:pPr>
        <w:rPr>
          <w:rFonts w:eastAsia="Batang" w:cs="Times"/>
          <w:b/>
          <w:noProof/>
          <w:szCs w:val="20"/>
          <w:lang w:val="es-ES" w:eastAsia="es-ES"/>
        </w:rPr>
      </w:pPr>
    </w:p>
    <w:p w14:paraId="0BDBD509" w14:textId="77777777" w:rsidR="005166F9" w:rsidRPr="001C46C0" w:rsidRDefault="005166F9" w:rsidP="00B811D7">
      <w:pPr>
        <w:pStyle w:val="Heading3"/>
        <w:ind w:left="0"/>
        <w:rPr>
          <w:noProof/>
          <w:szCs w:val="20"/>
          <w:lang w:eastAsia="es-ES"/>
        </w:rPr>
      </w:pPr>
      <w:bookmarkStart w:id="89" w:name="_Toc460432965"/>
      <w:bookmarkStart w:id="90" w:name="_Toc460441896"/>
      <w:bookmarkStart w:id="91" w:name="_Toc462750716"/>
      <w:bookmarkStart w:id="92" w:name="_Toc462751040"/>
      <w:bookmarkStart w:id="93" w:name="_Toc468909980"/>
      <w:bookmarkStart w:id="94" w:name="_Toc468910206"/>
      <w:bookmarkStart w:id="95" w:name="_Toc469404445"/>
      <w:bookmarkStart w:id="96" w:name="_Toc472608890"/>
      <w:r w:rsidRPr="001C46C0">
        <w:rPr>
          <w:noProof/>
          <w:szCs w:val="20"/>
          <w:lang w:eastAsia="es-ES"/>
        </w:rPr>
        <w:t xml:space="preserve">B.1. </w:t>
      </w:r>
      <w:bookmarkEnd w:id="89"/>
      <w:bookmarkEnd w:id="90"/>
      <w:bookmarkEnd w:id="91"/>
      <w:bookmarkEnd w:id="92"/>
      <w:r w:rsidRPr="001C46C0">
        <w:rPr>
          <w:noProof/>
          <w:szCs w:val="20"/>
          <w:lang w:eastAsia="es-ES"/>
        </w:rPr>
        <w:t>Alegatos del Estado, observaciones de la Comisión y de los representantes</w:t>
      </w:r>
      <w:bookmarkEnd w:id="93"/>
      <w:bookmarkEnd w:id="94"/>
      <w:bookmarkEnd w:id="95"/>
      <w:bookmarkEnd w:id="96"/>
    </w:p>
    <w:p w14:paraId="0B887504" w14:textId="77777777" w:rsidR="005166F9" w:rsidRPr="001C46C0" w:rsidRDefault="005166F9" w:rsidP="00B811D7">
      <w:pPr>
        <w:pStyle w:val="ListParagraph"/>
        <w:ind w:left="0" w:right="49"/>
        <w:outlineLvl w:val="0"/>
        <w:rPr>
          <w:rFonts w:cs="Verdana Bold"/>
          <w:bCs/>
          <w:szCs w:val="20"/>
          <w:lang w:val="es-ES"/>
        </w:rPr>
      </w:pPr>
    </w:p>
    <w:p w14:paraId="0CFDDD84" w14:textId="2B2CA333" w:rsidR="005166F9" w:rsidRPr="001C46C0" w:rsidRDefault="005166F9" w:rsidP="00D6683A">
      <w:pPr>
        <w:pStyle w:val="ListParagraph"/>
        <w:numPr>
          <w:ilvl w:val="0"/>
          <w:numId w:val="1"/>
        </w:numPr>
        <w:ind w:right="49"/>
        <w:outlineLvl w:val="0"/>
        <w:rPr>
          <w:rFonts w:cs="Verdana Bold"/>
          <w:bCs/>
          <w:szCs w:val="20"/>
          <w:lang w:val="es-ES"/>
        </w:rPr>
      </w:pPr>
      <w:bookmarkStart w:id="97" w:name="_Toc468909981"/>
      <w:bookmarkStart w:id="98" w:name="_Toc468910207"/>
      <w:bookmarkStart w:id="99" w:name="_Toc469404446"/>
      <w:bookmarkStart w:id="100" w:name="_Toc472608891"/>
      <w:r w:rsidRPr="001C46C0">
        <w:rPr>
          <w:rFonts w:cs="Verdana Bold"/>
          <w:bCs/>
          <w:szCs w:val="20"/>
          <w:lang w:val="es-ES"/>
        </w:rPr>
        <w:t xml:space="preserve">El </w:t>
      </w:r>
      <w:r w:rsidRPr="005C5A7B">
        <w:rPr>
          <w:rFonts w:cs="Verdana Bold"/>
          <w:b/>
          <w:bCs/>
          <w:i/>
          <w:szCs w:val="20"/>
          <w:lang w:val="es-ES"/>
        </w:rPr>
        <w:t>Estado</w:t>
      </w:r>
      <w:r w:rsidRPr="001C46C0">
        <w:rPr>
          <w:rFonts w:cs="Verdana Bold"/>
          <w:bCs/>
          <w:szCs w:val="20"/>
          <w:lang w:val="es-ES"/>
        </w:rPr>
        <w:t xml:space="preserve"> </w:t>
      </w:r>
      <w:r w:rsidRPr="001C46C0">
        <w:rPr>
          <w:rFonts w:eastAsia="Batang" w:cs="Times"/>
          <w:noProof/>
          <w:szCs w:val="20"/>
          <w:lang w:val="es-ES" w:eastAsia="es-ES"/>
        </w:rPr>
        <w:t xml:space="preserve">alegó que los peticionarios presentaron 38 poderes de familiares de presuntas víctimas enumeradas en el Informe No. 141/11; en algunos casos existen incongruencias entre los nombres listados en </w:t>
      </w:r>
      <w:r>
        <w:rPr>
          <w:rFonts w:eastAsia="Batang" w:cs="Times"/>
          <w:noProof/>
          <w:szCs w:val="20"/>
          <w:lang w:val="es-ES" w:eastAsia="es-ES"/>
        </w:rPr>
        <w:t xml:space="preserve">dicho </w:t>
      </w:r>
      <w:r w:rsidRPr="001C46C0">
        <w:rPr>
          <w:rFonts w:eastAsia="Batang" w:cs="Times"/>
          <w:noProof/>
          <w:szCs w:val="20"/>
          <w:lang w:val="es-ES" w:eastAsia="es-ES"/>
        </w:rPr>
        <w:t xml:space="preserve">Informe y en el escrito de solicitudes y </w:t>
      </w:r>
      <w:r w:rsidRPr="001C46C0">
        <w:rPr>
          <w:rFonts w:eastAsia="Batang" w:cs="Times"/>
          <w:noProof/>
          <w:szCs w:val="20"/>
          <w:lang w:val="es-ES" w:eastAsia="es-ES"/>
        </w:rPr>
        <w:lastRenderedPageBreak/>
        <w:t>argumentos</w:t>
      </w:r>
      <w:r>
        <w:rPr>
          <w:rFonts w:eastAsia="Batang" w:cs="Times"/>
          <w:noProof/>
          <w:szCs w:val="20"/>
          <w:lang w:val="es-ES" w:eastAsia="es-ES"/>
        </w:rPr>
        <w:t>,</w:t>
      </w:r>
      <w:r w:rsidRPr="001C46C0">
        <w:rPr>
          <w:rFonts w:eastAsia="Batang" w:cs="Times"/>
          <w:noProof/>
          <w:szCs w:val="20"/>
          <w:lang w:val="es-ES" w:eastAsia="es-ES"/>
        </w:rPr>
        <w:t xml:space="preserve"> y en algunos casos no fue posible comprobar el vínculo de parentesco entre el representado y las supuestas víctimas. Agregó que la Corte debe analizar los hechos alegados en relación con las presuntas víctimas debidamente representadas ante el Tribunal y listadas en el Informe </w:t>
      </w:r>
      <w:r>
        <w:rPr>
          <w:rFonts w:eastAsia="Batang" w:cs="Times"/>
          <w:noProof/>
          <w:szCs w:val="20"/>
          <w:lang w:val="es-ES" w:eastAsia="es-ES"/>
        </w:rPr>
        <w:t>No. 141/11</w:t>
      </w:r>
      <w:r w:rsidRPr="001C46C0">
        <w:rPr>
          <w:rFonts w:eastAsia="Batang" w:cs="Times"/>
          <w:noProof/>
          <w:szCs w:val="20"/>
          <w:lang w:val="es-ES" w:eastAsia="es-ES"/>
        </w:rPr>
        <w:t xml:space="preserve"> (el Estado listó los nombres de presuntas víctimas que consideró debidamente identificadas</w:t>
      </w:r>
      <w:r w:rsidRPr="001C46C0">
        <w:rPr>
          <w:rStyle w:val="FootnoteReference"/>
          <w:rFonts w:cs="Verdana Bold"/>
          <w:bCs/>
        </w:rPr>
        <w:t xml:space="preserve"> </w:t>
      </w:r>
      <w:r w:rsidRPr="001C46C0">
        <w:rPr>
          <w:rFonts w:eastAsia="Batang" w:cs="Times"/>
          <w:noProof/>
          <w:szCs w:val="20"/>
          <w:lang w:val="es-ES" w:eastAsia="es-ES"/>
        </w:rPr>
        <w:t>o bien representadas</w:t>
      </w:r>
      <w:r w:rsidRPr="001C46C0">
        <w:rPr>
          <w:rStyle w:val="FootnoteReference"/>
          <w:rFonts w:cs="Verdana Bold"/>
          <w:bCs/>
          <w:lang w:val="es-ES"/>
        </w:rPr>
        <w:footnoteReference w:id="22"/>
      </w:r>
      <w:r w:rsidRPr="001C46C0">
        <w:rPr>
          <w:rFonts w:eastAsia="Batang" w:cs="Times"/>
          <w:noProof/>
          <w:szCs w:val="20"/>
          <w:lang w:val="es-ES" w:eastAsia="es-ES"/>
        </w:rPr>
        <w:t xml:space="preserve"> y en los que estimó exist</w:t>
      </w:r>
      <w:r w:rsidR="00E75789">
        <w:rPr>
          <w:rFonts w:eastAsia="Batang" w:cs="Times"/>
          <w:noProof/>
          <w:szCs w:val="20"/>
          <w:lang w:val="es-ES" w:eastAsia="es-ES"/>
        </w:rPr>
        <w:t>ir</w:t>
      </w:r>
      <w:r w:rsidRPr="001C46C0">
        <w:rPr>
          <w:rFonts w:eastAsia="Batang" w:cs="Times"/>
          <w:noProof/>
          <w:szCs w:val="20"/>
          <w:lang w:val="es-ES" w:eastAsia="es-ES"/>
        </w:rPr>
        <w:t xml:space="preserve"> incongruencia</w:t>
      </w:r>
      <w:r w:rsidRPr="001C46C0">
        <w:rPr>
          <w:rStyle w:val="FootnoteReference"/>
          <w:rFonts w:cs="Verdana Bold"/>
          <w:bCs/>
          <w:lang w:val="es-ES"/>
        </w:rPr>
        <w:footnoteReference w:id="23"/>
      </w:r>
      <w:r w:rsidRPr="001C46C0">
        <w:rPr>
          <w:rFonts w:cs="Verdana Bold"/>
          <w:bCs/>
          <w:szCs w:val="20"/>
          <w:lang w:val="es-ES"/>
        </w:rPr>
        <w:t>)</w:t>
      </w:r>
      <w:bookmarkEnd w:id="97"/>
      <w:bookmarkEnd w:id="98"/>
      <w:bookmarkEnd w:id="99"/>
      <w:bookmarkEnd w:id="100"/>
      <w:r w:rsidR="002D676F">
        <w:rPr>
          <w:rFonts w:cs="Verdana Bold"/>
          <w:bCs/>
          <w:szCs w:val="20"/>
          <w:lang w:val="es-ES"/>
        </w:rPr>
        <w:t>.</w:t>
      </w:r>
    </w:p>
    <w:p w14:paraId="0227DA3D" w14:textId="77777777" w:rsidR="005166F9" w:rsidRPr="001C46C0" w:rsidRDefault="005166F9" w:rsidP="00B811D7">
      <w:pPr>
        <w:pStyle w:val="ListParagraph"/>
        <w:ind w:left="0" w:right="49"/>
        <w:outlineLvl w:val="0"/>
        <w:rPr>
          <w:rFonts w:cs="Verdana Bold"/>
          <w:bCs/>
          <w:szCs w:val="20"/>
          <w:lang w:val="es-ES"/>
        </w:rPr>
      </w:pPr>
    </w:p>
    <w:p w14:paraId="4DEBFC00" w14:textId="70762D6B" w:rsidR="005166F9" w:rsidRPr="001C46C0" w:rsidRDefault="005166F9" w:rsidP="00D6683A">
      <w:pPr>
        <w:pStyle w:val="ListParagraph"/>
        <w:numPr>
          <w:ilvl w:val="0"/>
          <w:numId w:val="1"/>
        </w:numPr>
        <w:ind w:right="49"/>
        <w:outlineLvl w:val="0"/>
        <w:rPr>
          <w:rFonts w:cs="Verdana Bold"/>
          <w:bCs/>
          <w:szCs w:val="20"/>
          <w:lang w:val="es-ES"/>
        </w:rPr>
      </w:pPr>
      <w:bookmarkStart w:id="101" w:name="_Toc468909982"/>
      <w:bookmarkStart w:id="102" w:name="_Toc468910208"/>
      <w:bookmarkStart w:id="103" w:name="_Toc469404447"/>
      <w:bookmarkStart w:id="104" w:name="_Toc472608892"/>
      <w:r w:rsidRPr="001C46C0">
        <w:rPr>
          <w:rFonts w:cs="Verdana Bold"/>
          <w:bCs/>
          <w:szCs w:val="20"/>
          <w:lang w:val="es-ES"/>
        </w:rPr>
        <w:t xml:space="preserve">También indicó que los representantes deben presentar el </w:t>
      </w:r>
      <w:r w:rsidR="00CD2C2B">
        <w:rPr>
          <w:rFonts w:cs="Verdana Bold"/>
          <w:bCs/>
          <w:szCs w:val="20"/>
          <w:lang w:val="es-ES"/>
        </w:rPr>
        <w:t xml:space="preserve">poder otorgado por </w:t>
      </w:r>
      <w:r w:rsidRPr="001C46C0">
        <w:rPr>
          <w:rFonts w:cs="Verdana Bold"/>
          <w:bCs/>
          <w:szCs w:val="20"/>
          <w:lang w:val="es-ES"/>
        </w:rPr>
        <w:t xml:space="preserve">su representado o su familiar, el cual deberá contener la manifestación clara de la voluntad, identificar </w:t>
      </w:r>
      <w:r w:rsidR="005866C5">
        <w:rPr>
          <w:rFonts w:cs="Verdana Bold"/>
          <w:bCs/>
          <w:szCs w:val="20"/>
          <w:lang w:val="es-ES"/>
        </w:rPr>
        <w:t xml:space="preserve">a </w:t>
      </w:r>
      <w:r w:rsidRPr="001C46C0">
        <w:rPr>
          <w:rFonts w:cs="Verdana Bold"/>
          <w:bCs/>
          <w:szCs w:val="20"/>
          <w:lang w:val="es-ES"/>
        </w:rPr>
        <w:t>la persona</w:t>
      </w:r>
      <w:r w:rsidR="005866C5">
        <w:rPr>
          <w:rFonts w:cs="Verdana Bold"/>
          <w:bCs/>
          <w:szCs w:val="20"/>
          <w:lang w:val="es-ES"/>
        </w:rPr>
        <w:t xml:space="preserve"> a</w:t>
      </w:r>
      <w:r w:rsidRPr="001C46C0">
        <w:rPr>
          <w:rFonts w:cs="Verdana Bold"/>
          <w:bCs/>
          <w:szCs w:val="20"/>
          <w:lang w:val="es-ES"/>
        </w:rPr>
        <w:t xml:space="preserve"> qu</w:t>
      </w:r>
      <w:r w:rsidR="00CD2C2B">
        <w:rPr>
          <w:rFonts w:cs="Verdana Bold"/>
          <w:bCs/>
          <w:szCs w:val="20"/>
          <w:lang w:val="es-ES"/>
        </w:rPr>
        <w:t>ién</w:t>
      </w:r>
      <w:r w:rsidRPr="001C46C0">
        <w:rPr>
          <w:rFonts w:cs="Verdana Bold"/>
          <w:bCs/>
          <w:szCs w:val="20"/>
          <w:lang w:val="es-ES"/>
        </w:rPr>
        <w:t xml:space="preserve"> se le otorga </w:t>
      </w:r>
      <w:r w:rsidR="005866C5">
        <w:rPr>
          <w:rFonts w:cs="Verdana Bold"/>
          <w:bCs/>
          <w:szCs w:val="20"/>
          <w:lang w:val="es-ES"/>
        </w:rPr>
        <w:t xml:space="preserve">el </w:t>
      </w:r>
      <w:r w:rsidRPr="001C46C0">
        <w:rPr>
          <w:rFonts w:cs="Verdana Bold"/>
          <w:bCs/>
          <w:szCs w:val="20"/>
          <w:lang w:val="es-ES"/>
        </w:rPr>
        <w:t xml:space="preserve">poder, </w:t>
      </w:r>
      <w:r w:rsidR="00CD2C2B">
        <w:rPr>
          <w:rFonts w:cs="Verdana Bold"/>
          <w:bCs/>
          <w:szCs w:val="20"/>
          <w:lang w:val="es-ES"/>
        </w:rPr>
        <w:t xml:space="preserve">e indicar </w:t>
      </w:r>
      <w:r w:rsidRPr="001C46C0">
        <w:rPr>
          <w:rFonts w:cs="Verdana Bold"/>
          <w:bCs/>
          <w:szCs w:val="20"/>
          <w:lang w:val="es-ES"/>
        </w:rPr>
        <w:t xml:space="preserve">de forma precisa, el objeto de la representación. El Estado indicó que </w:t>
      </w:r>
      <w:r>
        <w:rPr>
          <w:rFonts w:cs="Verdana Bold"/>
          <w:bCs/>
          <w:szCs w:val="20"/>
          <w:lang w:val="es-ES"/>
        </w:rPr>
        <w:t>a</w:t>
      </w:r>
      <w:r w:rsidR="00CD2C2B">
        <w:rPr>
          <w:rFonts w:cs="Verdana Bold"/>
          <w:bCs/>
          <w:szCs w:val="20"/>
          <w:lang w:val="es-ES"/>
        </w:rPr>
        <w:t>u</w:t>
      </w:r>
      <w:r>
        <w:rPr>
          <w:rFonts w:cs="Verdana Bold"/>
          <w:bCs/>
          <w:szCs w:val="20"/>
          <w:lang w:val="es-ES"/>
        </w:rPr>
        <w:t xml:space="preserve">n cuando </w:t>
      </w:r>
      <w:r w:rsidRPr="001C46C0">
        <w:rPr>
          <w:rFonts w:cs="Verdana Bold"/>
          <w:bCs/>
          <w:szCs w:val="20"/>
          <w:lang w:val="es-ES"/>
        </w:rPr>
        <w:t xml:space="preserve">los representantes cumplieron los requisitos mínimos exigidos por la Corte, persisten problemas de identificación de algunas supuestas víctimas que están representadas, y que esta falta de </w:t>
      </w:r>
      <w:r w:rsidR="00CD2C2B">
        <w:rPr>
          <w:rFonts w:cs="Verdana Bold"/>
          <w:bCs/>
          <w:szCs w:val="20"/>
          <w:lang w:val="es-ES"/>
        </w:rPr>
        <w:t xml:space="preserve">certeza </w:t>
      </w:r>
      <w:r w:rsidRPr="001C46C0">
        <w:rPr>
          <w:rFonts w:cs="Verdana Bold"/>
          <w:bCs/>
          <w:szCs w:val="20"/>
          <w:lang w:val="es-ES"/>
        </w:rPr>
        <w:t>genera inseguridad jurídica.</w:t>
      </w:r>
      <w:bookmarkEnd w:id="101"/>
      <w:bookmarkEnd w:id="102"/>
      <w:bookmarkEnd w:id="103"/>
      <w:bookmarkEnd w:id="104"/>
    </w:p>
    <w:p w14:paraId="712F5B6C" w14:textId="77777777" w:rsidR="005166F9" w:rsidRPr="001C46C0" w:rsidRDefault="005166F9" w:rsidP="00B811D7">
      <w:pPr>
        <w:pStyle w:val="ListParagraph"/>
        <w:ind w:left="0" w:right="49"/>
        <w:outlineLvl w:val="0"/>
        <w:rPr>
          <w:rFonts w:cs="Verdana Bold"/>
          <w:bCs/>
          <w:szCs w:val="20"/>
          <w:lang w:val="es-ES"/>
        </w:rPr>
      </w:pPr>
    </w:p>
    <w:p w14:paraId="40D343C2" w14:textId="5FC5F9F8" w:rsidR="005166F9" w:rsidRPr="001C46C0" w:rsidRDefault="005166F9" w:rsidP="00D6683A">
      <w:pPr>
        <w:pStyle w:val="ListParagraph"/>
        <w:numPr>
          <w:ilvl w:val="0"/>
          <w:numId w:val="1"/>
        </w:numPr>
        <w:ind w:right="49"/>
        <w:outlineLvl w:val="0"/>
        <w:rPr>
          <w:rFonts w:cs="Verdana Bold"/>
          <w:bCs/>
          <w:szCs w:val="20"/>
          <w:lang w:val="es-ES"/>
        </w:rPr>
      </w:pPr>
      <w:bookmarkStart w:id="105" w:name="_Toc468909983"/>
      <w:bookmarkStart w:id="106" w:name="_Toc468910209"/>
      <w:bookmarkStart w:id="107" w:name="_Toc469404448"/>
      <w:bookmarkStart w:id="108" w:name="_Toc472608893"/>
      <w:r w:rsidRPr="001C46C0">
        <w:rPr>
          <w:rFonts w:cs="Verdana Bold"/>
          <w:bCs/>
          <w:szCs w:val="20"/>
          <w:lang w:val="es-ES"/>
        </w:rPr>
        <w:t xml:space="preserve">La </w:t>
      </w:r>
      <w:r w:rsidRPr="00B8617E">
        <w:rPr>
          <w:rFonts w:cs="Verdana Bold"/>
          <w:b/>
          <w:bCs/>
          <w:i/>
          <w:szCs w:val="20"/>
          <w:lang w:val="es-ES"/>
        </w:rPr>
        <w:t>Comisión</w:t>
      </w:r>
      <w:r w:rsidRPr="001C46C0">
        <w:rPr>
          <w:rFonts w:cs="Verdana Bold"/>
          <w:bCs/>
          <w:szCs w:val="20"/>
          <w:lang w:val="es-ES"/>
        </w:rPr>
        <w:t xml:space="preserve"> señaló que cuestiones relativas a la identificación de las presuntas víctimas de un caso no constituyen excepciones preliminares. Recordó que en su Informe de Fondo identificó tanto a las 26 </w:t>
      </w:r>
      <w:r w:rsidR="00EC4849">
        <w:rPr>
          <w:rFonts w:cs="Verdana Bold"/>
          <w:bCs/>
          <w:szCs w:val="20"/>
          <w:lang w:val="es-ES"/>
        </w:rPr>
        <w:t>víctimas muertas</w:t>
      </w:r>
      <w:r w:rsidRPr="001C46C0">
        <w:rPr>
          <w:rFonts w:cs="Verdana Bold"/>
          <w:bCs/>
          <w:szCs w:val="20"/>
          <w:lang w:val="es-ES"/>
        </w:rPr>
        <w:t xml:space="preserve"> extrajudicialmente y a las tres víctimas de violencia sexual</w:t>
      </w:r>
      <w:r w:rsidR="005866C5">
        <w:rPr>
          <w:rFonts w:cs="Verdana Bold"/>
          <w:bCs/>
          <w:szCs w:val="20"/>
          <w:lang w:val="es-ES"/>
        </w:rPr>
        <w:t>, así</w:t>
      </w:r>
      <w:r w:rsidRPr="001C46C0">
        <w:rPr>
          <w:rFonts w:cs="Verdana Bold"/>
          <w:bCs/>
          <w:szCs w:val="20"/>
          <w:lang w:val="es-ES"/>
        </w:rPr>
        <w:t xml:space="preserve"> como a los 82 familiares de las víctimas. Observó que aunque el artículo 35.1 del Reglamento </w:t>
      </w:r>
      <w:r w:rsidR="005866C5" w:rsidRPr="001C46C0">
        <w:rPr>
          <w:rFonts w:cs="Verdana Bold"/>
          <w:bCs/>
          <w:szCs w:val="20"/>
          <w:lang w:val="es-ES"/>
        </w:rPr>
        <w:t>determin</w:t>
      </w:r>
      <w:r w:rsidR="005866C5">
        <w:rPr>
          <w:rFonts w:cs="Verdana Bold"/>
          <w:bCs/>
          <w:szCs w:val="20"/>
          <w:lang w:val="es-ES"/>
        </w:rPr>
        <w:t>a</w:t>
      </w:r>
      <w:r w:rsidR="005866C5" w:rsidRPr="001C46C0">
        <w:rPr>
          <w:rFonts w:cs="Verdana Bold"/>
          <w:bCs/>
          <w:szCs w:val="20"/>
          <w:lang w:val="es-ES"/>
        </w:rPr>
        <w:t xml:space="preserve"> </w:t>
      </w:r>
      <w:r w:rsidRPr="001C46C0">
        <w:rPr>
          <w:rFonts w:cs="Verdana Bold"/>
          <w:bCs/>
          <w:szCs w:val="20"/>
          <w:lang w:val="es-ES"/>
        </w:rPr>
        <w:t xml:space="preserve">que el Informe debe identificar a las víctimas, esta regla no es de carácter absoluto, pues el artículo 35.2 indica la existencia de situaciones especiales en las cuales ello no es posible. </w:t>
      </w:r>
      <w:r>
        <w:rPr>
          <w:rFonts w:cs="Verdana Bold"/>
          <w:bCs/>
          <w:szCs w:val="20"/>
          <w:lang w:val="es-ES"/>
        </w:rPr>
        <w:t>Añadió</w:t>
      </w:r>
      <w:r w:rsidRPr="001C46C0">
        <w:rPr>
          <w:rFonts w:cs="Verdana Bold"/>
          <w:bCs/>
          <w:szCs w:val="20"/>
          <w:lang w:val="es-ES"/>
        </w:rPr>
        <w:t xml:space="preserve"> que conforme el artículo 44 de la Convención Americana, no contar con un poder de representación no puede constituir una razón para que una persona no sea identificada y declarada como víctima en un caso individual. Finalmente</w:t>
      </w:r>
      <w:r>
        <w:rPr>
          <w:rFonts w:cs="Verdana Bold"/>
          <w:bCs/>
          <w:szCs w:val="20"/>
          <w:lang w:val="es-ES"/>
        </w:rPr>
        <w:t>, consideró</w:t>
      </w:r>
      <w:r w:rsidRPr="001C46C0">
        <w:rPr>
          <w:rFonts w:cs="Verdana Bold"/>
          <w:bCs/>
          <w:szCs w:val="20"/>
          <w:lang w:val="es-ES"/>
        </w:rPr>
        <w:t xml:space="preserve"> que corresponde a la Corte Interamericana d</w:t>
      </w:r>
      <w:r>
        <w:rPr>
          <w:rFonts w:cs="Verdana Bold"/>
          <w:bCs/>
          <w:szCs w:val="20"/>
          <w:lang w:val="es-ES"/>
        </w:rPr>
        <w:t>eterminar si entiende que las ví</w:t>
      </w:r>
      <w:r w:rsidRPr="001C46C0">
        <w:rPr>
          <w:rFonts w:cs="Verdana Bold"/>
          <w:bCs/>
          <w:szCs w:val="20"/>
          <w:lang w:val="es-ES"/>
        </w:rPr>
        <w:t xml:space="preserve">ctimas que no otorgaron poder se encuentran razonablemente representadas por los actuales representantes o si para las etapas posteriores del proceso, corresponde efectuar alguna determinación para solventar el tema de su representación recomendando a la Defensoría </w:t>
      </w:r>
      <w:r w:rsidR="00B542DF" w:rsidRPr="001C46C0">
        <w:rPr>
          <w:rFonts w:cs="Verdana Bold"/>
          <w:bCs/>
          <w:szCs w:val="20"/>
          <w:lang w:val="es-ES"/>
        </w:rPr>
        <w:t>Pública</w:t>
      </w:r>
      <w:r w:rsidRPr="001C46C0">
        <w:rPr>
          <w:rFonts w:cs="Verdana Bold"/>
          <w:bCs/>
          <w:szCs w:val="20"/>
          <w:lang w:val="es-ES"/>
        </w:rPr>
        <w:t xml:space="preserve"> Interamerican</w:t>
      </w:r>
      <w:bookmarkEnd w:id="105"/>
      <w:bookmarkEnd w:id="106"/>
      <w:bookmarkEnd w:id="107"/>
      <w:bookmarkEnd w:id="108"/>
      <w:r w:rsidR="002D676F">
        <w:rPr>
          <w:rFonts w:cs="Verdana Bold"/>
          <w:bCs/>
          <w:szCs w:val="20"/>
          <w:lang w:val="es-ES"/>
        </w:rPr>
        <w:t>a.</w:t>
      </w:r>
    </w:p>
    <w:p w14:paraId="03DB3755" w14:textId="77777777" w:rsidR="005166F9" w:rsidRPr="001C46C0" w:rsidRDefault="005166F9" w:rsidP="00B811D7">
      <w:pPr>
        <w:pStyle w:val="ListParagraph"/>
        <w:ind w:left="0" w:right="49"/>
        <w:outlineLvl w:val="0"/>
        <w:rPr>
          <w:rFonts w:cs="Verdana Bold"/>
          <w:bCs/>
          <w:szCs w:val="20"/>
          <w:lang w:val="es-ES"/>
        </w:rPr>
      </w:pPr>
    </w:p>
    <w:p w14:paraId="0BE660CB" w14:textId="1B601092" w:rsidR="005166F9" w:rsidRPr="001C46C0" w:rsidRDefault="005166F9" w:rsidP="00D6683A">
      <w:pPr>
        <w:pStyle w:val="ListParagraph"/>
        <w:numPr>
          <w:ilvl w:val="0"/>
          <w:numId w:val="1"/>
        </w:numPr>
        <w:ind w:right="49"/>
        <w:outlineLvl w:val="0"/>
        <w:rPr>
          <w:rFonts w:cs="Verdana Bold"/>
          <w:bCs/>
          <w:szCs w:val="20"/>
          <w:lang w:val="es-ES"/>
        </w:rPr>
      </w:pPr>
      <w:bookmarkStart w:id="109" w:name="_Toc468909984"/>
      <w:bookmarkStart w:id="110" w:name="_Toc468910210"/>
      <w:bookmarkStart w:id="111" w:name="_Toc469404449"/>
      <w:bookmarkStart w:id="112" w:name="_Toc472608894"/>
      <w:r w:rsidRPr="001C46C0">
        <w:rPr>
          <w:rFonts w:cs="Verdana Bold"/>
          <w:bCs/>
          <w:szCs w:val="20"/>
          <w:lang w:val="es-ES"/>
        </w:rPr>
        <w:t xml:space="preserve">Los </w:t>
      </w:r>
      <w:r w:rsidRPr="00B8617E">
        <w:rPr>
          <w:rFonts w:cs="Verdana Bold"/>
          <w:b/>
          <w:bCs/>
          <w:i/>
          <w:szCs w:val="20"/>
          <w:lang w:val="es-ES"/>
        </w:rPr>
        <w:t>representantes</w:t>
      </w:r>
      <w:r w:rsidRPr="001C46C0">
        <w:rPr>
          <w:rFonts w:cs="Verdana Bold"/>
          <w:bCs/>
          <w:szCs w:val="20"/>
          <w:lang w:val="es-ES"/>
        </w:rPr>
        <w:t xml:space="preserve"> afirmaron que las inconsistencias re</w:t>
      </w:r>
      <w:r>
        <w:rPr>
          <w:rFonts w:cs="Verdana Bold"/>
          <w:bCs/>
          <w:szCs w:val="20"/>
          <w:lang w:val="es-ES"/>
        </w:rPr>
        <w:t>ferentes a los nombres de las ví</w:t>
      </w:r>
      <w:r w:rsidRPr="001C46C0">
        <w:rPr>
          <w:rFonts w:cs="Verdana Bold"/>
          <w:bCs/>
          <w:szCs w:val="20"/>
          <w:lang w:val="es-ES"/>
        </w:rPr>
        <w:t xml:space="preserve">ctimas incluidas en el Informe de </w:t>
      </w:r>
      <w:r>
        <w:rPr>
          <w:rFonts w:cs="Verdana Bold"/>
          <w:bCs/>
          <w:szCs w:val="20"/>
          <w:lang w:val="es-ES"/>
        </w:rPr>
        <w:t xml:space="preserve">Fondo </w:t>
      </w:r>
      <w:r w:rsidRPr="001C46C0">
        <w:rPr>
          <w:rFonts w:cs="Verdana Bold"/>
          <w:bCs/>
          <w:szCs w:val="20"/>
          <w:lang w:val="es-ES"/>
        </w:rPr>
        <w:t xml:space="preserve">y en el </w:t>
      </w:r>
      <w:r w:rsidRPr="00641D7D">
        <w:rPr>
          <w:rFonts w:cs="Verdana Bold"/>
          <w:bCs/>
          <w:szCs w:val="20"/>
          <w:lang w:val="es-ES"/>
        </w:rPr>
        <w:t>escrito de solicitudes y argumentos</w:t>
      </w:r>
      <w:r w:rsidRPr="001C46C0">
        <w:rPr>
          <w:rFonts w:cs="Verdana Bold"/>
          <w:bCs/>
          <w:szCs w:val="20"/>
          <w:lang w:val="es-ES"/>
        </w:rPr>
        <w:t xml:space="preserve">, no </w:t>
      </w:r>
      <w:r w:rsidRPr="001C46C0">
        <w:rPr>
          <w:rFonts w:cs="Verdana Bold"/>
          <w:bCs/>
          <w:szCs w:val="20"/>
          <w:lang w:val="es-ES"/>
        </w:rPr>
        <w:lastRenderedPageBreak/>
        <w:t xml:space="preserve">constituye una excepción preliminar </w:t>
      </w:r>
      <w:r w:rsidRPr="001C46C0">
        <w:rPr>
          <w:rFonts w:cs="Verdana Bold"/>
          <w:bCs/>
          <w:i/>
          <w:szCs w:val="20"/>
          <w:lang w:val="es-ES"/>
        </w:rPr>
        <w:t>per se</w:t>
      </w:r>
      <w:r w:rsidRPr="001C46C0">
        <w:rPr>
          <w:rFonts w:cs="Verdana Bold"/>
          <w:bCs/>
          <w:szCs w:val="20"/>
          <w:lang w:val="es-ES"/>
        </w:rPr>
        <w:t>, sino una cuestión de fondo</w:t>
      </w:r>
      <w:r w:rsidRPr="001C46C0">
        <w:rPr>
          <w:rStyle w:val="FootnoteReference"/>
          <w:rFonts w:cs="Verdana Bold"/>
          <w:bCs/>
          <w:lang w:val="es-ES"/>
        </w:rPr>
        <w:footnoteReference w:id="24"/>
      </w:r>
      <w:r w:rsidRPr="001C46C0">
        <w:rPr>
          <w:rFonts w:cs="Verdana Bold"/>
          <w:bCs/>
          <w:szCs w:val="20"/>
          <w:lang w:val="es-ES"/>
        </w:rPr>
        <w:t>. En ese sentido los representantes sustentaron que el estándar de la Corte para identificar</w:t>
      </w:r>
      <w:r w:rsidR="005866C5">
        <w:rPr>
          <w:rFonts w:cs="Verdana Bold"/>
          <w:bCs/>
          <w:szCs w:val="20"/>
          <w:lang w:val="es-ES"/>
        </w:rPr>
        <w:t xml:space="preserve"> a</w:t>
      </w:r>
      <w:r w:rsidRPr="001C46C0">
        <w:rPr>
          <w:rFonts w:cs="Verdana Bold"/>
          <w:bCs/>
          <w:szCs w:val="20"/>
          <w:lang w:val="es-ES"/>
        </w:rPr>
        <w:t xml:space="preserve"> una víctima es el de “estar razonablemente identificada”, lo que se cumpliría plenamente en el presente caso. Además</w:t>
      </w:r>
      <w:r>
        <w:rPr>
          <w:rFonts w:cs="Verdana Bold"/>
          <w:bCs/>
          <w:szCs w:val="20"/>
          <w:lang w:val="es-ES"/>
        </w:rPr>
        <w:t>,</w:t>
      </w:r>
      <w:r w:rsidRPr="001C46C0">
        <w:rPr>
          <w:rFonts w:cs="Verdana Bold"/>
          <w:bCs/>
          <w:szCs w:val="20"/>
          <w:lang w:val="es-ES"/>
        </w:rPr>
        <w:t xml:space="preserve"> </w:t>
      </w:r>
      <w:r>
        <w:rPr>
          <w:rFonts w:cs="Verdana Bold"/>
          <w:bCs/>
          <w:szCs w:val="20"/>
          <w:lang w:val="es-ES"/>
        </w:rPr>
        <w:t>recordaron</w:t>
      </w:r>
      <w:r w:rsidRPr="001C46C0">
        <w:rPr>
          <w:rFonts w:cs="Verdana Bold"/>
          <w:bCs/>
          <w:szCs w:val="20"/>
          <w:lang w:val="es-ES"/>
        </w:rPr>
        <w:t xml:space="preserve"> la reiterada jurisprudencia de la Corte</w:t>
      </w:r>
      <w:r>
        <w:rPr>
          <w:rFonts w:cs="Verdana Bold"/>
          <w:bCs/>
          <w:szCs w:val="20"/>
          <w:lang w:val="es-ES"/>
        </w:rPr>
        <w:t>,</w:t>
      </w:r>
      <w:r w:rsidRPr="001C46C0">
        <w:rPr>
          <w:rFonts w:cs="Verdana Bold"/>
          <w:bCs/>
          <w:szCs w:val="20"/>
          <w:lang w:val="es-ES"/>
        </w:rPr>
        <w:t xml:space="preserve"> que considera adecuadamente identificadas aquellas víctimas a quienes se hace referencia en un documento expedido por autoridad competente como lo es un certificado de nacimiento o libro </w:t>
      </w:r>
      <w:r>
        <w:rPr>
          <w:rFonts w:cs="Verdana Bold"/>
          <w:bCs/>
          <w:szCs w:val="20"/>
          <w:lang w:val="es-ES"/>
        </w:rPr>
        <w:t>de familia, presentado ante el T</w:t>
      </w:r>
      <w:r w:rsidRPr="001C46C0">
        <w:rPr>
          <w:rFonts w:cs="Verdana Bold"/>
          <w:bCs/>
          <w:szCs w:val="20"/>
          <w:lang w:val="es-ES"/>
        </w:rPr>
        <w:t>ribunal. Adicionalmente</w:t>
      </w:r>
      <w:r>
        <w:rPr>
          <w:rFonts w:cs="Verdana Bold"/>
          <w:bCs/>
          <w:szCs w:val="20"/>
          <w:lang w:val="es-ES"/>
        </w:rPr>
        <w:t>,</w:t>
      </w:r>
      <w:r w:rsidRPr="001C46C0">
        <w:rPr>
          <w:rFonts w:cs="Verdana Bold"/>
          <w:bCs/>
          <w:szCs w:val="20"/>
          <w:lang w:val="es-ES"/>
        </w:rPr>
        <w:t xml:space="preserve"> </w:t>
      </w:r>
      <w:r>
        <w:rPr>
          <w:rFonts w:cs="Verdana Bold"/>
          <w:bCs/>
          <w:szCs w:val="20"/>
          <w:lang w:val="es-ES"/>
        </w:rPr>
        <w:t xml:space="preserve">indicaron que </w:t>
      </w:r>
      <w:r w:rsidRPr="001C46C0">
        <w:rPr>
          <w:rFonts w:cs="Verdana Bold"/>
          <w:bCs/>
          <w:szCs w:val="20"/>
          <w:lang w:val="es-ES"/>
        </w:rPr>
        <w:t>la Corte debe tener en cuenta que en el presente caso, los representantes aportaron documentos oficiales de la mayoría de las víctimas, los cuales fueron emitidos por órganos públicos de Brasil. Si bien algunos de estos documentos contienen deficiencias, estas son imputa</w:t>
      </w:r>
      <w:r w:rsidR="00430041">
        <w:rPr>
          <w:rFonts w:cs="Verdana Bold"/>
          <w:bCs/>
          <w:szCs w:val="20"/>
          <w:lang w:val="es-ES"/>
        </w:rPr>
        <w:t>bles</w:t>
      </w:r>
      <w:r w:rsidRPr="001C46C0">
        <w:rPr>
          <w:rFonts w:cs="Verdana Bold"/>
          <w:bCs/>
          <w:szCs w:val="20"/>
          <w:lang w:val="es-ES"/>
        </w:rPr>
        <w:t xml:space="preserve"> al Estado, quien no podría alegar su propia n</w:t>
      </w:r>
      <w:r>
        <w:rPr>
          <w:rFonts w:cs="Verdana Bold"/>
          <w:bCs/>
          <w:szCs w:val="20"/>
          <w:lang w:val="es-ES"/>
        </w:rPr>
        <w:t>egligencia para excluir a las ví</w:t>
      </w:r>
      <w:r w:rsidRPr="001C46C0">
        <w:rPr>
          <w:rFonts w:cs="Verdana Bold"/>
          <w:bCs/>
          <w:szCs w:val="20"/>
          <w:lang w:val="es-ES"/>
        </w:rPr>
        <w:t>ctimas.</w:t>
      </w:r>
      <w:bookmarkEnd w:id="109"/>
      <w:bookmarkEnd w:id="110"/>
      <w:bookmarkEnd w:id="111"/>
      <w:bookmarkEnd w:id="112"/>
    </w:p>
    <w:p w14:paraId="201C05F8" w14:textId="77777777" w:rsidR="005166F9" w:rsidRPr="001C46C0" w:rsidRDefault="005166F9" w:rsidP="00B811D7">
      <w:pPr>
        <w:pStyle w:val="ListParagraph"/>
        <w:ind w:left="0" w:right="49"/>
        <w:outlineLvl w:val="0"/>
        <w:rPr>
          <w:rFonts w:cs="Verdana Bold"/>
          <w:bCs/>
          <w:szCs w:val="20"/>
          <w:lang w:val="es-ES"/>
        </w:rPr>
      </w:pPr>
    </w:p>
    <w:p w14:paraId="6E1DB3BD" w14:textId="73DC90F7" w:rsidR="005166F9" w:rsidRPr="001C46C0" w:rsidRDefault="005166F9" w:rsidP="00D6683A">
      <w:pPr>
        <w:pStyle w:val="ListParagraph"/>
        <w:numPr>
          <w:ilvl w:val="0"/>
          <w:numId w:val="1"/>
        </w:numPr>
        <w:ind w:right="49"/>
        <w:outlineLvl w:val="0"/>
        <w:rPr>
          <w:rFonts w:cs="Verdana Bold"/>
          <w:bCs/>
          <w:szCs w:val="20"/>
          <w:lang w:val="es-ES"/>
        </w:rPr>
      </w:pPr>
      <w:bookmarkStart w:id="113" w:name="_Toc468909985"/>
      <w:bookmarkStart w:id="114" w:name="_Toc468910211"/>
      <w:bookmarkStart w:id="115" w:name="_Toc469404450"/>
      <w:bookmarkStart w:id="116" w:name="_Toc472608895"/>
      <w:r>
        <w:rPr>
          <w:rFonts w:cs="Verdana Bold"/>
          <w:bCs/>
          <w:szCs w:val="20"/>
          <w:lang w:val="es-ES"/>
        </w:rPr>
        <w:t>Los representantes también j</w:t>
      </w:r>
      <w:r w:rsidRPr="001C46C0">
        <w:rPr>
          <w:rFonts w:cs="Verdana Bold"/>
          <w:bCs/>
          <w:szCs w:val="20"/>
          <w:lang w:val="es-ES"/>
        </w:rPr>
        <w:t>ustifica</w:t>
      </w:r>
      <w:r>
        <w:rPr>
          <w:rFonts w:cs="Verdana Bold"/>
          <w:bCs/>
          <w:szCs w:val="20"/>
          <w:lang w:val="es-ES"/>
        </w:rPr>
        <w:t>ro</w:t>
      </w:r>
      <w:r w:rsidRPr="001C46C0">
        <w:rPr>
          <w:rFonts w:cs="Verdana Bold"/>
          <w:bCs/>
          <w:szCs w:val="20"/>
          <w:lang w:val="es-ES"/>
        </w:rPr>
        <w:t xml:space="preserve">n que no fue posible identificar </w:t>
      </w:r>
      <w:r w:rsidR="005866C5">
        <w:rPr>
          <w:rFonts w:cs="Verdana Bold"/>
          <w:bCs/>
          <w:szCs w:val="20"/>
          <w:lang w:val="es-ES"/>
        </w:rPr>
        <w:t xml:space="preserve">a </w:t>
      </w:r>
      <w:r w:rsidRPr="001C46C0">
        <w:rPr>
          <w:rFonts w:cs="Verdana Bold"/>
          <w:bCs/>
          <w:szCs w:val="20"/>
          <w:lang w:val="es-ES"/>
        </w:rPr>
        <w:t>algunas supuestas víctimas de los hechos del caso, por tratarse de casos de violaciones masivas a un colectivo. Exp</w:t>
      </w:r>
      <w:r>
        <w:rPr>
          <w:rFonts w:cs="Verdana Bold"/>
          <w:bCs/>
          <w:szCs w:val="20"/>
          <w:lang w:val="es-ES"/>
        </w:rPr>
        <w:t xml:space="preserve">usieron </w:t>
      </w:r>
      <w:r w:rsidRPr="001C46C0">
        <w:rPr>
          <w:rFonts w:cs="Verdana Bold"/>
          <w:bCs/>
          <w:szCs w:val="20"/>
          <w:lang w:val="es-ES"/>
        </w:rPr>
        <w:t xml:space="preserve">que la Corte ha aplicado esta excepción en diversos casos en los cuales la individualización de las víctimas no fue posible dada la naturaleza de las violaciones, </w:t>
      </w:r>
      <w:r>
        <w:rPr>
          <w:rFonts w:cs="Verdana Bold"/>
          <w:bCs/>
          <w:szCs w:val="20"/>
          <w:lang w:val="es-ES"/>
        </w:rPr>
        <w:t>entre otros. Finalmente, c</w:t>
      </w:r>
      <w:r w:rsidRPr="001C46C0">
        <w:rPr>
          <w:rFonts w:cs="Verdana Bold"/>
          <w:bCs/>
          <w:szCs w:val="20"/>
          <w:lang w:val="es-ES"/>
        </w:rPr>
        <w:t>onsidera</w:t>
      </w:r>
      <w:r>
        <w:rPr>
          <w:rFonts w:cs="Verdana Bold"/>
          <w:bCs/>
          <w:szCs w:val="20"/>
          <w:lang w:val="es-ES"/>
        </w:rPr>
        <w:t>ro</w:t>
      </w:r>
      <w:r w:rsidRPr="001C46C0">
        <w:rPr>
          <w:rFonts w:cs="Verdana Bold"/>
          <w:bCs/>
          <w:szCs w:val="20"/>
          <w:lang w:val="es-ES"/>
        </w:rPr>
        <w:t xml:space="preserve">n que </w:t>
      </w:r>
      <w:r w:rsidR="000E6E29">
        <w:rPr>
          <w:rFonts w:cs="Verdana Bold"/>
          <w:bCs/>
          <w:szCs w:val="20"/>
          <w:lang w:val="es-ES"/>
        </w:rPr>
        <w:t xml:space="preserve">debido </w:t>
      </w:r>
      <w:proofErr w:type="gramStart"/>
      <w:r w:rsidR="000E6E29">
        <w:rPr>
          <w:rFonts w:cs="Verdana Bold"/>
          <w:bCs/>
          <w:szCs w:val="20"/>
          <w:lang w:val="es-ES"/>
        </w:rPr>
        <w:t>a</w:t>
      </w:r>
      <w:proofErr w:type="gramEnd"/>
      <w:r w:rsidR="000E6E29">
        <w:rPr>
          <w:rFonts w:cs="Verdana Bold"/>
          <w:bCs/>
          <w:szCs w:val="20"/>
          <w:lang w:val="es-ES"/>
        </w:rPr>
        <w:t>: a</w:t>
      </w:r>
      <w:r>
        <w:rPr>
          <w:rFonts w:cs="Verdana Bold"/>
          <w:bCs/>
          <w:szCs w:val="20"/>
          <w:lang w:val="es-ES"/>
        </w:rPr>
        <w:t>) e</w:t>
      </w:r>
      <w:r w:rsidRPr="001C46C0">
        <w:rPr>
          <w:rFonts w:cs="Verdana Bold"/>
          <w:bCs/>
          <w:szCs w:val="20"/>
          <w:lang w:val="es-ES"/>
        </w:rPr>
        <w:t>l tiemp</w:t>
      </w:r>
      <w:r>
        <w:rPr>
          <w:rFonts w:cs="Verdana Bold"/>
          <w:bCs/>
          <w:szCs w:val="20"/>
          <w:lang w:val="es-ES"/>
        </w:rPr>
        <w:t>o transcurrido desde los hechos;</w:t>
      </w:r>
      <w:r w:rsidRPr="001C46C0">
        <w:rPr>
          <w:rFonts w:cs="Verdana Bold"/>
          <w:bCs/>
          <w:szCs w:val="20"/>
          <w:lang w:val="es-ES"/>
        </w:rPr>
        <w:t xml:space="preserve"> </w:t>
      </w:r>
      <w:r>
        <w:rPr>
          <w:rFonts w:cs="Verdana Bold"/>
          <w:bCs/>
          <w:szCs w:val="20"/>
          <w:lang w:val="es-ES"/>
        </w:rPr>
        <w:t>b)</w:t>
      </w:r>
      <w:r w:rsidRPr="001C46C0">
        <w:rPr>
          <w:rFonts w:cs="Verdana Bold"/>
          <w:bCs/>
          <w:szCs w:val="20"/>
          <w:lang w:val="es-ES"/>
        </w:rPr>
        <w:t xml:space="preserve"> la naturaleza colectiva de las violaciones, </w:t>
      </w:r>
      <w:r>
        <w:rPr>
          <w:rFonts w:cs="Verdana Bold"/>
          <w:bCs/>
          <w:szCs w:val="20"/>
          <w:lang w:val="es-ES"/>
        </w:rPr>
        <w:t>y c)</w:t>
      </w:r>
      <w:r w:rsidRPr="001C46C0">
        <w:rPr>
          <w:rFonts w:cs="Verdana Bold"/>
          <w:bCs/>
          <w:szCs w:val="20"/>
          <w:lang w:val="es-ES"/>
        </w:rPr>
        <w:t xml:space="preserve"> otros factores de contexto,</w:t>
      </w:r>
      <w:r>
        <w:rPr>
          <w:rFonts w:cs="Verdana Bold"/>
          <w:bCs/>
          <w:szCs w:val="20"/>
          <w:lang w:val="es-ES"/>
        </w:rPr>
        <w:t xml:space="preserve"> debe aplicarse el artículo 35.</w:t>
      </w:r>
      <w:r w:rsidRPr="001C46C0">
        <w:rPr>
          <w:rFonts w:cs="Verdana Bold"/>
          <w:bCs/>
          <w:szCs w:val="20"/>
          <w:lang w:val="es-ES"/>
        </w:rPr>
        <w:t xml:space="preserve">2 del Reglamento. </w:t>
      </w:r>
      <w:bookmarkEnd w:id="113"/>
      <w:bookmarkEnd w:id="114"/>
      <w:bookmarkEnd w:id="115"/>
      <w:bookmarkEnd w:id="116"/>
    </w:p>
    <w:p w14:paraId="04853FCB" w14:textId="77777777" w:rsidR="005166F9" w:rsidRPr="001C46C0" w:rsidRDefault="005166F9" w:rsidP="00B811D7">
      <w:pPr>
        <w:pStyle w:val="ListParagraph"/>
        <w:ind w:left="0" w:right="49"/>
        <w:outlineLvl w:val="0"/>
        <w:rPr>
          <w:rFonts w:cs="Verdana Bold"/>
          <w:bCs/>
          <w:szCs w:val="20"/>
          <w:lang w:val="es-ES"/>
        </w:rPr>
      </w:pPr>
    </w:p>
    <w:p w14:paraId="06ECF20B" w14:textId="77777777" w:rsidR="005166F9" w:rsidRPr="001C46C0" w:rsidRDefault="005166F9" w:rsidP="00B811D7">
      <w:pPr>
        <w:pStyle w:val="Heading3"/>
        <w:ind w:left="0"/>
        <w:rPr>
          <w:noProof/>
          <w:szCs w:val="20"/>
          <w:lang w:eastAsia="es-ES"/>
        </w:rPr>
      </w:pPr>
      <w:bookmarkStart w:id="117" w:name="_Toc460432968"/>
      <w:bookmarkStart w:id="118" w:name="_Toc460441899"/>
      <w:bookmarkStart w:id="119" w:name="_Toc462750719"/>
      <w:bookmarkStart w:id="120" w:name="_Toc462751043"/>
      <w:bookmarkStart w:id="121" w:name="_Toc468909986"/>
      <w:bookmarkStart w:id="122" w:name="_Toc468910212"/>
      <w:bookmarkStart w:id="123" w:name="_Toc469404451"/>
      <w:bookmarkStart w:id="124" w:name="_Toc472608896"/>
      <w:r w:rsidRPr="001C46C0">
        <w:rPr>
          <w:noProof/>
          <w:szCs w:val="20"/>
          <w:lang w:eastAsia="es-ES"/>
        </w:rPr>
        <w:t>B.2. Consideraciones de la Corte</w:t>
      </w:r>
      <w:bookmarkEnd w:id="117"/>
      <w:bookmarkEnd w:id="118"/>
      <w:bookmarkEnd w:id="119"/>
      <w:bookmarkEnd w:id="120"/>
      <w:bookmarkEnd w:id="121"/>
      <w:bookmarkEnd w:id="122"/>
      <w:bookmarkEnd w:id="123"/>
      <w:bookmarkEnd w:id="124"/>
    </w:p>
    <w:p w14:paraId="4B0E3250" w14:textId="77777777" w:rsidR="005166F9" w:rsidRPr="001C46C0" w:rsidRDefault="005166F9" w:rsidP="00B811D7">
      <w:pPr>
        <w:rPr>
          <w:szCs w:val="20"/>
          <w:lang w:val="es-MX" w:eastAsia="es-ES"/>
        </w:rPr>
      </w:pPr>
    </w:p>
    <w:p w14:paraId="7AAD083E" w14:textId="4604AA73" w:rsidR="005166F9" w:rsidRPr="001C46C0" w:rsidRDefault="005166F9" w:rsidP="00D6683A">
      <w:pPr>
        <w:pStyle w:val="ListParagraph"/>
        <w:numPr>
          <w:ilvl w:val="0"/>
          <w:numId w:val="1"/>
        </w:numPr>
        <w:rPr>
          <w:rFonts w:eastAsia="Batang" w:cs="Times"/>
          <w:i/>
          <w:noProof/>
          <w:szCs w:val="20"/>
          <w:lang w:val="es-ES" w:eastAsia="es-ES"/>
        </w:rPr>
      </w:pPr>
      <w:r w:rsidRPr="001C46C0">
        <w:rPr>
          <w:rFonts w:eastAsia="Batang" w:cs="Times"/>
          <w:noProof/>
          <w:szCs w:val="20"/>
          <w:lang w:val="es-ES" w:eastAsia="es-ES"/>
        </w:rPr>
        <w:t xml:space="preserve">La Corte nota que el Estado expuso diversas objeciones a la lista de 38 </w:t>
      </w:r>
      <w:r>
        <w:rPr>
          <w:rFonts w:eastAsia="Batang" w:cs="Times"/>
          <w:noProof/>
          <w:szCs w:val="20"/>
          <w:lang w:val="es-ES" w:eastAsia="es-ES"/>
        </w:rPr>
        <w:t xml:space="preserve">poderes de </w:t>
      </w:r>
      <w:r w:rsidRPr="001C46C0">
        <w:rPr>
          <w:rFonts w:eastAsia="Batang" w:cs="Times"/>
          <w:noProof/>
          <w:szCs w:val="20"/>
          <w:lang w:val="es-ES" w:eastAsia="es-ES"/>
        </w:rPr>
        <w:t>presuntas víctimas señaladas en el Informe de Fondo</w:t>
      </w:r>
      <w:r>
        <w:rPr>
          <w:rFonts w:eastAsia="Batang" w:cs="Times"/>
          <w:noProof/>
          <w:szCs w:val="20"/>
          <w:lang w:val="es-ES" w:eastAsia="es-ES"/>
        </w:rPr>
        <w:t>,</w:t>
      </w:r>
      <w:r w:rsidRPr="001C46C0">
        <w:rPr>
          <w:rFonts w:eastAsia="Batang" w:cs="Times"/>
          <w:noProof/>
          <w:szCs w:val="20"/>
          <w:lang w:val="es-ES" w:eastAsia="es-ES"/>
        </w:rPr>
        <w:t xml:space="preserve"> y consideró que sólo 30 </w:t>
      </w:r>
      <w:r w:rsidR="009A1819">
        <w:rPr>
          <w:rFonts w:eastAsia="Batang" w:cs="Times"/>
          <w:noProof/>
          <w:szCs w:val="20"/>
          <w:lang w:val="es-ES" w:eastAsia="es-ES"/>
        </w:rPr>
        <w:t xml:space="preserve">presutnas víctimas </w:t>
      </w:r>
      <w:r w:rsidRPr="001C46C0">
        <w:rPr>
          <w:rFonts w:eastAsia="Batang" w:cs="Times"/>
          <w:noProof/>
          <w:szCs w:val="20"/>
          <w:lang w:val="es-ES" w:eastAsia="es-ES"/>
        </w:rPr>
        <w:t xml:space="preserve">estarían debidamente representadas, identificadas y mencionadas en dicho Informe. </w:t>
      </w:r>
    </w:p>
    <w:p w14:paraId="5B2222EA" w14:textId="77777777" w:rsidR="005166F9" w:rsidRPr="001C46C0" w:rsidRDefault="005166F9" w:rsidP="00B811D7">
      <w:pPr>
        <w:pStyle w:val="ListParagraph"/>
        <w:ind w:left="0"/>
        <w:rPr>
          <w:rFonts w:eastAsia="Batang" w:cs="Times"/>
          <w:noProof/>
          <w:szCs w:val="20"/>
          <w:lang w:val="es-ES" w:eastAsia="es-ES"/>
        </w:rPr>
      </w:pPr>
    </w:p>
    <w:p w14:paraId="47A25688" w14:textId="14592133" w:rsidR="005166F9" w:rsidRPr="001C46C0" w:rsidRDefault="005166F9" w:rsidP="00D6683A">
      <w:pPr>
        <w:numPr>
          <w:ilvl w:val="0"/>
          <w:numId w:val="1"/>
        </w:numPr>
        <w:rPr>
          <w:rFonts w:eastAsia="Batang" w:cs="Times"/>
          <w:noProof/>
          <w:szCs w:val="20"/>
          <w:lang w:val="es-ES" w:eastAsia="es-ES"/>
        </w:rPr>
      </w:pPr>
      <w:r w:rsidRPr="001C46C0">
        <w:rPr>
          <w:rFonts w:eastAsia="Batang" w:cs="Times"/>
          <w:noProof/>
          <w:szCs w:val="20"/>
          <w:lang w:val="es-ES" w:eastAsia="es-ES"/>
        </w:rPr>
        <w:t xml:space="preserve">Con relación a la identificación de las presuntas víctimas, la Corte recuerda que el </w:t>
      </w:r>
      <w:r w:rsidR="007360AD" w:rsidRPr="0059055A">
        <w:rPr>
          <w:szCs w:val="20"/>
        </w:rPr>
        <w:t>artículo 35.1 del Reglamento de la Corte dispone que el caso le será sometido mediante la presentación del Informe de Fondo, que deberá contener la identificación de las presuntas víctimas. Corresponde pues a la Comisión identificar con precisión y en la debida oportunidad procesal a las presuntas víctimas en un caso ante la Corte</w:t>
      </w:r>
      <w:r w:rsidR="007360AD" w:rsidRPr="001C46C0">
        <w:rPr>
          <w:rStyle w:val="FootnoteReference"/>
        </w:rPr>
        <w:footnoteReference w:id="25"/>
      </w:r>
      <w:r w:rsidR="007360AD" w:rsidRPr="0059055A">
        <w:rPr>
          <w:szCs w:val="20"/>
        </w:rPr>
        <w:t>, de modo que después del Informe de Fondo no es posible añadir nuevas presuntas víctimas, salvo en las circunstancias excepcionales contempladas en el artículo 35.2 del Reglamento de la Corte</w:t>
      </w:r>
      <w:r w:rsidR="007360AD">
        <w:rPr>
          <w:szCs w:val="20"/>
        </w:rPr>
        <w:t>, de conformidad con el cual</w:t>
      </w:r>
      <w:r w:rsidR="009B1A8F">
        <w:rPr>
          <w:szCs w:val="20"/>
        </w:rPr>
        <w:t>,</w:t>
      </w:r>
      <w:r w:rsidR="007360AD">
        <w:rPr>
          <w:szCs w:val="20"/>
        </w:rPr>
        <w:t xml:space="preserve"> </w:t>
      </w:r>
      <w:r w:rsidRPr="001C46C0">
        <w:rPr>
          <w:rFonts w:eastAsia="Batang" w:cs="Times"/>
          <w:noProof/>
          <w:szCs w:val="20"/>
          <w:lang w:val="es-ES" w:eastAsia="es-ES"/>
        </w:rPr>
        <w:t xml:space="preserve">cuando se justifique que no fue posible identificar </w:t>
      </w:r>
      <w:r w:rsidR="005866C5">
        <w:rPr>
          <w:rFonts w:eastAsia="Batang" w:cs="Times"/>
          <w:noProof/>
          <w:szCs w:val="20"/>
          <w:lang w:val="es-ES" w:eastAsia="es-ES"/>
        </w:rPr>
        <w:t xml:space="preserve">a </w:t>
      </w:r>
      <w:r w:rsidRPr="001C46C0">
        <w:rPr>
          <w:rFonts w:eastAsia="Batang" w:cs="Times"/>
          <w:noProof/>
          <w:szCs w:val="20"/>
          <w:lang w:val="es-ES" w:eastAsia="es-ES"/>
        </w:rPr>
        <w:t>algunas presuntas víctimas de los hechos del caso, por tratarse de casos de violaciones masivas o colectivas, el Tribunal decidirá en su oportunidad si las considera víctimas de acuerdo con la naturaleza de la violación</w:t>
      </w:r>
      <w:r w:rsidRPr="001C46C0">
        <w:rPr>
          <w:rStyle w:val="FootnoteReference"/>
          <w:rFonts w:eastAsia="Batang"/>
          <w:noProof/>
          <w:lang w:eastAsia="es-ES"/>
        </w:rPr>
        <w:footnoteReference w:id="26"/>
      </w:r>
      <w:r w:rsidRPr="001C46C0">
        <w:rPr>
          <w:rFonts w:eastAsia="Batang" w:cs="Times"/>
          <w:noProof/>
          <w:szCs w:val="20"/>
          <w:lang w:val="es-ES" w:eastAsia="es-ES"/>
        </w:rPr>
        <w:t xml:space="preserve">. </w:t>
      </w:r>
    </w:p>
    <w:p w14:paraId="39DE6BFC" w14:textId="77777777" w:rsidR="005166F9" w:rsidRPr="001C46C0" w:rsidRDefault="005166F9" w:rsidP="00B811D7">
      <w:pPr>
        <w:rPr>
          <w:rFonts w:eastAsia="Batang" w:cs="Times"/>
          <w:i/>
          <w:noProof/>
          <w:szCs w:val="20"/>
          <w:lang w:val="es-ES" w:eastAsia="es-ES"/>
        </w:rPr>
      </w:pPr>
    </w:p>
    <w:p w14:paraId="24E16E74" w14:textId="77777777" w:rsidR="005166F9" w:rsidRPr="001C46C0" w:rsidRDefault="005166F9" w:rsidP="00D6683A">
      <w:pPr>
        <w:numPr>
          <w:ilvl w:val="0"/>
          <w:numId w:val="1"/>
        </w:numPr>
        <w:rPr>
          <w:rFonts w:eastAsia="Batang" w:cs="Times"/>
          <w:i/>
          <w:noProof/>
          <w:szCs w:val="20"/>
          <w:lang w:val="es-ES" w:eastAsia="es-ES"/>
        </w:rPr>
      </w:pPr>
      <w:r w:rsidRPr="001C46C0">
        <w:rPr>
          <w:rFonts w:eastAsia="Batang" w:cs="Times"/>
          <w:noProof/>
          <w:szCs w:val="20"/>
          <w:lang w:val="es-ES" w:eastAsia="es-ES"/>
        </w:rPr>
        <w:t>De esta forma, la Corte ha evaluado la aplicación del artículo 35.2 del Reglamento con base en las características particulares de cada caso</w:t>
      </w:r>
      <w:r w:rsidRPr="001C46C0">
        <w:rPr>
          <w:rFonts w:eastAsia="Batang" w:cs="Times"/>
          <w:noProof/>
          <w:szCs w:val="20"/>
          <w:vertAlign w:val="superscript"/>
          <w:lang w:val="es-ES" w:eastAsia="es-ES"/>
        </w:rPr>
        <w:footnoteReference w:id="27"/>
      </w:r>
      <w:r w:rsidRPr="001C46C0">
        <w:rPr>
          <w:rFonts w:eastAsia="Batang" w:cs="Times"/>
          <w:noProof/>
          <w:szCs w:val="20"/>
          <w:lang w:val="es-ES" w:eastAsia="es-ES"/>
        </w:rPr>
        <w:t xml:space="preserve">, y </w:t>
      </w:r>
      <w:r>
        <w:rPr>
          <w:rFonts w:eastAsia="Batang" w:cs="Times"/>
          <w:noProof/>
          <w:szCs w:val="20"/>
          <w:lang w:val="es-ES" w:eastAsia="es-ES"/>
        </w:rPr>
        <w:t xml:space="preserve">lo </w:t>
      </w:r>
      <w:r w:rsidRPr="001C46C0">
        <w:rPr>
          <w:rFonts w:eastAsia="Batang" w:cs="Times"/>
          <w:noProof/>
          <w:szCs w:val="20"/>
          <w:lang w:val="es-ES" w:eastAsia="es-ES"/>
        </w:rPr>
        <w:t xml:space="preserve">ha aplicado en casos masivos </w:t>
      </w:r>
      <w:r w:rsidRPr="001C46C0">
        <w:rPr>
          <w:rFonts w:eastAsia="Batang" w:cs="Times"/>
          <w:noProof/>
          <w:szCs w:val="20"/>
          <w:lang w:val="es-ES" w:eastAsia="es-ES"/>
        </w:rPr>
        <w:lastRenderedPageBreak/>
        <w:t>o colectivos con dificultades para identificar o contactar a todas las presuntas víctimas, por ejemplo, debido a la presencia de un conflicto armado</w:t>
      </w:r>
      <w:r w:rsidRPr="001C46C0">
        <w:rPr>
          <w:rFonts w:eastAsia="Batang" w:cs="Times"/>
          <w:noProof/>
          <w:szCs w:val="20"/>
          <w:vertAlign w:val="superscript"/>
          <w:lang w:val="es-ES" w:eastAsia="es-ES"/>
        </w:rPr>
        <w:footnoteReference w:id="28"/>
      </w:r>
      <w:r w:rsidRPr="001C46C0">
        <w:rPr>
          <w:rFonts w:eastAsia="Batang" w:cs="Times"/>
          <w:noProof/>
          <w:szCs w:val="20"/>
          <w:lang w:val="es-ES" w:eastAsia="es-ES"/>
        </w:rPr>
        <w:t>, el desplazamiento</w:t>
      </w:r>
      <w:r w:rsidRPr="001C46C0">
        <w:rPr>
          <w:rFonts w:eastAsia="Batang" w:cs="Times"/>
          <w:noProof/>
          <w:szCs w:val="20"/>
          <w:vertAlign w:val="superscript"/>
          <w:lang w:val="es-ES" w:eastAsia="es-ES"/>
        </w:rPr>
        <w:footnoteReference w:id="29"/>
      </w:r>
      <w:r w:rsidRPr="001C46C0">
        <w:rPr>
          <w:rFonts w:eastAsia="Batang" w:cs="Times"/>
          <w:noProof/>
          <w:szCs w:val="20"/>
          <w:lang w:val="es-ES" w:eastAsia="es-ES"/>
        </w:rPr>
        <w:t xml:space="preserve"> o la quema de los cuerpos de las presuntas víctimas</w:t>
      </w:r>
      <w:r w:rsidRPr="001C46C0">
        <w:rPr>
          <w:rFonts w:eastAsia="Batang" w:cs="Times"/>
          <w:noProof/>
          <w:szCs w:val="20"/>
          <w:vertAlign w:val="superscript"/>
          <w:lang w:val="es-ES" w:eastAsia="es-ES"/>
        </w:rPr>
        <w:footnoteReference w:id="30"/>
      </w:r>
      <w:r w:rsidRPr="001C46C0">
        <w:rPr>
          <w:rFonts w:eastAsia="Batang" w:cs="Times"/>
          <w:noProof/>
          <w:szCs w:val="20"/>
          <w:lang w:val="es-ES" w:eastAsia="es-ES"/>
        </w:rPr>
        <w:t>, o en casos en que familias enteras han sido desaparecidas, por lo que no habría nadie que pudiera hablar por ellos</w:t>
      </w:r>
      <w:r w:rsidRPr="001C46C0">
        <w:rPr>
          <w:rFonts w:eastAsia="Batang" w:cs="Times"/>
          <w:noProof/>
          <w:szCs w:val="20"/>
          <w:vertAlign w:val="superscript"/>
          <w:lang w:val="es-ES" w:eastAsia="es-ES"/>
        </w:rPr>
        <w:footnoteReference w:id="31"/>
      </w:r>
      <w:r w:rsidRPr="001C46C0">
        <w:rPr>
          <w:rFonts w:eastAsia="Batang" w:cs="Times"/>
          <w:noProof/>
          <w:szCs w:val="20"/>
          <w:lang w:val="es-ES" w:eastAsia="es-ES"/>
        </w:rPr>
        <w:t>. También ha tomado en cuenta la dificultad de acceder al área donde ocurrieron los hechos</w:t>
      </w:r>
      <w:r w:rsidRPr="001C46C0">
        <w:rPr>
          <w:rFonts w:eastAsia="Batang" w:cs="Times"/>
          <w:noProof/>
          <w:szCs w:val="20"/>
          <w:vertAlign w:val="superscript"/>
          <w:lang w:val="es-ES" w:eastAsia="es-ES"/>
        </w:rPr>
        <w:footnoteReference w:id="32"/>
      </w:r>
      <w:r w:rsidRPr="001C46C0">
        <w:rPr>
          <w:rFonts w:eastAsia="Batang" w:cs="Times"/>
          <w:noProof/>
          <w:szCs w:val="20"/>
          <w:lang w:val="es-ES" w:eastAsia="es-ES"/>
        </w:rPr>
        <w:t>, la falta de registros respecto de los habitantes del lugar</w:t>
      </w:r>
      <w:r w:rsidRPr="001C46C0">
        <w:rPr>
          <w:rFonts w:eastAsia="Batang" w:cs="Times"/>
          <w:noProof/>
          <w:szCs w:val="20"/>
          <w:vertAlign w:val="superscript"/>
          <w:lang w:val="es-ES" w:eastAsia="es-ES"/>
        </w:rPr>
        <w:footnoteReference w:id="33"/>
      </w:r>
      <w:r w:rsidRPr="001C46C0">
        <w:rPr>
          <w:rFonts w:eastAsia="Batang" w:cs="Times"/>
          <w:noProof/>
          <w:szCs w:val="20"/>
          <w:lang w:val="es-ES" w:eastAsia="es-ES"/>
        </w:rPr>
        <w:t xml:space="preserve"> y el transcurso del tiempo</w:t>
      </w:r>
      <w:r w:rsidRPr="001C46C0">
        <w:rPr>
          <w:rFonts w:eastAsia="Batang" w:cs="Times"/>
          <w:noProof/>
          <w:szCs w:val="20"/>
          <w:vertAlign w:val="superscript"/>
          <w:lang w:val="es-ES" w:eastAsia="es-ES"/>
        </w:rPr>
        <w:footnoteReference w:id="34"/>
      </w:r>
      <w:r w:rsidRPr="001C46C0">
        <w:rPr>
          <w:rFonts w:eastAsia="Batang" w:cs="Times"/>
          <w:noProof/>
          <w:szCs w:val="20"/>
          <w:lang w:val="es-ES" w:eastAsia="es-ES"/>
        </w:rPr>
        <w:t>, así como características particulares de las presuntas víctimas del caso, por ejemplo, cuando estas han conformado clanes familiares con nombres y apellidos similares</w:t>
      </w:r>
      <w:r w:rsidRPr="001C46C0">
        <w:rPr>
          <w:rFonts w:eastAsia="Batang" w:cs="Times"/>
          <w:noProof/>
          <w:szCs w:val="20"/>
          <w:vertAlign w:val="superscript"/>
          <w:lang w:val="es-ES" w:eastAsia="es-ES"/>
        </w:rPr>
        <w:footnoteReference w:id="35"/>
      </w:r>
      <w:r w:rsidRPr="001C46C0">
        <w:rPr>
          <w:rFonts w:eastAsia="Batang" w:cs="Times"/>
          <w:noProof/>
          <w:szCs w:val="20"/>
          <w:lang w:val="es-ES" w:eastAsia="es-ES"/>
        </w:rPr>
        <w:t>, o al tratarse de migrantes</w:t>
      </w:r>
      <w:r w:rsidRPr="001C46C0">
        <w:rPr>
          <w:rFonts w:eastAsia="Batang" w:cs="Times"/>
          <w:noProof/>
          <w:szCs w:val="20"/>
          <w:vertAlign w:val="superscript"/>
          <w:lang w:val="es-ES" w:eastAsia="es-ES"/>
        </w:rPr>
        <w:footnoteReference w:id="36"/>
      </w:r>
      <w:r>
        <w:rPr>
          <w:rFonts w:eastAsia="Batang" w:cs="Times"/>
          <w:noProof/>
          <w:szCs w:val="20"/>
          <w:lang w:val="es-ES" w:eastAsia="es-ES"/>
        </w:rPr>
        <w:t xml:space="preserve">. </w:t>
      </w:r>
      <w:r w:rsidRPr="001C46C0">
        <w:rPr>
          <w:rFonts w:eastAsia="Batang" w:cs="Times"/>
          <w:noProof/>
          <w:szCs w:val="20"/>
          <w:lang w:val="es-ES" w:eastAsia="es-ES"/>
        </w:rPr>
        <w:t>Igualmente, ha considerado la conducta del Estado, por ejemplo, cuando existen alegatos de que la falta de investigación contribuyó a la incompleta identificación de las presuntas víctimas</w:t>
      </w:r>
      <w:r w:rsidRPr="001C46C0">
        <w:rPr>
          <w:rFonts w:eastAsia="Batang" w:cs="Times"/>
          <w:noProof/>
          <w:szCs w:val="20"/>
          <w:vertAlign w:val="superscript"/>
          <w:lang w:val="es-ES" w:eastAsia="es-ES"/>
        </w:rPr>
        <w:footnoteReference w:id="37"/>
      </w:r>
      <w:r w:rsidRPr="001C46C0">
        <w:rPr>
          <w:rFonts w:eastAsia="Batang" w:cs="Times"/>
          <w:noProof/>
          <w:szCs w:val="20"/>
          <w:lang w:val="es-ES" w:eastAsia="es-ES"/>
        </w:rPr>
        <w:t xml:space="preserve">, </w:t>
      </w:r>
      <w:r>
        <w:rPr>
          <w:rFonts w:eastAsia="Batang" w:cs="Times"/>
          <w:noProof/>
          <w:szCs w:val="20"/>
          <w:lang w:val="es-ES" w:eastAsia="es-ES"/>
        </w:rPr>
        <w:t xml:space="preserve">y en un caso </w:t>
      </w:r>
      <w:r w:rsidRPr="001C46C0">
        <w:rPr>
          <w:rFonts w:eastAsia="Batang" w:cs="Times"/>
          <w:noProof/>
          <w:szCs w:val="20"/>
          <w:lang w:val="es-ES" w:eastAsia="es-ES"/>
        </w:rPr>
        <w:t>de esclavitud</w:t>
      </w:r>
      <w:r w:rsidRPr="001C46C0">
        <w:rPr>
          <w:rStyle w:val="FootnoteReference"/>
          <w:rFonts w:eastAsia="Batang" w:cs="Times"/>
          <w:noProof/>
          <w:lang w:val="es-ES" w:eastAsia="es-ES"/>
        </w:rPr>
        <w:footnoteReference w:id="38"/>
      </w:r>
      <w:r>
        <w:rPr>
          <w:rFonts w:eastAsia="Batang" w:cs="Times"/>
          <w:noProof/>
          <w:szCs w:val="20"/>
          <w:lang w:val="es-ES" w:eastAsia="es-ES"/>
        </w:rPr>
        <w:t>.</w:t>
      </w:r>
      <w:r w:rsidRPr="001C46C0">
        <w:rPr>
          <w:rFonts w:eastAsia="Batang" w:cs="Times"/>
          <w:noProof/>
          <w:szCs w:val="20"/>
          <w:lang w:val="es-ES" w:eastAsia="es-ES"/>
        </w:rPr>
        <w:t xml:space="preserve"> </w:t>
      </w:r>
    </w:p>
    <w:p w14:paraId="77570BB0" w14:textId="77777777" w:rsidR="005166F9" w:rsidRPr="003C7CDC" w:rsidRDefault="005166F9" w:rsidP="00B811D7">
      <w:pPr>
        <w:rPr>
          <w:rFonts w:eastAsia="Batang" w:cs="Times"/>
          <w:noProof/>
          <w:szCs w:val="20"/>
          <w:lang w:val="es-ES" w:eastAsia="es-ES"/>
        </w:rPr>
      </w:pPr>
    </w:p>
    <w:p w14:paraId="61685DF0" w14:textId="7F346806" w:rsidR="005166F9" w:rsidRPr="001C46C0" w:rsidRDefault="005166F9" w:rsidP="00D6683A">
      <w:pPr>
        <w:numPr>
          <w:ilvl w:val="0"/>
          <w:numId w:val="1"/>
        </w:numPr>
        <w:rPr>
          <w:rFonts w:eastAsia="Batang" w:cs="Times"/>
          <w:noProof/>
          <w:szCs w:val="20"/>
          <w:lang w:val="es-MX" w:eastAsia="es-ES"/>
        </w:rPr>
      </w:pPr>
      <w:r w:rsidRPr="001C46C0">
        <w:rPr>
          <w:rFonts w:eastAsia="Batang" w:cs="Times"/>
          <w:noProof/>
          <w:szCs w:val="20"/>
          <w:lang w:val="es-ES" w:eastAsia="es-ES"/>
        </w:rPr>
        <w:t xml:space="preserve">En el presente caso, la Corte nota que </w:t>
      </w:r>
      <w:r>
        <w:rPr>
          <w:rFonts w:eastAsia="Batang" w:cs="Times"/>
          <w:noProof/>
          <w:szCs w:val="20"/>
          <w:lang w:val="es-ES" w:eastAsia="es-ES"/>
        </w:rPr>
        <w:t>se identificaron 26 ví</w:t>
      </w:r>
      <w:r w:rsidRPr="001C46C0">
        <w:rPr>
          <w:rFonts w:eastAsia="Batang" w:cs="Times"/>
          <w:noProof/>
          <w:szCs w:val="20"/>
          <w:lang w:val="es-ES" w:eastAsia="es-ES"/>
        </w:rPr>
        <w:t xml:space="preserve">ctimas fallecidas y </w:t>
      </w:r>
      <w:r>
        <w:rPr>
          <w:rFonts w:eastAsia="Batang" w:cs="Times"/>
          <w:noProof/>
          <w:szCs w:val="20"/>
          <w:lang w:val="es-ES" w:eastAsia="es-ES"/>
        </w:rPr>
        <w:t>tres ví</w:t>
      </w:r>
      <w:r w:rsidRPr="001C46C0">
        <w:rPr>
          <w:rFonts w:eastAsia="Batang" w:cs="Times"/>
          <w:noProof/>
          <w:szCs w:val="20"/>
          <w:lang w:val="es-ES" w:eastAsia="es-ES"/>
        </w:rPr>
        <w:t>ctimas de violencia sexual</w:t>
      </w:r>
      <w:r>
        <w:rPr>
          <w:rFonts w:eastAsia="Batang" w:cs="Times"/>
          <w:noProof/>
          <w:szCs w:val="20"/>
          <w:lang w:val="es-ES" w:eastAsia="es-ES"/>
        </w:rPr>
        <w:t xml:space="preserve"> y violació</w:t>
      </w:r>
      <w:r w:rsidRPr="001C46C0">
        <w:rPr>
          <w:rFonts w:eastAsia="Batang" w:cs="Times"/>
          <w:noProof/>
          <w:szCs w:val="20"/>
          <w:lang w:val="es-ES" w:eastAsia="es-ES"/>
        </w:rPr>
        <w:t>n</w:t>
      </w:r>
      <w:r w:rsidR="002C3CF9">
        <w:rPr>
          <w:rFonts w:eastAsia="Batang" w:cs="Times"/>
          <w:noProof/>
          <w:szCs w:val="20"/>
          <w:lang w:val="es-ES" w:eastAsia="es-ES"/>
        </w:rPr>
        <w:t>.</w:t>
      </w:r>
      <w:r w:rsidRPr="001C46C0">
        <w:rPr>
          <w:rFonts w:eastAsia="Batang" w:cs="Times"/>
          <w:noProof/>
          <w:szCs w:val="20"/>
          <w:lang w:val="es-ES" w:eastAsia="es-ES"/>
        </w:rPr>
        <w:t xml:space="preserve"> </w:t>
      </w:r>
      <w:r w:rsidR="002C3CF9">
        <w:rPr>
          <w:rFonts w:eastAsia="Batang" w:cs="Times"/>
          <w:noProof/>
          <w:szCs w:val="20"/>
          <w:lang w:val="es-ES" w:eastAsia="es-ES"/>
        </w:rPr>
        <w:t>S</w:t>
      </w:r>
      <w:r w:rsidRPr="001C46C0">
        <w:rPr>
          <w:rFonts w:eastAsia="Batang" w:cs="Times"/>
          <w:noProof/>
          <w:szCs w:val="20"/>
          <w:lang w:val="es-ES" w:eastAsia="es-ES"/>
        </w:rPr>
        <w:t>in</w:t>
      </w:r>
      <w:r>
        <w:rPr>
          <w:rFonts w:eastAsia="Batang" w:cs="Times"/>
          <w:noProof/>
          <w:szCs w:val="20"/>
          <w:lang w:val="es-ES" w:eastAsia="es-ES"/>
        </w:rPr>
        <w:t xml:space="preserve"> embargo</w:t>
      </w:r>
      <w:r w:rsidR="002C3CF9">
        <w:rPr>
          <w:rFonts w:eastAsia="Batang" w:cs="Times"/>
          <w:noProof/>
          <w:szCs w:val="20"/>
          <w:lang w:val="es-ES" w:eastAsia="es-ES"/>
        </w:rPr>
        <w:t>,</w:t>
      </w:r>
      <w:r>
        <w:rPr>
          <w:rFonts w:eastAsia="Batang" w:cs="Times"/>
          <w:noProof/>
          <w:szCs w:val="20"/>
          <w:lang w:val="es-ES" w:eastAsia="es-ES"/>
        </w:rPr>
        <w:t xml:space="preserve"> se regis</w:t>
      </w:r>
      <w:r w:rsidRPr="001C46C0">
        <w:rPr>
          <w:rFonts w:eastAsia="Batang" w:cs="Times"/>
          <w:noProof/>
          <w:szCs w:val="20"/>
          <w:lang w:val="es-ES" w:eastAsia="es-ES"/>
        </w:rPr>
        <w:t xml:space="preserve">tran problemas respecto a la identificación de los presuntos familiares de algunas de las víctimas, que </w:t>
      </w:r>
      <w:r>
        <w:rPr>
          <w:rFonts w:eastAsia="Batang" w:cs="Times"/>
          <w:noProof/>
          <w:szCs w:val="20"/>
          <w:lang w:val="es-ES" w:eastAsia="es-ES"/>
        </w:rPr>
        <w:t>podrían</w:t>
      </w:r>
      <w:r w:rsidRPr="001C46C0">
        <w:rPr>
          <w:rFonts w:eastAsia="Batang" w:cs="Times"/>
          <w:noProof/>
          <w:szCs w:val="20"/>
          <w:lang w:val="es-ES" w:eastAsia="es-ES"/>
        </w:rPr>
        <w:t xml:space="preserve"> </w:t>
      </w:r>
      <w:r>
        <w:rPr>
          <w:rFonts w:eastAsia="Batang" w:cs="Times"/>
          <w:noProof/>
          <w:szCs w:val="20"/>
          <w:lang w:val="es-ES" w:eastAsia="es-ES"/>
        </w:rPr>
        <w:t>justificarse</w:t>
      </w:r>
      <w:r w:rsidRPr="001C46C0">
        <w:rPr>
          <w:rFonts w:eastAsia="Batang" w:cs="Times"/>
          <w:noProof/>
          <w:szCs w:val="20"/>
          <w:lang w:val="es-ES" w:eastAsia="es-ES"/>
        </w:rPr>
        <w:t xml:space="preserve"> en razón de: i) el contexto del caso; ii) la naturaleza colectiva de la violaci</w:t>
      </w:r>
      <w:r>
        <w:rPr>
          <w:rFonts w:eastAsia="Batang" w:cs="Times"/>
          <w:noProof/>
          <w:szCs w:val="20"/>
          <w:lang w:val="es-ES" w:eastAsia="es-ES"/>
        </w:rPr>
        <w:t>ó</w:t>
      </w:r>
      <w:r w:rsidRPr="001C46C0">
        <w:rPr>
          <w:rFonts w:eastAsia="Batang" w:cs="Times"/>
          <w:noProof/>
          <w:szCs w:val="20"/>
          <w:lang w:val="es-ES" w:eastAsia="es-ES"/>
        </w:rPr>
        <w:t xml:space="preserve">n de los </w:t>
      </w:r>
      <w:r>
        <w:rPr>
          <w:rFonts w:eastAsia="Batang" w:cs="Times"/>
          <w:noProof/>
          <w:szCs w:val="20"/>
          <w:lang w:val="es-ES" w:eastAsia="es-ES"/>
        </w:rPr>
        <w:t>d</w:t>
      </w:r>
      <w:r w:rsidRPr="001C46C0">
        <w:rPr>
          <w:rFonts w:eastAsia="Batang" w:cs="Times"/>
          <w:noProof/>
          <w:szCs w:val="20"/>
          <w:lang w:val="es-ES" w:eastAsia="es-ES"/>
        </w:rPr>
        <w:t xml:space="preserve">erechos </w:t>
      </w:r>
      <w:r>
        <w:rPr>
          <w:rFonts w:eastAsia="Batang" w:cs="Times"/>
          <w:noProof/>
          <w:szCs w:val="20"/>
          <w:lang w:val="es-ES" w:eastAsia="es-ES"/>
        </w:rPr>
        <w:t>h</w:t>
      </w:r>
      <w:r w:rsidRPr="001C46C0">
        <w:rPr>
          <w:rFonts w:eastAsia="Batang" w:cs="Times"/>
          <w:noProof/>
          <w:szCs w:val="20"/>
          <w:lang w:val="es-ES" w:eastAsia="es-ES"/>
        </w:rPr>
        <w:t xml:space="preserve">umanos; iii) la falta de documentos de identidad; iv) el tiempo de 22 años transcurridos desde la primera redada, y v) algunos actos de omisión de registro atribuibles al Estado. </w:t>
      </w:r>
    </w:p>
    <w:p w14:paraId="7BE8BBE4" w14:textId="77777777" w:rsidR="005166F9" w:rsidRPr="001C46C0" w:rsidRDefault="005166F9" w:rsidP="00B811D7">
      <w:pPr>
        <w:rPr>
          <w:rFonts w:eastAsia="Batang" w:cs="Times"/>
          <w:i/>
          <w:noProof/>
          <w:szCs w:val="20"/>
          <w:lang w:val="es-ES" w:eastAsia="es-ES"/>
        </w:rPr>
      </w:pPr>
    </w:p>
    <w:p w14:paraId="2A7D15C3" w14:textId="3C7F8C32" w:rsidR="005166F9" w:rsidRDefault="005166F9" w:rsidP="00D6683A">
      <w:pPr>
        <w:numPr>
          <w:ilvl w:val="0"/>
          <w:numId w:val="1"/>
        </w:numPr>
        <w:rPr>
          <w:rFonts w:eastAsia="Batang" w:cs="Times"/>
          <w:i/>
          <w:noProof/>
          <w:szCs w:val="20"/>
          <w:lang w:val="es-ES" w:eastAsia="es-ES"/>
        </w:rPr>
      </w:pPr>
      <w:r>
        <w:rPr>
          <w:rFonts w:eastAsia="Batang" w:cs="Times"/>
          <w:noProof/>
          <w:szCs w:val="20"/>
          <w:lang w:val="es-ES" w:eastAsia="es-ES"/>
        </w:rPr>
        <w:t xml:space="preserve">La Corte considera que la argumentación de los representantes respecto al contexto, la violación colectiva y el paso de tiempo desde las redadas en 1994 y 1995 no pueden ser </w:t>
      </w:r>
      <w:r>
        <w:rPr>
          <w:rFonts w:eastAsia="Batang" w:cs="Times"/>
          <w:noProof/>
          <w:szCs w:val="20"/>
          <w:lang w:val="es-ES" w:eastAsia="es-ES"/>
        </w:rPr>
        <w:lastRenderedPageBreak/>
        <w:t xml:space="preserve">consideradas suficientes para aplicar </w:t>
      </w:r>
      <w:r w:rsidR="007360AD">
        <w:rPr>
          <w:rFonts w:eastAsia="Batang" w:cs="Times"/>
          <w:noProof/>
          <w:szCs w:val="20"/>
          <w:lang w:val="es-ES" w:eastAsia="es-ES"/>
        </w:rPr>
        <w:t xml:space="preserve">la excepción prevista en </w:t>
      </w:r>
      <w:r>
        <w:rPr>
          <w:rFonts w:eastAsia="Batang" w:cs="Times"/>
          <w:noProof/>
          <w:szCs w:val="20"/>
          <w:lang w:val="es-ES" w:eastAsia="es-ES"/>
        </w:rPr>
        <w:t>el artículo 35.</w:t>
      </w:r>
      <w:r w:rsidR="007360AD">
        <w:rPr>
          <w:rFonts w:eastAsia="Batang" w:cs="Times"/>
          <w:noProof/>
          <w:szCs w:val="20"/>
          <w:lang w:val="es-ES" w:eastAsia="es-ES"/>
        </w:rPr>
        <w:t>2</w:t>
      </w:r>
      <w:r>
        <w:rPr>
          <w:rFonts w:eastAsia="Batang" w:cs="Times"/>
          <w:noProof/>
          <w:szCs w:val="20"/>
          <w:lang w:val="es-ES" w:eastAsia="es-ES"/>
        </w:rPr>
        <w:t xml:space="preserve"> del Reglamento de la Corte. </w:t>
      </w:r>
    </w:p>
    <w:p w14:paraId="1BB89E1A" w14:textId="77777777" w:rsidR="005166F9" w:rsidRPr="0078154A" w:rsidRDefault="005166F9" w:rsidP="00B811D7">
      <w:pPr>
        <w:rPr>
          <w:rFonts w:eastAsia="Batang" w:cs="Times"/>
          <w:noProof/>
          <w:szCs w:val="20"/>
          <w:lang w:val="es-ES" w:eastAsia="es-ES"/>
        </w:rPr>
      </w:pPr>
    </w:p>
    <w:p w14:paraId="14961122" w14:textId="3188E9B4" w:rsidR="005166F9" w:rsidRPr="0059055A" w:rsidRDefault="005166F9" w:rsidP="00D6683A">
      <w:pPr>
        <w:numPr>
          <w:ilvl w:val="0"/>
          <w:numId w:val="1"/>
        </w:numPr>
        <w:rPr>
          <w:rFonts w:eastAsia="Batang" w:cs="Times"/>
          <w:i/>
          <w:noProof/>
          <w:szCs w:val="20"/>
          <w:lang w:val="es-ES" w:eastAsia="es-ES"/>
        </w:rPr>
      </w:pPr>
      <w:r>
        <w:rPr>
          <w:rFonts w:eastAsia="Batang" w:cs="Times"/>
          <w:noProof/>
          <w:szCs w:val="20"/>
          <w:lang w:val="es-ES" w:eastAsia="es-ES"/>
        </w:rPr>
        <w:t>Respecto a la naturaleza de las violaciones, el presente caso se refiere a la supuesta violación de los derechos a las garantías judiciales y a la protección judicial, y no a las ejecuciones extrajudiciales y violaciones sexuales cometidas por funcionarios públicos. El hecho que las redadas de 1994 y 1995 resultaron en la muerte de 26 personas y la violación de tres mujeres fue aceptado por el Estado, no exime a los representantes de identificar a los familiares de esas víctimas, quienes por su propio derecho serían presuntas víctimas de violaciones a los artículos 8 y 25 de la Convención Americana. Es inexcusable que pasados 22 años de la ocurrencia de los hechos y 21 de trámite ante la Comisión, únicamente al presentar su escrito de solicitudes y argumentos los representantes hayan remitido una lista más completa de los familiares. El hecho de que el trámite ante la Comisión tuvo una larga duración debería haber</w:t>
      </w:r>
      <w:r w:rsidR="00430041">
        <w:rPr>
          <w:rFonts w:eastAsia="Batang" w:cs="Times"/>
          <w:noProof/>
          <w:szCs w:val="20"/>
          <w:lang w:val="es-ES" w:eastAsia="es-ES"/>
        </w:rPr>
        <w:t>les</w:t>
      </w:r>
      <w:r>
        <w:rPr>
          <w:rFonts w:eastAsia="Batang" w:cs="Times"/>
          <w:noProof/>
          <w:szCs w:val="20"/>
          <w:lang w:val="es-ES" w:eastAsia="es-ES"/>
        </w:rPr>
        <w:t xml:space="preserve"> permitido recoger dicha información y presentarla oportunamente ante la Comisión. </w:t>
      </w:r>
      <w:r w:rsidR="002C3CF9">
        <w:rPr>
          <w:rFonts w:eastAsia="Batang" w:cs="Times"/>
          <w:noProof/>
          <w:szCs w:val="20"/>
          <w:lang w:val="es-ES" w:eastAsia="es-ES"/>
        </w:rPr>
        <w:t>Asimismo, no se evidencia</w:t>
      </w:r>
      <w:r w:rsidR="00FD28EF">
        <w:rPr>
          <w:rFonts w:eastAsia="Batang" w:cs="Times"/>
          <w:noProof/>
          <w:szCs w:val="20"/>
          <w:lang w:val="es-ES" w:eastAsia="es-ES"/>
        </w:rPr>
        <w:t xml:space="preserve"> en el presente caso dificultades de tal magnitud que podrían impedir al menos la identificación de los familiares de las personas fallecidas en 1994 y 1995. </w:t>
      </w:r>
      <w:r>
        <w:rPr>
          <w:rFonts w:eastAsia="Batang" w:cs="Times"/>
          <w:noProof/>
          <w:szCs w:val="20"/>
          <w:lang w:val="es-ES" w:eastAsia="es-ES"/>
        </w:rPr>
        <w:t xml:space="preserve">Por todo lo anterior, la Corte acoge parcialmente la excepción preliminar del Estado y considerará como presuntas vícitmas en el presente caso únicamente a las personas identificadas y listadas en el Informe de Fondo de la Comisión Interamericana. </w:t>
      </w:r>
    </w:p>
    <w:p w14:paraId="5C1BF5FB" w14:textId="77777777" w:rsidR="005166F9" w:rsidRDefault="005166F9" w:rsidP="00B811D7">
      <w:pPr>
        <w:rPr>
          <w:rFonts w:eastAsia="Batang" w:cs="Times"/>
          <w:i/>
          <w:noProof/>
          <w:szCs w:val="20"/>
          <w:lang w:val="es-ES" w:eastAsia="es-ES"/>
        </w:rPr>
      </w:pPr>
    </w:p>
    <w:p w14:paraId="37B8739A" w14:textId="363943C7" w:rsidR="007360AD" w:rsidRPr="00B62157" w:rsidRDefault="007360AD" w:rsidP="00D6683A">
      <w:pPr>
        <w:numPr>
          <w:ilvl w:val="0"/>
          <w:numId w:val="1"/>
        </w:numPr>
        <w:rPr>
          <w:rFonts w:eastAsia="Batang" w:cs="Times"/>
          <w:noProof/>
          <w:szCs w:val="20"/>
          <w:lang w:val="es-ES" w:eastAsia="es-ES"/>
        </w:rPr>
      </w:pPr>
      <w:r>
        <w:rPr>
          <w:rFonts w:eastAsia="Batang" w:cs="Times"/>
          <w:noProof/>
          <w:szCs w:val="20"/>
          <w:lang w:val="es-ES" w:eastAsia="es-ES"/>
        </w:rPr>
        <w:t xml:space="preserve">Por otra parte, la Corte considera que los familiares de las presuntas víctimas están razonablemente representados por CEJIL e ISER, de manera que no prospera la excepción </w:t>
      </w:r>
      <w:r w:rsidRPr="00BA3AB8">
        <w:rPr>
          <w:rFonts w:eastAsia="Batang" w:cs="Times"/>
          <w:i/>
          <w:noProof/>
          <w:szCs w:val="20"/>
          <w:lang w:val="es-ES" w:eastAsia="es-ES"/>
        </w:rPr>
        <w:t>rationae personae</w:t>
      </w:r>
      <w:r>
        <w:rPr>
          <w:rFonts w:eastAsia="Batang" w:cs="Times"/>
          <w:noProof/>
          <w:szCs w:val="20"/>
          <w:lang w:val="es-ES" w:eastAsia="es-ES"/>
        </w:rPr>
        <w:t xml:space="preserve"> del Estado </w:t>
      </w:r>
      <w:r w:rsidR="002C3CF9">
        <w:rPr>
          <w:rFonts w:eastAsia="Batang" w:cs="Times"/>
          <w:noProof/>
          <w:szCs w:val="20"/>
          <w:lang w:val="es-ES" w:eastAsia="es-ES"/>
        </w:rPr>
        <w:t>sobre</w:t>
      </w:r>
      <w:r>
        <w:rPr>
          <w:rFonts w:eastAsia="Batang" w:cs="Times"/>
          <w:noProof/>
          <w:szCs w:val="20"/>
          <w:lang w:val="es-ES" w:eastAsia="es-ES"/>
        </w:rPr>
        <w:t xml:space="preserve"> la supuesta falta de otorgamiento de poderes a los representantes. </w:t>
      </w:r>
    </w:p>
    <w:p w14:paraId="3A37B77C" w14:textId="77777777" w:rsidR="007360AD" w:rsidRPr="006503F4" w:rsidRDefault="007360AD" w:rsidP="00B811D7">
      <w:pPr>
        <w:rPr>
          <w:rFonts w:eastAsia="Batang" w:cs="Times"/>
          <w:i/>
          <w:noProof/>
          <w:szCs w:val="20"/>
          <w:lang w:val="es-ES" w:eastAsia="es-ES"/>
        </w:rPr>
      </w:pPr>
    </w:p>
    <w:p w14:paraId="0686D00A" w14:textId="7A18322D" w:rsidR="005166F9" w:rsidRPr="00896429" w:rsidRDefault="005166F9" w:rsidP="00D6683A">
      <w:pPr>
        <w:numPr>
          <w:ilvl w:val="0"/>
          <w:numId w:val="1"/>
        </w:numPr>
        <w:rPr>
          <w:rFonts w:eastAsia="Batang" w:cs="Times"/>
          <w:i/>
          <w:noProof/>
          <w:szCs w:val="20"/>
          <w:lang w:val="es-ES" w:eastAsia="es-ES"/>
        </w:rPr>
      </w:pPr>
      <w:r>
        <w:rPr>
          <w:rFonts w:eastAsia="Batang" w:cs="Times"/>
          <w:noProof/>
          <w:szCs w:val="20"/>
          <w:lang w:val="es-ES" w:eastAsia="es-ES"/>
        </w:rPr>
        <w:t xml:space="preserve">Finalmente, </w:t>
      </w:r>
      <w:r w:rsidRPr="00896429">
        <w:rPr>
          <w:rFonts w:eastAsia="Batang" w:cs="Times"/>
          <w:noProof/>
          <w:szCs w:val="20"/>
          <w:lang w:val="es-ES" w:eastAsia="es-ES"/>
        </w:rPr>
        <w:t>la Corte desestima la excepción preliminar relacionada con la supuesta falta de relación de algunas presuntas víctimas con los hechos del caso</w:t>
      </w:r>
      <w:r w:rsidR="000E6E29">
        <w:rPr>
          <w:rFonts w:eastAsia="Batang" w:cs="Times"/>
          <w:noProof/>
          <w:szCs w:val="20"/>
          <w:lang w:val="es-ES" w:eastAsia="es-ES"/>
        </w:rPr>
        <w:t xml:space="preserve">, ya que esta cuestión está </w:t>
      </w:r>
      <w:r w:rsidR="005866C5" w:rsidRPr="00896429">
        <w:rPr>
          <w:rFonts w:eastAsia="Batang" w:cs="Times"/>
          <w:noProof/>
          <w:szCs w:val="20"/>
          <w:lang w:val="es-ES" w:eastAsia="es-ES"/>
        </w:rPr>
        <w:t>relacionad</w:t>
      </w:r>
      <w:r w:rsidR="005866C5">
        <w:rPr>
          <w:rFonts w:eastAsia="Batang" w:cs="Times"/>
          <w:noProof/>
          <w:szCs w:val="20"/>
          <w:lang w:val="es-ES" w:eastAsia="es-ES"/>
        </w:rPr>
        <w:t>a</w:t>
      </w:r>
      <w:r w:rsidR="005866C5" w:rsidRPr="00896429">
        <w:rPr>
          <w:rFonts w:eastAsia="Batang" w:cs="Times"/>
          <w:noProof/>
          <w:szCs w:val="20"/>
          <w:lang w:val="es-ES" w:eastAsia="es-ES"/>
        </w:rPr>
        <w:t xml:space="preserve"> </w:t>
      </w:r>
      <w:r w:rsidR="000E6E29">
        <w:rPr>
          <w:rFonts w:eastAsia="Batang" w:cs="Times"/>
          <w:noProof/>
          <w:szCs w:val="20"/>
          <w:lang w:val="es-ES" w:eastAsia="es-ES"/>
        </w:rPr>
        <w:t xml:space="preserve">con el </w:t>
      </w:r>
      <w:r w:rsidRPr="00896429">
        <w:rPr>
          <w:rFonts w:eastAsia="Batang" w:cs="Times"/>
          <w:noProof/>
          <w:szCs w:val="20"/>
          <w:lang w:val="es-ES" w:eastAsia="es-ES"/>
        </w:rPr>
        <w:t xml:space="preserve">fondo del </w:t>
      </w:r>
      <w:r>
        <w:rPr>
          <w:rFonts w:eastAsia="Batang" w:cs="Times"/>
          <w:noProof/>
          <w:szCs w:val="20"/>
          <w:lang w:val="es-ES" w:eastAsia="es-ES"/>
        </w:rPr>
        <w:t>asunto</w:t>
      </w:r>
      <w:r w:rsidRPr="00896429">
        <w:rPr>
          <w:rFonts w:eastAsia="Batang" w:cs="Times"/>
          <w:noProof/>
          <w:szCs w:val="20"/>
          <w:lang w:val="es-ES" w:eastAsia="es-ES"/>
        </w:rPr>
        <w:t>.</w:t>
      </w:r>
    </w:p>
    <w:p w14:paraId="7CE7C7C0" w14:textId="77777777" w:rsidR="005166F9" w:rsidRPr="001C46C0" w:rsidRDefault="005166F9" w:rsidP="00B811D7">
      <w:pPr>
        <w:rPr>
          <w:rFonts w:eastAsia="Batang" w:cs="Times"/>
          <w:i/>
          <w:noProof/>
          <w:szCs w:val="20"/>
          <w:lang w:val="es-ES" w:eastAsia="es-ES"/>
        </w:rPr>
      </w:pPr>
    </w:p>
    <w:p w14:paraId="62E712D3" w14:textId="00FBE9B6" w:rsidR="005166F9" w:rsidRPr="001C46C0" w:rsidRDefault="005166F9" w:rsidP="00123780">
      <w:pPr>
        <w:pStyle w:val="TOC2"/>
        <w:rPr>
          <w:rFonts w:eastAsia="Batang" w:cs="Times"/>
        </w:rPr>
      </w:pPr>
      <w:bookmarkStart w:id="125" w:name="_Toc469404452"/>
      <w:bookmarkStart w:id="126" w:name="_Toc472608897"/>
      <w:r w:rsidRPr="001C46C0">
        <w:t>C. Incompetencia ratione temporis respecto de hechos anteriores a la fecha de reconocimiento de la jurisdicción de la Corte y en relación con la</w:t>
      </w:r>
      <w:r>
        <w:t xml:space="preserve"> </w:t>
      </w:r>
      <w:r w:rsidRPr="00E44C81">
        <w:t>Convención para Prevenir y Sancionar la Tortura y la</w:t>
      </w:r>
      <w:r w:rsidRPr="001C46C0">
        <w:t xml:space="preserve"> Convención Interamericana para Prevenir, Sancionar y Erradicar la Violencia contra la Mujer (Convención de</w:t>
      </w:r>
      <w:r w:rsidR="00582327">
        <w:t xml:space="preserve"> Belém </w:t>
      </w:r>
      <w:r w:rsidRPr="001C46C0">
        <w:t>do Pará)</w:t>
      </w:r>
      <w:bookmarkEnd w:id="125"/>
      <w:bookmarkEnd w:id="126"/>
    </w:p>
    <w:p w14:paraId="55CA0F14" w14:textId="77777777" w:rsidR="005166F9" w:rsidRPr="001C46C0" w:rsidRDefault="005166F9" w:rsidP="00B811D7">
      <w:pPr>
        <w:rPr>
          <w:rFonts w:eastAsia="Batang" w:cs="Times"/>
          <w:noProof/>
          <w:szCs w:val="20"/>
          <w:lang w:val="es-ES" w:eastAsia="es-ES"/>
        </w:rPr>
      </w:pPr>
    </w:p>
    <w:p w14:paraId="43B157B8" w14:textId="77777777" w:rsidR="005166F9" w:rsidRPr="001C46C0" w:rsidRDefault="005166F9" w:rsidP="00B811D7">
      <w:pPr>
        <w:pStyle w:val="Heading3"/>
        <w:ind w:left="0"/>
        <w:rPr>
          <w:noProof/>
          <w:szCs w:val="20"/>
          <w:lang w:eastAsia="es-ES"/>
        </w:rPr>
      </w:pPr>
      <w:bookmarkStart w:id="127" w:name="_Toc460432970"/>
      <w:bookmarkStart w:id="128" w:name="_Toc460441901"/>
      <w:bookmarkStart w:id="129" w:name="_Toc462750721"/>
      <w:bookmarkStart w:id="130" w:name="_Toc462751045"/>
      <w:bookmarkStart w:id="131" w:name="_Toc468909987"/>
      <w:bookmarkStart w:id="132" w:name="_Toc468910213"/>
      <w:bookmarkStart w:id="133" w:name="_Toc469404453"/>
      <w:bookmarkStart w:id="134" w:name="_Toc472608898"/>
      <w:r w:rsidRPr="001C46C0">
        <w:rPr>
          <w:noProof/>
          <w:szCs w:val="20"/>
          <w:lang w:eastAsia="es-ES"/>
        </w:rPr>
        <w:t>C.1. Alegatos del Estado, observaciones de la Comisión y de los representantes</w:t>
      </w:r>
      <w:bookmarkEnd w:id="127"/>
      <w:bookmarkEnd w:id="128"/>
      <w:bookmarkEnd w:id="129"/>
      <w:bookmarkEnd w:id="130"/>
      <w:bookmarkEnd w:id="131"/>
      <w:bookmarkEnd w:id="132"/>
      <w:bookmarkEnd w:id="133"/>
      <w:bookmarkEnd w:id="134"/>
      <w:r w:rsidRPr="001C46C0">
        <w:rPr>
          <w:noProof/>
          <w:szCs w:val="20"/>
          <w:lang w:eastAsia="es-ES"/>
        </w:rPr>
        <w:t xml:space="preserve"> </w:t>
      </w:r>
    </w:p>
    <w:p w14:paraId="057F0570" w14:textId="77777777" w:rsidR="005166F9" w:rsidRPr="001C46C0" w:rsidRDefault="005166F9" w:rsidP="00B811D7">
      <w:pPr>
        <w:rPr>
          <w:szCs w:val="20"/>
          <w:lang w:val="es-MX" w:eastAsia="es-ES"/>
        </w:rPr>
      </w:pPr>
    </w:p>
    <w:p w14:paraId="75005A1F" w14:textId="2EFBB3D5" w:rsidR="005166F9" w:rsidRPr="001C46C0" w:rsidRDefault="005166F9" w:rsidP="00D6683A">
      <w:pPr>
        <w:pStyle w:val="ListParagraph"/>
        <w:numPr>
          <w:ilvl w:val="0"/>
          <w:numId w:val="1"/>
        </w:numPr>
        <w:ind w:right="49"/>
        <w:outlineLvl w:val="0"/>
        <w:rPr>
          <w:rFonts w:cs="Verdana Bold"/>
          <w:bCs/>
          <w:szCs w:val="20"/>
          <w:lang w:val="es-ES"/>
        </w:rPr>
      </w:pPr>
      <w:bookmarkStart w:id="135" w:name="_Toc468909988"/>
      <w:bookmarkStart w:id="136" w:name="_Toc468910214"/>
      <w:bookmarkStart w:id="137" w:name="_Toc469404454"/>
      <w:bookmarkStart w:id="138" w:name="_Toc472608899"/>
      <w:r w:rsidRPr="001C46C0">
        <w:rPr>
          <w:rFonts w:cs="Verdana Bold"/>
          <w:bCs/>
          <w:szCs w:val="20"/>
          <w:lang w:val="es-ES"/>
        </w:rPr>
        <w:t xml:space="preserve">El </w:t>
      </w:r>
      <w:r w:rsidRPr="00F53D96">
        <w:rPr>
          <w:rFonts w:cs="Verdana Bold"/>
          <w:b/>
          <w:bCs/>
          <w:i/>
          <w:szCs w:val="20"/>
          <w:lang w:val="es-ES"/>
        </w:rPr>
        <w:t>Estado</w:t>
      </w:r>
      <w:r w:rsidRPr="001C46C0">
        <w:rPr>
          <w:rFonts w:cs="Verdana Bold"/>
          <w:bCs/>
          <w:szCs w:val="20"/>
          <w:lang w:val="es-ES"/>
        </w:rPr>
        <w:t xml:space="preserve"> señaló que formalizó su adhesión a la Convención</w:t>
      </w:r>
      <w:r>
        <w:rPr>
          <w:rFonts w:cs="Verdana Bold"/>
          <w:bCs/>
          <w:szCs w:val="20"/>
          <w:lang w:val="es-ES"/>
        </w:rPr>
        <w:t xml:space="preserve"> Americana</w:t>
      </w:r>
      <w:r w:rsidRPr="001C46C0">
        <w:rPr>
          <w:rFonts w:cs="Verdana Bold"/>
          <w:bCs/>
          <w:szCs w:val="20"/>
          <w:lang w:val="es-ES"/>
        </w:rPr>
        <w:t xml:space="preserve"> en 1992 y reconoció la jurisdicción de la Corte el 10 de diciembre de 1998. Por lo tanto</w:t>
      </w:r>
      <w:r>
        <w:rPr>
          <w:rFonts w:cs="Verdana Bold"/>
          <w:bCs/>
          <w:szCs w:val="20"/>
          <w:lang w:val="es-ES"/>
        </w:rPr>
        <w:t>,</w:t>
      </w:r>
      <w:r w:rsidRPr="001C46C0">
        <w:rPr>
          <w:rFonts w:cs="Verdana Bold"/>
          <w:bCs/>
          <w:szCs w:val="20"/>
          <w:lang w:val="es-ES"/>
        </w:rPr>
        <w:t xml:space="preserve"> la Corte sólo puede conocer de casos iniciados después</w:t>
      </w:r>
      <w:r>
        <w:rPr>
          <w:rFonts w:cs="Verdana Bold"/>
          <w:bCs/>
          <w:szCs w:val="20"/>
          <w:lang w:val="es-ES"/>
        </w:rPr>
        <w:t xml:space="preserve"> de</w:t>
      </w:r>
      <w:r w:rsidRPr="001C46C0">
        <w:rPr>
          <w:rFonts w:cs="Verdana Bold"/>
          <w:bCs/>
          <w:szCs w:val="20"/>
          <w:lang w:val="es-ES"/>
        </w:rPr>
        <w:t xml:space="preserve"> esa aceptación. </w:t>
      </w:r>
      <w:r w:rsidR="004228FF">
        <w:rPr>
          <w:rFonts w:cs="Verdana Bold"/>
          <w:bCs/>
          <w:szCs w:val="20"/>
          <w:lang w:val="es-ES"/>
        </w:rPr>
        <w:t>I</w:t>
      </w:r>
      <w:r w:rsidRPr="001C46C0">
        <w:rPr>
          <w:rFonts w:cs="Verdana Bold"/>
          <w:bCs/>
          <w:szCs w:val="20"/>
          <w:lang w:val="es-ES"/>
        </w:rPr>
        <w:t xml:space="preserve">ndicó que las presuntas violaciones de la Convención </w:t>
      </w:r>
      <w:r>
        <w:rPr>
          <w:rFonts w:cs="Verdana Bold"/>
          <w:bCs/>
          <w:szCs w:val="20"/>
          <w:lang w:val="es-ES"/>
        </w:rPr>
        <w:t>A</w:t>
      </w:r>
      <w:r w:rsidRPr="001C46C0">
        <w:rPr>
          <w:rFonts w:cs="Verdana Bold"/>
          <w:bCs/>
          <w:szCs w:val="20"/>
          <w:lang w:val="es-ES"/>
        </w:rPr>
        <w:t>mericana sobre Derechos Humanos, la Convención para Prevenir y Sancionar la Tortura, y la Convención para Prevenir, Sancionar y Erradicar la Violencia contra la Mujer</w:t>
      </w:r>
      <w:r>
        <w:rPr>
          <w:rFonts w:cs="Verdana Bold"/>
          <w:bCs/>
          <w:szCs w:val="20"/>
          <w:lang w:val="es-ES"/>
        </w:rPr>
        <w:t xml:space="preserve"> </w:t>
      </w:r>
      <w:r w:rsidRPr="001C46C0">
        <w:rPr>
          <w:rFonts w:cs="Verdana Bold"/>
          <w:bCs/>
          <w:szCs w:val="20"/>
          <w:lang w:val="es-ES"/>
        </w:rPr>
        <w:t xml:space="preserve">(Convención de Belém do Pará), deben analizarse en el marco de la declaración de aceptación de la jurisdicción de la Corte por el Estado brasileño, considerando que los actos denunciados fueron con efectos instantáneos y el Tribunal no tiene competencia </w:t>
      </w:r>
      <w:proofErr w:type="spellStart"/>
      <w:r w:rsidRPr="001C46C0">
        <w:rPr>
          <w:rFonts w:cs="Verdana Bold"/>
          <w:bCs/>
          <w:i/>
          <w:szCs w:val="20"/>
          <w:lang w:val="es-ES"/>
        </w:rPr>
        <w:t>ratione</w:t>
      </w:r>
      <w:proofErr w:type="spellEnd"/>
      <w:r w:rsidRPr="001C46C0">
        <w:rPr>
          <w:rFonts w:cs="Verdana Bold"/>
          <w:bCs/>
          <w:i/>
          <w:szCs w:val="20"/>
          <w:lang w:val="es-ES"/>
        </w:rPr>
        <w:t xml:space="preserve"> </w:t>
      </w:r>
      <w:proofErr w:type="spellStart"/>
      <w:r w:rsidRPr="001C46C0">
        <w:rPr>
          <w:rFonts w:cs="Verdana Bold"/>
          <w:bCs/>
          <w:i/>
          <w:szCs w:val="20"/>
          <w:lang w:val="es-ES"/>
        </w:rPr>
        <w:t>temporis</w:t>
      </w:r>
      <w:proofErr w:type="spellEnd"/>
      <w:r w:rsidRPr="001C46C0">
        <w:rPr>
          <w:rFonts w:cs="Verdana Bold"/>
          <w:bCs/>
          <w:szCs w:val="20"/>
          <w:lang w:val="es-ES"/>
        </w:rPr>
        <w:t xml:space="preserve"> para analizar actos anteriores al 10 de diciembre de 1998. </w:t>
      </w:r>
      <w:r w:rsidR="00430041">
        <w:rPr>
          <w:rFonts w:cs="Verdana Bold"/>
          <w:bCs/>
          <w:szCs w:val="20"/>
          <w:lang w:val="es-ES"/>
        </w:rPr>
        <w:t>Añadió</w:t>
      </w:r>
      <w:r w:rsidR="005866C5">
        <w:rPr>
          <w:rFonts w:cs="Verdana Bold"/>
          <w:bCs/>
          <w:szCs w:val="20"/>
          <w:lang w:val="es-ES"/>
        </w:rPr>
        <w:t xml:space="preserve"> que la </w:t>
      </w:r>
      <w:r w:rsidRPr="001C46C0">
        <w:rPr>
          <w:rFonts w:cs="Verdana Bold"/>
          <w:bCs/>
          <w:szCs w:val="20"/>
          <w:lang w:val="es-ES"/>
        </w:rPr>
        <w:t xml:space="preserve">interpretación de la Comisión y de los representantes no considera </w:t>
      </w:r>
      <w:r w:rsidR="002C3CF9">
        <w:rPr>
          <w:rFonts w:cs="Verdana Bold"/>
          <w:bCs/>
          <w:szCs w:val="20"/>
          <w:lang w:val="es-ES"/>
        </w:rPr>
        <w:t>la soberanía estatal, y viola</w:t>
      </w:r>
      <w:r w:rsidRPr="001C46C0">
        <w:rPr>
          <w:rFonts w:cs="Verdana Bold"/>
          <w:bCs/>
          <w:szCs w:val="20"/>
          <w:lang w:val="es-ES"/>
        </w:rPr>
        <w:t xml:space="preserve"> el régimen especial de la declaración con limitación temporal establecido en el artículo 62.2 de la Convención Americana.</w:t>
      </w:r>
      <w:bookmarkEnd w:id="135"/>
      <w:bookmarkEnd w:id="136"/>
      <w:bookmarkEnd w:id="137"/>
      <w:bookmarkEnd w:id="138"/>
    </w:p>
    <w:p w14:paraId="298E5F8F" w14:textId="77777777" w:rsidR="005166F9" w:rsidRPr="001C46C0" w:rsidRDefault="005166F9" w:rsidP="00B811D7">
      <w:pPr>
        <w:pStyle w:val="ListParagraph"/>
        <w:ind w:left="0" w:right="49"/>
        <w:outlineLvl w:val="0"/>
        <w:rPr>
          <w:rFonts w:cs="Verdana Bold"/>
          <w:bCs/>
          <w:szCs w:val="20"/>
          <w:lang w:val="es-ES"/>
        </w:rPr>
      </w:pPr>
    </w:p>
    <w:p w14:paraId="55F4B402" w14:textId="6035965B" w:rsidR="005166F9" w:rsidRPr="001C46C0" w:rsidRDefault="005166F9" w:rsidP="00D6683A">
      <w:pPr>
        <w:pStyle w:val="ListParagraph"/>
        <w:numPr>
          <w:ilvl w:val="0"/>
          <w:numId w:val="1"/>
        </w:numPr>
        <w:ind w:right="49"/>
        <w:outlineLvl w:val="0"/>
        <w:rPr>
          <w:rFonts w:cs="Verdana Bold"/>
          <w:bCs/>
          <w:szCs w:val="20"/>
          <w:lang w:val="es-ES"/>
        </w:rPr>
      </w:pPr>
      <w:bookmarkStart w:id="139" w:name="_Toc468909989"/>
      <w:bookmarkStart w:id="140" w:name="_Toc468910215"/>
      <w:bookmarkStart w:id="141" w:name="_Toc469404455"/>
      <w:bookmarkStart w:id="142" w:name="_Toc472608900"/>
      <w:r w:rsidRPr="001C46C0">
        <w:rPr>
          <w:rFonts w:cs="Verdana Bold"/>
          <w:bCs/>
          <w:szCs w:val="20"/>
          <w:lang w:val="es-ES"/>
        </w:rPr>
        <w:t xml:space="preserve">Según el </w:t>
      </w:r>
      <w:r w:rsidRPr="00F53D96">
        <w:rPr>
          <w:rFonts w:cs="Verdana Bold"/>
          <w:bCs/>
          <w:szCs w:val="20"/>
          <w:lang w:val="es-ES"/>
        </w:rPr>
        <w:t>Estado</w:t>
      </w:r>
      <w:r w:rsidRPr="001C46C0">
        <w:rPr>
          <w:rFonts w:cs="Verdana Bold"/>
          <w:bCs/>
          <w:szCs w:val="20"/>
          <w:lang w:val="es-ES"/>
        </w:rPr>
        <w:t xml:space="preserve">, la </w:t>
      </w:r>
      <w:r w:rsidRPr="00796107">
        <w:rPr>
          <w:rFonts w:cs="Verdana Bold"/>
          <w:bCs/>
          <w:szCs w:val="20"/>
          <w:lang w:val="es-ES"/>
        </w:rPr>
        <w:t>incompetencia</w:t>
      </w:r>
      <w:r w:rsidRPr="001C46C0">
        <w:rPr>
          <w:rFonts w:cs="Verdana Bold"/>
          <w:bCs/>
          <w:i/>
          <w:szCs w:val="20"/>
          <w:lang w:val="es-ES"/>
        </w:rPr>
        <w:t xml:space="preserve"> </w:t>
      </w:r>
      <w:proofErr w:type="spellStart"/>
      <w:r w:rsidRPr="001C46C0">
        <w:rPr>
          <w:rFonts w:cs="Verdana Bold"/>
          <w:bCs/>
          <w:i/>
          <w:szCs w:val="20"/>
          <w:lang w:val="es-ES"/>
        </w:rPr>
        <w:t>ratione</w:t>
      </w:r>
      <w:proofErr w:type="spellEnd"/>
      <w:r w:rsidRPr="001C46C0">
        <w:rPr>
          <w:rFonts w:cs="Verdana Bold"/>
          <w:bCs/>
          <w:i/>
          <w:szCs w:val="20"/>
          <w:lang w:val="es-ES"/>
        </w:rPr>
        <w:t xml:space="preserve"> </w:t>
      </w:r>
      <w:proofErr w:type="spellStart"/>
      <w:r w:rsidRPr="001C46C0">
        <w:rPr>
          <w:rFonts w:cs="Verdana Bold"/>
          <w:bCs/>
          <w:i/>
          <w:szCs w:val="20"/>
          <w:lang w:val="es-ES"/>
        </w:rPr>
        <w:t>temporis</w:t>
      </w:r>
      <w:proofErr w:type="spellEnd"/>
      <w:r w:rsidRPr="001C46C0">
        <w:rPr>
          <w:rFonts w:cs="Verdana Bold"/>
          <w:bCs/>
          <w:szCs w:val="20"/>
          <w:lang w:val="es-ES"/>
        </w:rPr>
        <w:t xml:space="preserve"> sería más evidente en relación </w:t>
      </w:r>
      <w:r w:rsidR="00501478">
        <w:rPr>
          <w:rFonts w:cs="Verdana Bold"/>
          <w:bCs/>
          <w:szCs w:val="20"/>
          <w:lang w:val="es-ES"/>
        </w:rPr>
        <w:t>con</w:t>
      </w:r>
      <w:r w:rsidRPr="001C46C0">
        <w:rPr>
          <w:rFonts w:cs="Verdana Bold"/>
          <w:bCs/>
          <w:szCs w:val="20"/>
          <w:lang w:val="es-ES"/>
        </w:rPr>
        <w:t xml:space="preserve"> la Convención de Belém do Pará, puesto que el supuesto delito de </w:t>
      </w:r>
      <w:r w:rsidR="00F94410">
        <w:rPr>
          <w:rFonts w:cs="Verdana Bold"/>
          <w:bCs/>
          <w:szCs w:val="20"/>
          <w:lang w:val="es-ES"/>
        </w:rPr>
        <w:t>violencia</w:t>
      </w:r>
      <w:r w:rsidRPr="001C46C0">
        <w:rPr>
          <w:rFonts w:cs="Verdana Bold"/>
          <w:bCs/>
          <w:szCs w:val="20"/>
          <w:lang w:val="es-ES"/>
        </w:rPr>
        <w:t xml:space="preserve"> sexual habría sido cometido el 18 de octubre de 1994 y la ratificación a la referida Convención ocurrió el 27 de noviembre de 1995 y entró en v</w:t>
      </w:r>
      <w:r>
        <w:rPr>
          <w:rFonts w:cs="Verdana Bold"/>
          <w:bCs/>
          <w:szCs w:val="20"/>
          <w:lang w:val="es-ES"/>
        </w:rPr>
        <w:t>igor el 27 de diciembre de 1995;</w:t>
      </w:r>
      <w:r w:rsidRPr="001C46C0">
        <w:rPr>
          <w:rFonts w:cs="Verdana Bold"/>
          <w:bCs/>
          <w:szCs w:val="20"/>
          <w:lang w:val="es-ES"/>
        </w:rPr>
        <w:t xml:space="preserve"> por lo </w:t>
      </w:r>
      <w:r w:rsidRPr="001C46C0">
        <w:rPr>
          <w:rFonts w:cs="Verdana Bold"/>
          <w:bCs/>
          <w:szCs w:val="20"/>
          <w:lang w:val="es-ES"/>
        </w:rPr>
        <w:lastRenderedPageBreak/>
        <w:t>tanto, aplicarla en el caso implicaría la violación del principio de irretroactividad de los tratados.</w:t>
      </w:r>
      <w:bookmarkEnd w:id="139"/>
      <w:bookmarkEnd w:id="140"/>
      <w:bookmarkEnd w:id="141"/>
      <w:bookmarkEnd w:id="142"/>
    </w:p>
    <w:p w14:paraId="27AAA05F" w14:textId="77777777" w:rsidR="005166F9" w:rsidRPr="001C46C0" w:rsidRDefault="005166F9" w:rsidP="00B811D7">
      <w:pPr>
        <w:pStyle w:val="ListParagraph"/>
        <w:ind w:left="0" w:right="49"/>
        <w:outlineLvl w:val="0"/>
        <w:rPr>
          <w:rFonts w:cs="Verdana Bold"/>
          <w:bCs/>
          <w:szCs w:val="20"/>
          <w:lang w:val="es-ES"/>
        </w:rPr>
      </w:pPr>
    </w:p>
    <w:p w14:paraId="57D728B6" w14:textId="02D60192" w:rsidR="005166F9" w:rsidRPr="001C46C0" w:rsidRDefault="005166F9" w:rsidP="00D6683A">
      <w:pPr>
        <w:pStyle w:val="ListParagraph"/>
        <w:numPr>
          <w:ilvl w:val="0"/>
          <w:numId w:val="1"/>
        </w:numPr>
        <w:ind w:right="49"/>
        <w:outlineLvl w:val="0"/>
        <w:rPr>
          <w:rFonts w:cs="Verdana Bold"/>
          <w:bCs/>
          <w:szCs w:val="20"/>
          <w:lang w:val="es-ES"/>
        </w:rPr>
      </w:pPr>
      <w:bookmarkStart w:id="143" w:name="_Toc468909990"/>
      <w:bookmarkStart w:id="144" w:name="_Toc468910216"/>
      <w:bookmarkStart w:id="145" w:name="_Toc469404456"/>
      <w:bookmarkStart w:id="146" w:name="_Toc472608901"/>
      <w:r w:rsidRPr="001C46C0">
        <w:rPr>
          <w:rFonts w:cs="Verdana Bold"/>
          <w:bCs/>
          <w:szCs w:val="20"/>
          <w:lang w:val="es-ES"/>
        </w:rPr>
        <w:t>Por otra parte, el Estado señaló que la alegación de los representantes</w:t>
      </w:r>
      <w:r w:rsidR="00501478">
        <w:rPr>
          <w:rFonts w:cs="Verdana Bold"/>
          <w:bCs/>
          <w:szCs w:val="20"/>
          <w:lang w:val="es-ES"/>
        </w:rPr>
        <w:t>,</w:t>
      </w:r>
      <w:r w:rsidRPr="001C46C0">
        <w:rPr>
          <w:rFonts w:cs="Verdana Bold"/>
          <w:bCs/>
          <w:szCs w:val="20"/>
          <w:lang w:val="es-ES"/>
        </w:rPr>
        <w:t xml:space="preserve"> respecto a la responsabilidad del Estado por la presunta violación continua de la protección judicial y las </w:t>
      </w:r>
      <w:r>
        <w:rPr>
          <w:rFonts w:cs="Verdana Bold"/>
          <w:bCs/>
          <w:szCs w:val="20"/>
          <w:lang w:val="es-ES"/>
        </w:rPr>
        <w:t>garantías judiciales, debe ser analizada</w:t>
      </w:r>
      <w:r w:rsidRPr="001C46C0">
        <w:rPr>
          <w:rFonts w:cs="Verdana Bold"/>
          <w:bCs/>
          <w:szCs w:val="20"/>
          <w:lang w:val="es-ES"/>
        </w:rPr>
        <w:t xml:space="preserve"> a partir de</w:t>
      </w:r>
      <w:r>
        <w:rPr>
          <w:rFonts w:cs="Verdana Bold"/>
          <w:bCs/>
          <w:szCs w:val="20"/>
          <w:lang w:val="es-ES"/>
        </w:rPr>
        <w:t>l</w:t>
      </w:r>
      <w:r w:rsidRPr="001C46C0">
        <w:rPr>
          <w:rFonts w:cs="Verdana Bold"/>
          <w:bCs/>
          <w:szCs w:val="20"/>
          <w:lang w:val="es-ES"/>
        </w:rPr>
        <w:t xml:space="preserve"> 10 de diciembre de 1998, sobre las actividades relacionadas con violaciones específicas y autónomas de denegación de justicia</w:t>
      </w:r>
      <w:r>
        <w:rPr>
          <w:rFonts w:cs="Verdana Bold"/>
          <w:bCs/>
          <w:szCs w:val="20"/>
          <w:lang w:val="es-ES"/>
        </w:rPr>
        <w:t>,</w:t>
      </w:r>
      <w:r w:rsidRPr="001C46C0">
        <w:rPr>
          <w:rFonts w:cs="Verdana Bold"/>
          <w:bCs/>
          <w:szCs w:val="20"/>
          <w:lang w:val="es-ES"/>
        </w:rPr>
        <w:t xml:space="preserve"> y no aquellas iniciadas con anterioridad a esa fecha.</w:t>
      </w:r>
      <w:bookmarkEnd w:id="143"/>
      <w:bookmarkEnd w:id="144"/>
      <w:bookmarkEnd w:id="145"/>
      <w:bookmarkEnd w:id="146"/>
      <w:r w:rsidRPr="001C46C0">
        <w:rPr>
          <w:rFonts w:cs="Verdana Bold"/>
          <w:bCs/>
          <w:szCs w:val="20"/>
          <w:lang w:val="es-ES"/>
        </w:rPr>
        <w:t xml:space="preserve"> </w:t>
      </w:r>
    </w:p>
    <w:p w14:paraId="7441C3E7" w14:textId="77777777" w:rsidR="005166F9" w:rsidRPr="001C46C0" w:rsidRDefault="005166F9" w:rsidP="00B811D7">
      <w:pPr>
        <w:pStyle w:val="ListParagraph"/>
        <w:ind w:left="0" w:right="49"/>
        <w:outlineLvl w:val="0"/>
        <w:rPr>
          <w:rFonts w:cs="Verdana Bold"/>
          <w:bCs/>
          <w:szCs w:val="20"/>
          <w:lang w:val="es-ES"/>
        </w:rPr>
      </w:pPr>
    </w:p>
    <w:p w14:paraId="1A056371" w14:textId="2BAA6E3D" w:rsidR="005166F9" w:rsidRPr="001C46C0" w:rsidRDefault="005166F9" w:rsidP="00D6683A">
      <w:pPr>
        <w:pStyle w:val="ListParagraph"/>
        <w:numPr>
          <w:ilvl w:val="0"/>
          <w:numId w:val="1"/>
        </w:numPr>
        <w:ind w:right="49"/>
        <w:outlineLvl w:val="0"/>
        <w:rPr>
          <w:rFonts w:cs="Verdana Bold"/>
          <w:bCs/>
          <w:szCs w:val="20"/>
          <w:lang w:val="es-ES"/>
        </w:rPr>
      </w:pPr>
      <w:bookmarkStart w:id="147" w:name="_Toc468909991"/>
      <w:bookmarkStart w:id="148" w:name="_Toc468910217"/>
      <w:bookmarkStart w:id="149" w:name="_Toc469404457"/>
      <w:bookmarkStart w:id="150" w:name="_Toc472608902"/>
      <w:r w:rsidRPr="001C46C0">
        <w:rPr>
          <w:rFonts w:cs="Verdana Bold"/>
          <w:bCs/>
          <w:szCs w:val="20"/>
          <w:lang w:val="es-ES"/>
        </w:rPr>
        <w:t xml:space="preserve">La </w:t>
      </w:r>
      <w:r w:rsidRPr="0007545D">
        <w:rPr>
          <w:rFonts w:cs="Verdana Bold"/>
          <w:b/>
          <w:bCs/>
          <w:i/>
          <w:szCs w:val="20"/>
          <w:lang w:val="es-ES"/>
        </w:rPr>
        <w:t>Comisión</w:t>
      </w:r>
      <w:r w:rsidRPr="001C46C0">
        <w:rPr>
          <w:rFonts w:cs="Verdana Bold"/>
          <w:b/>
          <w:bCs/>
          <w:szCs w:val="20"/>
          <w:lang w:val="es-ES"/>
        </w:rPr>
        <w:t xml:space="preserve"> </w:t>
      </w:r>
      <w:r w:rsidRPr="001C46C0">
        <w:rPr>
          <w:rFonts w:cs="Verdana Bold"/>
          <w:bCs/>
          <w:szCs w:val="20"/>
          <w:lang w:val="es-ES"/>
        </w:rPr>
        <w:t>destacó que fue explícita al someter a conocimiento de la Corte Interamericana los hechos posteriores al 10 de diciembre de 1998. Señaló que el entendimiento de la Corte es que tiene competencia para pronunciarse sobre aquellas posibles violaciones independientes que pudieran darse en el marco de un proceso judicial, aun cuando el mismo hubiera iniciado antes de la aceptación de la competencia. Además, en cuanto a la competencia temporal en relación con la Convención Interamericana para Prevenir y Sancionar la Tortura y la Convención de Belém do Pará, la Comisión reiteró que las violaciones de dichos instrumentos son aquellas asociadas con la obligación de investigar actos de tortura y actos de violencia contra la mujer bajo los artículos 8 y 25 de Convención Americana.</w:t>
      </w:r>
      <w:bookmarkEnd w:id="147"/>
      <w:bookmarkEnd w:id="148"/>
      <w:bookmarkEnd w:id="149"/>
      <w:bookmarkEnd w:id="150"/>
    </w:p>
    <w:p w14:paraId="5BC49687" w14:textId="77777777" w:rsidR="005166F9" w:rsidRPr="001C46C0" w:rsidRDefault="005166F9" w:rsidP="00B811D7">
      <w:pPr>
        <w:pStyle w:val="ListParagraph"/>
        <w:ind w:left="0" w:right="49"/>
        <w:outlineLvl w:val="0"/>
        <w:rPr>
          <w:rFonts w:cs="Verdana Bold"/>
          <w:bCs/>
          <w:szCs w:val="20"/>
          <w:lang w:val="es-ES"/>
        </w:rPr>
      </w:pPr>
    </w:p>
    <w:p w14:paraId="1FCFA6E4" w14:textId="4453D9A0" w:rsidR="005166F9" w:rsidRPr="001C46C0" w:rsidRDefault="005166F9" w:rsidP="00D6683A">
      <w:pPr>
        <w:pStyle w:val="ListParagraph"/>
        <w:numPr>
          <w:ilvl w:val="0"/>
          <w:numId w:val="1"/>
        </w:numPr>
        <w:ind w:right="49"/>
        <w:outlineLvl w:val="0"/>
        <w:rPr>
          <w:rFonts w:cs="Verdana Bold"/>
          <w:bCs/>
          <w:szCs w:val="20"/>
          <w:lang w:val="es-ES"/>
        </w:rPr>
      </w:pPr>
      <w:bookmarkStart w:id="151" w:name="_Toc468909992"/>
      <w:bookmarkStart w:id="152" w:name="_Toc468910218"/>
      <w:bookmarkStart w:id="153" w:name="_Toc469404458"/>
      <w:bookmarkStart w:id="154" w:name="_Toc472608903"/>
      <w:r w:rsidRPr="001C46C0">
        <w:rPr>
          <w:rFonts w:cs="Verdana Bold"/>
          <w:bCs/>
          <w:szCs w:val="20"/>
          <w:lang w:val="es-ES"/>
        </w:rPr>
        <w:t>En cuanto a las investigaciones sobre las ejecuciones extrajudiciales, la Comisión</w:t>
      </w:r>
      <w:r>
        <w:rPr>
          <w:rFonts w:cs="Verdana Bold"/>
          <w:bCs/>
          <w:szCs w:val="20"/>
          <w:lang w:val="es-ES"/>
        </w:rPr>
        <w:t xml:space="preserve"> consideró que </w:t>
      </w:r>
      <w:r w:rsidRPr="001C46C0">
        <w:rPr>
          <w:rFonts w:cs="Verdana Bold"/>
          <w:bCs/>
          <w:szCs w:val="20"/>
          <w:lang w:val="es-ES"/>
        </w:rPr>
        <w:t xml:space="preserve">algunas deficiencias </w:t>
      </w:r>
      <w:r>
        <w:rPr>
          <w:rFonts w:cs="Verdana Bold"/>
          <w:bCs/>
          <w:szCs w:val="20"/>
          <w:lang w:val="es-ES"/>
        </w:rPr>
        <w:t xml:space="preserve">e irregularidades tuvieron </w:t>
      </w:r>
      <w:r w:rsidRPr="001C46C0">
        <w:rPr>
          <w:rFonts w:cs="Verdana Bold"/>
          <w:bCs/>
          <w:szCs w:val="20"/>
          <w:lang w:val="es-ES"/>
        </w:rPr>
        <w:t xml:space="preserve">lugar antes de la aceptación de competencia de la Corte, </w:t>
      </w:r>
      <w:r>
        <w:rPr>
          <w:rFonts w:cs="Verdana Bold"/>
          <w:bCs/>
          <w:szCs w:val="20"/>
          <w:lang w:val="es-ES"/>
        </w:rPr>
        <w:t xml:space="preserve">pero no han sido subsanadas por </w:t>
      </w:r>
      <w:r w:rsidRPr="001C46C0">
        <w:rPr>
          <w:rFonts w:cs="Verdana Bold"/>
          <w:bCs/>
          <w:szCs w:val="20"/>
          <w:lang w:val="es-ES"/>
        </w:rPr>
        <w:t xml:space="preserve">el Estado </w:t>
      </w:r>
      <w:r>
        <w:rPr>
          <w:rFonts w:cs="Verdana Bold"/>
          <w:bCs/>
          <w:szCs w:val="20"/>
          <w:lang w:val="es-ES"/>
        </w:rPr>
        <w:t>después de</w:t>
      </w:r>
      <w:r w:rsidR="000E6E29">
        <w:rPr>
          <w:rFonts w:cs="Verdana Bold"/>
          <w:bCs/>
          <w:szCs w:val="20"/>
          <w:lang w:val="es-ES"/>
        </w:rPr>
        <w:t>l</w:t>
      </w:r>
      <w:r w:rsidRPr="001C46C0">
        <w:rPr>
          <w:rFonts w:cs="Verdana Bold"/>
          <w:bCs/>
          <w:szCs w:val="20"/>
          <w:lang w:val="es-ES"/>
        </w:rPr>
        <w:t xml:space="preserve"> 10 de diciembre de 1998. Adicionalmente</w:t>
      </w:r>
      <w:r>
        <w:rPr>
          <w:rFonts w:cs="Verdana Bold"/>
          <w:bCs/>
          <w:szCs w:val="20"/>
          <w:lang w:val="es-ES"/>
        </w:rPr>
        <w:t>,</w:t>
      </w:r>
      <w:r w:rsidRPr="001C46C0">
        <w:rPr>
          <w:rFonts w:cs="Verdana Bold"/>
          <w:bCs/>
          <w:szCs w:val="20"/>
          <w:lang w:val="es-ES"/>
        </w:rPr>
        <w:t xml:space="preserve"> </w:t>
      </w:r>
      <w:r>
        <w:rPr>
          <w:rFonts w:cs="Verdana Bold"/>
          <w:bCs/>
          <w:szCs w:val="20"/>
          <w:lang w:val="es-ES"/>
        </w:rPr>
        <w:t xml:space="preserve">destacó que </w:t>
      </w:r>
      <w:r w:rsidRPr="001C46C0">
        <w:rPr>
          <w:rFonts w:cs="Verdana Bold"/>
          <w:bCs/>
          <w:szCs w:val="20"/>
          <w:lang w:val="es-ES"/>
        </w:rPr>
        <w:t xml:space="preserve">el Estado incumplió </w:t>
      </w:r>
      <w:r w:rsidR="004228FF">
        <w:rPr>
          <w:rFonts w:cs="Verdana Bold"/>
          <w:bCs/>
          <w:szCs w:val="20"/>
          <w:lang w:val="es-ES"/>
        </w:rPr>
        <w:t xml:space="preserve">la garantía </w:t>
      </w:r>
      <w:r w:rsidRPr="001C46C0">
        <w:rPr>
          <w:rFonts w:cs="Verdana Bold"/>
          <w:bCs/>
          <w:szCs w:val="20"/>
          <w:lang w:val="es-ES"/>
        </w:rPr>
        <w:t xml:space="preserve">del plazo razonable. </w:t>
      </w:r>
      <w:bookmarkEnd w:id="151"/>
      <w:bookmarkEnd w:id="152"/>
      <w:bookmarkEnd w:id="153"/>
      <w:bookmarkEnd w:id="154"/>
    </w:p>
    <w:p w14:paraId="7C42373D" w14:textId="77777777" w:rsidR="005166F9" w:rsidRPr="001C46C0" w:rsidRDefault="005166F9" w:rsidP="00B811D7">
      <w:pPr>
        <w:pStyle w:val="ListParagraph"/>
        <w:ind w:left="0" w:right="49"/>
        <w:outlineLvl w:val="0"/>
        <w:rPr>
          <w:rFonts w:cs="Verdana Bold"/>
          <w:bCs/>
          <w:szCs w:val="20"/>
          <w:lang w:val="es-ES"/>
        </w:rPr>
      </w:pPr>
    </w:p>
    <w:p w14:paraId="134E2B21" w14:textId="5FD0A331" w:rsidR="005166F9" w:rsidRPr="001C46C0" w:rsidRDefault="005166F9" w:rsidP="00D6683A">
      <w:pPr>
        <w:pStyle w:val="ListParagraph"/>
        <w:numPr>
          <w:ilvl w:val="0"/>
          <w:numId w:val="1"/>
        </w:numPr>
        <w:ind w:right="49"/>
        <w:outlineLvl w:val="0"/>
        <w:rPr>
          <w:rFonts w:cs="Verdana Bold"/>
          <w:bCs/>
          <w:szCs w:val="20"/>
          <w:lang w:val="es-ES"/>
        </w:rPr>
      </w:pPr>
      <w:bookmarkStart w:id="155" w:name="_Toc468909993"/>
      <w:bookmarkStart w:id="156" w:name="_Toc468910219"/>
      <w:bookmarkStart w:id="157" w:name="_Toc469404459"/>
      <w:bookmarkStart w:id="158" w:name="_Toc472608904"/>
      <w:r w:rsidRPr="001C46C0">
        <w:rPr>
          <w:rFonts w:cs="Verdana Bold"/>
          <w:bCs/>
          <w:szCs w:val="20"/>
        </w:rPr>
        <w:t xml:space="preserve">Los </w:t>
      </w:r>
      <w:r w:rsidRPr="00F53D96">
        <w:rPr>
          <w:rFonts w:cs="Verdana Bold"/>
          <w:b/>
          <w:bCs/>
          <w:i/>
          <w:szCs w:val="20"/>
        </w:rPr>
        <w:t>representantes</w:t>
      </w:r>
      <w:r w:rsidRPr="001C46C0">
        <w:rPr>
          <w:rFonts w:cs="Verdana Bold"/>
          <w:bCs/>
          <w:szCs w:val="20"/>
        </w:rPr>
        <w:t xml:space="preserve"> señalaron que la Corte ya ha establecido en varias ocasiones que es competente para analizar hechos que se hayan iniciado antes de la f</w:t>
      </w:r>
      <w:r>
        <w:rPr>
          <w:rFonts w:cs="Verdana Bold"/>
          <w:bCs/>
          <w:szCs w:val="20"/>
        </w:rPr>
        <w:t>echa de reconocimiento por los E</w:t>
      </w:r>
      <w:r w:rsidRPr="001C46C0">
        <w:rPr>
          <w:rFonts w:cs="Verdana Bold"/>
          <w:bCs/>
          <w:szCs w:val="20"/>
        </w:rPr>
        <w:t xml:space="preserve">stados de la jurisdicción de la Corte y continúan o permanecen </w:t>
      </w:r>
      <w:r w:rsidR="004228FF">
        <w:rPr>
          <w:rFonts w:cs="Verdana Bold"/>
          <w:bCs/>
          <w:szCs w:val="20"/>
        </w:rPr>
        <w:t xml:space="preserve">con </w:t>
      </w:r>
      <w:r w:rsidRPr="001C46C0">
        <w:rPr>
          <w:rFonts w:cs="Verdana Bold"/>
          <w:bCs/>
          <w:szCs w:val="20"/>
        </w:rPr>
        <w:t>posterior</w:t>
      </w:r>
      <w:r w:rsidR="004228FF">
        <w:rPr>
          <w:rFonts w:cs="Verdana Bold"/>
          <w:bCs/>
          <w:szCs w:val="20"/>
        </w:rPr>
        <w:t>idad a</w:t>
      </w:r>
      <w:r w:rsidRPr="001C46C0">
        <w:rPr>
          <w:rFonts w:cs="Verdana Bold"/>
          <w:bCs/>
          <w:szCs w:val="20"/>
        </w:rPr>
        <w:t xml:space="preserve"> dicha fecha. </w:t>
      </w:r>
      <w:r>
        <w:rPr>
          <w:rFonts w:cs="Verdana Bold"/>
          <w:bCs/>
          <w:szCs w:val="20"/>
        </w:rPr>
        <w:t>Indicaron que son c</w:t>
      </w:r>
      <w:r w:rsidRPr="001C46C0">
        <w:rPr>
          <w:rFonts w:cs="Verdana Bold"/>
          <w:bCs/>
          <w:szCs w:val="20"/>
        </w:rPr>
        <w:t>onsciente</w:t>
      </w:r>
      <w:r>
        <w:rPr>
          <w:rFonts w:cs="Verdana Bold"/>
          <w:bCs/>
          <w:szCs w:val="20"/>
        </w:rPr>
        <w:t>s</w:t>
      </w:r>
      <w:r w:rsidRPr="001C46C0">
        <w:rPr>
          <w:rFonts w:cs="Verdana Bold"/>
          <w:bCs/>
          <w:szCs w:val="20"/>
        </w:rPr>
        <w:t xml:space="preserve"> del límite temporal de la aceptación de la competencia de la Corte por parte de Brasil, </w:t>
      </w:r>
      <w:r>
        <w:rPr>
          <w:rFonts w:cs="Verdana Bold"/>
          <w:bCs/>
          <w:szCs w:val="20"/>
        </w:rPr>
        <w:t>por lo que</w:t>
      </w:r>
      <w:r w:rsidRPr="001C46C0">
        <w:rPr>
          <w:rFonts w:cs="Verdana Bold"/>
          <w:bCs/>
          <w:szCs w:val="20"/>
        </w:rPr>
        <w:t xml:space="preserve"> argumenta</w:t>
      </w:r>
      <w:r>
        <w:rPr>
          <w:rFonts w:cs="Verdana Bold"/>
          <w:bCs/>
          <w:szCs w:val="20"/>
        </w:rPr>
        <w:t>ro</w:t>
      </w:r>
      <w:r w:rsidRPr="001C46C0">
        <w:rPr>
          <w:rFonts w:cs="Verdana Bold"/>
          <w:bCs/>
          <w:szCs w:val="20"/>
        </w:rPr>
        <w:t xml:space="preserve">n violaciones en cuanto a las actuaciones de las autoridades ocurridas y que persisten después del 10 de diciembre de 1998. </w:t>
      </w:r>
      <w:r>
        <w:rPr>
          <w:rFonts w:cs="Verdana Bold"/>
          <w:bCs/>
          <w:szCs w:val="20"/>
        </w:rPr>
        <w:t>Señalaron que</w:t>
      </w:r>
      <w:r w:rsidRPr="001C46C0">
        <w:rPr>
          <w:rFonts w:cs="Verdana Bold"/>
          <w:bCs/>
          <w:szCs w:val="20"/>
        </w:rPr>
        <w:t xml:space="preserve"> las autoridades no fueron diligentes durante la investigación de los crímenes, incluyendo aquellas </w:t>
      </w:r>
      <w:r>
        <w:rPr>
          <w:rFonts w:cs="Verdana Bold"/>
          <w:bCs/>
          <w:szCs w:val="20"/>
        </w:rPr>
        <w:t xml:space="preserve">investigaciones </w:t>
      </w:r>
      <w:r w:rsidRPr="001C46C0">
        <w:rPr>
          <w:rFonts w:cs="Verdana Bold"/>
          <w:bCs/>
          <w:szCs w:val="20"/>
        </w:rPr>
        <w:t>posteriores a</w:t>
      </w:r>
      <w:r>
        <w:rPr>
          <w:rFonts w:cs="Verdana Bold"/>
          <w:bCs/>
          <w:szCs w:val="20"/>
        </w:rPr>
        <w:t>l</w:t>
      </w:r>
      <w:r w:rsidRPr="001C46C0">
        <w:rPr>
          <w:rFonts w:cs="Verdana Bold"/>
          <w:bCs/>
          <w:szCs w:val="20"/>
        </w:rPr>
        <w:t xml:space="preserve"> 10 de diciembre de 1998</w:t>
      </w:r>
      <w:r>
        <w:rPr>
          <w:rFonts w:cs="Verdana Bold"/>
          <w:bCs/>
          <w:szCs w:val="20"/>
        </w:rPr>
        <w:t xml:space="preserve">. Por ende, </w:t>
      </w:r>
      <w:r w:rsidRPr="001C46C0">
        <w:rPr>
          <w:rFonts w:cs="Verdana Bold"/>
          <w:bCs/>
          <w:szCs w:val="20"/>
        </w:rPr>
        <w:t>solicita</w:t>
      </w:r>
      <w:r>
        <w:rPr>
          <w:rFonts w:cs="Verdana Bold"/>
          <w:bCs/>
          <w:szCs w:val="20"/>
        </w:rPr>
        <w:t>ron</w:t>
      </w:r>
      <w:r w:rsidRPr="001C46C0">
        <w:rPr>
          <w:rFonts w:cs="Verdana Bold"/>
          <w:bCs/>
          <w:szCs w:val="20"/>
        </w:rPr>
        <w:t xml:space="preserve"> </w:t>
      </w:r>
      <w:r>
        <w:rPr>
          <w:rFonts w:cs="Verdana Bold"/>
          <w:bCs/>
          <w:szCs w:val="20"/>
        </w:rPr>
        <w:t xml:space="preserve">que </w:t>
      </w:r>
      <w:r w:rsidRPr="001C46C0">
        <w:rPr>
          <w:rFonts w:cs="Verdana Bold"/>
          <w:bCs/>
          <w:szCs w:val="20"/>
        </w:rPr>
        <w:t>la Corte no considere la excepción preliminar interpuesta por el Estado.</w:t>
      </w:r>
      <w:bookmarkEnd w:id="155"/>
      <w:bookmarkEnd w:id="156"/>
      <w:bookmarkEnd w:id="157"/>
      <w:bookmarkEnd w:id="158"/>
    </w:p>
    <w:p w14:paraId="38D95027" w14:textId="77777777" w:rsidR="005166F9" w:rsidRPr="001C46C0" w:rsidRDefault="005166F9" w:rsidP="00B811D7">
      <w:pPr>
        <w:pStyle w:val="Heading3"/>
        <w:ind w:left="0"/>
        <w:rPr>
          <w:noProof/>
          <w:szCs w:val="20"/>
          <w:lang w:val="es-ES" w:eastAsia="es-ES"/>
        </w:rPr>
      </w:pPr>
      <w:bookmarkStart w:id="159" w:name="_Toc460432971"/>
      <w:bookmarkStart w:id="160" w:name="_Toc460441902"/>
      <w:bookmarkStart w:id="161" w:name="_Toc462750722"/>
      <w:bookmarkStart w:id="162" w:name="_Toc462751046"/>
    </w:p>
    <w:p w14:paraId="03E4C6BB" w14:textId="77777777" w:rsidR="005166F9" w:rsidRPr="001C46C0" w:rsidRDefault="005166F9" w:rsidP="00B811D7">
      <w:pPr>
        <w:pStyle w:val="Heading3"/>
        <w:ind w:left="0"/>
        <w:rPr>
          <w:noProof/>
          <w:szCs w:val="20"/>
          <w:lang w:eastAsia="es-ES"/>
        </w:rPr>
      </w:pPr>
      <w:bookmarkStart w:id="163" w:name="_Toc468909994"/>
      <w:bookmarkStart w:id="164" w:name="_Toc468910220"/>
      <w:bookmarkStart w:id="165" w:name="_Toc469404460"/>
      <w:bookmarkStart w:id="166" w:name="_Toc472608905"/>
      <w:r w:rsidRPr="001C46C0">
        <w:rPr>
          <w:noProof/>
          <w:szCs w:val="20"/>
          <w:lang w:eastAsia="es-ES"/>
        </w:rPr>
        <w:t>C.2. Consideraciones de la Corte</w:t>
      </w:r>
      <w:bookmarkEnd w:id="159"/>
      <w:bookmarkEnd w:id="160"/>
      <w:bookmarkEnd w:id="161"/>
      <w:bookmarkEnd w:id="162"/>
      <w:bookmarkEnd w:id="163"/>
      <w:bookmarkEnd w:id="164"/>
      <w:bookmarkEnd w:id="165"/>
      <w:bookmarkEnd w:id="166"/>
    </w:p>
    <w:p w14:paraId="7AA8B03F" w14:textId="77777777" w:rsidR="005166F9" w:rsidRPr="001C46C0" w:rsidRDefault="005166F9" w:rsidP="00B811D7">
      <w:pPr>
        <w:rPr>
          <w:szCs w:val="20"/>
          <w:lang w:val="es-MX" w:eastAsia="es-ES"/>
        </w:rPr>
      </w:pPr>
    </w:p>
    <w:p w14:paraId="347E698F" w14:textId="77777777" w:rsidR="005166F9" w:rsidRDefault="005166F9" w:rsidP="00D6683A">
      <w:pPr>
        <w:pStyle w:val="ListParagraph"/>
        <w:numPr>
          <w:ilvl w:val="0"/>
          <w:numId w:val="1"/>
        </w:numPr>
        <w:rPr>
          <w:rFonts w:eastAsia="Batang" w:cs="Times"/>
          <w:noProof/>
          <w:szCs w:val="20"/>
          <w:lang w:val="es-MX" w:eastAsia="es-ES"/>
        </w:rPr>
      </w:pPr>
      <w:r w:rsidRPr="001C46C0">
        <w:rPr>
          <w:szCs w:val="20"/>
          <w:lang w:val="es-ES"/>
        </w:rPr>
        <w:t>Brasil reconoció la competencia contenciosa de la Corte Interamericana el 10 de diciembre de 1998 y en su declaración indicó que el Tribunal tendría competencia respecto de “hechos posteriores” a dicho reconocimiento</w:t>
      </w:r>
      <w:r w:rsidRPr="001C46C0">
        <w:rPr>
          <w:rStyle w:val="FootnoteReference"/>
        </w:rPr>
        <w:footnoteReference w:id="39"/>
      </w:r>
      <w:r w:rsidRPr="001C46C0">
        <w:rPr>
          <w:szCs w:val="20"/>
          <w:lang w:val="es-ES"/>
        </w:rPr>
        <w:t xml:space="preserve">. Con base en lo anterior y en el principio de irretroactividad, la Corte no puede ejercer su competencia contenciosa para aplicar la Convención y declarar una violación a sus normas cuando los hechos alegados o la conducta del Estado que pudieran implicar su responsabilidad internacional son anteriores a dicho </w:t>
      </w:r>
      <w:r w:rsidRPr="001C46C0">
        <w:rPr>
          <w:szCs w:val="20"/>
          <w:lang w:val="es-ES"/>
        </w:rPr>
        <w:lastRenderedPageBreak/>
        <w:t>reconocimiento de la competencia</w:t>
      </w:r>
      <w:r w:rsidRPr="001C46C0">
        <w:rPr>
          <w:rStyle w:val="FootnoteReference"/>
        </w:rPr>
        <w:footnoteReference w:id="40"/>
      </w:r>
      <w:r w:rsidRPr="001C46C0">
        <w:rPr>
          <w:rFonts w:eastAsia="Batang" w:cs="Times"/>
          <w:noProof/>
          <w:szCs w:val="20"/>
          <w:lang w:val="es-MX" w:eastAsia="es-ES"/>
        </w:rPr>
        <w:t>. Por ello, quedan fuera de la competencia del Tribunal los hechos ocurridos antes de que Brasil reconociera la competencia contenciosa de la Corte</w:t>
      </w:r>
      <w:r w:rsidRPr="001C46C0">
        <w:rPr>
          <w:rFonts w:eastAsia="Batang" w:cs="Times"/>
          <w:noProof/>
          <w:szCs w:val="20"/>
          <w:lang w:val="es-ES" w:eastAsia="es-ES"/>
        </w:rPr>
        <w:t>.</w:t>
      </w:r>
    </w:p>
    <w:p w14:paraId="70A45269" w14:textId="77777777" w:rsidR="005166F9" w:rsidRDefault="005166F9" w:rsidP="00B811D7">
      <w:pPr>
        <w:pStyle w:val="ListParagraph"/>
        <w:ind w:left="0"/>
        <w:rPr>
          <w:rFonts w:eastAsia="Batang" w:cs="Times"/>
          <w:noProof/>
          <w:szCs w:val="20"/>
          <w:lang w:val="es-MX" w:eastAsia="es-ES"/>
        </w:rPr>
      </w:pPr>
    </w:p>
    <w:p w14:paraId="6AFA8093" w14:textId="0F6C7619" w:rsidR="005166F9" w:rsidRDefault="005166F9" w:rsidP="00D6683A">
      <w:pPr>
        <w:pStyle w:val="ListParagraph"/>
        <w:numPr>
          <w:ilvl w:val="0"/>
          <w:numId w:val="1"/>
        </w:numPr>
        <w:rPr>
          <w:rFonts w:eastAsia="Batang" w:cs="Times"/>
          <w:noProof/>
          <w:szCs w:val="20"/>
          <w:lang w:val="es-MX" w:eastAsia="es-ES"/>
        </w:rPr>
      </w:pPr>
      <w:r>
        <w:rPr>
          <w:rFonts w:eastAsia="Batang" w:cs="Times"/>
          <w:noProof/>
          <w:szCs w:val="20"/>
          <w:lang w:val="es-MX" w:eastAsia="es-ES"/>
        </w:rPr>
        <w:t>Por otra parte</w:t>
      </w:r>
      <w:r w:rsidRPr="0028637A">
        <w:rPr>
          <w:rFonts w:eastAsia="Batang" w:cs="Times"/>
          <w:noProof/>
          <w:szCs w:val="20"/>
          <w:lang w:val="es-MX" w:eastAsia="es-ES"/>
        </w:rPr>
        <w:t xml:space="preserve">, el Tribunal puede examinar y pronunciarse sobre las demás violaciones alegadas que ocurrieron a partir del 10 de diciembre de 1998. Por lo anterior, la Corte tiene competencia para analizar los supuestos hechos y omisiones del Estado que tuvieron lugar en las investigaciones y procesos </w:t>
      </w:r>
      <w:r w:rsidR="0080595B">
        <w:rPr>
          <w:rFonts w:eastAsia="Batang" w:cs="Times"/>
          <w:noProof/>
          <w:szCs w:val="20"/>
          <w:lang w:val="es-MX" w:eastAsia="es-ES"/>
        </w:rPr>
        <w:t>r</w:t>
      </w:r>
      <w:r>
        <w:rPr>
          <w:rFonts w:eastAsia="Batang" w:cs="Times"/>
          <w:noProof/>
          <w:szCs w:val="20"/>
          <w:lang w:val="es-MX" w:eastAsia="es-ES"/>
        </w:rPr>
        <w:t>especto a las redadas policiales de 1994 y 1995</w:t>
      </w:r>
      <w:r w:rsidRPr="0028637A">
        <w:rPr>
          <w:rFonts w:eastAsia="Batang" w:cs="Times"/>
          <w:noProof/>
          <w:szCs w:val="20"/>
          <w:lang w:val="es-MX" w:eastAsia="es-ES"/>
        </w:rPr>
        <w:t xml:space="preserve">, ocurridos con posterioridad al reconocimiento por parte de Brasil de la competencia contenciosa del Tribunal. </w:t>
      </w:r>
      <w:r>
        <w:rPr>
          <w:rFonts w:eastAsia="Batang" w:cs="Times"/>
          <w:noProof/>
          <w:szCs w:val="20"/>
          <w:lang w:val="es-MX" w:eastAsia="es-ES"/>
        </w:rPr>
        <w:t>El análisis de la Corte respecto de alegadas violaciones a la Convención Americana, l</w:t>
      </w:r>
      <w:r w:rsidRPr="001C46C0">
        <w:rPr>
          <w:rFonts w:cs="Verdana Bold"/>
          <w:bCs/>
          <w:szCs w:val="20"/>
          <w:lang w:val="es-ES"/>
        </w:rPr>
        <w:t>a Convención Interamericana para Prevenir y Sancionar la Tortura y la Convención de Belém do Pará</w:t>
      </w:r>
      <w:r>
        <w:rPr>
          <w:rFonts w:cs="Verdana Bold"/>
          <w:bCs/>
          <w:szCs w:val="20"/>
          <w:lang w:val="es-ES"/>
        </w:rPr>
        <w:t xml:space="preserve"> también se realizará respecto de hechos ocurridos con posterioridad al </w:t>
      </w:r>
      <w:r w:rsidRPr="0028637A">
        <w:rPr>
          <w:rFonts w:eastAsia="Batang" w:cs="Times"/>
          <w:noProof/>
          <w:szCs w:val="20"/>
          <w:lang w:val="es-MX" w:eastAsia="es-ES"/>
        </w:rPr>
        <w:t>10 de diciembre de 1998.</w:t>
      </w:r>
    </w:p>
    <w:p w14:paraId="2723801D" w14:textId="77777777" w:rsidR="005166F9" w:rsidRPr="0090596F" w:rsidRDefault="005166F9" w:rsidP="00B811D7">
      <w:pPr>
        <w:pStyle w:val="ListParagraph"/>
        <w:rPr>
          <w:rFonts w:eastAsia="Batang" w:cs="Times"/>
          <w:noProof/>
          <w:szCs w:val="20"/>
          <w:lang w:val="es-MX" w:eastAsia="es-ES"/>
        </w:rPr>
      </w:pPr>
    </w:p>
    <w:p w14:paraId="17F6A3FE" w14:textId="77777777" w:rsidR="005166F9" w:rsidRPr="0028637A" w:rsidRDefault="005166F9" w:rsidP="00D6683A">
      <w:pPr>
        <w:pStyle w:val="ListParagraph"/>
        <w:numPr>
          <w:ilvl w:val="0"/>
          <w:numId w:val="1"/>
        </w:numPr>
        <w:rPr>
          <w:rFonts w:eastAsia="Batang" w:cs="Times"/>
          <w:noProof/>
          <w:szCs w:val="20"/>
          <w:lang w:val="es-MX" w:eastAsia="es-ES"/>
        </w:rPr>
      </w:pPr>
      <w:r w:rsidRPr="0028637A">
        <w:rPr>
          <w:rFonts w:eastAsia="Batang" w:cs="Times"/>
          <w:noProof/>
          <w:szCs w:val="20"/>
          <w:lang w:val="es-MX" w:eastAsia="es-ES"/>
        </w:rPr>
        <w:t>Con base en lo anterior, este Tribunal reafirma su jurisprudencia constante sobre ese tema y encuentra parcialmente fundada la excepción preliminar.</w:t>
      </w:r>
    </w:p>
    <w:p w14:paraId="6BFDF760" w14:textId="77777777" w:rsidR="005166F9" w:rsidRPr="001C46C0" w:rsidRDefault="005166F9" w:rsidP="00B811D7">
      <w:pPr>
        <w:pStyle w:val="ListParagraph"/>
        <w:ind w:left="0"/>
        <w:rPr>
          <w:rFonts w:eastAsia="Batang" w:cs="Times"/>
          <w:noProof/>
          <w:szCs w:val="20"/>
          <w:lang w:val="es-MX" w:eastAsia="es-ES"/>
        </w:rPr>
      </w:pPr>
    </w:p>
    <w:p w14:paraId="09080F3F" w14:textId="64465F2E" w:rsidR="005166F9" w:rsidRPr="001C46C0" w:rsidRDefault="005166F9" w:rsidP="00123780">
      <w:pPr>
        <w:pStyle w:val="TOC2"/>
      </w:pPr>
      <w:bookmarkStart w:id="167" w:name="_Toc469404461"/>
      <w:bookmarkStart w:id="168" w:name="_Toc472608906"/>
      <w:bookmarkStart w:id="169" w:name="_Toc468909995"/>
      <w:bookmarkStart w:id="170" w:name="_Toc468910221"/>
      <w:r w:rsidRPr="001C46C0">
        <w:t>D. Incompetencia ratione materiae por violación al principio de subsidiari</w:t>
      </w:r>
      <w:r w:rsidR="000E6E29">
        <w:t>e</w:t>
      </w:r>
      <w:r w:rsidRPr="001C46C0">
        <w:t xml:space="preserve">dad del </w:t>
      </w:r>
      <w:r w:rsidR="00E952A5">
        <w:t>s</w:t>
      </w:r>
      <w:r w:rsidRPr="001C46C0">
        <w:t xml:space="preserve">istema </w:t>
      </w:r>
      <w:r w:rsidR="00E952A5">
        <w:t>i</w:t>
      </w:r>
      <w:r w:rsidRPr="001C46C0">
        <w:t xml:space="preserve">nteramericano de </w:t>
      </w:r>
      <w:r w:rsidR="00E952A5">
        <w:t>d</w:t>
      </w:r>
      <w:r w:rsidRPr="001C46C0">
        <w:t xml:space="preserve">erechos </w:t>
      </w:r>
      <w:r w:rsidR="00E952A5">
        <w:t>h</w:t>
      </w:r>
      <w:r w:rsidRPr="001C46C0">
        <w:t>umanos</w:t>
      </w:r>
      <w:bookmarkEnd w:id="167"/>
      <w:bookmarkEnd w:id="168"/>
      <w:r w:rsidRPr="001C46C0">
        <w:t xml:space="preserve"> </w:t>
      </w:r>
      <w:bookmarkEnd w:id="169"/>
      <w:bookmarkEnd w:id="170"/>
    </w:p>
    <w:p w14:paraId="153D909F" w14:textId="77777777" w:rsidR="005166F9" w:rsidRPr="001C46C0" w:rsidRDefault="005166F9" w:rsidP="00B811D7">
      <w:pPr>
        <w:pStyle w:val="Heading3"/>
        <w:ind w:left="0"/>
        <w:rPr>
          <w:noProof/>
          <w:szCs w:val="20"/>
          <w:lang w:val="es-ES" w:eastAsia="es-ES"/>
        </w:rPr>
      </w:pPr>
      <w:bookmarkStart w:id="171" w:name="_Toc460432979"/>
      <w:bookmarkStart w:id="172" w:name="_Toc460441910"/>
      <w:bookmarkStart w:id="173" w:name="_Toc462750730"/>
      <w:bookmarkStart w:id="174" w:name="_Toc462751054"/>
    </w:p>
    <w:p w14:paraId="75E1E818" w14:textId="77777777" w:rsidR="005166F9" w:rsidRPr="001C46C0" w:rsidRDefault="005166F9" w:rsidP="00B811D7">
      <w:pPr>
        <w:pStyle w:val="Heading3"/>
        <w:ind w:left="0"/>
        <w:rPr>
          <w:noProof/>
          <w:szCs w:val="20"/>
          <w:lang w:eastAsia="es-ES"/>
        </w:rPr>
      </w:pPr>
      <w:bookmarkStart w:id="175" w:name="_Toc468909996"/>
      <w:bookmarkStart w:id="176" w:name="_Toc468910222"/>
      <w:bookmarkStart w:id="177" w:name="_Toc469404462"/>
      <w:bookmarkStart w:id="178" w:name="_Toc472608907"/>
      <w:r w:rsidRPr="001C46C0">
        <w:rPr>
          <w:noProof/>
          <w:szCs w:val="20"/>
          <w:lang w:eastAsia="es-ES"/>
        </w:rPr>
        <w:t>D.1. Alegatos del Estado, observaciones de la Comisión y de los representantes</w:t>
      </w:r>
      <w:bookmarkEnd w:id="171"/>
      <w:bookmarkEnd w:id="172"/>
      <w:bookmarkEnd w:id="173"/>
      <w:bookmarkEnd w:id="174"/>
      <w:bookmarkEnd w:id="175"/>
      <w:bookmarkEnd w:id="176"/>
      <w:bookmarkEnd w:id="177"/>
      <w:bookmarkEnd w:id="178"/>
    </w:p>
    <w:p w14:paraId="7691D3BB" w14:textId="77777777" w:rsidR="005166F9" w:rsidRPr="001C46C0" w:rsidRDefault="005166F9" w:rsidP="00B811D7">
      <w:pPr>
        <w:ind w:right="49"/>
        <w:outlineLvl w:val="0"/>
        <w:rPr>
          <w:rFonts w:cs="Verdana Bold"/>
          <w:b/>
          <w:bCs/>
          <w:szCs w:val="20"/>
          <w:lang w:val="es-MX"/>
        </w:rPr>
      </w:pPr>
    </w:p>
    <w:p w14:paraId="5374A63E" w14:textId="71633FC2" w:rsidR="005166F9" w:rsidRPr="001C46C0" w:rsidRDefault="005166F9" w:rsidP="00D6683A">
      <w:pPr>
        <w:pStyle w:val="ListParagraph"/>
        <w:numPr>
          <w:ilvl w:val="0"/>
          <w:numId w:val="1"/>
        </w:numPr>
        <w:ind w:right="49"/>
        <w:outlineLvl w:val="0"/>
        <w:rPr>
          <w:rFonts w:cs="Verdana Bold"/>
          <w:bCs/>
          <w:szCs w:val="20"/>
          <w:lang w:val="es-ES"/>
        </w:rPr>
      </w:pPr>
      <w:bookmarkStart w:id="179" w:name="_Toc468909997"/>
      <w:bookmarkStart w:id="180" w:name="_Toc468910223"/>
      <w:bookmarkStart w:id="181" w:name="_Toc469404463"/>
      <w:bookmarkStart w:id="182" w:name="_Toc472608908"/>
      <w:r w:rsidRPr="001C46C0">
        <w:rPr>
          <w:rFonts w:cs="Verdana Bold"/>
          <w:bCs/>
          <w:szCs w:val="20"/>
          <w:lang w:val="es-ES"/>
        </w:rPr>
        <w:t xml:space="preserve">El </w:t>
      </w:r>
      <w:r w:rsidRPr="0028637A">
        <w:rPr>
          <w:rFonts w:cs="Verdana Bold"/>
          <w:b/>
          <w:bCs/>
          <w:i/>
          <w:szCs w:val="20"/>
          <w:lang w:val="es-ES"/>
        </w:rPr>
        <w:t>Estado</w:t>
      </w:r>
      <w:r w:rsidRPr="001C46C0">
        <w:rPr>
          <w:rFonts w:cs="Verdana Bold"/>
          <w:bCs/>
          <w:szCs w:val="20"/>
          <w:lang w:val="es-ES"/>
        </w:rPr>
        <w:t xml:space="preserve"> señaló que está fuera de la competencia de la Comisión y de la Corte asumir el papel de las autoridades nacionales y actuar como una especie de Corte de apelación de </w:t>
      </w:r>
      <w:r w:rsidR="004228FF">
        <w:rPr>
          <w:rFonts w:cs="Verdana Bold"/>
          <w:bCs/>
          <w:szCs w:val="20"/>
          <w:lang w:val="es-ES"/>
        </w:rPr>
        <w:t>cuarta</w:t>
      </w:r>
      <w:r w:rsidRPr="001C46C0">
        <w:rPr>
          <w:rFonts w:cs="Verdana Bold"/>
          <w:bCs/>
          <w:szCs w:val="20"/>
          <w:lang w:val="es-ES"/>
        </w:rPr>
        <w:t xml:space="preserve"> instancia respecto de decisiones nacionales. </w:t>
      </w:r>
      <w:r>
        <w:rPr>
          <w:rFonts w:cs="Verdana Bold"/>
          <w:bCs/>
          <w:szCs w:val="20"/>
          <w:lang w:val="es-ES"/>
        </w:rPr>
        <w:t>Indicó que, c</w:t>
      </w:r>
      <w:r w:rsidRPr="001C46C0">
        <w:rPr>
          <w:rFonts w:cs="Verdana Bold"/>
          <w:bCs/>
          <w:szCs w:val="20"/>
          <w:lang w:val="es-ES"/>
        </w:rPr>
        <w:t xml:space="preserve">on relación a </w:t>
      </w:r>
      <w:proofErr w:type="spellStart"/>
      <w:r w:rsidR="003D6A7B">
        <w:rPr>
          <w:rFonts w:cs="Verdana Bold"/>
          <w:bCs/>
          <w:szCs w:val="20"/>
          <w:lang w:val="es-ES"/>
        </w:rPr>
        <w:t>Mônica</w:t>
      </w:r>
      <w:proofErr w:type="spellEnd"/>
      <w:r w:rsidRPr="001C46C0">
        <w:rPr>
          <w:rFonts w:cs="Verdana Bold"/>
          <w:bCs/>
          <w:szCs w:val="20"/>
          <w:lang w:val="es-ES"/>
        </w:rPr>
        <w:t xml:space="preserve"> Santos de Souza </w:t>
      </w:r>
      <w:proofErr w:type="spellStart"/>
      <w:r w:rsidRPr="001C46C0">
        <w:rPr>
          <w:rFonts w:cs="Verdana Bold"/>
          <w:bCs/>
          <w:szCs w:val="20"/>
          <w:lang w:val="es-ES"/>
        </w:rPr>
        <w:t>Rodrigues</w:t>
      </w:r>
      <w:proofErr w:type="spellEnd"/>
      <w:r w:rsidRPr="001C46C0">
        <w:rPr>
          <w:rFonts w:cs="Verdana Bold"/>
          <w:bCs/>
          <w:szCs w:val="20"/>
          <w:lang w:val="es-ES"/>
        </w:rPr>
        <w:t xml:space="preserve"> y Evelyn Santos de Souza </w:t>
      </w:r>
      <w:proofErr w:type="spellStart"/>
      <w:r w:rsidRPr="001C46C0">
        <w:rPr>
          <w:rFonts w:cs="Verdana Bold"/>
          <w:bCs/>
          <w:szCs w:val="20"/>
          <w:lang w:val="es-ES"/>
        </w:rPr>
        <w:t>Rodrigues</w:t>
      </w:r>
      <w:proofErr w:type="spellEnd"/>
      <w:r w:rsidRPr="001C46C0">
        <w:rPr>
          <w:rFonts w:cs="Verdana Bold"/>
          <w:bCs/>
          <w:szCs w:val="20"/>
          <w:lang w:val="es-ES"/>
        </w:rPr>
        <w:t xml:space="preserve">, ambas habrían presentado </w:t>
      </w:r>
      <w:r>
        <w:rPr>
          <w:rFonts w:cs="Verdana Bold"/>
          <w:bCs/>
          <w:szCs w:val="20"/>
          <w:lang w:val="es-ES"/>
        </w:rPr>
        <w:t>un</w:t>
      </w:r>
      <w:r w:rsidRPr="001C46C0">
        <w:rPr>
          <w:rFonts w:cs="Verdana Bold"/>
          <w:bCs/>
          <w:szCs w:val="20"/>
          <w:lang w:val="es-ES"/>
        </w:rPr>
        <w:t xml:space="preserve">a demanda por daños morales contra el Estado de Rio de Janeiro, con el objeto de obtener </w:t>
      </w:r>
      <w:r w:rsidRPr="001C46C0">
        <w:rPr>
          <w:rFonts w:cs="Verdana Bold"/>
          <w:bCs/>
          <w:szCs w:val="20"/>
          <w:lang w:val="es-ES_tradnl"/>
        </w:rPr>
        <w:t>indemnización</w:t>
      </w:r>
      <w:r w:rsidRPr="001C46C0">
        <w:rPr>
          <w:rFonts w:cs="Verdana Bold"/>
          <w:bCs/>
          <w:szCs w:val="20"/>
          <w:lang w:val="es-ES"/>
        </w:rPr>
        <w:t xml:space="preserve"> por la muerte de </w:t>
      </w:r>
      <w:r>
        <w:rPr>
          <w:rFonts w:cs="Verdana Bold"/>
          <w:bCs/>
          <w:szCs w:val="20"/>
          <w:lang w:val="es-ES"/>
        </w:rPr>
        <w:t>s</w:t>
      </w:r>
      <w:r w:rsidRPr="001C46C0">
        <w:rPr>
          <w:rFonts w:cs="Verdana Bold"/>
          <w:bCs/>
          <w:szCs w:val="20"/>
          <w:lang w:val="es-ES"/>
        </w:rPr>
        <w:t xml:space="preserve">u familiar. Esta acción habría sido declarada improcedente, por prescripción de la acción, en perjuicio de </w:t>
      </w:r>
      <w:proofErr w:type="spellStart"/>
      <w:r w:rsidR="003D6A7B">
        <w:rPr>
          <w:rFonts w:cs="Verdana Bold"/>
          <w:bCs/>
          <w:szCs w:val="20"/>
          <w:lang w:val="es-ES"/>
        </w:rPr>
        <w:t>Mônica</w:t>
      </w:r>
      <w:proofErr w:type="spellEnd"/>
      <w:r w:rsidRPr="001C46C0">
        <w:rPr>
          <w:rFonts w:cs="Verdana Bold"/>
          <w:bCs/>
          <w:szCs w:val="20"/>
          <w:lang w:val="es-ES"/>
        </w:rPr>
        <w:t xml:space="preserve"> Santos de Souza </w:t>
      </w:r>
      <w:proofErr w:type="spellStart"/>
      <w:r w:rsidRPr="001C46C0">
        <w:rPr>
          <w:rFonts w:cs="Verdana Bold"/>
          <w:bCs/>
          <w:szCs w:val="20"/>
          <w:lang w:val="es-ES"/>
        </w:rPr>
        <w:t>Rodrigues</w:t>
      </w:r>
      <w:proofErr w:type="spellEnd"/>
      <w:r w:rsidRPr="001C46C0">
        <w:rPr>
          <w:rFonts w:cs="Verdana Bold"/>
          <w:bCs/>
          <w:szCs w:val="20"/>
          <w:lang w:val="es-ES"/>
        </w:rPr>
        <w:t>, ya que se habría presentado después del plazo razonable pre</w:t>
      </w:r>
      <w:r>
        <w:rPr>
          <w:rFonts w:cs="Verdana Bold"/>
          <w:bCs/>
          <w:szCs w:val="20"/>
          <w:lang w:val="es-ES"/>
        </w:rPr>
        <w:t>visto en la legislación brasileñ</w:t>
      </w:r>
      <w:r w:rsidRPr="001C46C0">
        <w:rPr>
          <w:rFonts w:cs="Verdana Bold"/>
          <w:bCs/>
          <w:szCs w:val="20"/>
          <w:lang w:val="es-ES"/>
        </w:rPr>
        <w:t xml:space="preserve">a. Con relación a Evelyn Santos de Souza </w:t>
      </w:r>
      <w:proofErr w:type="spellStart"/>
      <w:r w:rsidRPr="001C46C0">
        <w:rPr>
          <w:rFonts w:cs="Verdana Bold"/>
          <w:bCs/>
          <w:szCs w:val="20"/>
          <w:lang w:val="es-ES"/>
        </w:rPr>
        <w:t>Rodrigues</w:t>
      </w:r>
      <w:proofErr w:type="spellEnd"/>
      <w:r w:rsidRPr="001C46C0">
        <w:rPr>
          <w:rFonts w:cs="Verdana Bold"/>
          <w:bCs/>
          <w:szCs w:val="20"/>
          <w:lang w:val="es-ES"/>
        </w:rPr>
        <w:t xml:space="preserve">, se estableció que no había un nexo causal entre la conducta estatal y el daño sufrido. A pesar de que la acción presentada </w:t>
      </w:r>
      <w:r>
        <w:rPr>
          <w:rFonts w:cs="Verdana Bold"/>
          <w:bCs/>
          <w:szCs w:val="20"/>
          <w:lang w:val="es-ES"/>
        </w:rPr>
        <w:t xml:space="preserve">fue </w:t>
      </w:r>
      <w:r w:rsidRPr="001C46C0">
        <w:rPr>
          <w:rFonts w:cs="Verdana Bold"/>
          <w:bCs/>
          <w:szCs w:val="20"/>
          <w:lang w:val="es-ES"/>
        </w:rPr>
        <w:t>declarada improcedente en primera instancia, la</w:t>
      </w:r>
      <w:r w:rsidR="004228FF">
        <w:rPr>
          <w:rFonts w:cs="Verdana Bold"/>
          <w:bCs/>
          <w:szCs w:val="20"/>
          <w:lang w:val="es-ES"/>
        </w:rPr>
        <w:t xml:space="preserve"> decisión no fue recurrida ante el </w:t>
      </w:r>
      <w:r w:rsidRPr="001C46C0">
        <w:rPr>
          <w:rFonts w:cs="Verdana Bold"/>
          <w:bCs/>
          <w:szCs w:val="20"/>
          <w:lang w:val="es-ES"/>
        </w:rPr>
        <w:t>Tribunal de Justicia</w:t>
      </w:r>
      <w:r w:rsidR="006E07F0">
        <w:rPr>
          <w:rFonts w:cs="Verdana Bold"/>
          <w:bCs/>
          <w:szCs w:val="20"/>
          <w:lang w:val="es-ES"/>
        </w:rPr>
        <w:t>,</w:t>
      </w:r>
      <w:r w:rsidRPr="001C46C0">
        <w:rPr>
          <w:rFonts w:cs="Verdana Bold"/>
          <w:bCs/>
          <w:szCs w:val="20"/>
          <w:lang w:val="es-ES"/>
        </w:rPr>
        <w:t xml:space="preserve"> conforme lo dispuesto en el artículo 513 del Código </w:t>
      </w:r>
      <w:r>
        <w:rPr>
          <w:rFonts w:cs="Verdana Bold"/>
          <w:bCs/>
          <w:szCs w:val="20"/>
          <w:lang w:val="es-ES"/>
        </w:rPr>
        <w:t>Procesal</w:t>
      </w:r>
      <w:r w:rsidRPr="001C46C0">
        <w:rPr>
          <w:rFonts w:cs="Verdana Bold"/>
          <w:bCs/>
          <w:szCs w:val="20"/>
          <w:lang w:val="es-ES"/>
        </w:rPr>
        <w:t xml:space="preserve"> Civil. El Estado aseveró que las </w:t>
      </w:r>
      <w:r>
        <w:rPr>
          <w:rFonts w:cs="Verdana Bold"/>
          <w:bCs/>
          <w:szCs w:val="20"/>
          <w:lang w:val="es-ES"/>
        </w:rPr>
        <w:t>presuntas víctimas</w:t>
      </w:r>
      <w:r w:rsidRPr="001C46C0">
        <w:rPr>
          <w:rFonts w:cs="Verdana Bold"/>
          <w:bCs/>
          <w:szCs w:val="20"/>
          <w:lang w:val="es-ES"/>
        </w:rPr>
        <w:t xml:space="preserve"> no hicieron uso del derecho de recurrir la decisión</w:t>
      </w:r>
      <w:r>
        <w:rPr>
          <w:rFonts w:cs="Verdana Bold"/>
          <w:bCs/>
          <w:szCs w:val="20"/>
          <w:lang w:val="es-ES"/>
        </w:rPr>
        <w:t xml:space="preserve"> y</w:t>
      </w:r>
      <w:r w:rsidRPr="001C46C0">
        <w:rPr>
          <w:rFonts w:cs="Verdana Bold"/>
          <w:bCs/>
          <w:szCs w:val="20"/>
          <w:lang w:val="es-ES"/>
        </w:rPr>
        <w:t xml:space="preserve"> que una eventual condena al Estado a </w:t>
      </w:r>
      <w:r>
        <w:rPr>
          <w:rFonts w:cs="Verdana Bold"/>
          <w:bCs/>
          <w:szCs w:val="20"/>
          <w:lang w:val="es-ES"/>
        </w:rPr>
        <w:t xml:space="preserve">pagar </w:t>
      </w:r>
      <w:r w:rsidR="00E952A5">
        <w:rPr>
          <w:rFonts w:cs="Verdana Bold"/>
          <w:bCs/>
          <w:szCs w:val="20"/>
          <w:lang w:val="es-ES"/>
        </w:rPr>
        <w:t xml:space="preserve">una </w:t>
      </w:r>
      <w:r w:rsidRPr="001C46C0">
        <w:rPr>
          <w:rFonts w:cs="Verdana Bold"/>
          <w:bCs/>
          <w:szCs w:val="20"/>
          <w:lang w:val="es-ES"/>
        </w:rPr>
        <w:t>reparación implicaría una violación al principio de subsidiari</w:t>
      </w:r>
      <w:r w:rsidR="000E6E29">
        <w:rPr>
          <w:rFonts w:cs="Verdana Bold"/>
          <w:bCs/>
          <w:szCs w:val="20"/>
          <w:lang w:val="es-ES"/>
        </w:rPr>
        <w:t>e</w:t>
      </w:r>
      <w:r w:rsidRPr="001C46C0">
        <w:rPr>
          <w:rFonts w:cs="Verdana Bold"/>
          <w:bCs/>
          <w:szCs w:val="20"/>
          <w:lang w:val="es-ES"/>
        </w:rPr>
        <w:t>dad del</w:t>
      </w:r>
      <w:r w:rsidR="00E952A5">
        <w:rPr>
          <w:rFonts w:cs="Verdana Bold"/>
          <w:bCs/>
          <w:szCs w:val="20"/>
          <w:lang w:val="es-ES"/>
        </w:rPr>
        <w:t xml:space="preserve"> s</w:t>
      </w:r>
      <w:r w:rsidRPr="001C46C0">
        <w:rPr>
          <w:rFonts w:cs="Verdana Bold"/>
          <w:bCs/>
          <w:szCs w:val="20"/>
          <w:lang w:val="es-ES"/>
        </w:rPr>
        <w:t xml:space="preserve">istema </w:t>
      </w:r>
      <w:r w:rsidR="00E952A5">
        <w:rPr>
          <w:rFonts w:cs="Verdana Bold"/>
          <w:bCs/>
          <w:szCs w:val="20"/>
          <w:lang w:val="es-ES"/>
        </w:rPr>
        <w:t>i</w:t>
      </w:r>
      <w:r w:rsidRPr="001C46C0">
        <w:rPr>
          <w:rFonts w:cs="Verdana Bold"/>
          <w:bCs/>
          <w:szCs w:val="20"/>
          <w:lang w:val="es-ES"/>
        </w:rPr>
        <w:t xml:space="preserve">nteramericano de </w:t>
      </w:r>
      <w:r w:rsidR="00E952A5">
        <w:rPr>
          <w:rFonts w:cs="Verdana Bold"/>
          <w:bCs/>
          <w:szCs w:val="20"/>
          <w:lang w:val="es-ES"/>
        </w:rPr>
        <w:t>d</w:t>
      </w:r>
      <w:r w:rsidRPr="001C46C0">
        <w:rPr>
          <w:rFonts w:cs="Verdana Bold"/>
          <w:bCs/>
          <w:szCs w:val="20"/>
          <w:lang w:val="es-ES"/>
        </w:rPr>
        <w:t>erecho</w:t>
      </w:r>
      <w:r w:rsidR="00E952A5">
        <w:rPr>
          <w:rFonts w:cs="Verdana Bold"/>
          <w:bCs/>
          <w:szCs w:val="20"/>
          <w:lang w:val="es-ES"/>
        </w:rPr>
        <w:t>s</w:t>
      </w:r>
      <w:r w:rsidRPr="001C46C0">
        <w:rPr>
          <w:rFonts w:cs="Verdana Bold"/>
          <w:bCs/>
          <w:szCs w:val="20"/>
          <w:lang w:val="es-ES"/>
        </w:rPr>
        <w:t xml:space="preserve"> </w:t>
      </w:r>
      <w:r w:rsidR="00E952A5">
        <w:rPr>
          <w:rFonts w:cs="Verdana Bold"/>
          <w:bCs/>
          <w:szCs w:val="20"/>
          <w:lang w:val="es-ES"/>
        </w:rPr>
        <w:t>h</w:t>
      </w:r>
      <w:r w:rsidRPr="001C46C0">
        <w:rPr>
          <w:rFonts w:cs="Verdana Bold"/>
          <w:bCs/>
          <w:szCs w:val="20"/>
          <w:lang w:val="es-ES"/>
        </w:rPr>
        <w:t xml:space="preserve">umanos. </w:t>
      </w:r>
      <w:bookmarkEnd w:id="179"/>
      <w:bookmarkEnd w:id="180"/>
      <w:bookmarkEnd w:id="181"/>
      <w:bookmarkEnd w:id="182"/>
    </w:p>
    <w:p w14:paraId="3D1A755C" w14:textId="77777777" w:rsidR="005166F9" w:rsidRPr="001C46C0" w:rsidRDefault="005166F9" w:rsidP="00B811D7">
      <w:pPr>
        <w:pStyle w:val="ListParagraph"/>
        <w:ind w:left="0" w:right="49"/>
        <w:outlineLvl w:val="0"/>
        <w:rPr>
          <w:rFonts w:cs="Verdana Bold"/>
          <w:bCs/>
          <w:szCs w:val="20"/>
          <w:lang w:val="es-ES"/>
        </w:rPr>
      </w:pPr>
    </w:p>
    <w:p w14:paraId="3B152649" w14:textId="49F2E70C" w:rsidR="005166F9" w:rsidRPr="001C46C0" w:rsidRDefault="005166F9" w:rsidP="00D6683A">
      <w:pPr>
        <w:pStyle w:val="ListParagraph"/>
        <w:numPr>
          <w:ilvl w:val="0"/>
          <w:numId w:val="1"/>
        </w:numPr>
        <w:ind w:right="49"/>
        <w:outlineLvl w:val="0"/>
        <w:rPr>
          <w:rFonts w:cs="Verdana Bold"/>
          <w:bCs/>
          <w:szCs w:val="20"/>
          <w:lang w:val="es-ES"/>
        </w:rPr>
      </w:pPr>
      <w:bookmarkStart w:id="183" w:name="_Toc468909998"/>
      <w:bookmarkStart w:id="184" w:name="_Toc468910224"/>
      <w:bookmarkStart w:id="185" w:name="_Toc469404464"/>
      <w:bookmarkStart w:id="186" w:name="_Toc472608909"/>
      <w:r w:rsidRPr="001C46C0">
        <w:rPr>
          <w:rFonts w:cs="Verdana Bold"/>
          <w:bCs/>
          <w:szCs w:val="20"/>
          <w:lang w:val="es-ES"/>
        </w:rPr>
        <w:t xml:space="preserve">La </w:t>
      </w:r>
      <w:r w:rsidRPr="0028637A">
        <w:rPr>
          <w:rFonts w:cs="Verdana Bold"/>
          <w:b/>
          <w:bCs/>
          <w:i/>
          <w:szCs w:val="20"/>
          <w:lang w:val="es-ES"/>
        </w:rPr>
        <w:t>Comisión</w:t>
      </w:r>
      <w:r w:rsidRPr="001C46C0">
        <w:rPr>
          <w:rFonts w:cs="Verdana Bold"/>
          <w:bCs/>
          <w:szCs w:val="20"/>
          <w:lang w:val="es-ES"/>
        </w:rPr>
        <w:t xml:space="preserve"> </w:t>
      </w:r>
      <w:r w:rsidR="00B62157">
        <w:rPr>
          <w:rFonts w:cs="Verdana Bold"/>
          <w:bCs/>
          <w:szCs w:val="20"/>
          <w:lang w:val="es-ES"/>
        </w:rPr>
        <w:t>s</w:t>
      </w:r>
      <w:r>
        <w:rPr>
          <w:rFonts w:cs="Verdana Bold"/>
          <w:bCs/>
          <w:szCs w:val="20"/>
          <w:lang w:val="es-ES"/>
        </w:rPr>
        <w:t>eñaló</w:t>
      </w:r>
      <w:r w:rsidRPr="001C46C0">
        <w:rPr>
          <w:rFonts w:cs="Verdana Bold"/>
          <w:bCs/>
          <w:szCs w:val="20"/>
          <w:lang w:val="es-ES"/>
        </w:rPr>
        <w:t xml:space="preserve"> que el Estado toma como punto de partida que los procesos a nivel interno no violaron los derechos humanos, cuando es precisamente ello lo que se debatirá en el fondo del asunto. Adicionalmente, </w:t>
      </w:r>
      <w:r>
        <w:rPr>
          <w:rFonts w:cs="Verdana Bold"/>
          <w:bCs/>
          <w:szCs w:val="20"/>
          <w:lang w:val="es-ES"/>
        </w:rPr>
        <w:t xml:space="preserve">afirmó </w:t>
      </w:r>
      <w:r w:rsidRPr="001C46C0">
        <w:rPr>
          <w:rFonts w:cs="Verdana Bold"/>
          <w:bCs/>
          <w:szCs w:val="20"/>
          <w:lang w:val="es-ES"/>
        </w:rPr>
        <w:t xml:space="preserve">que conforme el artículo 63.1 de la Convención Americana, la Corte </w:t>
      </w:r>
      <w:r w:rsidR="006E07F0">
        <w:rPr>
          <w:rFonts w:cs="Verdana Bold"/>
          <w:bCs/>
          <w:szCs w:val="20"/>
          <w:lang w:val="es-ES"/>
        </w:rPr>
        <w:t xml:space="preserve">debe </w:t>
      </w:r>
      <w:r w:rsidRPr="001C46C0">
        <w:rPr>
          <w:rFonts w:cs="Verdana Bold"/>
          <w:bCs/>
          <w:szCs w:val="20"/>
          <w:lang w:val="es-ES"/>
        </w:rPr>
        <w:t xml:space="preserve">fijar reparaciones </w:t>
      </w:r>
      <w:r w:rsidR="006E07F0">
        <w:rPr>
          <w:rFonts w:cs="Verdana Bold"/>
          <w:bCs/>
          <w:szCs w:val="20"/>
          <w:lang w:val="es-ES"/>
        </w:rPr>
        <w:t xml:space="preserve">sin estar </w:t>
      </w:r>
      <w:r w:rsidRPr="001C46C0">
        <w:rPr>
          <w:rFonts w:cs="Verdana Bold"/>
          <w:bCs/>
          <w:szCs w:val="20"/>
          <w:lang w:val="es-ES"/>
        </w:rPr>
        <w:t>condicionada a la existencia de decisiones a nivel interno en esa materia.</w:t>
      </w:r>
      <w:bookmarkEnd w:id="183"/>
      <w:bookmarkEnd w:id="184"/>
      <w:bookmarkEnd w:id="185"/>
      <w:bookmarkEnd w:id="186"/>
    </w:p>
    <w:p w14:paraId="356A8C85" w14:textId="77777777" w:rsidR="005166F9" w:rsidRPr="001C46C0" w:rsidRDefault="005166F9" w:rsidP="00B811D7">
      <w:pPr>
        <w:pStyle w:val="ListParagraph"/>
        <w:ind w:left="0" w:right="49"/>
        <w:outlineLvl w:val="0"/>
        <w:rPr>
          <w:rFonts w:cs="Verdana Bold"/>
          <w:bCs/>
          <w:szCs w:val="20"/>
          <w:lang w:val="es-ES"/>
        </w:rPr>
      </w:pPr>
    </w:p>
    <w:p w14:paraId="539DA787" w14:textId="033DA066" w:rsidR="005166F9" w:rsidRPr="001C46C0" w:rsidRDefault="005166F9" w:rsidP="00D6683A">
      <w:pPr>
        <w:pStyle w:val="ListParagraph"/>
        <w:numPr>
          <w:ilvl w:val="0"/>
          <w:numId w:val="1"/>
        </w:numPr>
        <w:ind w:right="49"/>
        <w:outlineLvl w:val="0"/>
        <w:rPr>
          <w:rFonts w:cs="Verdana Bold"/>
          <w:bCs/>
          <w:szCs w:val="20"/>
          <w:lang w:val="es-ES"/>
        </w:rPr>
      </w:pPr>
      <w:bookmarkStart w:id="187" w:name="_Toc468909999"/>
      <w:bookmarkStart w:id="188" w:name="_Toc468910225"/>
      <w:bookmarkStart w:id="189" w:name="_Toc469404465"/>
      <w:bookmarkStart w:id="190" w:name="_Toc472608910"/>
      <w:r w:rsidRPr="001C46C0">
        <w:rPr>
          <w:rFonts w:cs="Verdana Bold"/>
          <w:bCs/>
          <w:szCs w:val="20"/>
          <w:lang w:val="es-ES"/>
        </w:rPr>
        <w:t xml:space="preserve">Los </w:t>
      </w:r>
      <w:r w:rsidRPr="0028637A">
        <w:rPr>
          <w:rFonts w:cs="Verdana Bold"/>
          <w:b/>
          <w:bCs/>
          <w:i/>
          <w:szCs w:val="20"/>
          <w:lang w:val="es-ES"/>
        </w:rPr>
        <w:t>representantes</w:t>
      </w:r>
      <w:r w:rsidRPr="001C46C0">
        <w:rPr>
          <w:rFonts w:cs="Verdana Bold"/>
          <w:b/>
          <w:bCs/>
          <w:szCs w:val="20"/>
          <w:lang w:val="es-ES"/>
        </w:rPr>
        <w:t xml:space="preserve"> </w:t>
      </w:r>
      <w:r w:rsidRPr="001C46C0">
        <w:rPr>
          <w:rFonts w:cs="Verdana Bold"/>
          <w:bCs/>
          <w:szCs w:val="20"/>
          <w:lang w:val="es-ES"/>
        </w:rPr>
        <w:t>añadieron que</w:t>
      </w:r>
      <w:r w:rsidR="00501478">
        <w:rPr>
          <w:rFonts w:cs="Verdana Bold"/>
          <w:bCs/>
          <w:szCs w:val="20"/>
          <w:lang w:val="es-ES"/>
        </w:rPr>
        <w:t>,</w:t>
      </w:r>
      <w:r w:rsidRPr="001C46C0">
        <w:rPr>
          <w:rFonts w:cs="Verdana Bold"/>
          <w:bCs/>
          <w:szCs w:val="20"/>
          <w:lang w:val="es-ES"/>
        </w:rPr>
        <w:t xml:space="preserve"> de acuerdo con el entendimiento de la Corte</w:t>
      </w:r>
      <w:r>
        <w:rPr>
          <w:rFonts w:cs="Verdana Bold"/>
          <w:bCs/>
          <w:szCs w:val="20"/>
          <w:lang w:val="es-ES"/>
        </w:rPr>
        <w:t>,</w:t>
      </w:r>
      <w:r w:rsidRPr="001C46C0">
        <w:rPr>
          <w:rFonts w:cs="Verdana Bold"/>
          <w:bCs/>
          <w:szCs w:val="20"/>
          <w:lang w:val="es-ES"/>
        </w:rPr>
        <w:t xml:space="preserve"> para que la excepción de cuarta instancia sea procedente</w:t>
      </w:r>
      <w:r>
        <w:rPr>
          <w:rFonts w:cs="Verdana Bold"/>
          <w:bCs/>
          <w:szCs w:val="20"/>
          <w:lang w:val="es-ES"/>
        </w:rPr>
        <w:t>,</w:t>
      </w:r>
      <w:r w:rsidR="00967B80">
        <w:rPr>
          <w:rFonts w:cs="Verdana Bold"/>
          <w:bCs/>
          <w:szCs w:val="20"/>
          <w:lang w:val="es-ES"/>
        </w:rPr>
        <w:t xml:space="preserve"> sería necesario que los</w:t>
      </w:r>
      <w:r w:rsidRPr="001C46C0">
        <w:rPr>
          <w:rFonts w:cs="Verdana Bold"/>
          <w:bCs/>
          <w:szCs w:val="20"/>
          <w:lang w:val="es-ES"/>
        </w:rPr>
        <w:t xml:space="preserve"> solicitante</w:t>
      </w:r>
      <w:r w:rsidR="00967B80">
        <w:rPr>
          <w:rFonts w:cs="Verdana Bold"/>
          <w:bCs/>
          <w:szCs w:val="20"/>
          <w:lang w:val="es-ES"/>
        </w:rPr>
        <w:t>s</w:t>
      </w:r>
      <w:r w:rsidRPr="001C46C0">
        <w:rPr>
          <w:rFonts w:cs="Verdana Bold"/>
          <w:bCs/>
          <w:szCs w:val="20"/>
          <w:lang w:val="es-ES"/>
        </w:rPr>
        <w:t xml:space="preserve"> busque</w:t>
      </w:r>
      <w:r w:rsidR="00967B80">
        <w:rPr>
          <w:rFonts w:cs="Verdana Bold"/>
          <w:bCs/>
          <w:szCs w:val="20"/>
          <w:lang w:val="es-ES"/>
        </w:rPr>
        <w:t>n</w:t>
      </w:r>
      <w:r w:rsidRPr="001C46C0">
        <w:rPr>
          <w:rFonts w:cs="Verdana Bold"/>
          <w:bCs/>
          <w:szCs w:val="20"/>
          <w:lang w:val="es-ES"/>
        </w:rPr>
        <w:t xml:space="preserve"> que la Corte revise el fallo de un tribunal interno en virtud de su incorrecta apreciación de la prueba, los hechos o el derecho interno. En el presente caso los representantes afirma</w:t>
      </w:r>
      <w:r>
        <w:rPr>
          <w:rFonts w:cs="Verdana Bold"/>
          <w:bCs/>
          <w:szCs w:val="20"/>
          <w:lang w:val="es-ES"/>
        </w:rPr>
        <w:t>ro</w:t>
      </w:r>
      <w:r w:rsidRPr="001C46C0">
        <w:rPr>
          <w:rFonts w:cs="Verdana Bold"/>
          <w:bCs/>
          <w:szCs w:val="20"/>
          <w:lang w:val="es-ES"/>
        </w:rPr>
        <w:t xml:space="preserve">n </w:t>
      </w:r>
      <w:r w:rsidR="006E07F0">
        <w:rPr>
          <w:rFonts w:cs="Verdana Bold"/>
          <w:bCs/>
          <w:szCs w:val="20"/>
          <w:lang w:val="es-ES"/>
        </w:rPr>
        <w:t xml:space="preserve">que </w:t>
      </w:r>
      <w:r w:rsidRPr="001C46C0">
        <w:rPr>
          <w:rFonts w:cs="Verdana Bold"/>
          <w:bCs/>
          <w:szCs w:val="20"/>
          <w:lang w:val="es-ES"/>
        </w:rPr>
        <w:t>no busca</w:t>
      </w:r>
      <w:r w:rsidR="006E07F0">
        <w:rPr>
          <w:rFonts w:cs="Verdana Bold"/>
          <w:bCs/>
          <w:szCs w:val="20"/>
          <w:lang w:val="es-ES"/>
        </w:rPr>
        <w:t>n</w:t>
      </w:r>
      <w:r w:rsidRPr="001C46C0">
        <w:rPr>
          <w:rFonts w:cs="Verdana Bold"/>
          <w:bCs/>
          <w:szCs w:val="20"/>
          <w:lang w:val="es-ES"/>
        </w:rPr>
        <w:t xml:space="preserve"> la revisión de decisiones internas interpuestas por </w:t>
      </w:r>
      <w:proofErr w:type="spellStart"/>
      <w:r w:rsidR="003D6A7B">
        <w:rPr>
          <w:rFonts w:cs="Verdana Bold"/>
          <w:bCs/>
          <w:szCs w:val="20"/>
          <w:lang w:val="es-ES"/>
        </w:rPr>
        <w:t>Mônica</w:t>
      </w:r>
      <w:proofErr w:type="spellEnd"/>
      <w:r w:rsidRPr="001C46C0">
        <w:rPr>
          <w:rFonts w:cs="Verdana Bold"/>
          <w:bCs/>
          <w:szCs w:val="20"/>
          <w:lang w:val="es-ES"/>
        </w:rPr>
        <w:t xml:space="preserve"> Santos de Souza </w:t>
      </w:r>
      <w:proofErr w:type="spellStart"/>
      <w:r w:rsidRPr="001C46C0">
        <w:rPr>
          <w:rFonts w:cs="Verdana Bold"/>
          <w:bCs/>
          <w:szCs w:val="20"/>
          <w:lang w:val="es-ES"/>
        </w:rPr>
        <w:t>Rodrigues</w:t>
      </w:r>
      <w:proofErr w:type="spellEnd"/>
      <w:r w:rsidRPr="001C46C0">
        <w:rPr>
          <w:rFonts w:cs="Verdana Bold"/>
          <w:bCs/>
          <w:szCs w:val="20"/>
          <w:lang w:val="es-ES"/>
        </w:rPr>
        <w:t xml:space="preserve"> y Evelyn Santos de Souza </w:t>
      </w:r>
      <w:proofErr w:type="spellStart"/>
      <w:r w:rsidRPr="001C46C0">
        <w:rPr>
          <w:rFonts w:cs="Verdana Bold"/>
          <w:bCs/>
          <w:szCs w:val="20"/>
          <w:lang w:val="es-ES"/>
        </w:rPr>
        <w:t>Rodrigues</w:t>
      </w:r>
      <w:proofErr w:type="spellEnd"/>
      <w:r w:rsidRPr="001C46C0">
        <w:rPr>
          <w:rFonts w:cs="Verdana Bold"/>
          <w:bCs/>
          <w:szCs w:val="20"/>
          <w:lang w:val="es-ES"/>
        </w:rPr>
        <w:t xml:space="preserve">, sino el pronunciamiento en relación con las violaciones del deber estatal de protección jurídica </w:t>
      </w:r>
      <w:r w:rsidRPr="001C46C0">
        <w:rPr>
          <w:rFonts w:cs="Verdana Bold"/>
          <w:bCs/>
          <w:szCs w:val="20"/>
          <w:lang w:val="es-ES"/>
        </w:rPr>
        <w:lastRenderedPageBreak/>
        <w:t>efectiva y garantías judiciales, que configuran violaciones específic</w:t>
      </w:r>
      <w:r w:rsidR="000E6E29">
        <w:rPr>
          <w:rFonts w:cs="Verdana Bold"/>
          <w:bCs/>
          <w:szCs w:val="20"/>
          <w:lang w:val="es-ES"/>
        </w:rPr>
        <w:t>as de la Convención Americana sobre</w:t>
      </w:r>
      <w:r w:rsidRPr="001C46C0">
        <w:rPr>
          <w:rFonts w:cs="Verdana Bold"/>
          <w:bCs/>
          <w:szCs w:val="20"/>
          <w:lang w:val="es-ES"/>
        </w:rPr>
        <w:t xml:space="preserve"> Derechos Humanos y otros tratados interamericanos ratificados por el Estado.</w:t>
      </w:r>
      <w:bookmarkEnd w:id="187"/>
      <w:bookmarkEnd w:id="188"/>
      <w:bookmarkEnd w:id="189"/>
      <w:bookmarkEnd w:id="190"/>
    </w:p>
    <w:p w14:paraId="6230BE62" w14:textId="77777777" w:rsidR="005166F9" w:rsidRPr="001C46C0" w:rsidRDefault="005166F9" w:rsidP="00B811D7">
      <w:pPr>
        <w:ind w:right="49"/>
        <w:outlineLvl w:val="0"/>
        <w:rPr>
          <w:b/>
          <w:noProof/>
          <w:szCs w:val="20"/>
          <w:lang w:val="es-ES" w:eastAsia="es-ES"/>
        </w:rPr>
      </w:pPr>
    </w:p>
    <w:p w14:paraId="0304955D" w14:textId="77777777" w:rsidR="005166F9" w:rsidRPr="00B66A4B" w:rsidRDefault="005166F9" w:rsidP="00B811D7">
      <w:pPr>
        <w:ind w:right="49"/>
        <w:outlineLvl w:val="0"/>
        <w:rPr>
          <w:rFonts w:cs="Verdana Bold"/>
          <w:b/>
          <w:bCs/>
          <w:i/>
          <w:szCs w:val="20"/>
          <w:lang w:val="es-ES"/>
        </w:rPr>
      </w:pPr>
      <w:bookmarkStart w:id="191" w:name="_Toc468910000"/>
      <w:bookmarkStart w:id="192" w:name="_Toc468910226"/>
      <w:bookmarkStart w:id="193" w:name="_Toc469404466"/>
      <w:bookmarkStart w:id="194" w:name="_Toc472608911"/>
      <w:r w:rsidRPr="00B66A4B">
        <w:rPr>
          <w:b/>
          <w:i/>
          <w:noProof/>
          <w:szCs w:val="20"/>
          <w:lang w:val="es-ES" w:eastAsia="es-ES"/>
        </w:rPr>
        <w:t>D.2 Consideraciones de la Corte</w:t>
      </w:r>
      <w:bookmarkEnd w:id="191"/>
      <w:bookmarkEnd w:id="192"/>
      <w:bookmarkEnd w:id="193"/>
      <w:bookmarkEnd w:id="194"/>
    </w:p>
    <w:p w14:paraId="61E2C981" w14:textId="77777777" w:rsidR="005166F9" w:rsidRPr="001C46C0" w:rsidRDefault="005166F9" w:rsidP="00B811D7">
      <w:pPr>
        <w:pStyle w:val="ListParagraph"/>
        <w:ind w:left="0" w:right="49"/>
        <w:outlineLvl w:val="0"/>
        <w:rPr>
          <w:rFonts w:cs="Verdana Bold"/>
          <w:b/>
          <w:bCs/>
          <w:szCs w:val="20"/>
          <w:lang w:val="es-ES"/>
        </w:rPr>
      </w:pPr>
    </w:p>
    <w:p w14:paraId="545946F6" w14:textId="77777777" w:rsidR="005166F9" w:rsidRPr="001C46C0" w:rsidRDefault="005166F9" w:rsidP="00D6683A">
      <w:pPr>
        <w:pStyle w:val="ListParagraph"/>
        <w:numPr>
          <w:ilvl w:val="0"/>
          <w:numId w:val="1"/>
        </w:numPr>
        <w:ind w:right="49"/>
        <w:outlineLvl w:val="0"/>
        <w:rPr>
          <w:rFonts w:cs="Verdana Bold"/>
          <w:b/>
          <w:bCs/>
          <w:szCs w:val="20"/>
          <w:lang w:val="es-ES"/>
        </w:rPr>
      </w:pPr>
      <w:bookmarkStart w:id="195" w:name="_Toc468910001"/>
      <w:bookmarkStart w:id="196" w:name="_Toc468910227"/>
      <w:bookmarkStart w:id="197" w:name="_Toc469404467"/>
      <w:bookmarkStart w:id="198" w:name="_Toc472608912"/>
      <w:r w:rsidRPr="001C46C0">
        <w:rPr>
          <w:rFonts w:eastAsia="Batang" w:cs="Times"/>
          <w:noProof/>
          <w:szCs w:val="20"/>
          <w:lang w:val="es-ES_tradnl" w:eastAsia="es-ES"/>
        </w:rPr>
        <w:t>El Tribunal ha establecido que la jurisdicción internacional tiene carácter coadyuvante y complementario</w:t>
      </w:r>
      <w:r w:rsidRPr="001C46C0">
        <w:rPr>
          <w:noProof/>
          <w:szCs w:val="20"/>
          <w:vertAlign w:val="superscript"/>
          <w:lang w:val="es-ES_tradnl" w:eastAsia="es-ES"/>
        </w:rPr>
        <w:footnoteReference w:id="41"/>
      </w:r>
      <w:r w:rsidRPr="001C46C0">
        <w:rPr>
          <w:rFonts w:eastAsia="Batang" w:cs="Times"/>
          <w:noProof/>
          <w:szCs w:val="20"/>
          <w:lang w:val="es-ES_tradnl" w:eastAsia="es-ES"/>
        </w:rPr>
        <w:t>, razón por la cual no desempeña funciones de tribunal de “cuarta instancia”, ni es un tribunal de alzada o de apelación para dirimir los desacuerdos que tengan las partes sobre algunos alcances de la valoración de prueba o de la aplicación del derecho interno en aspectos que no estén directamente relacionados con el cumplimiento de obligaciones internacionales en derechos humanos</w:t>
      </w:r>
      <w:r w:rsidRPr="001C46C0">
        <w:rPr>
          <w:noProof/>
          <w:szCs w:val="20"/>
          <w:vertAlign w:val="superscript"/>
          <w:lang w:val="es-ES_tradnl" w:eastAsia="es-ES"/>
        </w:rPr>
        <w:footnoteReference w:id="42"/>
      </w:r>
      <w:r w:rsidRPr="001C46C0">
        <w:rPr>
          <w:rFonts w:eastAsia="Batang" w:cs="Times"/>
          <w:noProof/>
          <w:szCs w:val="20"/>
          <w:lang w:val="es-ES_tradnl" w:eastAsia="es-ES"/>
        </w:rPr>
        <w:t>.</w:t>
      </w:r>
      <w:bookmarkEnd w:id="195"/>
      <w:bookmarkEnd w:id="196"/>
      <w:bookmarkEnd w:id="197"/>
      <w:bookmarkEnd w:id="198"/>
    </w:p>
    <w:p w14:paraId="000427D5" w14:textId="77777777" w:rsidR="005166F9" w:rsidRPr="001C46C0" w:rsidRDefault="005166F9" w:rsidP="00B811D7">
      <w:pPr>
        <w:pStyle w:val="ListParagraph"/>
        <w:ind w:left="0" w:right="49"/>
        <w:outlineLvl w:val="0"/>
        <w:rPr>
          <w:rFonts w:cs="Verdana Bold"/>
          <w:b/>
          <w:bCs/>
          <w:szCs w:val="20"/>
          <w:lang w:val="es-ES"/>
        </w:rPr>
      </w:pPr>
    </w:p>
    <w:p w14:paraId="3A78CF66" w14:textId="77777777" w:rsidR="005166F9" w:rsidRPr="001C46C0" w:rsidRDefault="005166F9" w:rsidP="00D6683A">
      <w:pPr>
        <w:pStyle w:val="ListParagraph"/>
        <w:numPr>
          <w:ilvl w:val="0"/>
          <w:numId w:val="1"/>
        </w:numPr>
        <w:ind w:right="49"/>
        <w:outlineLvl w:val="0"/>
        <w:rPr>
          <w:rFonts w:cs="Verdana Bold"/>
          <w:b/>
          <w:bCs/>
          <w:szCs w:val="20"/>
          <w:lang w:val="es-ES"/>
        </w:rPr>
      </w:pPr>
      <w:bookmarkStart w:id="199" w:name="_Toc468910003"/>
      <w:bookmarkStart w:id="200" w:name="_Toc468910229"/>
      <w:bookmarkStart w:id="201" w:name="_Toc469404468"/>
      <w:bookmarkStart w:id="202" w:name="_Toc472608913"/>
      <w:r w:rsidRPr="001C46C0">
        <w:rPr>
          <w:rFonts w:eastAsia="Batang" w:cs="Times"/>
          <w:noProof/>
          <w:szCs w:val="20"/>
          <w:lang w:eastAsia="es-ES"/>
        </w:rPr>
        <w:t>Esta Corte ha establecido que para que la excepción de cuarta instancia sea procedente, “es necesario que el solicitante busque que la Corte revise el fallo de un tribunal interno en virtud de su incorrecta apreciación de la prueba, los hechos o el derecho interno, sin que, a la vez, se alegue que tal fallo incurrió en una violación de tratados internacionales respecto de los que tenga competencia el Tribunal”</w:t>
      </w:r>
      <w:r w:rsidR="00B62157">
        <w:rPr>
          <w:rStyle w:val="FootnoteReference"/>
          <w:rFonts w:eastAsia="Batang"/>
          <w:noProof/>
          <w:lang w:eastAsia="es-ES"/>
        </w:rPr>
        <w:footnoteReference w:id="43"/>
      </w:r>
      <w:r w:rsidRPr="001C46C0">
        <w:rPr>
          <w:rFonts w:eastAsia="Batang" w:cs="Times"/>
          <w:noProof/>
          <w:szCs w:val="20"/>
          <w:lang w:eastAsia="es-ES"/>
        </w:rPr>
        <w:t>. Además, este Tribunal ha establecido que, al valorarse el cumplimiento de ciertas obligaciones internacionales, puede darse una intrínseca interrelación entre el análisis de derecho internacional y de derecho interno. Por tanto, la determinación de si las actuaciones de órganos judiciales constituyen o no una violación de las obligaciones internacionales del Estado, puede conducir a que la Corte deba ocuparse de examinar los respectivos procesos internos para establecer su compatibilidad con la Convención Americana</w:t>
      </w:r>
      <w:r w:rsidRPr="001C46C0">
        <w:rPr>
          <w:rStyle w:val="FootnoteReference"/>
          <w:rFonts w:eastAsia="Batang"/>
          <w:noProof/>
          <w:lang w:eastAsia="es-ES"/>
        </w:rPr>
        <w:footnoteReference w:id="44"/>
      </w:r>
      <w:r w:rsidRPr="001C46C0">
        <w:rPr>
          <w:rFonts w:eastAsia="Batang" w:cs="Times"/>
          <w:noProof/>
          <w:szCs w:val="20"/>
          <w:lang w:val="es-ES_tradnl" w:eastAsia="es-ES"/>
        </w:rPr>
        <w:t>.</w:t>
      </w:r>
      <w:bookmarkEnd w:id="199"/>
      <w:bookmarkEnd w:id="200"/>
      <w:bookmarkEnd w:id="201"/>
      <w:bookmarkEnd w:id="202"/>
    </w:p>
    <w:p w14:paraId="47B95EA9" w14:textId="77777777" w:rsidR="005166F9" w:rsidRPr="001C46C0" w:rsidRDefault="005166F9" w:rsidP="00B811D7">
      <w:pPr>
        <w:pStyle w:val="ListParagraph"/>
        <w:ind w:left="0" w:right="49"/>
        <w:outlineLvl w:val="0"/>
        <w:rPr>
          <w:rFonts w:cs="Verdana Bold"/>
          <w:b/>
          <w:bCs/>
          <w:szCs w:val="20"/>
          <w:lang w:val="es-ES"/>
        </w:rPr>
      </w:pPr>
    </w:p>
    <w:p w14:paraId="2D716298" w14:textId="77777777" w:rsidR="005166F9" w:rsidRPr="001C46C0" w:rsidRDefault="005166F9" w:rsidP="00D6683A">
      <w:pPr>
        <w:pStyle w:val="ListParagraph"/>
        <w:numPr>
          <w:ilvl w:val="0"/>
          <w:numId w:val="1"/>
        </w:numPr>
        <w:ind w:right="49"/>
        <w:outlineLvl w:val="0"/>
        <w:rPr>
          <w:rFonts w:cs="Verdana Bold"/>
          <w:b/>
          <w:bCs/>
          <w:szCs w:val="20"/>
          <w:lang w:val="es-ES"/>
        </w:rPr>
      </w:pPr>
      <w:bookmarkStart w:id="203" w:name="_Toc472608914"/>
      <w:bookmarkStart w:id="204" w:name="_Toc468910004"/>
      <w:bookmarkStart w:id="205" w:name="_Toc468910230"/>
      <w:bookmarkStart w:id="206" w:name="_Toc469404469"/>
      <w:r w:rsidRPr="001C46C0">
        <w:rPr>
          <w:rFonts w:eastAsia="Batang" w:cs="Times"/>
          <w:noProof/>
          <w:szCs w:val="20"/>
          <w:lang w:val="es-ES_tradnl" w:eastAsia="es-ES"/>
        </w:rPr>
        <w:t>En el presente caso ni la Comisión ni los representantes han solicitado la revisión de decisiones internas relacionadas con valoración de pruebas, de los hechos o la aplicación del derecho interno. La Corte considera que es objeto de estudio de fondo analizar los alegatos respecto de si los procesos judiciales internos fueron idóneos y eficaces, y si los recursos fueron tramitados y resueltos debidamente.</w:t>
      </w:r>
      <w:bookmarkEnd w:id="203"/>
      <w:r w:rsidRPr="001C46C0">
        <w:rPr>
          <w:rFonts w:eastAsia="Batang" w:cs="Times"/>
          <w:noProof/>
          <w:szCs w:val="20"/>
          <w:lang w:val="es-ES_tradnl" w:eastAsia="es-ES"/>
        </w:rPr>
        <w:t xml:space="preserve"> </w:t>
      </w:r>
      <w:bookmarkEnd w:id="204"/>
      <w:bookmarkEnd w:id="205"/>
      <w:bookmarkEnd w:id="206"/>
    </w:p>
    <w:p w14:paraId="71E03BF4" w14:textId="77777777" w:rsidR="005166F9" w:rsidRPr="001C46C0" w:rsidRDefault="005166F9" w:rsidP="00B811D7">
      <w:pPr>
        <w:pStyle w:val="ListParagraph"/>
        <w:ind w:left="0" w:right="49"/>
        <w:outlineLvl w:val="0"/>
        <w:rPr>
          <w:rFonts w:cs="Verdana Bold"/>
          <w:b/>
          <w:bCs/>
          <w:szCs w:val="20"/>
          <w:lang w:val="es-ES"/>
        </w:rPr>
      </w:pPr>
    </w:p>
    <w:p w14:paraId="4268FE92" w14:textId="77777777" w:rsidR="005166F9" w:rsidRPr="001C46C0" w:rsidRDefault="005166F9" w:rsidP="00D6683A">
      <w:pPr>
        <w:pStyle w:val="ListParagraph"/>
        <w:numPr>
          <w:ilvl w:val="0"/>
          <w:numId w:val="1"/>
        </w:numPr>
        <w:ind w:right="49"/>
        <w:outlineLvl w:val="0"/>
        <w:rPr>
          <w:rFonts w:cs="Verdana Bold"/>
          <w:b/>
          <w:bCs/>
          <w:szCs w:val="20"/>
          <w:lang w:val="es-ES"/>
        </w:rPr>
      </w:pPr>
      <w:bookmarkStart w:id="207" w:name="_Toc468910005"/>
      <w:bookmarkStart w:id="208" w:name="_Toc468910231"/>
      <w:bookmarkStart w:id="209" w:name="_Toc469404470"/>
      <w:bookmarkStart w:id="210" w:name="_Toc472608915"/>
      <w:r w:rsidRPr="001C46C0">
        <w:rPr>
          <w:rFonts w:eastAsia="Batang" w:cs="Times"/>
          <w:noProof/>
          <w:szCs w:val="20"/>
          <w:lang w:val="es-ES_tradnl" w:eastAsia="es-ES"/>
        </w:rPr>
        <w:t>Por lo anterior, la Corte desestima la presente excepción preliminar.</w:t>
      </w:r>
      <w:bookmarkEnd w:id="207"/>
      <w:bookmarkEnd w:id="208"/>
      <w:bookmarkEnd w:id="209"/>
      <w:bookmarkEnd w:id="210"/>
      <w:r w:rsidRPr="001C46C0">
        <w:rPr>
          <w:rFonts w:eastAsia="Batang" w:cs="Times"/>
          <w:noProof/>
          <w:szCs w:val="20"/>
          <w:lang w:val="es-ES_tradnl" w:eastAsia="es-ES"/>
        </w:rPr>
        <w:t xml:space="preserve"> </w:t>
      </w:r>
    </w:p>
    <w:p w14:paraId="50FAF57D" w14:textId="77777777" w:rsidR="005166F9" w:rsidRPr="001C46C0" w:rsidRDefault="005166F9" w:rsidP="00B811D7">
      <w:pPr>
        <w:pStyle w:val="ListParagraph"/>
        <w:ind w:left="0" w:right="49"/>
        <w:outlineLvl w:val="0"/>
        <w:rPr>
          <w:rFonts w:cs="Verdana Bold"/>
          <w:bCs/>
          <w:szCs w:val="20"/>
          <w:lang w:val="es-ES"/>
        </w:rPr>
      </w:pPr>
    </w:p>
    <w:p w14:paraId="46A89D11" w14:textId="77777777" w:rsidR="005166F9" w:rsidRPr="001C46C0" w:rsidRDefault="005166F9" w:rsidP="00123780">
      <w:pPr>
        <w:pStyle w:val="TOC2"/>
      </w:pPr>
      <w:bookmarkStart w:id="211" w:name="_Toc468910006"/>
      <w:bookmarkStart w:id="212" w:name="_Toc468910232"/>
      <w:bookmarkStart w:id="213" w:name="_Toc469404471"/>
      <w:bookmarkStart w:id="214" w:name="_Toc472608916"/>
      <w:r w:rsidRPr="001C46C0">
        <w:t>E. Incompetencia ratione materiae en cuanto a supuestas violaciones de derechos humanos previstos en los artículos 1, 6 y 8 de la Convención Interamericana para Prevenir y Sancionar la Tortura, así como el artículo 7 de la Convención Interamericana para Prevenir, Sancionar y Erradicar la Violencia contra la Mujer</w:t>
      </w:r>
      <w:bookmarkEnd w:id="211"/>
      <w:bookmarkEnd w:id="212"/>
      <w:bookmarkEnd w:id="213"/>
      <w:bookmarkEnd w:id="214"/>
    </w:p>
    <w:p w14:paraId="4D9E7B27" w14:textId="77777777" w:rsidR="005166F9" w:rsidRPr="001C46C0" w:rsidRDefault="005166F9" w:rsidP="00B811D7">
      <w:pPr>
        <w:ind w:right="49"/>
        <w:outlineLvl w:val="0"/>
        <w:rPr>
          <w:rFonts w:cs="Verdana Bold"/>
          <w:b/>
          <w:bCs/>
          <w:szCs w:val="20"/>
          <w:lang w:val="es-ES"/>
        </w:rPr>
      </w:pPr>
    </w:p>
    <w:p w14:paraId="53E7692C" w14:textId="77777777" w:rsidR="005166F9" w:rsidRPr="00520E0B" w:rsidRDefault="005166F9" w:rsidP="00B811D7">
      <w:pPr>
        <w:pStyle w:val="Heading3"/>
        <w:ind w:left="0"/>
        <w:rPr>
          <w:noProof/>
          <w:szCs w:val="20"/>
          <w:lang w:eastAsia="es-ES"/>
        </w:rPr>
      </w:pPr>
      <w:bookmarkStart w:id="215" w:name="_Toc468910007"/>
      <w:bookmarkStart w:id="216" w:name="_Toc468910233"/>
      <w:bookmarkStart w:id="217" w:name="_Toc469404472"/>
      <w:bookmarkStart w:id="218" w:name="_Toc472608917"/>
      <w:r w:rsidRPr="00520E0B">
        <w:rPr>
          <w:rFonts w:cs="Verdana Bold"/>
          <w:bCs/>
          <w:szCs w:val="20"/>
          <w:lang w:val="es-ES"/>
        </w:rPr>
        <w:t xml:space="preserve">E.1 </w:t>
      </w:r>
      <w:r w:rsidRPr="00520E0B">
        <w:rPr>
          <w:noProof/>
          <w:szCs w:val="20"/>
          <w:lang w:eastAsia="es-ES"/>
        </w:rPr>
        <w:t>Alegatos del Estado, observaciones de la Comisión y de los representantes</w:t>
      </w:r>
      <w:bookmarkEnd w:id="215"/>
      <w:bookmarkEnd w:id="216"/>
      <w:bookmarkEnd w:id="217"/>
      <w:bookmarkEnd w:id="218"/>
    </w:p>
    <w:p w14:paraId="6FBAAD4D" w14:textId="77777777" w:rsidR="005166F9" w:rsidRPr="001C46C0" w:rsidRDefault="005166F9" w:rsidP="00B811D7">
      <w:pPr>
        <w:rPr>
          <w:szCs w:val="20"/>
          <w:lang w:val="es-MX" w:eastAsia="es-ES"/>
        </w:rPr>
      </w:pPr>
    </w:p>
    <w:p w14:paraId="67974786" w14:textId="63840499" w:rsidR="005166F9" w:rsidRPr="001C46C0" w:rsidRDefault="005166F9" w:rsidP="00D6683A">
      <w:pPr>
        <w:pStyle w:val="ListParagraph"/>
        <w:numPr>
          <w:ilvl w:val="0"/>
          <w:numId w:val="1"/>
        </w:numPr>
        <w:ind w:right="49"/>
        <w:outlineLvl w:val="0"/>
        <w:rPr>
          <w:rFonts w:cs="Verdana Bold"/>
          <w:bCs/>
          <w:szCs w:val="20"/>
          <w:lang w:val="es-ES"/>
        </w:rPr>
      </w:pPr>
      <w:bookmarkStart w:id="219" w:name="_Toc468910008"/>
      <w:bookmarkStart w:id="220" w:name="_Toc468910234"/>
      <w:bookmarkStart w:id="221" w:name="_Toc469404473"/>
      <w:bookmarkStart w:id="222" w:name="_Toc472608918"/>
      <w:r w:rsidRPr="001C46C0">
        <w:rPr>
          <w:rFonts w:cs="Verdana Bold"/>
          <w:bCs/>
          <w:szCs w:val="20"/>
          <w:lang w:val="es-ES"/>
        </w:rPr>
        <w:t xml:space="preserve">El </w:t>
      </w:r>
      <w:r w:rsidRPr="0028637A">
        <w:rPr>
          <w:rFonts w:cs="Verdana Bold"/>
          <w:b/>
          <w:bCs/>
          <w:i/>
          <w:szCs w:val="20"/>
          <w:lang w:val="es-ES"/>
        </w:rPr>
        <w:t>Estado</w:t>
      </w:r>
      <w:r w:rsidRPr="001C46C0">
        <w:rPr>
          <w:rFonts w:cs="Verdana Bold"/>
          <w:bCs/>
          <w:szCs w:val="20"/>
          <w:lang w:val="es-ES"/>
        </w:rPr>
        <w:t xml:space="preserve"> alegó que la Corte no tiene competencia para analizar el caso en relación con supuestas violaciones de los artículos 1, 6 y 8 de la Convención Interamericana para Prevenir y Sancionar la Tortura</w:t>
      </w:r>
      <w:r w:rsidR="00481DBC">
        <w:rPr>
          <w:rFonts w:cs="Verdana Bold"/>
          <w:bCs/>
          <w:szCs w:val="20"/>
          <w:lang w:val="es-ES"/>
        </w:rPr>
        <w:t>,</w:t>
      </w:r>
      <w:r w:rsidR="00FD28EF">
        <w:rPr>
          <w:rFonts w:cs="Verdana Bold"/>
          <w:bCs/>
          <w:szCs w:val="20"/>
          <w:lang w:val="es-ES"/>
        </w:rPr>
        <w:t xml:space="preserve"> </w:t>
      </w:r>
      <w:r w:rsidRPr="001C46C0">
        <w:rPr>
          <w:rFonts w:cs="Verdana Bold"/>
          <w:bCs/>
          <w:szCs w:val="20"/>
          <w:lang w:val="es-ES"/>
        </w:rPr>
        <w:t>dado que los artículos 33 y 62 de la Convención Americana limitan la competencia contenciosa de la Corte. Lo anterior, porque el artículo 8 de la CIPST prevé que el caso podrá ser sometido a instancias internacionales después de haber agotado los recursos internos</w:t>
      </w:r>
      <w:r w:rsidRPr="001C46C0">
        <w:rPr>
          <w:rFonts w:cs="Tahoma"/>
          <w:szCs w:val="20"/>
          <w:lang w:val="es-ES"/>
        </w:rPr>
        <w:t xml:space="preserve"> del respectivo Estado</w:t>
      </w:r>
      <w:r w:rsidR="000E6E29">
        <w:rPr>
          <w:rFonts w:cs="Tahoma"/>
          <w:szCs w:val="20"/>
          <w:lang w:val="es-ES"/>
        </w:rPr>
        <w:t>. Así</w:t>
      </w:r>
      <w:r w:rsidRPr="001C46C0">
        <w:rPr>
          <w:rFonts w:cs="Tahoma"/>
          <w:szCs w:val="20"/>
          <w:lang w:val="es-ES"/>
        </w:rPr>
        <w:t xml:space="preserve">, la Corte solamente tendría competencia para analizar las supuestas violaciones al referido tratado en la medida en que el Estado expresamente reconozca su competencia contenciosa. </w:t>
      </w:r>
      <w:bookmarkEnd w:id="219"/>
      <w:bookmarkEnd w:id="220"/>
      <w:bookmarkEnd w:id="221"/>
      <w:bookmarkEnd w:id="222"/>
    </w:p>
    <w:p w14:paraId="319FD6E4" w14:textId="77777777" w:rsidR="005166F9" w:rsidRPr="001C46C0" w:rsidRDefault="005166F9" w:rsidP="00B811D7">
      <w:pPr>
        <w:pStyle w:val="ListParagraph"/>
        <w:ind w:left="0" w:right="49"/>
        <w:outlineLvl w:val="0"/>
        <w:rPr>
          <w:rFonts w:cs="Verdana Bold"/>
          <w:bCs/>
          <w:szCs w:val="20"/>
          <w:lang w:val="es-ES"/>
        </w:rPr>
      </w:pPr>
    </w:p>
    <w:p w14:paraId="5C03C24B" w14:textId="3E73D1B1" w:rsidR="005166F9" w:rsidRPr="001C46C0" w:rsidRDefault="005166F9" w:rsidP="00D6683A">
      <w:pPr>
        <w:pStyle w:val="ListParagraph"/>
        <w:numPr>
          <w:ilvl w:val="0"/>
          <w:numId w:val="1"/>
        </w:numPr>
        <w:ind w:right="49"/>
        <w:outlineLvl w:val="0"/>
        <w:rPr>
          <w:rFonts w:cs="Verdana Bold"/>
          <w:bCs/>
          <w:szCs w:val="20"/>
          <w:lang w:val="es-ES"/>
        </w:rPr>
      </w:pPr>
      <w:bookmarkStart w:id="223" w:name="_Toc468910009"/>
      <w:bookmarkStart w:id="224" w:name="_Toc468910235"/>
      <w:bookmarkStart w:id="225" w:name="_Toc469404474"/>
      <w:bookmarkStart w:id="226" w:name="_Toc472608919"/>
      <w:r>
        <w:rPr>
          <w:rFonts w:cs="Verdana Bold"/>
          <w:bCs/>
          <w:szCs w:val="20"/>
          <w:lang w:val="es-ES"/>
        </w:rPr>
        <w:t>E</w:t>
      </w:r>
      <w:r w:rsidRPr="001C46C0">
        <w:rPr>
          <w:rFonts w:cs="Verdana Bold"/>
          <w:bCs/>
          <w:szCs w:val="20"/>
          <w:lang w:val="es-ES"/>
        </w:rPr>
        <w:t xml:space="preserve">l Estado </w:t>
      </w:r>
      <w:r>
        <w:rPr>
          <w:rFonts w:cs="Verdana Bold"/>
          <w:bCs/>
          <w:szCs w:val="20"/>
          <w:lang w:val="es-ES"/>
        </w:rPr>
        <w:t xml:space="preserve">también </w:t>
      </w:r>
      <w:r w:rsidRPr="001C46C0">
        <w:rPr>
          <w:rFonts w:cs="Verdana Bold"/>
          <w:bCs/>
          <w:szCs w:val="20"/>
          <w:lang w:val="es-ES"/>
        </w:rPr>
        <w:t xml:space="preserve">objetó la incompetencia de la Corte respecto </w:t>
      </w:r>
      <w:r>
        <w:rPr>
          <w:rFonts w:cs="Verdana Bold"/>
          <w:bCs/>
          <w:szCs w:val="20"/>
          <w:lang w:val="es-ES"/>
        </w:rPr>
        <w:t xml:space="preserve">a </w:t>
      </w:r>
      <w:r w:rsidRPr="001C46C0">
        <w:rPr>
          <w:rFonts w:cs="Verdana Bold"/>
          <w:bCs/>
          <w:szCs w:val="20"/>
          <w:lang w:val="es-ES"/>
        </w:rPr>
        <w:t>la presunta violación de la Convención</w:t>
      </w:r>
      <w:r>
        <w:rPr>
          <w:rFonts w:cs="Verdana Bold"/>
          <w:bCs/>
          <w:szCs w:val="20"/>
          <w:lang w:val="es-ES"/>
        </w:rPr>
        <w:t xml:space="preserve"> de Belém do Pará</w:t>
      </w:r>
      <w:r w:rsidRPr="001C46C0">
        <w:rPr>
          <w:rFonts w:cs="Verdana Bold"/>
          <w:bCs/>
          <w:szCs w:val="20"/>
          <w:lang w:val="es-ES"/>
        </w:rPr>
        <w:t xml:space="preserve"> porque </w:t>
      </w:r>
      <w:r>
        <w:rPr>
          <w:rFonts w:cs="Verdana Bold"/>
          <w:bCs/>
          <w:szCs w:val="20"/>
          <w:lang w:val="es-ES"/>
        </w:rPr>
        <w:t xml:space="preserve">la misma </w:t>
      </w:r>
      <w:r w:rsidRPr="001C46C0">
        <w:rPr>
          <w:rFonts w:cs="Verdana Bold"/>
          <w:bCs/>
          <w:szCs w:val="20"/>
          <w:lang w:val="es-ES"/>
        </w:rPr>
        <w:t xml:space="preserve">no le otorga jurisdicción contenciosa a la Corte, </w:t>
      </w:r>
      <w:r w:rsidR="001C4FDD">
        <w:rPr>
          <w:rFonts w:cs="Verdana Bold"/>
          <w:bCs/>
          <w:szCs w:val="20"/>
          <w:lang w:val="es-ES"/>
        </w:rPr>
        <w:t xml:space="preserve">pues </w:t>
      </w:r>
      <w:r w:rsidR="00935C31">
        <w:rPr>
          <w:rFonts w:cs="Verdana Bold"/>
          <w:bCs/>
          <w:szCs w:val="20"/>
          <w:lang w:val="es-ES"/>
        </w:rPr>
        <w:t xml:space="preserve">su </w:t>
      </w:r>
      <w:r w:rsidRPr="001C46C0">
        <w:rPr>
          <w:color w:val="222222"/>
          <w:szCs w:val="20"/>
          <w:lang w:val="es-ES"/>
        </w:rPr>
        <w:t>artículo 12 es taxativo en autorizar solamente a la Comisión el análisis de las violaciones</w:t>
      </w:r>
      <w:bookmarkEnd w:id="223"/>
      <w:bookmarkEnd w:id="224"/>
      <w:bookmarkEnd w:id="225"/>
      <w:bookmarkEnd w:id="226"/>
      <w:r w:rsidR="002D676F" w:rsidRPr="002D676F">
        <w:rPr>
          <w:color w:val="222222"/>
          <w:szCs w:val="20"/>
          <w:lang w:val="es-ES"/>
        </w:rPr>
        <w:t>.</w:t>
      </w:r>
    </w:p>
    <w:p w14:paraId="17418C71" w14:textId="77777777" w:rsidR="005166F9" w:rsidRPr="001C46C0" w:rsidRDefault="005166F9" w:rsidP="00B811D7">
      <w:pPr>
        <w:pStyle w:val="ListParagraph"/>
        <w:ind w:left="0" w:right="49"/>
        <w:outlineLvl w:val="0"/>
        <w:rPr>
          <w:rFonts w:cs="Verdana Bold"/>
          <w:b/>
          <w:bCs/>
          <w:szCs w:val="20"/>
          <w:lang w:val="es-ES"/>
        </w:rPr>
      </w:pPr>
    </w:p>
    <w:p w14:paraId="48B592AF" w14:textId="10FB3F97" w:rsidR="005166F9" w:rsidRPr="001C46C0" w:rsidRDefault="005166F9" w:rsidP="00D6683A">
      <w:pPr>
        <w:pStyle w:val="ListParagraph"/>
        <w:numPr>
          <w:ilvl w:val="0"/>
          <w:numId w:val="1"/>
        </w:numPr>
        <w:ind w:right="49"/>
        <w:outlineLvl w:val="0"/>
        <w:rPr>
          <w:rFonts w:cs="Verdana Bold"/>
          <w:b/>
          <w:bCs/>
          <w:szCs w:val="20"/>
          <w:lang w:val="es-ES"/>
        </w:rPr>
      </w:pPr>
      <w:bookmarkStart w:id="227" w:name="_Toc468910010"/>
      <w:bookmarkStart w:id="228" w:name="_Toc468910236"/>
      <w:bookmarkStart w:id="229" w:name="_Toc469404475"/>
      <w:bookmarkStart w:id="230" w:name="_Toc472608920"/>
      <w:r w:rsidRPr="001C46C0">
        <w:rPr>
          <w:rFonts w:cs="Verdana Bold"/>
          <w:bCs/>
          <w:szCs w:val="20"/>
          <w:lang w:val="es-ES"/>
        </w:rPr>
        <w:t xml:space="preserve">La </w:t>
      </w:r>
      <w:r w:rsidRPr="0028637A">
        <w:rPr>
          <w:rFonts w:cs="Verdana Bold"/>
          <w:b/>
          <w:bCs/>
          <w:i/>
          <w:szCs w:val="20"/>
          <w:lang w:val="es-ES"/>
        </w:rPr>
        <w:t>Comisión</w:t>
      </w:r>
      <w:r w:rsidRPr="001C46C0">
        <w:rPr>
          <w:rFonts w:cs="Verdana Bold"/>
          <w:bCs/>
          <w:szCs w:val="20"/>
          <w:lang w:val="es-ES"/>
        </w:rPr>
        <w:t xml:space="preserve"> manifestó que en múltiples casos se ha insistido en </w:t>
      </w:r>
      <w:r>
        <w:rPr>
          <w:rFonts w:cs="Verdana Bold"/>
          <w:bCs/>
          <w:szCs w:val="20"/>
          <w:lang w:val="es-ES"/>
        </w:rPr>
        <w:t>cuáles</w:t>
      </w:r>
      <w:r w:rsidRPr="001C46C0">
        <w:rPr>
          <w:rFonts w:cs="Verdana Bold"/>
          <w:bCs/>
          <w:szCs w:val="20"/>
          <w:lang w:val="es-ES"/>
        </w:rPr>
        <w:t xml:space="preserve"> situaciones resulta pertinente la aplicación de los artículos 1, 6 y 8 de la CIPST a fin de establecer  el alcance de la responsabilidad estatal en casos vinculados con la falta de investigación de actos de tortura. En ese contexto</w:t>
      </w:r>
      <w:r>
        <w:rPr>
          <w:rFonts w:cs="Verdana Bold"/>
          <w:bCs/>
          <w:szCs w:val="20"/>
          <w:lang w:val="es-ES"/>
        </w:rPr>
        <w:t>,</w:t>
      </w:r>
      <w:r w:rsidRPr="001C46C0">
        <w:rPr>
          <w:rFonts w:cs="Verdana Bold"/>
          <w:bCs/>
          <w:szCs w:val="20"/>
          <w:lang w:val="es-ES"/>
        </w:rPr>
        <w:t xml:space="preserve"> tanto la Comisión como la Corte han declarado violaciones a dichas disposiciones, bajo el entendido que el inciso tercero del artículo 8 de la CIPST incorpora una clausula general de competencia aceptada por los Estados al momento de ratificar o adherirse a tal instrumento. Consideró que no existen motivos para que la Corte se aparte de su criterio reiterado, el cual se encuentra </w:t>
      </w:r>
      <w:r>
        <w:rPr>
          <w:rFonts w:cs="Verdana Bold"/>
          <w:bCs/>
          <w:szCs w:val="20"/>
          <w:lang w:val="es-ES"/>
        </w:rPr>
        <w:t>en</w:t>
      </w:r>
      <w:r w:rsidRPr="001C46C0">
        <w:rPr>
          <w:rFonts w:cs="Verdana Bold"/>
          <w:bCs/>
          <w:szCs w:val="20"/>
          <w:lang w:val="es-ES"/>
        </w:rPr>
        <w:t xml:space="preserve"> conformidad co</w:t>
      </w:r>
      <w:r>
        <w:rPr>
          <w:rFonts w:cs="Verdana Bold"/>
          <w:bCs/>
          <w:szCs w:val="20"/>
          <w:lang w:val="es-ES"/>
        </w:rPr>
        <w:t>n el derecho internacional</w:t>
      </w:r>
      <w:r w:rsidRPr="001C46C0">
        <w:rPr>
          <w:rFonts w:cs="Verdana Bold"/>
          <w:bCs/>
          <w:szCs w:val="20"/>
          <w:lang w:val="es-ES"/>
        </w:rPr>
        <w:t>.</w:t>
      </w:r>
      <w:bookmarkEnd w:id="227"/>
      <w:bookmarkEnd w:id="228"/>
      <w:bookmarkEnd w:id="229"/>
      <w:bookmarkEnd w:id="230"/>
    </w:p>
    <w:p w14:paraId="78C90FEC" w14:textId="77777777" w:rsidR="005166F9" w:rsidRPr="001C46C0" w:rsidRDefault="005166F9" w:rsidP="00B811D7">
      <w:pPr>
        <w:pStyle w:val="ListParagraph"/>
        <w:rPr>
          <w:rFonts w:cs="Verdana Bold"/>
          <w:bCs/>
          <w:szCs w:val="20"/>
          <w:lang w:val="es-ES"/>
        </w:rPr>
      </w:pPr>
    </w:p>
    <w:p w14:paraId="5474D475" w14:textId="41B76E9F" w:rsidR="005166F9" w:rsidRPr="00EE1AEA" w:rsidRDefault="005166F9" w:rsidP="00D6683A">
      <w:pPr>
        <w:pStyle w:val="ListParagraph"/>
        <w:numPr>
          <w:ilvl w:val="0"/>
          <w:numId w:val="1"/>
        </w:numPr>
        <w:ind w:right="49"/>
        <w:outlineLvl w:val="0"/>
        <w:rPr>
          <w:rFonts w:cs="Verdana Bold"/>
          <w:b/>
          <w:bCs/>
          <w:szCs w:val="20"/>
          <w:lang w:val="es-ES"/>
        </w:rPr>
      </w:pPr>
      <w:bookmarkStart w:id="231" w:name="_Toc468910011"/>
      <w:bookmarkStart w:id="232" w:name="_Toc468910237"/>
      <w:bookmarkStart w:id="233" w:name="_Toc469404476"/>
      <w:bookmarkStart w:id="234" w:name="_Toc472608921"/>
      <w:r w:rsidRPr="001C46C0">
        <w:rPr>
          <w:rFonts w:cs="Verdana Bold"/>
          <w:bCs/>
          <w:szCs w:val="20"/>
          <w:lang w:val="es-ES"/>
        </w:rPr>
        <w:t xml:space="preserve">La Comisión </w:t>
      </w:r>
      <w:r>
        <w:rPr>
          <w:rFonts w:cs="Verdana Bold"/>
          <w:bCs/>
          <w:szCs w:val="20"/>
          <w:lang w:val="es-ES"/>
        </w:rPr>
        <w:t>señaló</w:t>
      </w:r>
      <w:r w:rsidRPr="001C46C0">
        <w:rPr>
          <w:rFonts w:cs="Verdana Bold"/>
          <w:bCs/>
          <w:szCs w:val="20"/>
          <w:lang w:val="es-ES"/>
        </w:rPr>
        <w:t xml:space="preserve"> que resulta pertinente la aplicación del artículo 7 d</w:t>
      </w:r>
      <w:r>
        <w:rPr>
          <w:rFonts w:cs="Verdana Bold"/>
          <w:bCs/>
          <w:szCs w:val="20"/>
          <w:lang w:val="es-ES"/>
        </w:rPr>
        <w:t>e la Convención de</w:t>
      </w:r>
      <w:r w:rsidR="00582327">
        <w:rPr>
          <w:rFonts w:cs="Verdana Bold"/>
          <w:bCs/>
          <w:szCs w:val="20"/>
          <w:lang w:val="es-ES"/>
        </w:rPr>
        <w:t xml:space="preserve"> Belém </w:t>
      </w:r>
      <w:r>
        <w:rPr>
          <w:rFonts w:cs="Verdana Bold"/>
          <w:bCs/>
          <w:szCs w:val="20"/>
          <w:lang w:val="es-ES"/>
        </w:rPr>
        <w:t>do Pará</w:t>
      </w:r>
      <w:r w:rsidRPr="001C46C0">
        <w:rPr>
          <w:rFonts w:cs="Verdana Bold"/>
          <w:bCs/>
          <w:szCs w:val="20"/>
          <w:lang w:val="es-ES"/>
        </w:rPr>
        <w:t xml:space="preserve"> a fin de establecer el alcance de las responsabilidades estatales en casos vinculados con la falta de investigación de actos de violencia contra la </w:t>
      </w:r>
      <w:r>
        <w:rPr>
          <w:rFonts w:cs="Verdana Bold"/>
          <w:bCs/>
          <w:szCs w:val="20"/>
          <w:lang w:val="es-ES"/>
        </w:rPr>
        <w:t>mujer. Indicó que e</w:t>
      </w:r>
      <w:r w:rsidRPr="001C46C0">
        <w:rPr>
          <w:rFonts w:cs="Verdana Bold"/>
          <w:bCs/>
          <w:szCs w:val="20"/>
          <w:lang w:val="es-ES"/>
        </w:rPr>
        <w:t xml:space="preserve">n </w:t>
      </w:r>
      <w:r>
        <w:rPr>
          <w:rFonts w:cs="Verdana Bold"/>
          <w:bCs/>
          <w:szCs w:val="20"/>
          <w:lang w:val="es-ES"/>
        </w:rPr>
        <w:t xml:space="preserve">casos anteriores la Corte </w:t>
      </w:r>
      <w:r w:rsidRPr="001C46C0">
        <w:rPr>
          <w:rFonts w:cs="Verdana Bold"/>
          <w:bCs/>
          <w:szCs w:val="20"/>
          <w:lang w:val="es-ES"/>
        </w:rPr>
        <w:t>aplic</w:t>
      </w:r>
      <w:r>
        <w:rPr>
          <w:rFonts w:cs="Verdana Bold"/>
          <w:bCs/>
          <w:szCs w:val="20"/>
          <w:lang w:val="es-ES"/>
        </w:rPr>
        <w:t>ó</w:t>
      </w:r>
      <w:r w:rsidRPr="001C46C0">
        <w:rPr>
          <w:rFonts w:cs="Verdana Bold"/>
          <w:bCs/>
          <w:szCs w:val="20"/>
          <w:lang w:val="es-ES"/>
        </w:rPr>
        <w:t xml:space="preserve"> directamente el art</w:t>
      </w:r>
      <w:r>
        <w:rPr>
          <w:rFonts w:cs="Verdana Bold"/>
          <w:bCs/>
          <w:szCs w:val="20"/>
          <w:lang w:val="es-ES"/>
        </w:rPr>
        <w:t>ículo 7.</w:t>
      </w:r>
      <w:r w:rsidRPr="001C46C0">
        <w:rPr>
          <w:rFonts w:cs="Verdana Bold"/>
          <w:bCs/>
          <w:szCs w:val="20"/>
          <w:lang w:val="es-ES"/>
        </w:rPr>
        <w:t>b de la Convención de</w:t>
      </w:r>
      <w:r w:rsidR="00582327">
        <w:rPr>
          <w:rFonts w:cs="Verdana Bold"/>
          <w:bCs/>
          <w:szCs w:val="20"/>
          <w:lang w:val="es-ES"/>
        </w:rPr>
        <w:t xml:space="preserve"> Belém </w:t>
      </w:r>
      <w:r>
        <w:rPr>
          <w:rFonts w:cs="Verdana Bold"/>
          <w:bCs/>
          <w:szCs w:val="20"/>
          <w:lang w:val="es-ES"/>
        </w:rPr>
        <w:t xml:space="preserve">do Pará y </w:t>
      </w:r>
      <w:r w:rsidRPr="001C46C0">
        <w:rPr>
          <w:rFonts w:cs="Verdana Bold"/>
          <w:bCs/>
          <w:szCs w:val="20"/>
          <w:lang w:val="es-ES"/>
        </w:rPr>
        <w:t>se refirió específicamente a su competencia material y al alcance de la cláusula de competencia prevista en el artículo 12 de dicho instrumento.</w:t>
      </w:r>
      <w:r w:rsidRPr="00EE1AEA">
        <w:rPr>
          <w:rFonts w:cs="Verdana Bold"/>
          <w:bCs/>
          <w:szCs w:val="20"/>
          <w:lang w:val="es-ES"/>
        </w:rPr>
        <w:t xml:space="preserve"> La </w:t>
      </w:r>
      <w:r>
        <w:rPr>
          <w:rFonts w:cs="Verdana Bold"/>
          <w:bCs/>
          <w:szCs w:val="20"/>
          <w:lang w:val="es-ES"/>
        </w:rPr>
        <w:t>Comisión consideró</w:t>
      </w:r>
      <w:r w:rsidRPr="00EE1AEA">
        <w:rPr>
          <w:rFonts w:cs="Verdana Bold"/>
          <w:bCs/>
          <w:szCs w:val="20"/>
          <w:lang w:val="es-ES"/>
        </w:rPr>
        <w:t xml:space="preserve"> que no existen motivos para que la Corte se aparte de su criterio reiterado el cu</w:t>
      </w:r>
      <w:r>
        <w:rPr>
          <w:rFonts w:cs="Verdana Bold"/>
          <w:bCs/>
          <w:szCs w:val="20"/>
          <w:lang w:val="es-ES"/>
        </w:rPr>
        <w:t xml:space="preserve">al se encuentra en conformidad </w:t>
      </w:r>
      <w:r w:rsidRPr="00EE1AEA">
        <w:rPr>
          <w:rFonts w:cs="Verdana Bold"/>
          <w:bCs/>
          <w:szCs w:val="20"/>
          <w:lang w:val="es-ES"/>
        </w:rPr>
        <w:t>con el derecho internacional</w:t>
      </w:r>
      <w:r w:rsidR="002D676F">
        <w:rPr>
          <w:rFonts w:cs="Verdana Bold"/>
          <w:bCs/>
          <w:szCs w:val="20"/>
          <w:lang w:val="es-ES"/>
        </w:rPr>
        <w:t>.</w:t>
      </w:r>
      <w:r w:rsidRPr="00EE1AEA">
        <w:rPr>
          <w:rFonts w:cs="Verdana Bold"/>
          <w:bCs/>
          <w:szCs w:val="20"/>
          <w:lang w:val="es-ES"/>
        </w:rPr>
        <w:t xml:space="preserve"> </w:t>
      </w:r>
      <w:bookmarkEnd w:id="231"/>
      <w:bookmarkEnd w:id="232"/>
      <w:bookmarkEnd w:id="233"/>
      <w:bookmarkEnd w:id="234"/>
    </w:p>
    <w:p w14:paraId="210772EF" w14:textId="77777777" w:rsidR="005166F9" w:rsidRPr="001C46C0" w:rsidRDefault="005166F9" w:rsidP="00B811D7">
      <w:pPr>
        <w:pStyle w:val="ListParagraph"/>
        <w:ind w:left="0" w:right="49"/>
        <w:outlineLvl w:val="0"/>
        <w:rPr>
          <w:rFonts w:cs="Verdana Bold"/>
          <w:bCs/>
          <w:szCs w:val="20"/>
          <w:lang w:val="es-ES"/>
        </w:rPr>
      </w:pPr>
    </w:p>
    <w:p w14:paraId="35D0F9EA" w14:textId="351B9B23" w:rsidR="005166F9" w:rsidRPr="001C46C0" w:rsidRDefault="005166F9" w:rsidP="00D6683A">
      <w:pPr>
        <w:pStyle w:val="ListParagraph"/>
        <w:numPr>
          <w:ilvl w:val="0"/>
          <w:numId w:val="1"/>
        </w:numPr>
        <w:ind w:right="49"/>
        <w:outlineLvl w:val="0"/>
        <w:rPr>
          <w:rFonts w:cs="Verdana Bold"/>
          <w:bCs/>
          <w:szCs w:val="20"/>
          <w:lang w:val="es-ES"/>
        </w:rPr>
      </w:pPr>
      <w:bookmarkStart w:id="235" w:name="_Toc468910012"/>
      <w:bookmarkStart w:id="236" w:name="_Toc468910238"/>
      <w:bookmarkStart w:id="237" w:name="_Toc469404477"/>
      <w:bookmarkStart w:id="238" w:name="_Toc472608922"/>
      <w:r w:rsidRPr="001C46C0">
        <w:rPr>
          <w:rFonts w:cs="Verdana Bold"/>
          <w:bCs/>
          <w:szCs w:val="20"/>
          <w:lang w:val="es-ES"/>
        </w:rPr>
        <w:t xml:space="preserve">Los </w:t>
      </w:r>
      <w:r w:rsidRPr="00EE1AEA">
        <w:rPr>
          <w:rFonts w:cs="Verdana Bold"/>
          <w:b/>
          <w:bCs/>
          <w:i/>
          <w:szCs w:val="20"/>
          <w:lang w:val="es-ES"/>
        </w:rPr>
        <w:t>representantes</w:t>
      </w:r>
      <w:r w:rsidRPr="001C46C0">
        <w:rPr>
          <w:rFonts w:cs="Verdana Bold"/>
          <w:bCs/>
          <w:szCs w:val="20"/>
          <w:lang w:val="es-ES"/>
        </w:rPr>
        <w:t xml:space="preserve"> reiteraron que la jurisprudencia de la Corte determina que los tratados interamericanos de derechos humanos no necesi</w:t>
      </w:r>
      <w:r>
        <w:rPr>
          <w:rFonts w:cs="Verdana Bold"/>
          <w:bCs/>
          <w:szCs w:val="20"/>
          <w:lang w:val="es-ES"/>
        </w:rPr>
        <w:t>tan contener una cláusula especí</w:t>
      </w:r>
      <w:r w:rsidRPr="001C46C0">
        <w:rPr>
          <w:rFonts w:cs="Verdana Bold"/>
          <w:bCs/>
          <w:szCs w:val="20"/>
          <w:lang w:val="es-ES"/>
        </w:rPr>
        <w:t xml:space="preserve">fica que otorgue competencia a la Corte, </w:t>
      </w:r>
      <w:r>
        <w:rPr>
          <w:rFonts w:cs="Verdana Bold"/>
          <w:bCs/>
          <w:szCs w:val="20"/>
          <w:lang w:val="es-ES"/>
        </w:rPr>
        <w:t>siempre</w:t>
      </w:r>
      <w:r w:rsidRPr="001C46C0">
        <w:rPr>
          <w:rFonts w:cs="Verdana Bold"/>
          <w:bCs/>
          <w:szCs w:val="20"/>
          <w:lang w:val="es-ES"/>
        </w:rPr>
        <w:t xml:space="preserve"> que ellos establezcan un sistema de peticiones objeto de supervisión internacional en </w:t>
      </w:r>
      <w:r>
        <w:rPr>
          <w:rFonts w:cs="Verdana Bold"/>
          <w:bCs/>
          <w:szCs w:val="20"/>
          <w:lang w:val="es-ES"/>
        </w:rPr>
        <w:t xml:space="preserve">el </w:t>
      </w:r>
      <w:r w:rsidRPr="001C46C0">
        <w:rPr>
          <w:rFonts w:cs="Verdana Bold"/>
          <w:bCs/>
          <w:szCs w:val="20"/>
          <w:lang w:val="es-ES"/>
        </w:rPr>
        <w:t xml:space="preserve">ámbito regional. Los representantes </w:t>
      </w:r>
      <w:r>
        <w:rPr>
          <w:rFonts w:cs="Verdana Bold"/>
          <w:bCs/>
          <w:szCs w:val="20"/>
          <w:lang w:val="es-ES"/>
        </w:rPr>
        <w:t xml:space="preserve">expusieron </w:t>
      </w:r>
      <w:r w:rsidRPr="001C46C0">
        <w:rPr>
          <w:rFonts w:cs="Verdana Bold"/>
          <w:bCs/>
          <w:szCs w:val="20"/>
          <w:lang w:val="es-ES"/>
        </w:rPr>
        <w:t>que la Corte ha reiterado que tiene competencia para interpretar y aplicar la CIPST</w:t>
      </w:r>
      <w:r>
        <w:rPr>
          <w:rFonts w:cs="Verdana Bold"/>
          <w:bCs/>
          <w:szCs w:val="20"/>
          <w:lang w:val="es-ES"/>
        </w:rPr>
        <w:t>,</w:t>
      </w:r>
      <w:r w:rsidRPr="001C46C0">
        <w:rPr>
          <w:rFonts w:cs="Verdana Bold"/>
          <w:bCs/>
          <w:szCs w:val="20"/>
          <w:lang w:val="es-ES"/>
        </w:rPr>
        <w:t xml:space="preserve"> y ha establecido que el artículo 12 de la Convención de Belém do Pará concede la competencia a la Corte frente a </w:t>
      </w:r>
      <w:r>
        <w:rPr>
          <w:rFonts w:cs="Verdana Bold"/>
          <w:bCs/>
          <w:szCs w:val="20"/>
          <w:lang w:val="es-ES"/>
        </w:rPr>
        <w:t xml:space="preserve">la </w:t>
      </w:r>
      <w:r w:rsidRPr="001C46C0">
        <w:rPr>
          <w:rFonts w:cs="Verdana Bold"/>
          <w:bCs/>
          <w:szCs w:val="20"/>
          <w:lang w:val="es-ES"/>
        </w:rPr>
        <w:t>violación</w:t>
      </w:r>
      <w:r w:rsidR="00481DBC">
        <w:rPr>
          <w:rFonts w:cs="Verdana Bold"/>
          <w:bCs/>
          <w:szCs w:val="20"/>
          <w:lang w:val="es-ES"/>
        </w:rPr>
        <w:t>,</w:t>
      </w:r>
      <w:r w:rsidRPr="001C46C0">
        <w:rPr>
          <w:rFonts w:cs="Verdana Bold"/>
          <w:bCs/>
          <w:szCs w:val="20"/>
          <w:lang w:val="es-ES"/>
        </w:rPr>
        <w:t xml:space="preserve"> de un Estado parte</w:t>
      </w:r>
      <w:r w:rsidR="00481DBC">
        <w:rPr>
          <w:rFonts w:cs="Verdana Bold"/>
          <w:bCs/>
          <w:szCs w:val="20"/>
          <w:lang w:val="es-ES"/>
        </w:rPr>
        <w:t>,</w:t>
      </w:r>
      <w:r w:rsidRPr="001C46C0">
        <w:rPr>
          <w:rFonts w:cs="Verdana Bold"/>
          <w:bCs/>
          <w:szCs w:val="20"/>
          <w:lang w:val="es-ES"/>
        </w:rPr>
        <w:t xml:space="preserve"> al artículo 7 de dicha Convención.</w:t>
      </w:r>
      <w:bookmarkEnd w:id="235"/>
      <w:bookmarkEnd w:id="236"/>
      <w:bookmarkEnd w:id="237"/>
      <w:bookmarkEnd w:id="238"/>
    </w:p>
    <w:p w14:paraId="2D105D9A" w14:textId="77777777" w:rsidR="005166F9" w:rsidRPr="001C46C0" w:rsidRDefault="005166F9" w:rsidP="00B811D7">
      <w:pPr>
        <w:pStyle w:val="Heading3"/>
        <w:ind w:left="0"/>
        <w:rPr>
          <w:noProof/>
          <w:szCs w:val="20"/>
          <w:lang w:eastAsia="es-ES"/>
        </w:rPr>
      </w:pPr>
      <w:bookmarkStart w:id="239" w:name="_Toc460432977"/>
      <w:bookmarkStart w:id="240" w:name="_Toc460441908"/>
      <w:bookmarkStart w:id="241" w:name="_Toc462750728"/>
      <w:bookmarkStart w:id="242" w:name="_Toc462751052"/>
    </w:p>
    <w:p w14:paraId="67E39D62" w14:textId="77777777" w:rsidR="005166F9" w:rsidRPr="001C46C0" w:rsidRDefault="005166F9" w:rsidP="00B811D7">
      <w:pPr>
        <w:pStyle w:val="Heading3"/>
        <w:ind w:left="0"/>
        <w:rPr>
          <w:noProof/>
          <w:szCs w:val="20"/>
          <w:lang w:eastAsia="es-ES"/>
        </w:rPr>
      </w:pPr>
      <w:bookmarkStart w:id="243" w:name="_Toc468910013"/>
      <w:bookmarkStart w:id="244" w:name="_Toc468910239"/>
      <w:bookmarkStart w:id="245" w:name="_Toc469404478"/>
      <w:bookmarkStart w:id="246" w:name="_Toc472608923"/>
      <w:r w:rsidRPr="001C46C0">
        <w:rPr>
          <w:noProof/>
          <w:szCs w:val="20"/>
          <w:lang w:eastAsia="es-ES"/>
        </w:rPr>
        <w:t>E.2. Consideraciones de la Corte</w:t>
      </w:r>
      <w:bookmarkEnd w:id="239"/>
      <w:bookmarkEnd w:id="240"/>
      <w:bookmarkEnd w:id="241"/>
      <w:bookmarkEnd w:id="242"/>
      <w:bookmarkEnd w:id="243"/>
      <w:bookmarkEnd w:id="244"/>
      <w:bookmarkEnd w:id="245"/>
      <w:bookmarkEnd w:id="246"/>
    </w:p>
    <w:p w14:paraId="22199A89" w14:textId="77777777" w:rsidR="005166F9" w:rsidRPr="001C46C0" w:rsidRDefault="005166F9" w:rsidP="00B811D7">
      <w:pPr>
        <w:rPr>
          <w:szCs w:val="20"/>
        </w:rPr>
      </w:pPr>
    </w:p>
    <w:p w14:paraId="4B4A3CC1" w14:textId="77777777" w:rsidR="005166F9" w:rsidRPr="001C46C0" w:rsidRDefault="005166F9" w:rsidP="00D6683A">
      <w:pPr>
        <w:pStyle w:val="ListParagraph"/>
        <w:numPr>
          <w:ilvl w:val="0"/>
          <w:numId w:val="1"/>
        </w:numPr>
        <w:rPr>
          <w:rFonts w:cs="Times"/>
          <w:b/>
          <w:szCs w:val="20"/>
          <w:lang w:val="es-EC"/>
        </w:rPr>
      </w:pPr>
      <w:r w:rsidRPr="001C46C0">
        <w:rPr>
          <w:szCs w:val="20"/>
        </w:rPr>
        <w:t>R</w:t>
      </w:r>
      <w:r w:rsidRPr="001C46C0">
        <w:rPr>
          <w:rFonts w:cs="Courier New"/>
          <w:szCs w:val="20"/>
        </w:rPr>
        <w:t xml:space="preserve">esulta pertinente recordar que, ante el argumento formulado por algunos Estados de </w:t>
      </w:r>
      <w:r w:rsidRPr="001C46C0">
        <w:rPr>
          <w:rFonts w:cs="Times"/>
          <w:szCs w:val="20"/>
          <w:lang w:val="es-EC"/>
        </w:rPr>
        <w:t xml:space="preserve">que cada tratado interamericano requiere una declaración específica de otorgamiento de competencia a la Corte, este Tribunal ha determinado que puede ejercer su competencia contenciosa respecto de instrumentos interamericanos distintos de la Convención Americana, </w:t>
      </w:r>
      <w:r>
        <w:rPr>
          <w:rFonts w:cs="Times"/>
          <w:szCs w:val="20"/>
          <w:lang w:val="es-EC"/>
        </w:rPr>
        <w:t xml:space="preserve">cuando </w:t>
      </w:r>
      <w:r w:rsidRPr="001C46C0">
        <w:rPr>
          <w:rFonts w:cs="Times"/>
          <w:szCs w:val="20"/>
          <w:lang w:val="es-EC"/>
        </w:rPr>
        <w:t xml:space="preserve">establecen un sistema de peticiones objeto de supervisión internacional </w:t>
      </w:r>
      <w:r w:rsidRPr="001C46C0">
        <w:rPr>
          <w:rFonts w:cs="Times"/>
          <w:szCs w:val="20"/>
          <w:lang w:val="es-EC"/>
        </w:rPr>
        <w:lastRenderedPageBreak/>
        <w:t>en el ámbito regional</w:t>
      </w:r>
      <w:r w:rsidRPr="001C46C0">
        <w:rPr>
          <w:szCs w:val="20"/>
          <w:vertAlign w:val="superscript"/>
          <w:lang w:val="es-EC"/>
        </w:rPr>
        <w:footnoteReference w:id="45"/>
      </w:r>
      <w:r w:rsidRPr="001C46C0">
        <w:rPr>
          <w:rFonts w:cs="Times"/>
          <w:szCs w:val="20"/>
          <w:lang w:val="es-EC"/>
        </w:rPr>
        <w:t>. Así, la declaración especial de aceptación de la competencia contenciosa de la Corte según la Convención Americana</w:t>
      </w:r>
      <w:r>
        <w:rPr>
          <w:rFonts w:cs="Times"/>
          <w:szCs w:val="20"/>
          <w:lang w:val="es-EC"/>
        </w:rPr>
        <w:t>,</w:t>
      </w:r>
      <w:r w:rsidRPr="001C46C0">
        <w:rPr>
          <w:rFonts w:cs="Times"/>
          <w:szCs w:val="20"/>
          <w:lang w:val="es-EC"/>
        </w:rPr>
        <w:t xml:space="preserve"> y de conformidad con el artículo 62 de la misma</w:t>
      </w:r>
      <w:r>
        <w:rPr>
          <w:rFonts w:cs="Times"/>
          <w:szCs w:val="20"/>
          <w:lang w:val="es-EC"/>
        </w:rPr>
        <w:t>,</w:t>
      </w:r>
      <w:r w:rsidRPr="001C46C0">
        <w:rPr>
          <w:rFonts w:cs="Times"/>
          <w:szCs w:val="20"/>
          <w:lang w:val="es-EC"/>
        </w:rPr>
        <w:t xml:space="preserve"> permite que el Tribunal conozca tanto de violaciones a la Convención como de otros instrumentos interamericanos que le otorguen competencia</w:t>
      </w:r>
      <w:r w:rsidRPr="001C46C0">
        <w:rPr>
          <w:rStyle w:val="FootnoteReference"/>
          <w:rFonts w:cs="Times"/>
          <w:lang w:val="es-EC"/>
        </w:rPr>
        <w:footnoteReference w:id="46"/>
      </w:r>
      <w:r w:rsidRPr="001C46C0">
        <w:rPr>
          <w:rFonts w:cs="Times"/>
          <w:szCs w:val="20"/>
          <w:lang w:val="es-EC"/>
        </w:rPr>
        <w:t>.</w:t>
      </w:r>
    </w:p>
    <w:p w14:paraId="7A09A0C9" w14:textId="77777777" w:rsidR="005166F9" w:rsidRPr="001C46C0" w:rsidRDefault="005166F9" w:rsidP="00B811D7">
      <w:pPr>
        <w:pStyle w:val="ListParagraph"/>
        <w:ind w:left="0"/>
        <w:rPr>
          <w:rFonts w:cs="Times"/>
          <w:b/>
          <w:szCs w:val="20"/>
          <w:lang w:val="es-EC"/>
        </w:rPr>
      </w:pPr>
    </w:p>
    <w:p w14:paraId="5E6A35B4" w14:textId="55088E29" w:rsidR="005166F9" w:rsidRPr="001C46C0" w:rsidRDefault="005166F9" w:rsidP="00D6683A">
      <w:pPr>
        <w:pStyle w:val="ListParagraph"/>
        <w:numPr>
          <w:ilvl w:val="0"/>
          <w:numId w:val="1"/>
        </w:numPr>
        <w:rPr>
          <w:rFonts w:cs="Times"/>
          <w:b/>
          <w:szCs w:val="20"/>
          <w:lang w:val="es-EC"/>
        </w:rPr>
      </w:pPr>
      <w:r w:rsidRPr="001C46C0">
        <w:rPr>
          <w:szCs w:val="20"/>
          <w:lang w:val="es-EC"/>
        </w:rPr>
        <w:t xml:space="preserve">Si bien </w:t>
      </w:r>
      <w:r w:rsidRPr="001C46C0">
        <w:rPr>
          <w:rFonts w:cs="Courier New"/>
          <w:szCs w:val="20"/>
        </w:rPr>
        <w:t xml:space="preserve">el </w:t>
      </w:r>
      <w:r w:rsidRPr="001C46C0">
        <w:rPr>
          <w:szCs w:val="20"/>
        </w:rPr>
        <w:t>artículo 8 de la Convención contra la Tortura</w:t>
      </w:r>
      <w:r w:rsidRPr="001C46C0">
        <w:rPr>
          <w:rStyle w:val="FootnoteReference"/>
        </w:rPr>
        <w:footnoteReference w:id="47"/>
      </w:r>
      <w:r w:rsidRPr="001C46C0">
        <w:rPr>
          <w:szCs w:val="20"/>
        </w:rPr>
        <w:t xml:space="preserve"> </w:t>
      </w:r>
      <w:r w:rsidRPr="001C46C0">
        <w:rPr>
          <w:szCs w:val="20"/>
          <w:lang w:val="es-EC"/>
        </w:rPr>
        <w:t xml:space="preserve">no menciona explícitamente a la Corte Interamericana, este Tribunal se ha </w:t>
      </w:r>
      <w:r w:rsidRPr="001C46C0">
        <w:rPr>
          <w:szCs w:val="20"/>
        </w:rPr>
        <w:t xml:space="preserve">referido a su propia competencia para interpretar y aplicar dicha Convención, </w:t>
      </w:r>
      <w:r>
        <w:rPr>
          <w:szCs w:val="20"/>
        </w:rPr>
        <w:t>con</w:t>
      </w:r>
      <w:r w:rsidRPr="001C46C0">
        <w:rPr>
          <w:szCs w:val="20"/>
        </w:rPr>
        <w:t xml:space="preserve"> base </w:t>
      </w:r>
      <w:r>
        <w:rPr>
          <w:szCs w:val="20"/>
        </w:rPr>
        <w:t>en</w:t>
      </w:r>
      <w:r w:rsidRPr="001C46C0">
        <w:rPr>
          <w:szCs w:val="20"/>
          <w:lang w:val="es-EC"/>
        </w:rPr>
        <w:t xml:space="preserve"> un medio de interpretación complementario, como son los trabajos preparatorios, ante la posible ambigüedad de la disposición</w:t>
      </w:r>
      <w:bookmarkStart w:id="247" w:name="_Ref248140286"/>
      <w:r w:rsidRPr="001C46C0">
        <w:rPr>
          <w:rFonts w:cs="Verdana"/>
          <w:szCs w:val="20"/>
          <w:vertAlign w:val="superscript"/>
          <w:lang w:val="es-EC"/>
        </w:rPr>
        <w:footnoteReference w:id="48"/>
      </w:r>
      <w:bookmarkEnd w:id="247"/>
      <w:r w:rsidRPr="001C46C0">
        <w:rPr>
          <w:rFonts w:cs="Verdana"/>
          <w:szCs w:val="20"/>
          <w:lang w:val="es-EC"/>
        </w:rPr>
        <w:t xml:space="preserve">. </w:t>
      </w:r>
      <w:r w:rsidRPr="001C46C0">
        <w:rPr>
          <w:szCs w:val="20"/>
        </w:rPr>
        <w:t xml:space="preserve">De este modo, en su Sentencia en el </w:t>
      </w:r>
      <w:r w:rsidRPr="001C46C0">
        <w:rPr>
          <w:i/>
          <w:szCs w:val="20"/>
        </w:rPr>
        <w:t>C</w:t>
      </w:r>
      <w:r>
        <w:rPr>
          <w:i/>
          <w:szCs w:val="20"/>
        </w:rPr>
        <w:t>aso Villagrán Morales y otros V</w:t>
      </w:r>
      <w:r w:rsidRPr="001C46C0">
        <w:rPr>
          <w:i/>
          <w:szCs w:val="20"/>
        </w:rPr>
        <w:t>s. Guatemala</w:t>
      </w:r>
      <w:r w:rsidRPr="001C46C0">
        <w:rPr>
          <w:szCs w:val="20"/>
        </w:rPr>
        <w:t xml:space="preserve">, el Tribunal se refirió a la razón histórica de dicho artículo, esto es, que al momento de redactar la Convención contra la Tortura todavía existían algunos países miembros de la Organización de los Estados Americanos que no eran Parte en la Convención Americana, e indicó que con una cláusula general de competencia, que no hiciera referencia expresa y exclusiva a la Corte Interamericana, se abrió la posibilidad de que ratifiquen o se adhieran a la Convención contra la Tortura el mayor número de Estados. </w:t>
      </w:r>
      <w:r w:rsidR="00FD28EF">
        <w:rPr>
          <w:szCs w:val="20"/>
        </w:rPr>
        <w:t xml:space="preserve">Al aprobar dicha Convención </w:t>
      </w:r>
      <w:r w:rsidRPr="001C46C0">
        <w:rPr>
          <w:szCs w:val="20"/>
        </w:rPr>
        <w:t>se consideró importante atribuir la competencia para aplicar la Convención contra la Tortura a un órgano internacional, ya se trate de una comisión, un comité o un tribunal existente o de uno que se cree en el futuro</w:t>
      </w:r>
      <w:r w:rsidRPr="001C46C0">
        <w:rPr>
          <w:rStyle w:val="FootnoteReference"/>
        </w:rPr>
        <w:footnoteReference w:id="49"/>
      </w:r>
      <w:r w:rsidRPr="001C46C0">
        <w:rPr>
          <w:szCs w:val="20"/>
        </w:rPr>
        <w:t xml:space="preserve">. </w:t>
      </w:r>
      <w:r w:rsidR="00FD28EF">
        <w:rPr>
          <w:szCs w:val="20"/>
        </w:rPr>
        <w:t>En ese sentido, la Comisión, y consecuentemente la Corte, tienen competencia para analizar y declarar violaciones a esa Convención.</w:t>
      </w:r>
    </w:p>
    <w:p w14:paraId="2B9B2FCE" w14:textId="77777777" w:rsidR="005166F9" w:rsidRPr="001C46C0" w:rsidRDefault="005166F9" w:rsidP="00B811D7">
      <w:pPr>
        <w:pStyle w:val="ListParagraph"/>
        <w:ind w:left="0"/>
        <w:rPr>
          <w:rFonts w:cs="Times"/>
          <w:b/>
          <w:szCs w:val="20"/>
          <w:lang w:val="es-EC"/>
        </w:rPr>
      </w:pPr>
    </w:p>
    <w:p w14:paraId="7B85BD83" w14:textId="7DD9B86C" w:rsidR="005166F9" w:rsidRPr="001C46C0" w:rsidRDefault="005166F9" w:rsidP="00D6683A">
      <w:pPr>
        <w:pStyle w:val="ListParagraph"/>
        <w:numPr>
          <w:ilvl w:val="0"/>
          <w:numId w:val="1"/>
        </w:numPr>
        <w:rPr>
          <w:rFonts w:eastAsia="Batang"/>
          <w:szCs w:val="20"/>
          <w:lang w:val="es-ES_tradnl"/>
        </w:rPr>
      </w:pPr>
      <w:r w:rsidRPr="001C46C0">
        <w:rPr>
          <w:rFonts w:eastAsia="Times"/>
          <w:szCs w:val="20"/>
          <w:lang w:val="es-CL"/>
        </w:rPr>
        <w:t>En razón de las anteriores consideraciones, la Corte reitera su jurisprudencia constante</w:t>
      </w:r>
      <w:r w:rsidRPr="001C46C0">
        <w:rPr>
          <w:rStyle w:val="FootnoteReference"/>
          <w:rFonts w:eastAsia="Times"/>
          <w:lang w:val="es-CL"/>
        </w:rPr>
        <w:footnoteReference w:id="50"/>
      </w:r>
      <w:r w:rsidRPr="001C46C0">
        <w:rPr>
          <w:rFonts w:eastAsia="Times"/>
          <w:szCs w:val="20"/>
          <w:lang w:val="es-CL"/>
        </w:rPr>
        <w:t xml:space="preserve"> en el sentido de que es competente para interpretar y aplicar la Convención contra la Tortura y declarar la responsabilidad de un Estado que haya dado su consentimiento para obligarse por esta Convención y haya aceptado, además, la competencia de la Corte Interamericana de Derechos Humanos. </w:t>
      </w:r>
      <w:r w:rsidRPr="001C46C0">
        <w:rPr>
          <w:szCs w:val="20"/>
        </w:rPr>
        <w:t xml:space="preserve">Bajo este entendido, el Tribunal ya ha tenido oportunidad de aplicar la Convención contra la Tortura y </w:t>
      </w:r>
      <w:r w:rsidR="007D114A">
        <w:rPr>
          <w:szCs w:val="20"/>
        </w:rPr>
        <w:t>evaluar</w:t>
      </w:r>
      <w:r w:rsidRPr="001C46C0">
        <w:rPr>
          <w:szCs w:val="20"/>
        </w:rPr>
        <w:t xml:space="preserve"> la responsabilidad de diversos Estados</w:t>
      </w:r>
      <w:r w:rsidR="00481DBC">
        <w:rPr>
          <w:szCs w:val="20"/>
        </w:rPr>
        <w:t>,</w:t>
      </w:r>
      <w:r w:rsidRPr="001C46C0">
        <w:rPr>
          <w:szCs w:val="20"/>
        </w:rPr>
        <w:t xml:space="preserve"> en virtud de su </w:t>
      </w:r>
      <w:r w:rsidR="007D114A">
        <w:rPr>
          <w:szCs w:val="20"/>
        </w:rPr>
        <w:t xml:space="preserve">alegada </w:t>
      </w:r>
      <w:r w:rsidRPr="001C46C0">
        <w:rPr>
          <w:szCs w:val="20"/>
        </w:rPr>
        <w:t>violación</w:t>
      </w:r>
      <w:r w:rsidR="00481DBC">
        <w:rPr>
          <w:szCs w:val="20"/>
        </w:rPr>
        <w:t>,</w:t>
      </w:r>
      <w:r w:rsidR="00071D10">
        <w:rPr>
          <w:szCs w:val="20"/>
        </w:rPr>
        <w:t xml:space="preserve"> en más de 40 casos contenciosos</w:t>
      </w:r>
      <w:r w:rsidRPr="001C46C0">
        <w:rPr>
          <w:rFonts w:eastAsia="Times"/>
          <w:szCs w:val="20"/>
          <w:vertAlign w:val="superscript"/>
        </w:rPr>
        <w:footnoteReference w:id="51"/>
      </w:r>
      <w:r w:rsidRPr="001C46C0">
        <w:rPr>
          <w:szCs w:val="20"/>
        </w:rPr>
        <w:t xml:space="preserve">. </w:t>
      </w:r>
      <w:r w:rsidRPr="001C46C0">
        <w:rPr>
          <w:rFonts w:eastAsia="Times"/>
          <w:szCs w:val="20"/>
        </w:rPr>
        <w:t>Dado</w:t>
      </w:r>
      <w:r>
        <w:rPr>
          <w:rFonts w:eastAsia="Times"/>
          <w:szCs w:val="20"/>
          <w:lang w:val="es-CL"/>
        </w:rPr>
        <w:t xml:space="preserve"> que Brasil es p</w:t>
      </w:r>
      <w:r w:rsidRPr="001C46C0">
        <w:rPr>
          <w:rFonts w:eastAsia="Times"/>
          <w:szCs w:val="20"/>
          <w:lang w:val="es-CL"/>
        </w:rPr>
        <w:t xml:space="preserve">arte en la Convención contra la Tortura y ha reconocido </w:t>
      </w:r>
      <w:r w:rsidRPr="001C46C0">
        <w:rPr>
          <w:rFonts w:eastAsia="Times"/>
          <w:szCs w:val="20"/>
          <w:lang w:val="es-CL"/>
        </w:rPr>
        <w:lastRenderedPageBreak/>
        <w:t xml:space="preserve">la competencia contenciosa de este Tribunal, la Corte tiene competencia </w:t>
      </w:r>
      <w:proofErr w:type="spellStart"/>
      <w:r w:rsidRPr="001C46C0">
        <w:rPr>
          <w:rFonts w:eastAsia="Times"/>
          <w:i/>
          <w:szCs w:val="20"/>
          <w:lang w:val="es-CL"/>
        </w:rPr>
        <w:t>ratione</w:t>
      </w:r>
      <w:proofErr w:type="spellEnd"/>
      <w:r w:rsidRPr="001C46C0">
        <w:rPr>
          <w:rFonts w:eastAsia="Times"/>
          <w:i/>
          <w:szCs w:val="20"/>
          <w:lang w:val="es-CL"/>
        </w:rPr>
        <w:t xml:space="preserve"> </w:t>
      </w:r>
      <w:proofErr w:type="spellStart"/>
      <w:r w:rsidRPr="001C46C0">
        <w:rPr>
          <w:rFonts w:eastAsia="Times"/>
          <w:i/>
          <w:szCs w:val="20"/>
          <w:lang w:val="es-CL"/>
        </w:rPr>
        <w:t>materiae</w:t>
      </w:r>
      <w:proofErr w:type="spellEnd"/>
      <w:r w:rsidRPr="001C46C0">
        <w:rPr>
          <w:rFonts w:eastAsia="Times"/>
          <w:szCs w:val="20"/>
          <w:lang w:val="es-CL"/>
        </w:rPr>
        <w:t xml:space="preserve"> para pronunciarse en este caso sobre la alegada responsabilidad del Estado por violación a dicho instrumento</w:t>
      </w:r>
      <w:r w:rsidRPr="001C46C0">
        <w:rPr>
          <w:szCs w:val="20"/>
        </w:rPr>
        <w:t xml:space="preserve">. </w:t>
      </w:r>
    </w:p>
    <w:p w14:paraId="54C435F6" w14:textId="77777777" w:rsidR="005166F9" w:rsidRPr="001C46C0" w:rsidRDefault="005166F9" w:rsidP="00B811D7">
      <w:pPr>
        <w:pStyle w:val="ListParagraph"/>
        <w:ind w:left="0"/>
        <w:rPr>
          <w:rFonts w:eastAsia="Batang"/>
          <w:szCs w:val="20"/>
          <w:lang w:val="es-ES_tradnl"/>
        </w:rPr>
      </w:pPr>
    </w:p>
    <w:p w14:paraId="06570373" w14:textId="102729BC" w:rsidR="005166F9" w:rsidRPr="00002975" w:rsidRDefault="005166F9" w:rsidP="00D6683A">
      <w:pPr>
        <w:pStyle w:val="ListParagraph"/>
        <w:numPr>
          <w:ilvl w:val="0"/>
          <w:numId w:val="1"/>
        </w:numPr>
        <w:rPr>
          <w:rFonts w:eastAsia="Batang"/>
          <w:szCs w:val="20"/>
          <w:lang w:val="es-ES_tradnl"/>
        </w:rPr>
      </w:pPr>
      <w:r>
        <w:rPr>
          <w:szCs w:val="20"/>
        </w:rPr>
        <w:t xml:space="preserve">Por otro lado, </w:t>
      </w:r>
      <w:r w:rsidRPr="00002975">
        <w:rPr>
          <w:szCs w:val="20"/>
        </w:rPr>
        <w:t>Brasil ratificó la Convención Interamericana para Prevenir, Sancionar y Erradicar la Violencia contra la Mujer el 16 de noviembre de 1995</w:t>
      </w:r>
      <w:r w:rsidR="00501478">
        <w:rPr>
          <w:szCs w:val="20"/>
        </w:rPr>
        <w:t>,</w:t>
      </w:r>
      <w:r w:rsidRPr="00002975">
        <w:rPr>
          <w:szCs w:val="20"/>
        </w:rPr>
        <w:t xml:space="preserve"> sin reservas o limitaciones. El artículo 12 de ese tratado indica la posibilidad de la presentación de “peticiones” a la Comisión, referidas a “denuncias o quejas de violación de [su] artículo 7”, estableciendo que “la Comisión las considerará de acuerdo con las normas y los requisitos de procedimiento para la presentación y consideración de peticiones estipulados en la Convención Americana sobre Derechos Humanos y en el Estatuto y el Reglamento de la </w:t>
      </w:r>
      <w:r w:rsidRPr="00002975">
        <w:rPr>
          <w:szCs w:val="20"/>
        </w:rPr>
        <w:lastRenderedPageBreak/>
        <w:t xml:space="preserve">Comisión”. Como ha indicado </w:t>
      </w:r>
      <w:r w:rsidR="001C4FDD">
        <w:rPr>
          <w:szCs w:val="20"/>
        </w:rPr>
        <w:t xml:space="preserve">reiteradamente </w:t>
      </w:r>
      <w:r w:rsidRPr="00002975">
        <w:rPr>
          <w:szCs w:val="20"/>
        </w:rPr>
        <w:t xml:space="preserve">la Corte </w:t>
      </w:r>
      <w:r w:rsidR="00217669">
        <w:rPr>
          <w:szCs w:val="20"/>
        </w:rPr>
        <w:t xml:space="preserve">en su jurisprudencia </w:t>
      </w:r>
      <w:r w:rsidRPr="00002975">
        <w:rPr>
          <w:szCs w:val="20"/>
        </w:rPr>
        <w:t>“parece claro que el tenor literal del artículo 12 de la Convención Belém do Pará concede competencia a la Corte, al no exceptuar de su aplicación ninguna de las normas y requisitos de procedimiento para las comunicaciones individuales”</w:t>
      </w:r>
      <w:r w:rsidRPr="001C46C0">
        <w:rPr>
          <w:rStyle w:val="FootnoteReference"/>
        </w:rPr>
        <w:footnoteReference w:id="52"/>
      </w:r>
      <w:r w:rsidRPr="00002975">
        <w:rPr>
          <w:szCs w:val="20"/>
        </w:rPr>
        <w:t>. La Corte no encuentra elementos que justifiquen apartarse de su jurisprudencia. Por lo tanto, desestima la excepción preliminar de falta de competencia interpuesta por el Estado.</w:t>
      </w:r>
    </w:p>
    <w:p w14:paraId="532C0787" w14:textId="77777777" w:rsidR="005166F9" w:rsidRPr="001C46C0" w:rsidRDefault="005166F9" w:rsidP="00B811D7">
      <w:pPr>
        <w:rPr>
          <w:rFonts w:eastAsia="Batang" w:cs="Times"/>
          <w:noProof/>
          <w:szCs w:val="20"/>
          <w:lang w:val="es-MX" w:eastAsia="es-ES"/>
        </w:rPr>
      </w:pPr>
    </w:p>
    <w:p w14:paraId="5B299B16" w14:textId="1AD67596" w:rsidR="005166F9" w:rsidRPr="001C46C0" w:rsidRDefault="005166F9" w:rsidP="00123780">
      <w:pPr>
        <w:pStyle w:val="TOC2"/>
      </w:pPr>
      <w:bookmarkStart w:id="248" w:name="_Toc468910014"/>
      <w:bookmarkStart w:id="249" w:name="_Toc468910240"/>
      <w:bookmarkStart w:id="250" w:name="_Toc469404479"/>
      <w:bookmarkStart w:id="251" w:name="_Toc472608924"/>
      <w:r w:rsidRPr="001C46C0">
        <w:t xml:space="preserve">F. </w:t>
      </w:r>
      <w:r w:rsidR="00935C31">
        <w:t xml:space="preserve">Falta de </w:t>
      </w:r>
      <w:r w:rsidRPr="001C46C0">
        <w:t>agotamiento previo de recursos internos</w:t>
      </w:r>
      <w:bookmarkEnd w:id="248"/>
      <w:bookmarkEnd w:id="249"/>
      <w:bookmarkEnd w:id="250"/>
      <w:bookmarkEnd w:id="251"/>
    </w:p>
    <w:p w14:paraId="662F7B0C" w14:textId="77777777" w:rsidR="005166F9" w:rsidRPr="001C46C0" w:rsidRDefault="005166F9" w:rsidP="00B811D7">
      <w:pPr>
        <w:ind w:right="49"/>
        <w:outlineLvl w:val="0"/>
        <w:rPr>
          <w:rFonts w:cs="Verdana Bold"/>
          <w:b/>
          <w:bCs/>
          <w:szCs w:val="20"/>
        </w:rPr>
      </w:pPr>
    </w:p>
    <w:p w14:paraId="46907651" w14:textId="77777777" w:rsidR="005166F9" w:rsidRPr="00520E0B" w:rsidRDefault="005166F9" w:rsidP="00B811D7">
      <w:pPr>
        <w:pStyle w:val="Heading3"/>
        <w:ind w:left="0"/>
        <w:rPr>
          <w:noProof/>
          <w:szCs w:val="20"/>
          <w:lang w:eastAsia="es-ES"/>
        </w:rPr>
      </w:pPr>
      <w:bookmarkStart w:id="252" w:name="_Toc468910015"/>
      <w:bookmarkStart w:id="253" w:name="_Toc468910241"/>
      <w:bookmarkStart w:id="254" w:name="_Toc469404480"/>
      <w:bookmarkStart w:id="255" w:name="_Toc472608925"/>
      <w:r w:rsidRPr="00520E0B">
        <w:rPr>
          <w:rFonts w:cs="Verdana Bold"/>
          <w:bCs/>
          <w:szCs w:val="20"/>
          <w:lang w:val="es-CR"/>
        </w:rPr>
        <w:t>F</w:t>
      </w:r>
      <w:r w:rsidRPr="00520E0B">
        <w:rPr>
          <w:rFonts w:cs="Verdana Bold"/>
          <w:bCs/>
          <w:szCs w:val="20"/>
          <w:lang w:val="es-ES"/>
        </w:rPr>
        <w:t xml:space="preserve">.1 </w:t>
      </w:r>
      <w:r w:rsidRPr="00520E0B">
        <w:rPr>
          <w:noProof/>
          <w:szCs w:val="20"/>
          <w:lang w:eastAsia="es-ES"/>
        </w:rPr>
        <w:t>Alegatos del Estado, observaciones de la Comisión y de los representantes</w:t>
      </w:r>
      <w:bookmarkEnd w:id="252"/>
      <w:bookmarkEnd w:id="253"/>
      <w:bookmarkEnd w:id="254"/>
      <w:bookmarkEnd w:id="255"/>
    </w:p>
    <w:p w14:paraId="2F17DE0A" w14:textId="77777777" w:rsidR="005166F9" w:rsidRPr="001C46C0" w:rsidRDefault="005166F9" w:rsidP="00B811D7">
      <w:pPr>
        <w:ind w:right="49"/>
        <w:outlineLvl w:val="0"/>
        <w:rPr>
          <w:rFonts w:cs="Verdana Bold"/>
          <w:bCs/>
          <w:szCs w:val="20"/>
        </w:rPr>
      </w:pPr>
    </w:p>
    <w:p w14:paraId="41ADEC97" w14:textId="11B191D6" w:rsidR="005166F9" w:rsidRPr="009F7674" w:rsidRDefault="005166F9" w:rsidP="00D6683A">
      <w:pPr>
        <w:pStyle w:val="ListParagraph"/>
        <w:numPr>
          <w:ilvl w:val="0"/>
          <w:numId w:val="1"/>
        </w:numPr>
        <w:ind w:right="49"/>
        <w:outlineLvl w:val="0"/>
        <w:rPr>
          <w:color w:val="222222"/>
          <w:szCs w:val="20"/>
          <w:lang w:val="es-ES"/>
        </w:rPr>
      </w:pPr>
      <w:bookmarkStart w:id="256" w:name="_Toc468910016"/>
      <w:bookmarkStart w:id="257" w:name="_Toc468910242"/>
      <w:bookmarkStart w:id="258" w:name="_Toc469404481"/>
      <w:bookmarkStart w:id="259" w:name="_Toc472608926"/>
      <w:r w:rsidRPr="001C46C0">
        <w:rPr>
          <w:rFonts w:cs="Verdana Bold"/>
          <w:bCs/>
          <w:szCs w:val="20"/>
        </w:rPr>
        <w:t xml:space="preserve">El </w:t>
      </w:r>
      <w:r w:rsidRPr="00002975">
        <w:rPr>
          <w:rFonts w:cs="Verdana Bold"/>
          <w:b/>
          <w:bCs/>
          <w:i/>
          <w:szCs w:val="20"/>
        </w:rPr>
        <w:t>Estado</w:t>
      </w:r>
      <w:r w:rsidRPr="001C46C0">
        <w:rPr>
          <w:rFonts w:cs="Verdana Bold"/>
          <w:bCs/>
          <w:szCs w:val="20"/>
        </w:rPr>
        <w:t xml:space="preserve"> rechazó el argumento de la Comisión en el sentido de que no se manifestó </w:t>
      </w:r>
      <w:r w:rsidRPr="001C46C0">
        <w:rPr>
          <w:color w:val="222222"/>
          <w:szCs w:val="20"/>
          <w:lang w:val="es-ES"/>
        </w:rPr>
        <w:t xml:space="preserve">expresamente sobre el agotamiento del requisito previo de los recursos internos, lo que habría dado lugar a la renuncia tácita de su derecho a formularlo en el momento de presentar su respuesta. A juicio del Estado, la forma no puede prevalecer sobre el contenido, por lo que, el hecho de que no se haya manifestado sobre un tema no quiere decir que lo haya hecho en un sentido específico. </w:t>
      </w:r>
      <w:r>
        <w:rPr>
          <w:color w:val="222222"/>
          <w:szCs w:val="20"/>
          <w:lang w:val="es-ES"/>
        </w:rPr>
        <w:t>Indicó que</w:t>
      </w:r>
      <w:r w:rsidRPr="001C46C0">
        <w:rPr>
          <w:color w:val="222222"/>
          <w:szCs w:val="20"/>
          <w:lang w:val="es-ES"/>
        </w:rPr>
        <w:t xml:space="preserve"> la Comisión, en la fase de admisibilidad del caso, reconoció que Brasil había </w:t>
      </w:r>
      <w:r w:rsidR="00935C31">
        <w:rPr>
          <w:color w:val="222222"/>
          <w:szCs w:val="20"/>
          <w:lang w:val="es-ES"/>
        </w:rPr>
        <w:t>puesto en</w:t>
      </w:r>
      <w:r w:rsidRPr="001C46C0">
        <w:rPr>
          <w:color w:val="222222"/>
          <w:szCs w:val="20"/>
          <w:lang w:val="es-ES"/>
        </w:rPr>
        <w:t xml:space="preserve"> conocimiento que existían investigaciones policiales en curso </w:t>
      </w:r>
      <w:r w:rsidRPr="009F7674">
        <w:rPr>
          <w:color w:val="222222"/>
          <w:szCs w:val="20"/>
          <w:lang w:val="es-ES"/>
        </w:rPr>
        <w:t xml:space="preserve">al momento de la denuncia, por lo que consideró que no tenía más cuestiones que plantear. De lo anterior no debe entenderse </w:t>
      </w:r>
      <w:r w:rsidR="0046548D" w:rsidRPr="009F7674">
        <w:rPr>
          <w:color w:val="222222"/>
          <w:szCs w:val="20"/>
          <w:lang w:val="es-ES"/>
        </w:rPr>
        <w:t xml:space="preserve">que </w:t>
      </w:r>
      <w:r w:rsidRPr="009F7674">
        <w:rPr>
          <w:color w:val="222222"/>
          <w:szCs w:val="20"/>
          <w:lang w:val="es-ES"/>
        </w:rPr>
        <w:t>el Estado hizo caso omiso sobre ese pronunciamiento.</w:t>
      </w:r>
      <w:bookmarkEnd w:id="256"/>
      <w:bookmarkEnd w:id="257"/>
      <w:bookmarkEnd w:id="258"/>
      <w:bookmarkEnd w:id="259"/>
    </w:p>
    <w:p w14:paraId="485A3738" w14:textId="77777777" w:rsidR="005166F9" w:rsidRPr="001C46C0" w:rsidRDefault="005166F9" w:rsidP="00B811D7">
      <w:pPr>
        <w:pStyle w:val="ListParagraph"/>
        <w:ind w:left="0" w:right="49"/>
        <w:outlineLvl w:val="0"/>
        <w:rPr>
          <w:color w:val="222222"/>
          <w:szCs w:val="20"/>
          <w:lang w:val="es-ES"/>
        </w:rPr>
      </w:pPr>
    </w:p>
    <w:p w14:paraId="48053B6E" w14:textId="0644BE70" w:rsidR="005166F9" w:rsidRPr="001C46C0" w:rsidRDefault="005166F9" w:rsidP="00D6683A">
      <w:pPr>
        <w:pStyle w:val="ListParagraph"/>
        <w:numPr>
          <w:ilvl w:val="0"/>
          <w:numId w:val="1"/>
        </w:numPr>
        <w:ind w:right="49"/>
        <w:outlineLvl w:val="0"/>
        <w:rPr>
          <w:color w:val="222222"/>
          <w:szCs w:val="20"/>
          <w:lang w:val="es-ES"/>
        </w:rPr>
      </w:pPr>
      <w:bookmarkStart w:id="260" w:name="_Toc468910017"/>
      <w:bookmarkStart w:id="261" w:name="_Toc468910243"/>
      <w:bookmarkStart w:id="262" w:name="_Toc469404482"/>
      <w:bookmarkStart w:id="263" w:name="_Toc472608927"/>
      <w:r w:rsidRPr="001C46C0">
        <w:rPr>
          <w:color w:val="222222"/>
          <w:szCs w:val="20"/>
          <w:lang w:val="es-ES"/>
        </w:rPr>
        <w:t xml:space="preserve">El Estado alegó que los representantes pretenden el pago de una indemnización pecuniaria por supuestos daños morales y materiales sufridos por las víctimas, sin embargo, este aspecto no es atendible en sede internacional, porque </w:t>
      </w:r>
      <w:r w:rsidR="00481DBC">
        <w:rPr>
          <w:color w:val="222222"/>
          <w:szCs w:val="20"/>
          <w:lang w:val="es-ES"/>
        </w:rPr>
        <w:t>a excepción de</w:t>
      </w:r>
      <w:r w:rsidRPr="001C46C0">
        <w:rPr>
          <w:color w:val="222222"/>
          <w:szCs w:val="20"/>
          <w:lang w:val="es-ES"/>
        </w:rPr>
        <w:t xml:space="preserve"> </w:t>
      </w:r>
      <w:proofErr w:type="spellStart"/>
      <w:r w:rsidR="003D6A7B">
        <w:rPr>
          <w:color w:val="222222"/>
          <w:szCs w:val="20"/>
          <w:lang w:val="es-ES"/>
        </w:rPr>
        <w:t>Mônica</w:t>
      </w:r>
      <w:proofErr w:type="spellEnd"/>
      <w:r w:rsidRPr="001C46C0">
        <w:rPr>
          <w:color w:val="222222"/>
          <w:szCs w:val="20"/>
          <w:lang w:val="es-ES"/>
        </w:rPr>
        <w:t xml:space="preserve"> Santos de Souza </w:t>
      </w:r>
      <w:proofErr w:type="spellStart"/>
      <w:r w:rsidRPr="001C46C0">
        <w:rPr>
          <w:color w:val="222222"/>
          <w:szCs w:val="20"/>
          <w:lang w:val="es-ES"/>
        </w:rPr>
        <w:t>Rodrigues</w:t>
      </w:r>
      <w:proofErr w:type="spellEnd"/>
      <w:r w:rsidRPr="001C46C0">
        <w:rPr>
          <w:color w:val="222222"/>
          <w:szCs w:val="20"/>
          <w:lang w:val="es-ES"/>
        </w:rPr>
        <w:t xml:space="preserve"> y Evelyn Santos de Souza </w:t>
      </w:r>
      <w:proofErr w:type="spellStart"/>
      <w:r w:rsidRPr="001C46C0">
        <w:rPr>
          <w:color w:val="222222"/>
          <w:szCs w:val="20"/>
          <w:lang w:val="es-ES"/>
        </w:rPr>
        <w:t>Rodrigues</w:t>
      </w:r>
      <w:proofErr w:type="spellEnd"/>
      <w:r w:rsidR="00481DBC">
        <w:rPr>
          <w:color w:val="222222"/>
          <w:szCs w:val="20"/>
          <w:lang w:val="es-ES"/>
        </w:rPr>
        <w:t xml:space="preserve"> ninguna de las supuestas víctimas</w:t>
      </w:r>
      <w:r w:rsidRPr="001C46C0">
        <w:rPr>
          <w:color w:val="222222"/>
          <w:szCs w:val="20"/>
          <w:lang w:val="es-ES"/>
        </w:rPr>
        <w:t xml:space="preserve">  han acudido al Poder Judicial para solicitar una reparación pecuniaria de esa naturaleza. Además el Estado no ha impedido a las víctimas demandar la reparación pecuniaria, </w:t>
      </w:r>
      <w:r>
        <w:rPr>
          <w:color w:val="222222"/>
          <w:szCs w:val="20"/>
          <w:lang w:val="es-ES"/>
        </w:rPr>
        <w:t>y</w:t>
      </w:r>
      <w:r w:rsidRPr="001C46C0">
        <w:rPr>
          <w:color w:val="222222"/>
          <w:szCs w:val="20"/>
          <w:lang w:val="es-ES"/>
        </w:rPr>
        <w:t xml:space="preserve"> la legislación interna prevé esa posibilidad jurídica a través de la acción de responsabilidad civil del Estado.</w:t>
      </w:r>
      <w:bookmarkEnd w:id="260"/>
      <w:bookmarkEnd w:id="261"/>
      <w:bookmarkEnd w:id="262"/>
      <w:bookmarkEnd w:id="263"/>
    </w:p>
    <w:p w14:paraId="0BC5CDDF" w14:textId="77777777" w:rsidR="005166F9" w:rsidRPr="001C46C0" w:rsidRDefault="005166F9" w:rsidP="00B811D7">
      <w:pPr>
        <w:pStyle w:val="ListParagraph"/>
        <w:ind w:left="0" w:right="49"/>
        <w:outlineLvl w:val="0"/>
        <w:rPr>
          <w:color w:val="222222"/>
          <w:szCs w:val="20"/>
          <w:lang w:val="es-ES"/>
        </w:rPr>
      </w:pPr>
    </w:p>
    <w:p w14:paraId="3E778E7F" w14:textId="340F191A" w:rsidR="005166F9" w:rsidRPr="00002975" w:rsidRDefault="005166F9" w:rsidP="00D6683A">
      <w:pPr>
        <w:pStyle w:val="ListParagraph"/>
        <w:numPr>
          <w:ilvl w:val="0"/>
          <w:numId w:val="1"/>
        </w:numPr>
        <w:ind w:right="49"/>
        <w:outlineLvl w:val="0"/>
        <w:rPr>
          <w:color w:val="222222"/>
          <w:szCs w:val="20"/>
          <w:lang w:val="es-ES"/>
        </w:rPr>
      </w:pPr>
      <w:bookmarkStart w:id="264" w:name="_Toc468910018"/>
      <w:bookmarkStart w:id="265" w:name="_Toc468910244"/>
      <w:bookmarkStart w:id="266" w:name="_Toc469404483"/>
      <w:bookmarkStart w:id="267" w:name="_Toc472608928"/>
      <w:r w:rsidRPr="001C46C0">
        <w:rPr>
          <w:color w:val="222222"/>
          <w:szCs w:val="20"/>
          <w:lang w:val="es-ES"/>
        </w:rPr>
        <w:t xml:space="preserve">El Estado aclaró que la acción civil de indemnización </w:t>
      </w:r>
      <w:r w:rsidR="00935C31">
        <w:rPr>
          <w:color w:val="222222"/>
          <w:szCs w:val="20"/>
          <w:lang w:val="es-ES"/>
        </w:rPr>
        <w:t xml:space="preserve">para la </w:t>
      </w:r>
      <w:r w:rsidRPr="001C46C0">
        <w:rPr>
          <w:color w:val="222222"/>
          <w:szCs w:val="20"/>
          <w:lang w:val="es-ES"/>
        </w:rPr>
        <w:t xml:space="preserve">reparación de daños materiales y morales no depende de la conclusión de investigaciones y procesos penales, en atención </w:t>
      </w:r>
      <w:r w:rsidR="004422AF">
        <w:rPr>
          <w:color w:val="222222"/>
          <w:szCs w:val="20"/>
          <w:lang w:val="es-ES"/>
        </w:rPr>
        <w:t>a</w:t>
      </w:r>
      <w:r w:rsidRPr="001C46C0">
        <w:rPr>
          <w:color w:val="222222"/>
          <w:szCs w:val="20"/>
          <w:lang w:val="es-ES"/>
        </w:rPr>
        <w:t xml:space="preserve">l principio de independencia de instancias, por lo que no existía motivo </w:t>
      </w:r>
      <w:r w:rsidR="00935C31">
        <w:rPr>
          <w:color w:val="222222"/>
          <w:szCs w:val="20"/>
          <w:lang w:val="es-ES"/>
        </w:rPr>
        <w:t xml:space="preserve">para </w:t>
      </w:r>
      <w:r w:rsidRPr="001C46C0">
        <w:rPr>
          <w:color w:val="222222"/>
          <w:szCs w:val="20"/>
          <w:lang w:val="es-ES"/>
        </w:rPr>
        <w:t>que las víctimas o sus representantes hayan dejado de acudir a las instancias domésticas, incluso, asistidos por la defensoría pública.</w:t>
      </w:r>
      <w:r>
        <w:rPr>
          <w:color w:val="222222"/>
          <w:szCs w:val="20"/>
          <w:lang w:val="es-ES"/>
        </w:rPr>
        <w:t xml:space="preserve"> Además, m</w:t>
      </w:r>
      <w:r w:rsidRPr="00002975">
        <w:rPr>
          <w:color w:val="222222"/>
          <w:szCs w:val="20"/>
          <w:lang w:val="es-ES"/>
        </w:rPr>
        <w:t xml:space="preserve">anifestó que la existencia de una demora injustificada </w:t>
      </w:r>
      <w:r w:rsidR="00955470">
        <w:rPr>
          <w:color w:val="222222"/>
          <w:szCs w:val="20"/>
          <w:lang w:val="es-ES"/>
        </w:rPr>
        <w:t xml:space="preserve">a la luz del artículo 46.2.c de la Convención </w:t>
      </w:r>
      <w:r w:rsidRPr="00002975">
        <w:rPr>
          <w:color w:val="222222"/>
          <w:szCs w:val="20"/>
          <w:lang w:val="es-ES"/>
        </w:rPr>
        <w:t xml:space="preserve">solo puede </w:t>
      </w:r>
      <w:r>
        <w:rPr>
          <w:color w:val="222222"/>
          <w:szCs w:val="20"/>
          <w:lang w:val="es-ES"/>
        </w:rPr>
        <w:t xml:space="preserve">ocurrir antes de </w:t>
      </w:r>
      <w:r w:rsidRPr="00002975">
        <w:rPr>
          <w:color w:val="222222"/>
          <w:szCs w:val="20"/>
          <w:lang w:val="es-ES"/>
        </w:rPr>
        <w:t xml:space="preserve">la presentación de la denuncia al mecanismo internacional de protección. </w:t>
      </w:r>
      <w:bookmarkEnd w:id="264"/>
      <w:bookmarkEnd w:id="265"/>
      <w:bookmarkEnd w:id="266"/>
      <w:bookmarkEnd w:id="267"/>
    </w:p>
    <w:p w14:paraId="0BA2779B" w14:textId="77777777" w:rsidR="005166F9" w:rsidRPr="001C46C0" w:rsidRDefault="005166F9" w:rsidP="00B811D7">
      <w:pPr>
        <w:pStyle w:val="ListParagraph"/>
        <w:ind w:left="0" w:right="49"/>
        <w:outlineLvl w:val="0"/>
        <w:rPr>
          <w:rFonts w:cs="Verdana Bold"/>
          <w:b/>
          <w:bCs/>
          <w:szCs w:val="20"/>
        </w:rPr>
      </w:pPr>
    </w:p>
    <w:p w14:paraId="72D32423" w14:textId="2B9FFA26" w:rsidR="005166F9" w:rsidRPr="001C46C0" w:rsidRDefault="005166F9" w:rsidP="00D6683A">
      <w:pPr>
        <w:pStyle w:val="ListParagraph"/>
        <w:numPr>
          <w:ilvl w:val="0"/>
          <w:numId w:val="1"/>
        </w:numPr>
        <w:ind w:right="49"/>
        <w:outlineLvl w:val="0"/>
        <w:rPr>
          <w:rFonts w:cs="Verdana Bold"/>
          <w:b/>
          <w:bCs/>
          <w:szCs w:val="20"/>
        </w:rPr>
      </w:pPr>
      <w:bookmarkStart w:id="268" w:name="_Toc468910019"/>
      <w:bookmarkStart w:id="269" w:name="_Toc468910245"/>
      <w:bookmarkStart w:id="270" w:name="_Toc469404484"/>
      <w:bookmarkStart w:id="271" w:name="_Toc472608929"/>
      <w:r w:rsidRPr="001C46C0">
        <w:rPr>
          <w:rFonts w:cs="Verdana Bold"/>
          <w:bCs/>
          <w:szCs w:val="20"/>
        </w:rPr>
        <w:t xml:space="preserve">La </w:t>
      </w:r>
      <w:r w:rsidRPr="00002975">
        <w:rPr>
          <w:rFonts w:cs="Verdana Bold"/>
          <w:b/>
          <w:bCs/>
          <w:i/>
          <w:szCs w:val="20"/>
        </w:rPr>
        <w:t>Comisión</w:t>
      </w:r>
      <w:r w:rsidRPr="001C46C0">
        <w:rPr>
          <w:rFonts w:cs="Verdana Bold"/>
          <w:b/>
          <w:bCs/>
          <w:szCs w:val="20"/>
        </w:rPr>
        <w:t xml:space="preserve"> </w:t>
      </w:r>
      <w:r w:rsidRPr="001C46C0">
        <w:rPr>
          <w:rFonts w:cs="Verdana Bold"/>
          <w:bCs/>
          <w:szCs w:val="20"/>
        </w:rPr>
        <w:t>precisó que la Convención Americana no prevé que se agoten mecanismos adicionales para que las víctimas puedan obtener una reparación relacionada con hechos respecto de los cuales los recursos internos ya fuer</w:t>
      </w:r>
      <w:r>
        <w:rPr>
          <w:rFonts w:cs="Verdana Bold"/>
          <w:bCs/>
          <w:szCs w:val="20"/>
        </w:rPr>
        <w:t>o</w:t>
      </w:r>
      <w:r w:rsidRPr="001C46C0">
        <w:rPr>
          <w:rFonts w:cs="Verdana Bold"/>
          <w:bCs/>
          <w:szCs w:val="20"/>
        </w:rPr>
        <w:t xml:space="preserve">n agotados. </w:t>
      </w:r>
      <w:r>
        <w:rPr>
          <w:rFonts w:cs="Verdana Bold"/>
          <w:bCs/>
          <w:szCs w:val="20"/>
        </w:rPr>
        <w:t>Indicó</w:t>
      </w:r>
      <w:r w:rsidRPr="001C46C0">
        <w:rPr>
          <w:rFonts w:cs="Verdana Bold"/>
          <w:bCs/>
          <w:szCs w:val="20"/>
        </w:rPr>
        <w:t xml:space="preserve"> que la Corte ha sostenido que una objeción al ejercicio de la jurisdicción del Tribunal basada en la supuesta falta de agotamiento de los recursos internos debe ser presentada en el momento procesal oportuno, durante la admisibilidad del procedimiento ante la Comisión. Además, compete a los Estados precisar claramente ante la Comisión los argumentos que dan </w:t>
      </w:r>
      <w:r w:rsidRPr="001C46C0">
        <w:rPr>
          <w:rFonts w:cs="Verdana Bold"/>
          <w:bCs/>
          <w:szCs w:val="20"/>
        </w:rPr>
        <w:lastRenderedPageBreak/>
        <w:t>contenido a la excepción preliminar, los cuales deben corresponder a aquellos esgrimidos ante la Corte</w:t>
      </w:r>
      <w:r w:rsidR="00AC4689">
        <w:rPr>
          <w:rFonts w:cs="Verdana Bold"/>
          <w:bCs/>
          <w:szCs w:val="20"/>
        </w:rPr>
        <w:t>.</w:t>
      </w:r>
      <w:r w:rsidRPr="001C46C0">
        <w:rPr>
          <w:rFonts w:cs="Verdana Bold"/>
          <w:bCs/>
          <w:szCs w:val="20"/>
        </w:rPr>
        <w:t xml:space="preserve"> </w:t>
      </w:r>
      <w:bookmarkEnd w:id="268"/>
      <w:bookmarkEnd w:id="269"/>
      <w:bookmarkEnd w:id="270"/>
      <w:bookmarkEnd w:id="271"/>
    </w:p>
    <w:p w14:paraId="291E40B6" w14:textId="77777777" w:rsidR="005166F9" w:rsidRPr="001C46C0" w:rsidRDefault="005166F9" w:rsidP="00B811D7">
      <w:pPr>
        <w:pStyle w:val="ListParagraph"/>
        <w:ind w:left="0" w:right="49"/>
        <w:outlineLvl w:val="0"/>
        <w:rPr>
          <w:rFonts w:cs="Verdana Bold"/>
          <w:b/>
          <w:bCs/>
          <w:szCs w:val="20"/>
        </w:rPr>
      </w:pPr>
    </w:p>
    <w:p w14:paraId="08A55279" w14:textId="1780B595" w:rsidR="005166F9" w:rsidRPr="001C46C0" w:rsidRDefault="005166F9" w:rsidP="00D6683A">
      <w:pPr>
        <w:pStyle w:val="ListParagraph"/>
        <w:numPr>
          <w:ilvl w:val="0"/>
          <w:numId w:val="1"/>
        </w:numPr>
        <w:ind w:right="49"/>
        <w:outlineLvl w:val="0"/>
        <w:rPr>
          <w:rFonts w:cs="Verdana Bold"/>
          <w:b/>
          <w:bCs/>
          <w:szCs w:val="20"/>
        </w:rPr>
      </w:pPr>
      <w:bookmarkStart w:id="272" w:name="_Toc468910020"/>
      <w:bookmarkStart w:id="273" w:name="_Toc468910246"/>
      <w:bookmarkStart w:id="274" w:name="_Toc469404485"/>
      <w:bookmarkStart w:id="275" w:name="_Toc472608930"/>
      <w:r>
        <w:rPr>
          <w:rFonts w:cs="Verdana Bold"/>
          <w:bCs/>
          <w:szCs w:val="20"/>
        </w:rPr>
        <w:t>La Comisión señaló que e</w:t>
      </w:r>
      <w:r w:rsidRPr="001C46C0">
        <w:rPr>
          <w:rFonts w:cs="Verdana Bold"/>
          <w:bCs/>
          <w:szCs w:val="20"/>
        </w:rPr>
        <w:t>l presente caso acumula dos peticiones recibidas por la Comisión, cuya admisibilidad fue analizada separadamente. En el marco del caso 11.694 (hechos ocurridos el 18 de octubre de 1994) el Estado no cuestionó expresamente la falta de agotamiento de los recursos internos, por lo tanto la excepción preliminar en relación a ese caso resulta extemporánea en su integridad. En el marco del caso 11.566 (hechos ocurridos el 8 de mayo de 1995), la excepción de falta de agotamiento de los recursos internos con relación a los reclamos en materia de reparaciones pecuniarias resulta extemporánea, pues no fue presentada en tales términos en el momento procesal oportuno, esto</w:t>
      </w:r>
      <w:r>
        <w:rPr>
          <w:rFonts w:cs="Verdana Bold"/>
          <w:bCs/>
          <w:szCs w:val="20"/>
        </w:rPr>
        <w:t xml:space="preserve"> es,</w:t>
      </w:r>
      <w:r w:rsidRPr="001C46C0">
        <w:rPr>
          <w:rFonts w:cs="Verdana Bold"/>
          <w:bCs/>
          <w:szCs w:val="20"/>
        </w:rPr>
        <w:t xml:space="preserve"> durante la etapa de admisibilidad ante la Comisión. De manera subsidiaria, la Comisión señaló que en los informes de admisibilidad de los casos se pronunció sobre el requisito de agotamiento de los recursos internos aplicando la excepción de retardo injustificado contemplado en el artículo 46.2</w:t>
      </w:r>
      <w:r w:rsidR="00955470">
        <w:rPr>
          <w:rFonts w:cs="Verdana Bold"/>
          <w:bCs/>
          <w:szCs w:val="20"/>
        </w:rPr>
        <w:t>.</w:t>
      </w:r>
      <w:r w:rsidRPr="001C46C0">
        <w:rPr>
          <w:rFonts w:cs="Verdana Bold"/>
          <w:bCs/>
          <w:szCs w:val="20"/>
        </w:rPr>
        <w:t>c de la Convención Americana, tomando en cuenta que el caso 11</w:t>
      </w:r>
      <w:r>
        <w:rPr>
          <w:rFonts w:cs="Verdana Bold"/>
          <w:bCs/>
          <w:szCs w:val="20"/>
        </w:rPr>
        <w:t>.566 ya había</w:t>
      </w:r>
      <w:r w:rsidR="004422AF">
        <w:rPr>
          <w:rFonts w:cs="Verdana Bold"/>
          <w:bCs/>
          <w:szCs w:val="20"/>
        </w:rPr>
        <w:t>n</w:t>
      </w:r>
      <w:r>
        <w:rPr>
          <w:rFonts w:cs="Verdana Bold"/>
          <w:bCs/>
          <w:szCs w:val="20"/>
        </w:rPr>
        <w:t xml:space="preserve"> trascurrido tres</w:t>
      </w:r>
      <w:r w:rsidRPr="001C46C0">
        <w:rPr>
          <w:rFonts w:cs="Verdana Bold"/>
          <w:bCs/>
          <w:szCs w:val="20"/>
        </w:rPr>
        <w:t xml:space="preserve"> años desde </w:t>
      </w:r>
      <w:r>
        <w:rPr>
          <w:rFonts w:cs="Verdana Bold"/>
          <w:bCs/>
          <w:szCs w:val="20"/>
        </w:rPr>
        <w:t>l</w:t>
      </w:r>
      <w:r w:rsidRPr="001C46C0">
        <w:rPr>
          <w:rFonts w:cs="Verdana Bold"/>
          <w:bCs/>
          <w:szCs w:val="20"/>
        </w:rPr>
        <w:t xml:space="preserve">a ocurrencia de los hechos sin que existieran avances sustantivos en </w:t>
      </w:r>
      <w:r>
        <w:rPr>
          <w:rFonts w:cs="Verdana Bold"/>
          <w:bCs/>
          <w:szCs w:val="20"/>
        </w:rPr>
        <w:t>l</w:t>
      </w:r>
      <w:r w:rsidRPr="001C46C0">
        <w:rPr>
          <w:rFonts w:cs="Verdana Bold"/>
          <w:bCs/>
          <w:szCs w:val="20"/>
        </w:rPr>
        <w:t>as investigaciones, mientras que en el caso 11.694 ya habían transcurrido seis años en la misma situación.</w:t>
      </w:r>
      <w:bookmarkEnd w:id="272"/>
      <w:bookmarkEnd w:id="273"/>
      <w:bookmarkEnd w:id="274"/>
      <w:bookmarkEnd w:id="275"/>
    </w:p>
    <w:p w14:paraId="4959A2F4" w14:textId="77777777" w:rsidR="005166F9" w:rsidRPr="001C46C0" w:rsidRDefault="005166F9" w:rsidP="00B811D7">
      <w:pPr>
        <w:pStyle w:val="ListParagraph"/>
        <w:autoSpaceDE w:val="0"/>
        <w:autoSpaceDN w:val="0"/>
        <w:adjustRightInd w:val="0"/>
        <w:ind w:left="0" w:right="49"/>
        <w:outlineLvl w:val="0"/>
        <w:rPr>
          <w:rFonts w:cs="Verdana Bold"/>
          <w:b/>
          <w:bCs/>
          <w:szCs w:val="20"/>
        </w:rPr>
      </w:pPr>
    </w:p>
    <w:p w14:paraId="0ECD50EC" w14:textId="4978CB24" w:rsidR="005166F9" w:rsidRPr="001C46C0" w:rsidRDefault="005166F9" w:rsidP="00D6683A">
      <w:pPr>
        <w:pStyle w:val="ListParagraph"/>
        <w:numPr>
          <w:ilvl w:val="0"/>
          <w:numId w:val="1"/>
        </w:numPr>
        <w:autoSpaceDE w:val="0"/>
        <w:autoSpaceDN w:val="0"/>
        <w:adjustRightInd w:val="0"/>
        <w:ind w:right="49"/>
        <w:outlineLvl w:val="0"/>
        <w:rPr>
          <w:rFonts w:cs="Verdana Bold"/>
          <w:b/>
          <w:bCs/>
          <w:szCs w:val="20"/>
        </w:rPr>
      </w:pPr>
      <w:bookmarkStart w:id="276" w:name="_Toc468910021"/>
      <w:bookmarkStart w:id="277" w:name="_Toc468910247"/>
      <w:bookmarkStart w:id="278" w:name="_Toc469404486"/>
      <w:bookmarkStart w:id="279" w:name="_Toc472608931"/>
      <w:r w:rsidRPr="001C46C0">
        <w:rPr>
          <w:rFonts w:cs="Verdana Bold"/>
          <w:bCs/>
          <w:szCs w:val="20"/>
        </w:rPr>
        <w:t xml:space="preserve">La Comisión </w:t>
      </w:r>
      <w:r>
        <w:rPr>
          <w:rFonts w:cs="Verdana Bold"/>
          <w:bCs/>
          <w:szCs w:val="20"/>
        </w:rPr>
        <w:t>indicó</w:t>
      </w:r>
      <w:r w:rsidRPr="001C46C0">
        <w:rPr>
          <w:rFonts w:cs="Verdana Bold"/>
          <w:bCs/>
          <w:szCs w:val="20"/>
        </w:rPr>
        <w:t xml:space="preserve"> </w:t>
      </w:r>
      <w:r w:rsidRPr="001C46C0">
        <w:rPr>
          <w:rFonts w:cs="Cambria"/>
          <w:szCs w:val="20"/>
        </w:rPr>
        <w:t>que el requisito de agotamiento de los recursos internos</w:t>
      </w:r>
      <w:r w:rsidR="00501478">
        <w:rPr>
          <w:rFonts w:cs="Cambria"/>
          <w:szCs w:val="20"/>
        </w:rPr>
        <w:t>,</w:t>
      </w:r>
      <w:r w:rsidRPr="001C46C0">
        <w:rPr>
          <w:rFonts w:cs="Cambria"/>
          <w:szCs w:val="20"/>
        </w:rPr>
        <w:t xml:space="preserve"> previsto en el artículo 46.1 de la Convención Americana, se relaciona con los hechos que se alegan violatorios de los derechos humanos. La pretensión de los representantes </w:t>
      </w:r>
      <w:r w:rsidR="00955470">
        <w:rPr>
          <w:rFonts w:cs="Cambria"/>
          <w:szCs w:val="20"/>
        </w:rPr>
        <w:t xml:space="preserve">que se ordenen </w:t>
      </w:r>
      <w:r w:rsidRPr="001C46C0">
        <w:rPr>
          <w:rFonts w:cs="Cambria"/>
          <w:szCs w:val="20"/>
        </w:rPr>
        <w:t xml:space="preserve">reparaciones por parte de la Corte surge de la declaratoria de responsabilidad internacional del Estado concernido, lo que </w:t>
      </w:r>
      <w:r w:rsidR="00955470">
        <w:rPr>
          <w:rFonts w:cs="Cambria"/>
          <w:szCs w:val="20"/>
        </w:rPr>
        <w:t xml:space="preserve">deriva de manera </w:t>
      </w:r>
      <w:r w:rsidRPr="001C46C0">
        <w:rPr>
          <w:rFonts w:cs="Cambria"/>
          <w:szCs w:val="20"/>
        </w:rPr>
        <w:t xml:space="preserve">automática de dicha </w:t>
      </w:r>
      <w:r w:rsidR="00955470">
        <w:rPr>
          <w:rFonts w:cs="Cambria"/>
          <w:szCs w:val="20"/>
        </w:rPr>
        <w:t xml:space="preserve">declaratoria de </w:t>
      </w:r>
      <w:r w:rsidRPr="001C46C0">
        <w:rPr>
          <w:rFonts w:cs="Cambria"/>
          <w:szCs w:val="20"/>
        </w:rPr>
        <w:t>responsabilidad</w:t>
      </w:r>
      <w:r w:rsidRPr="00B973BC">
        <w:rPr>
          <w:rFonts w:cs="Cambria"/>
          <w:szCs w:val="20"/>
        </w:rPr>
        <w:t>.</w:t>
      </w:r>
      <w:bookmarkEnd w:id="276"/>
      <w:bookmarkEnd w:id="277"/>
      <w:bookmarkEnd w:id="278"/>
      <w:bookmarkEnd w:id="279"/>
    </w:p>
    <w:p w14:paraId="75A61EE2" w14:textId="77777777" w:rsidR="005166F9" w:rsidRPr="001C46C0" w:rsidRDefault="005166F9" w:rsidP="00B811D7">
      <w:pPr>
        <w:pStyle w:val="ListParagraph"/>
        <w:ind w:left="0" w:right="49"/>
        <w:outlineLvl w:val="0"/>
        <w:rPr>
          <w:rFonts w:cs="Verdana Bold"/>
          <w:bCs/>
          <w:szCs w:val="20"/>
        </w:rPr>
      </w:pPr>
    </w:p>
    <w:p w14:paraId="00FBCA4D" w14:textId="6BFF291E" w:rsidR="005166F9" w:rsidRPr="001C46C0" w:rsidRDefault="005166F9" w:rsidP="00D6683A">
      <w:pPr>
        <w:pStyle w:val="ListParagraph"/>
        <w:numPr>
          <w:ilvl w:val="0"/>
          <w:numId w:val="1"/>
        </w:numPr>
        <w:ind w:right="49"/>
        <w:outlineLvl w:val="0"/>
        <w:rPr>
          <w:rFonts w:cs="Verdana Bold"/>
          <w:bCs/>
          <w:szCs w:val="20"/>
        </w:rPr>
      </w:pPr>
      <w:bookmarkStart w:id="280" w:name="_Toc468910022"/>
      <w:bookmarkStart w:id="281" w:name="_Toc468910248"/>
      <w:bookmarkStart w:id="282" w:name="_Toc469404487"/>
      <w:bookmarkStart w:id="283" w:name="_Toc472608932"/>
      <w:r w:rsidRPr="001C46C0">
        <w:rPr>
          <w:rFonts w:cs="Verdana Bold"/>
          <w:bCs/>
          <w:szCs w:val="20"/>
        </w:rPr>
        <w:t xml:space="preserve">Los </w:t>
      </w:r>
      <w:r w:rsidRPr="00002975">
        <w:rPr>
          <w:rFonts w:cs="Verdana Bold"/>
          <w:b/>
          <w:bCs/>
          <w:i/>
          <w:szCs w:val="20"/>
        </w:rPr>
        <w:t>representantes</w:t>
      </w:r>
      <w:r>
        <w:rPr>
          <w:rFonts w:cs="Verdana Bold"/>
          <w:bCs/>
          <w:szCs w:val="20"/>
        </w:rPr>
        <w:t xml:space="preserve"> coincidieron con la Comisión y m</w:t>
      </w:r>
      <w:r w:rsidRPr="001C46C0">
        <w:rPr>
          <w:rFonts w:cs="Verdana Bold"/>
          <w:bCs/>
          <w:szCs w:val="20"/>
        </w:rPr>
        <w:t>anifestaron</w:t>
      </w:r>
      <w:r>
        <w:rPr>
          <w:rFonts w:cs="Verdana Bold"/>
          <w:bCs/>
          <w:szCs w:val="20"/>
        </w:rPr>
        <w:t xml:space="preserve"> que</w:t>
      </w:r>
      <w:r w:rsidRPr="001C46C0">
        <w:rPr>
          <w:rFonts w:cs="Verdana Bold"/>
          <w:bCs/>
          <w:szCs w:val="20"/>
        </w:rPr>
        <w:t xml:space="preserve"> la Corte </w:t>
      </w:r>
      <w:r>
        <w:rPr>
          <w:rFonts w:cs="Verdana Bold"/>
          <w:bCs/>
          <w:szCs w:val="20"/>
        </w:rPr>
        <w:t>debe</w:t>
      </w:r>
      <w:r w:rsidRPr="001C46C0">
        <w:rPr>
          <w:rFonts w:cs="Verdana Bold"/>
          <w:bCs/>
          <w:szCs w:val="20"/>
        </w:rPr>
        <w:t xml:space="preserve"> efectuar un control de legalidad de la actuación de la Comisión solo cuando exista un </w:t>
      </w:r>
      <w:r w:rsidR="00481DBC">
        <w:rPr>
          <w:rFonts w:cs="Verdana Bold"/>
          <w:bCs/>
          <w:szCs w:val="20"/>
        </w:rPr>
        <w:t xml:space="preserve">grave </w:t>
      </w:r>
      <w:r w:rsidRPr="001C46C0">
        <w:rPr>
          <w:rFonts w:cs="Verdana Bold"/>
          <w:bCs/>
          <w:szCs w:val="20"/>
        </w:rPr>
        <w:t>error que vulnere el derecho de defensa de las partes o cuando el derecho de defensa de una de las partes hubiera sido violado.</w:t>
      </w:r>
      <w:bookmarkEnd w:id="280"/>
      <w:bookmarkEnd w:id="281"/>
      <w:bookmarkEnd w:id="282"/>
      <w:bookmarkEnd w:id="283"/>
    </w:p>
    <w:p w14:paraId="568CABBC" w14:textId="77777777" w:rsidR="005166F9" w:rsidRPr="001C46C0" w:rsidRDefault="005166F9" w:rsidP="00B811D7">
      <w:pPr>
        <w:pStyle w:val="ListParagraph"/>
        <w:ind w:left="0" w:right="49"/>
        <w:outlineLvl w:val="0"/>
        <w:rPr>
          <w:rFonts w:cs="Verdana Bold"/>
          <w:bCs/>
          <w:szCs w:val="20"/>
        </w:rPr>
      </w:pPr>
    </w:p>
    <w:p w14:paraId="6DA53B3D" w14:textId="3F6D954B" w:rsidR="005166F9" w:rsidRPr="001C46C0" w:rsidRDefault="005166F9" w:rsidP="00D6683A">
      <w:pPr>
        <w:pStyle w:val="ListParagraph"/>
        <w:numPr>
          <w:ilvl w:val="0"/>
          <w:numId w:val="1"/>
        </w:numPr>
        <w:ind w:right="49"/>
        <w:outlineLvl w:val="0"/>
        <w:rPr>
          <w:rFonts w:cs="Verdana Bold"/>
          <w:bCs/>
          <w:szCs w:val="20"/>
        </w:rPr>
      </w:pPr>
      <w:bookmarkStart w:id="284" w:name="_Toc468910023"/>
      <w:bookmarkStart w:id="285" w:name="_Toc468910249"/>
      <w:bookmarkStart w:id="286" w:name="_Toc469404488"/>
      <w:bookmarkStart w:id="287" w:name="_Toc472608933"/>
      <w:r w:rsidRPr="001C46C0">
        <w:rPr>
          <w:rFonts w:cs="Verdana Bold"/>
          <w:bCs/>
          <w:szCs w:val="20"/>
        </w:rPr>
        <w:t xml:space="preserve">Considerando que la parte que alega tiene la carga de la prueba, los representantes </w:t>
      </w:r>
      <w:r>
        <w:rPr>
          <w:rFonts w:cs="Verdana Bold"/>
          <w:bCs/>
          <w:szCs w:val="20"/>
        </w:rPr>
        <w:t>indicaron</w:t>
      </w:r>
      <w:r w:rsidRPr="001C46C0">
        <w:rPr>
          <w:rFonts w:cs="Verdana Bold"/>
          <w:bCs/>
          <w:szCs w:val="20"/>
        </w:rPr>
        <w:t xml:space="preserve"> que el Estado no sustentó que la Comisión haya cometido ningún</w:t>
      </w:r>
      <w:r w:rsidR="00481DBC">
        <w:rPr>
          <w:rFonts w:cs="Verdana Bold"/>
          <w:bCs/>
          <w:szCs w:val="20"/>
        </w:rPr>
        <w:t xml:space="preserve"> grave</w:t>
      </w:r>
      <w:r w:rsidRPr="001C46C0">
        <w:rPr>
          <w:rFonts w:cs="Verdana Bold"/>
          <w:bCs/>
          <w:szCs w:val="20"/>
        </w:rPr>
        <w:t xml:space="preserve"> error o causado prejuicio a su derecho de defensa. </w:t>
      </w:r>
      <w:r>
        <w:rPr>
          <w:rFonts w:cs="Verdana Bold"/>
          <w:bCs/>
          <w:szCs w:val="20"/>
        </w:rPr>
        <w:t>S</w:t>
      </w:r>
      <w:r w:rsidRPr="001C46C0">
        <w:rPr>
          <w:rFonts w:cs="Verdana Bold"/>
          <w:bCs/>
          <w:szCs w:val="20"/>
        </w:rPr>
        <w:t xml:space="preserve">eñalaron que la Comisión concedió al Estado en ambos casos (11.694 y 11.566) la oportunidad de presentar la excepción preliminar, momento en que el Estado se limitó a hacer referencias generales a las investigaciones en curso. </w:t>
      </w:r>
      <w:r>
        <w:rPr>
          <w:rFonts w:cs="Verdana Bold"/>
          <w:bCs/>
          <w:szCs w:val="20"/>
        </w:rPr>
        <w:t>Finalmente</w:t>
      </w:r>
      <w:r w:rsidRPr="001C46C0">
        <w:rPr>
          <w:rFonts w:cs="Verdana Bold"/>
          <w:bCs/>
          <w:szCs w:val="20"/>
        </w:rPr>
        <w:t xml:space="preserve">, </w:t>
      </w:r>
      <w:r>
        <w:rPr>
          <w:rFonts w:cs="Verdana Bold"/>
          <w:bCs/>
          <w:szCs w:val="20"/>
        </w:rPr>
        <w:t>indicaron que el supuesto que las ví</w:t>
      </w:r>
      <w:r w:rsidRPr="001C46C0">
        <w:rPr>
          <w:rFonts w:cs="Verdana Bold"/>
          <w:bCs/>
          <w:szCs w:val="20"/>
        </w:rPr>
        <w:t xml:space="preserve">ctimas deben necesariamente agotar los recursos internos para </w:t>
      </w:r>
      <w:r w:rsidR="004422AF">
        <w:rPr>
          <w:rFonts w:cs="Verdana Bold"/>
          <w:bCs/>
          <w:szCs w:val="20"/>
        </w:rPr>
        <w:t xml:space="preserve">acceder </w:t>
      </w:r>
      <w:r w:rsidRPr="001C46C0">
        <w:rPr>
          <w:rFonts w:cs="Verdana Bold"/>
          <w:bCs/>
          <w:szCs w:val="20"/>
        </w:rPr>
        <w:t>a la jurisdicción internacional es erróneo y la Corte no está inhibi</w:t>
      </w:r>
      <w:r w:rsidR="002D676F">
        <w:rPr>
          <w:rFonts w:cs="Verdana Bold"/>
          <w:bCs/>
          <w:szCs w:val="20"/>
        </w:rPr>
        <w:t>da de conocer el presente caso</w:t>
      </w:r>
      <w:r w:rsidRPr="001C46C0">
        <w:rPr>
          <w:rFonts w:cs="Verdana Bold"/>
          <w:bCs/>
          <w:szCs w:val="20"/>
        </w:rPr>
        <w:t>.</w:t>
      </w:r>
      <w:bookmarkEnd w:id="284"/>
      <w:bookmarkEnd w:id="285"/>
      <w:bookmarkEnd w:id="286"/>
      <w:bookmarkEnd w:id="287"/>
    </w:p>
    <w:p w14:paraId="76DE86B2" w14:textId="77777777" w:rsidR="005166F9" w:rsidRPr="001C46C0" w:rsidRDefault="005166F9" w:rsidP="00B811D7">
      <w:pPr>
        <w:pStyle w:val="Heading3"/>
        <w:ind w:left="0"/>
        <w:rPr>
          <w:noProof/>
          <w:szCs w:val="20"/>
          <w:lang w:eastAsia="es-ES"/>
        </w:rPr>
      </w:pPr>
      <w:bookmarkStart w:id="288" w:name="_Toc460432986"/>
      <w:bookmarkStart w:id="289" w:name="_Toc460441917"/>
      <w:bookmarkStart w:id="290" w:name="_Toc462750737"/>
      <w:bookmarkStart w:id="291" w:name="_Toc462751061"/>
    </w:p>
    <w:p w14:paraId="51E25E76" w14:textId="77777777" w:rsidR="005166F9" w:rsidRPr="001C46C0" w:rsidRDefault="005166F9" w:rsidP="00B811D7">
      <w:pPr>
        <w:pStyle w:val="Heading3"/>
        <w:ind w:left="0"/>
        <w:rPr>
          <w:noProof/>
          <w:szCs w:val="20"/>
          <w:lang w:eastAsia="es-ES"/>
        </w:rPr>
      </w:pPr>
      <w:bookmarkStart w:id="292" w:name="_Toc468910024"/>
      <w:bookmarkStart w:id="293" w:name="_Toc468910250"/>
      <w:bookmarkStart w:id="294" w:name="_Toc469404489"/>
      <w:bookmarkStart w:id="295" w:name="_Toc472608934"/>
      <w:r w:rsidRPr="001C46C0">
        <w:rPr>
          <w:noProof/>
          <w:szCs w:val="20"/>
          <w:lang w:eastAsia="es-ES"/>
        </w:rPr>
        <w:t>F.2. Consideraciones de la Corte</w:t>
      </w:r>
      <w:bookmarkEnd w:id="288"/>
      <w:bookmarkEnd w:id="289"/>
      <w:bookmarkEnd w:id="290"/>
      <w:bookmarkEnd w:id="291"/>
      <w:bookmarkEnd w:id="292"/>
      <w:bookmarkEnd w:id="293"/>
      <w:bookmarkEnd w:id="294"/>
      <w:bookmarkEnd w:id="295"/>
    </w:p>
    <w:p w14:paraId="744EC22F" w14:textId="77777777" w:rsidR="005166F9" w:rsidRPr="001C46C0" w:rsidRDefault="005166F9" w:rsidP="00B811D7">
      <w:pPr>
        <w:rPr>
          <w:rFonts w:eastAsia="Batang" w:cs="Times"/>
          <w:noProof/>
          <w:szCs w:val="20"/>
          <w:lang w:val="es-MX" w:eastAsia="es-ES"/>
        </w:rPr>
      </w:pPr>
    </w:p>
    <w:p w14:paraId="0C7C85CE" w14:textId="77777777" w:rsidR="005166F9" w:rsidRPr="001C46C0" w:rsidRDefault="005166F9" w:rsidP="00D6683A">
      <w:pPr>
        <w:pStyle w:val="ListParagraph"/>
        <w:numPr>
          <w:ilvl w:val="0"/>
          <w:numId w:val="1"/>
        </w:numPr>
        <w:rPr>
          <w:rFonts w:eastAsia="Batang" w:cs="Times"/>
          <w:noProof/>
          <w:szCs w:val="20"/>
          <w:lang w:val="es-MX" w:eastAsia="es-ES"/>
        </w:rPr>
      </w:pPr>
      <w:r w:rsidRPr="001C46C0">
        <w:rPr>
          <w:rFonts w:eastAsia="Batang" w:cs="Times"/>
          <w:noProof/>
          <w:szCs w:val="20"/>
          <w:lang w:val="es-MX" w:eastAsia="es-ES"/>
        </w:rPr>
        <w:t>La Corte ha desarrollado pautas claras para analizar una excepción basada en un presunto incumplimiento del requisito de agotamiento de los recursos internos. Primero, la Corte ha interpretado la excepción como una defensa disponible para el Estado, y como tal, puede renunciar a ella, ya sea expresa o tácitamente. Segundo, esta excepción debe presentarse oportunamente con el propósito de que el Estado pueda ejercer su derecho a la defensa. Tercero, la Corte ha afirmado que el Estado que presenta esta excepción debe especificar los recursos internos que aún no se han agotado y demostrar que estos recursos son aplicables y efectivos</w:t>
      </w:r>
      <w:r w:rsidRPr="001C46C0">
        <w:rPr>
          <w:noProof/>
          <w:szCs w:val="20"/>
          <w:vertAlign w:val="superscript"/>
          <w:lang w:val="es-MX" w:eastAsia="es-ES"/>
        </w:rPr>
        <w:footnoteReference w:id="53"/>
      </w:r>
      <w:r w:rsidRPr="001C46C0">
        <w:rPr>
          <w:rFonts w:eastAsia="Batang" w:cs="Times"/>
          <w:noProof/>
          <w:szCs w:val="20"/>
          <w:lang w:val="es-MX" w:eastAsia="es-ES"/>
        </w:rPr>
        <w:t>.</w:t>
      </w:r>
    </w:p>
    <w:p w14:paraId="2025E5B6" w14:textId="77777777" w:rsidR="005166F9" w:rsidRPr="001C46C0" w:rsidRDefault="005166F9" w:rsidP="00B811D7">
      <w:pPr>
        <w:rPr>
          <w:rFonts w:eastAsia="Batang" w:cs="Times"/>
          <w:noProof/>
          <w:szCs w:val="20"/>
          <w:lang w:val="es-ES_tradnl" w:eastAsia="es-ES"/>
        </w:rPr>
      </w:pPr>
    </w:p>
    <w:p w14:paraId="68EA4198" w14:textId="77777777" w:rsidR="005166F9" w:rsidRPr="001C46C0" w:rsidRDefault="005166F9" w:rsidP="00D6683A">
      <w:pPr>
        <w:numPr>
          <w:ilvl w:val="0"/>
          <w:numId w:val="1"/>
        </w:numPr>
        <w:rPr>
          <w:rFonts w:eastAsia="Batang" w:cs="Times"/>
          <w:noProof/>
          <w:szCs w:val="20"/>
          <w:lang w:val="es-ES_tradnl" w:eastAsia="es-ES"/>
        </w:rPr>
      </w:pPr>
      <w:r w:rsidRPr="001C46C0">
        <w:rPr>
          <w:rFonts w:eastAsia="Batang" w:cs="Times"/>
          <w:noProof/>
          <w:szCs w:val="20"/>
          <w:lang w:val="es-ES" w:eastAsia="es-ES"/>
        </w:rPr>
        <w:t>La Corte ha señalado que e</w:t>
      </w:r>
      <w:r w:rsidRPr="001C46C0">
        <w:rPr>
          <w:rFonts w:eastAsia="Batang" w:cs="Times"/>
          <w:noProof/>
          <w:szCs w:val="20"/>
          <w:lang w:val="es-ES_tradnl" w:eastAsia="es-ES"/>
        </w:rPr>
        <w:t xml:space="preserve">l artículo </w:t>
      </w:r>
      <w:r w:rsidRPr="001C46C0">
        <w:rPr>
          <w:rFonts w:eastAsia="Batang" w:cs="Times"/>
          <w:noProof/>
          <w:szCs w:val="20"/>
          <w:lang w:eastAsia="es-ES"/>
        </w:rPr>
        <w:t>46.1.a) de la Convención dispone que, para determinar la admisibilidad de una petición o comunicación presentada ante la Comisión, de conformidad con los artículos 44 o 45 de la Convención, es necesario que se hayan interpuesto y agotado los recursos de la jurisdicción interna, conforme a los principios del Derecho Internacional generalmente reconocidos</w:t>
      </w:r>
      <w:r w:rsidRPr="001C46C0">
        <w:rPr>
          <w:rFonts w:eastAsia="Batang" w:cs="Times"/>
          <w:noProof/>
          <w:szCs w:val="20"/>
          <w:vertAlign w:val="superscript"/>
          <w:lang w:eastAsia="es-ES"/>
        </w:rPr>
        <w:footnoteReference w:id="54"/>
      </w:r>
      <w:r w:rsidRPr="001C46C0">
        <w:rPr>
          <w:rFonts w:eastAsia="Batang" w:cs="Times"/>
          <w:noProof/>
          <w:szCs w:val="20"/>
          <w:lang w:eastAsia="es-ES"/>
        </w:rPr>
        <w:t xml:space="preserve">. </w:t>
      </w:r>
    </w:p>
    <w:p w14:paraId="7DE3532F" w14:textId="77777777" w:rsidR="005166F9" w:rsidRPr="001C46C0" w:rsidRDefault="005166F9" w:rsidP="00B811D7">
      <w:pPr>
        <w:rPr>
          <w:rFonts w:eastAsia="Batang" w:cs="Times"/>
          <w:noProof/>
          <w:szCs w:val="20"/>
          <w:lang w:val="es-ES_tradnl" w:eastAsia="es-ES"/>
        </w:rPr>
      </w:pPr>
    </w:p>
    <w:p w14:paraId="14FB32A7" w14:textId="6163D025" w:rsidR="005166F9" w:rsidRPr="001C46C0" w:rsidRDefault="005166F9" w:rsidP="00D6683A">
      <w:pPr>
        <w:numPr>
          <w:ilvl w:val="0"/>
          <w:numId w:val="1"/>
        </w:numPr>
        <w:rPr>
          <w:rFonts w:eastAsia="Batang" w:cs="Times"/>
          <w:noProof/>
          <w:szCs w:val="20"/>
          <w:lang w:val="es-ES_tradnl" w:eastAsia="es-ES"/>
        </w:rPr>
      </w:pPr>
      <w:r w:rsidRPr="001C46C0">
        <w:rPr>
          <w:rFonts w:eastAsia="Batang" w:cs="Times"/>
          <w:noProof/>
          <w:szCs w:val="20"/>
          <w:lang w:eastAsia="es-ES"/>
        </w:rPr>
        <w:t xml:space="preserve">Por tanto, durante la etapa de admisibilidad del caso ante la Comisión, </w:t>
      </w:r>
      <w:r w:rsidRPr="001C46C0">
        <w:rPr>
          <w:rFonts w:eastAsia="Batang" w:cs="Times"/>
          <w:noProof/>
          <w:szCs w:val="20"/>
          <w:lang w:val="es-ES_tradnl" w:eastAsia="es-ES"/>
        </w:rPr>
        <w:t xml:space="preserve">el Estado debe precisar claramente los recursos que, </w:t>
      </w:r>
      <w:r w:rsidR="00955470">
        <w:rPr>
          <w:rFonts w:eastAsia="Batang" w:cs="Times"/>
          <w:noProof/>
          <w:szCs w:val="20"/>
          <w:lang w:val="es-ES_tradnl" w:eastAsia="es-ES"/>
        </w:rPr>
        <w:t>según</w:t>
      </w:r>
      <w:r w:rsidRPr="001C46C0">
        <w:rPr>
          <w:rFonts w:eastAsia="Batang" w:cs="Times"/>
          <w:noProof/>
          <w:szCs w:val="20"/>
          <w:lang w:val="es-ES_tradnl" w:eastAsia="es-ES"/>
        </w:rPr>
        <w:t xml:space="preserve"> su criterio, aún no han sido agotados ante la necesidad de salvaguardar el principio de igualdad procesal entre las partes que debe regir todo el procedimiento ante el Sistema Interamericano</w:t>
      </w:r>
      <w:r w:rsidRPr="001C46C0">
        <w:rPr>
          <w:rFonts w:eastAsia="Batang" w:cs="Times"/>
          <w:noProof/>
          <w:szCs w:val="20"/>
          <w:vertAlign w:val="superscript"/>
          <w:lang w:val="es-ES_tradnl" w:eastAsia="es-ES"/>
        </w:rPr>
        <w:footnoteReference w:id="55"/>
      </w:r>
      <w:r w:rsidRPr="001C46C0">
        <w:rPr>
          <w:rFonts w:eastAsia="Batang" w:cs="Times"/>
          <w:noProof/>
          <w:szCs w:val="20"/>
          <w:lang w:val="es-ES_tradnl" w:eastAsia="es-ES"/>
        </w:rPr>
        <w:t xml:space="preserve">. Como la Corte ha establecido de manera reiterada, no es tarea de este Tribunal, ni de la Comisión, identificar </w:t>
      </w:r>
      <w:r w:rsidRPr="001C46C0">
        <w:rPr>
          <w:rFonts w:eastAsia="Batang" w:cs="Times"/>
          <w:i/>
          <w:noProof/>
          <w:szCs w:val="20"/>
          <w:lang w:val="es-ES_tradnl" w:eastAsia="es-ES"/>
        </w:rPr>
        <w:t>ex officio</w:t>
      </w:r>
      <w:r w:rsidRPr="001C46C0">
        <w:rPr>
          <w:rFonts w:eastAsia="Batang" w:cs="Times"/>
          <w:noProof/>
          <w:szCs w:val="20"/>
          <w:lang w:val="es-ES_tradnl" w:eastAsia="es-ES"/>
        </w:rPr>
        <w:t xml:space="preserve"> cuáles son los recursos internos pendientes de agotamiento, en razón de que no compete a los órganos internacionales subsanar la falta de precisión de los alegatos del Estado</w:t>
      </w:r>
      <w:r w:rsidRPr="001C46C0">
        <w:rPr>
          <w:rFonts w:eastAsia="Batang" w:cs="Times"/>
          <w:noProof/>
          <w:szCs w:val="20"/>
          <w:vertAlign w:val="superscript"/>
          <w:lang w:val="es-ES_tradnl" w:eastAsia="es-ES"/>
        </w:rPr>
        <w:footnoteReference w:id="56"/>
      </w:r>
      <w:r w:rsidRPr="001C46C0">
        <w:rPr>
          <w:rFonts w:eastAsia="Batang" w:cs="Times"/>
          <w:noProof/>
          <w:szCs w:val="20"/>
          <w:lang w:val="es-ES_tradnl" w:eastAsia="es-ES"/>
        </w:rPr>
        <w:t>. Asimismo, los argumentos que dan contenido a la excepción preliminar interpuesta por el Estado ante la Comisión durante la etapa de admisibilidad deben corresponder a aquellos esgrimidos ante la Corte</w:t>
      </w:r>
      <w:r w:rsidRPr="001C46C0">
        <w:rPr>
          <w:rFonts w:eastAsia="Batang" w:cs="Times"/>
          <w:noProof/>
          <w:szCs w:val="20"/>
          <w:vertAlign w:val="superscript"/>
          <w:lang w:val="es-ES_tradnl" w:eastAsia="es-ES"/>
        </w:rPr>
        <w:footnoteReference w:id="57"/>
      </w:r>
      <w:r w:rsidRPr="001C46C0">
        <w:rPr>
          <w:rFonts w:eastAsia="Batang" w:cs="Times"/>
          <w:noProof/>
          <w:szCs w:val="20"/>
          <w:lang w:val="es-ES_tradnl" w:eastAsia="es-ES"/>
        </w:rPr>
        <w:t xml:space="preserve">. </w:t>
      </w:r>
    </w:p>
    <w:p w14:paraId="03D2FED2" w14:textId="77777777" w:rsidR="005166F9" w:rsidRPr="001C46C0" w:rsidRDefault="005166F9" w:rsidP="00B811D7">
      <w:pPr>
        <w:autoSpaceDE w:val="0"/>
        <w:autoSpaceDN w:val="0"/>
        <w:adjustRightInd w:val="0"/>
        <w:rPr>
          <w:rFonts w:eastAsia="Batang" w:cs="Times"/>
          <w:i/>
          <w:noProof/>
          <w:szCs w:val="20"/>
          <w:lang w:val="es-MX" w:eastAsia="es-ES"/>
        </w:rPr>
      </w:pPr>
    </w:p>
    <w:p w14:paraId="50868313" w14:textId="2ECC64B4" w:rsidR="005166F9" w:rsidRPr="001C46C0" w:rsidRDefault="005166F9" w:rsidP="00D6683A">
      <w:pPr>
        <w:numPr>
          <w:ilvl w:val="0"/>
          <w:numId w:val="1"/>
        </w:numPr>
        <w:autoSpaceDE w:val="0"/>
        <w:autoSpaceDN w:val="0"/>
        <w:adjustRightInd w:val="0"/>
        <w:rPr>
          <w:rFonts w:eastAsia="Batang" w:cs="Times"/>
          <w:i/>
          <w:noProof/>
          <w:szCs w:val="20"/>
          <w:lang w:val="es-MX" w:eastAsia="es-ES"/>
        </w:rPr>
      </w:pPr>
      <w:r>
        <w:rPr>
          <w:rFonts w:eastAsia="Batang" w:cs="Times"/>
          <w:noProof/>
          <w:szCs w:val="20"/>
          <w:lang w:val="es-MX" w:eastAsia="es-ES"/>
        </w:rPr>
        <w:t xml:space="preserve">La Corte </w:t>
      </w:r>
      <w:r w:rsidRPr="001C46C0">
        <w:rPr>
          <w:rFonts w:eastAsia="Batang" w:cs="Times"/>
          <w:noProof/>
          <w:szCs w:val="20"/>
          <w:lang w:val="es-MX" w:eastAsia="es-ES"/>
        </w:rPr>
        <w:t>observa que</w:t>
      </w:r>
      <w:r w:rsidR="00501478">
        <w:rPr>
          <w:rFonts w:eastAsia="Batang" w:cs="Times"/>
          <w:noProof/>
          <w:szCs w:val="20"/>
          <w:lang w:val="es-MX" w:eastAsia="es-ES"/>
        </w:rPr>
        <w:t>,</w:t>
      </w:r>
      <w:r w:rsidRPr="001C46C0">
        <w:rPr>
          <w:rFonts w:eastAsia="Batang" w:cs="Times"/>
          <w:noProof/>
          <w:szCs w:val="20"/>
          <w:lang w:val="es-MX" w:eastAsia="es-ES"/>
        </w:rPr>
        <w:t xml:space="preserve"> al momento de contestar la petici</w:t>
      </w:r>
      <w:r w:rsidR="00E60C5E">
        <w:rPr>
          <w:rFonts w:eastAsia="Batang" w:cs="Times"/>
          <w:noProof/>
          <w:szCs w:val="20"/>
          <w:lang w:val="es-MX" w:eastAsia="es-ES"/>
        </w:rPr>
        <w:t>ón ante la Comisión referente a los hechos de 1994</w:t>
      </w:r>
      <w:r w:rsidR="00501478">
        <w:rPr>
          <w:rFonts w:eastAsia="Batang" w:cs="Times"/>
          <w:noProof/>
          <w:szCs w:val="20"/>
          <w:lang w:val="es-MX" w:eastAsia="es-ES"/>
        </w:rPr>
        <w:t>,</w:t>
      </w:r>
      <w:r w:rsidR="00E60C5E">
        <w:rPr>
          <w:rFonts w:eastAsia="Batang" w:cs="Times"/>
          <w:noProof/>
          <w:szCs w:val="20"/>
          <w:lang w:val="es-MX" w:eastAsia="es-ES"/>
        </w:rPr>
        <w:t xml:space="preserve"> el Estado no se manifestó sobre el agotamiento de recursos internos. Ahora bien, en relación con la petición respecto a los hechos ocurridos en 1995, al momento de presentar su contestación </w:t>
      </w:r>
      <w:r w:rsidRPr="001C46C0">
        <w:rPr>
          <w:rFonts w:eastAsia="Batang" w:cs="Times"/>
          <w:noProof/>
          <w:szCs w:val="20"/>
          <w:lang w:val="es-MX" w:eastAsia="es-ES"/>
        </w:rPr>
        <w:t xml:space="preserve">ante la Comisión el Estado no </w:t>
      </w:r>
      <w:r>
        <w:rPr>
          <w:rFonts w:eastAsia="Batang" w:cs="Times"/>
          <w:noProof/>
          <w:szCs w:val="20"/>
          <w:lang w:val="es-MX" w:eastAsia="es-ES"/>
        </w:rPr>
        <w:t>ofreció</w:t>
      </w:r>
      <w:r w:rsidRPr="001C46C0">
        <w:rPr>
          <w:rFonts w:eastAsia="Batang" w:cs="Times"/>
          <w:noProof/>
          <w:szCs w:val="20"/>
          <w:lang w:val="es-MX" w:eastAsia="es-ES"/>
        </w:rPr>
        <w:t xml:space="preserve"> una respuesta </w:t>
      </w:r>
      <w:r>
        <w:rPr>
          <w:rFonts w:eastAsia="Batang" w:cs="Times"/>
          <w:noProof/>
          <w:szCs w:val="20"/>
          <w:lang w:val="es-MX" w:eastAsia="es-ES"/>
        </w:rPr>
        <w:t xml:space="preserve">completa y se limitó a manifestar ante la Corte </w:t>
      </w:r>
      <w:r w:rsidRPr="001C46C0">
        <w:rPr>
          <w:rFonts w:eastAsia="Batang" w:cs="Times"/>
          <w:noProof/>
          <w:szCs w:val="20"/>
          <w:lang w:val="es-MX" w:eastAsia="es-ES"/>
        </w:rPr>
        <w:t>que</w:t>
      </w:r>
      <w:r w:rsidR="00501478">
        <w:rPr>
          <w:rFonts w:eastAsia="Batang" w:cs="Times"/>
          <w:noProof/>
          <w:szCs w:val="20"/>
          <w:lang w:val="es-MX" w:eastAsia="es-ES"/>
        </w:rPr>
        <w:t>,</w:t>
      </w:r>
      <w:r w:rsidRPr="001C46C0">
        <w:rPr>
          <w:rFonts w:eastAsia="Batang" w:cs="Times"/>
          <w:noProof/>
          <w:szCs w:val="20"/>
          <w:lang w:val="es-MX" w:eastAsia="es-ES"/>
        </w:rPr>
        <w:t xml:space="preserve"> “a pesar que el Estado </w:t>
      </w:r>
      <w:r>
        <w:rPr>
          <w:rFonts w:eastAsia="Batang" w:cs="Times"/>
          <w:noProof/>
          <w:szCs w:val="20"/>
          <w:lang w:val="es-MX" w:eastAsia="es-ES"/>
        </w:rPr>
        <w:t>b</w:t>
      </w:r>
      <w:r w:rsidRPr="001C46C0">
        <w:rPr>
          <w:rFonts w:eastAsia="Batang" w:cs="Times"/>
          <w:noProof/>
          <w:szCs w:val="20"/>
          <w:lang w:val="es-MX" w:eastAsia="es-ES"/>
        </w:rPr>
        <w:t>rasileño no haya</w:t>
      </w:r>
      <w:r>
        <w:rPr>
          <w:rFonts w:eastAsia="Batang" w:cs="Times"/>
          <w:noProof/>
          <w:szCs w:val="20"/>
          <w:lang w:val="es-MX" w:eastAsia="es-ES"/>
        </w:rPr>
        <w:t xml:space="preserve"> presentado en su respuesta en un acá</w:t>
      </w:r>
      <w:r w:rsidRPr="001C46C0">
        <w:rPr>
          <w:rFonts w:eastAsia="Batang" w:cs="Times"/>
          <w:noProof/>
          <w:szCs w:val="20"/>
          <w:lang w:val="es-MX" w:eastAsia="es-ES"/>
        </w:rPr>
        <w:t>pite sobre este asunto, eso no significa que no se haya manifestado</w:t>
      </w:r>
      <w:r w:rsidRPr="00002975">
        <w:rPr>
          <w:rFonts w:eastAsia="Batang" w:cs="Times"/>
          <w:noProof/>
          <w:szCs w:val="20"/>
          <w:lang w:val="es-MX" w:eastAsia="es-ES"/>
        </w:rPr>
        <w:t>”</w:t>
      </w:r>
      <w:r>
        <w:rPr>
          <w:rFonts w:eastAsia="Batang" w:cs="Times"/>
          <w:noProof/>
          <w:szCs w:val="20"/>
          <w:lang w:val="es-MX" w:eastAsia="es-ES"/>
        </w:rPr>
        <w:t>.</w:t>
      </w:r>
      <w:r w:rsidRPr="001C46C0">
        <w:rPr>
          <w:rFonts w:eastAsia="Batang" w:cs="Times"/>
          <w:noProof/>
          <w:szCs w:val="20"/>
          <w:lang w:val="es-MX" w:eastAsia="es-ES"/>
        </w:rPr>
        <w:t xml:space="preserve"> </w:t>
      </w:r>
      <w:r>
        <w:rPr>
          <w:rFonts w:eastAsia="Batang" w:cs="Times"/>
          <w:noProof/>
          <w:szCs w:val="20"/>
          <w:lang w:val="es-MX" w:eastAsia="es-ES"/>
        </w:rPr>
        <w:t>Sin embargo,</w:t>
      </w:r>
      <w:r w:rsidRPr="001C46C0">
        <w:rPr>
          <w:rFonts w:eastAsia="Batang" w:cs="Times"/>
          <w:noProof/>
          <w:szCs w:val="20"/>
          <w:lang w:val="es-MX" w:eastAsia="es-ES"/>
        </w:rPr>
        <w:t xml:space="preserve"> </w:t>
      </w:r>
      <w:r>
        <w:rPr>
          <w:rFonts w:eastAsia="Batang" w:cs="Times"/>
          <w:noProof/>
          <w:szCs w:val="20"/>
          <w:lang w:val="es-MX" w:eastAsia="es-ES"/>
        </w:rPr>
        <w:t>l</w:t>
      </w:r>
      <w:r w:rsidRPr="001C46C0">
        <w:rPr>
          <w:rFonts w:eastAsia="Batang" w:cs="Times"/>
          <w:noProof/>
          <w:szCs w:val="20"/>
          <w:lang w:val="es-MX" w:eastAsia="es-ES"/>
        </w:rPr>
        <w:t xml:space="preserve">a Corte </w:t>
      </w:r>
      <w:r w:rsidR="00977AB2">
        <w:rPr>
          <w:rFonts w:eastAsia="Batang" w:cs="Times"/>
          <w:noProof/>
          <w:szCs w:val="20"/>
          <w:lang w:val="es-MX" w:eastAsia="es-ES"/>
        </w:rPr>
        <w:t xml:space="preserve">reitera su criterio de </w:t>
      </w:r>
      <w:r>
        <w:rPr>
          <w:rFonts w:eastAsia="Batang" w:cs="Times"/>
          <w:noProof/>
          <w:szCs w:val="20"/>
          <w:lang w:val="es-MX" w:eastAsia="es-ES"/>
        </w:rPr>
        <w:t xml:space="preserve">que </w:t>
      </w:r>
      <w:r w:rsidRPr="001C46C0">
        <w:rPr>
          <w:rFonts w:eastAsia="Batang" w:cs="Times"/>
          <w:noProof/>
          <w:szCs w:val="20"/>
          <w:lang w:val="es-MX" w:eastAsia="es-ES"/>
        </w:rPr>
        <w:t>el Estado debe prec</w:t>
      </w:r>
      <w:r>
        <w:rPr>
          <w:rFonts w:eastAsia="Batang" w:cs="Times"/>
          <w:noProof/>
          <w:szCs w:val="20"/>
          <w:lang w:val="es-MX" w:eastAsia="es-ES"/>
        </w:rPr>
        <w:t>isar claramente ante la Comisió</w:t>
      </w:r>
      <w:r w:rsidRPr="001C46C0">
        <w:rPr>
          <w:rFonts w:eastAsia="Batang" w:cs="Times"/>
          <w:noProof/>
          <w:szCs w:val="20"/>
          <w:lang w:val="es-MX" w:eastAsia="es-ES"/>
        </w:rPr>
        <w:t>n</w:t>
      </w:r>
      <w:r>
        <w:rPr>
          <w:rFonts w:eastAsia="Batang" w:cs="Times"/>
          <w:noProof/>
          <w:szCs w:val="20"/>
          <w:lang w:val="es-MX" w:eastAsia="es-ES"/>
        </w:rPr>
        <w:t>,</w:t>
      </w:r>
      <w:r w:rsidRPr="001C46C0">
        <w:rPr>
          <w:rFonts w:eastAsia="Batang" w:cs="Times"/>
          <w:noProof/>
          <w:szCs w:val="20"/>
          <w:lang w:val="es-MX" w:eastAsia="es-ES"/>
        </w:rPr>
        <w:t xml:space="preserve"> d</w:t>
      </w:r>
      <w:r>
        <w:rPr>
          <w:rFonts w:eastAsia="Batang" w:cs="Times"/>
          <w:noProof/>
          <w:szCs w:val="20"/>
          <w:lang w:val="es-MX" w:eastAsia="es-ES"/>
        </w:rPr>
        <w:t>urante la referida etapa del trá</w:t>
      </w:r>
      <w:r w:rsidRPr="001C46C0">
        <w:rPr>
          <w:rFonts w:eastAsia="Batang" w:cs="Times"/>
          <w:noProof/>
          <w:szCs w:val="20"/>
          <w:lang w:val="es-MX" w:eastAsia="es-ES"/>
        </w:rPr>
        <w:t xml:space="preserve">mite del caso, los recursos que, </w:t>
      </w:r>
      <w:r w:rsidR="00955470">
        <w:rPr>
          <w:rFonts w:eastAsia="Batang" w:cs="Times"/>
          <w:noProof/>
          <w:szCs w:val="20"/>
          <w:lang w:val="es-MX" w:eastAsia="es-ES"/>
        </w:rPr>
        <w:t>según</w:t>
      </w:r>
      <w:r w:rsidRPr="001C46C0">
        <w:rPr>
          <w:rFonts w:eastAsia="Batang" w:cs="Times"/>
          <w:noProof/>
          <w:szCs w:val="20"/>
          <w:lang w:val="es-MX" w:eastAsia="es-ES"/>
        </w:rPr>
        <w:t xml:space="preserve"> su crite</w:t>
      </w:r>
      <w:r w:rsidR="00040B8F">
        <w:rPr>
          <w:rFonts w:eastAsia="Batang" w:cs="Times"/>
          <w:noProof/>
          <w:szCs w:val="20"/>
          <w:lang w:val="es-MX" w:eastAsia="es-ES"/>
        </w:rPr>
        <w:t>r</w:t>
      </w:r>
      <w:r w:rsidRPr="001C46C0">
        <w:rPr>
          <w:rFonts w:eastAsia="Batang" w:cs="Times"/>
          <w:noProof/>
          <w:szCs w:val="20"/>
          <w:lang w:val="es-MX" w:eastAsia="es-ES"/>
        </w:rPr>
        <w:t>io, a</w:t>
      </w:r>
      <w:r>
        <w:rPr>
          <w:rFonts w:eastAsia="Batang" w:cs="Times"/>
          <w:noProof/>
          <w:szCs w:val="20"/>
          <w:lang w:val="es-MX" w:eastAsia="es-ES"/>
        </w:rPr>
        <w:t>ú</w:t>
      </w:r>
      <w:r w:rsidRPr="001C46C0">
        <w:rPr>
          <w:rFonts w:eastAsia="Batang" w:cs="Times"/>
          <w:noProof/>
          <w:szCs w:val="20"/>
          <w:lang w:val="es-MX" w:eastAsia="es-ES"/>
        </w:rPr>
        <w:t>n no se agotaron</w:t>
      </w:r>
      <w:r w:rsidRPr="001C46C0">
        <w:rPr>
          <w:rStyle w:val="FootnoteReference"/>
          <w:rFonts w:eastAsia="Batang" w:cs="Times"/>
          <w:noProof/>
          <w:lang w:val="es-MX" w:eastAsia="es-ES"/>
        </w:rPr>
        <w:footnoteReference w:id="58"/>
      </w:r>
      <w:r>
        <w:rPr>
          <w:rFonts w:eastAsia="Batang" w:cs="Times"/>
          <w:noProof/>
          <w:szCs w:val="20"/>
          <w:lang w:val="es-MX" w:eastAsia="es-ES"/>
        </w:rPr>
        <w:t>.</w:t>
      </w:r>
      <w:r w:rsidRPr="001C46C0">
        <w:rPr>
          <w:rFonts w:eastAsia="Batang" w:cs="Times"/>
          <w:noProof/>
          <w:szCs w:val="20"/>
          <w:lang w:val="es-MX" w:eastAsia="es-ES"/>
        </w:rPr>
        <w:t xml:space="preserve"> </w:t>
      </w:r>
    </w:p>
    <w:p w14:paraId="535F4000" w14:textId="77777777" w:rsidR="005166F9" w:rsidRPr="001C46C0" w:rsidRDefault="005166F9" w:rsidP="00B811D7">
      <w:pPr>
        <w:rPr>
          <w:rFonts w:eastAsia="Batang" w:cs="Times"/>
          <w:i/>
          <w:noProof/>
          <w:szCs w:val="20"/>
          <w:lang w:val="es-MX" w:eastAsia="es-ES"/>
        </w:rPr>
      </w:pPr>
    </w:p>
    <w:p w14:paraId="08272083" w14:textId="77777777" w:rsidR="005166F9" w:rsidRPr="001C46C0" w:rsidRDefault="005166F9" w:rsidP="00D6683A">
      <w:pPr>
        <w:numPr>
          <w:ilvl w:val="0"/>
          <w:numId w:val="1"/>
        </w:numPr>
        <w:rPr>
          <w:rFonts w:eastAsia="Batang" w:cs="Times"/>
          <w:i/>
          <w:noProof/>
          <w:szCs w:val="20"/>
          <w:lang w:val="es-MX" w:eastAsia="es-ES"/>
        </w:rPr>
      </w:pPr>
      <w:r w:rsidRPr="001C46C0">
        <w:rPr>
          <w:rFonts w:eastAsia="Batang" w:cs="Times"/>
          <w:noProof/>
          <w:szCs w:val="20"/>
          <w:lang w:val="es-MX" w:eastAsia="es-ES"/>
        </w:rPr>
        <w:t xml:space="preserve">La Corte considera que </w:t>
      </w:r>
      <w:r>
        <w:rPr>
          <w:rFonts w:eastAsia="Batang" w:cs="Times"/>
          <w:noProof/>
          <w:szCs w:val="20"/>
          <w:lang w:val="es-MX" w:eastAsia="es-ES"/>
        </w:rPr>
        <w:t>las contestaciones d</w:t>
      </w:r>
      <w:r w:rsidRPr="001C46C0">
        <w:rPr>
          <w:rFonts w:eastAsia="Batang" w:cs="Times"/>
          <w:noProof/>
          <w:szCs w:val="20"/>
          <w:lang w:val="es-MX" w:eastAsia="es-ES"/>
        </w:rPr>
        <w:t xml:space="preserve">el Estado </w:t>
      </w:r>
      <w:r>
        <w:rPr>
          <w:rFonts w:eastAsia="Batang" w:cs="Times"/>
          <w:noProof/>
          <w:szCs w:val="20"/>
          <w:lang w:val="es-MX" w:eastAsia="es-ES"/>
        </w:rPr>
        <w:t>ante la Comisión no cumplieron</w:t>
      </w:r>
      <w:r w:rsidRPr="001C46C0">
        <w:rPr>
          <w:rFonts w:eastAsia="Batang" w:cs="Times"/>
          <w:noProof/>
          <w:szCs w:val="20"/>
          <w:lang w:val="es-MX" w:eastAsia="es-ES"/>
        </w:rPr>
        <w:t xml:space="preserve"> los requisitos de una excepción preliminar de falta de agotamiento de recursos internos. Lo anterior porque no especificó </w:t>
      </w:r>
      <w:r w:rsidRPr="001C46C0">
        <w:rPr>
          <w:rFonts w:eastAsia="Batang" w:cs="Times"/>
          <w:noProof/>
          <w:szCs w:val="20"/>
          <w:lang w:val="es-ES" w:eastAsia="es-ES"/>
        </w:rPr>
        <w:t xml:space="preserve">los recursos internos pendientes de agotamiento o que estaban en curso, ni expuso las razones por las que consideraba que eran procedentes y efectivos. </w:t>
      </w:r>
      <w:r w:rsidRPr="001C46C0">
        <w:rPr>
          <w:rFonts w:eastAsia="Batang" w:cs="Times"/>
          <w:noProof/>
          <w:szCs w:val="20"/>
          <w:lang w:val="es-MX" w:eastAsia="es-ES"/>
        </w:rPr>
        <w:t xml:space="preserve">Por tanto, la Corte </w:t>
      </w:r>
      <w:r w:rsidR="00040B8F">
        <w:rPr>
          <w:rFonts w:eastAsia="Batang" w:cs="Times"/>
          <w:noProof/>
          <w:szCs w:val="20"/>
          <w:lang w:val="es-MX" w:eastAsia="es-ES"/>
        </w:rPr>
        <w:t xml:space="preserve">desestima </w:t>
      </w:r>
      <w:r w:rsidRPr="001C46C0">
        <w:rPr>
          <w:rFonts w:eastAsia="Batang" w:cs="Times"/>
          <w:noProof/>
          <w:szCs w:val="20"/>
          <w:lang w:val="es-MX" w:eastAsia="es-ES"/>
        </w:rPr>
        <w:t xml:space="preserve">la excepción preliminar. </w:t>
      </w:r>
    </w:p>
    <w:p w14:paraId="6016F344" w14:textId="77777777" w:rsidR="005166F9" w:rsidRPr="001C46C0" w:rsidRDefault="005166F9" w:rsidP="00B811D7">
      <w:pPr>
        <w:rPr>
          <w:rFonts w:eastAsia="Batang" w:cs="Times"/>
          <w:i/>
          <w:noProof/>
          <w:szCs w:val="20"/>
          <w:lang w:val="es-MX" w:eastAsia="es-ES"/>
        </w:rPr>
      </w:pPr>
      <w:r w:rsidRPr="001C46C0">
        <w:rPr>
          <w:rFonts w:eastAsia="Batang" w:cs="Times"/>
          <w:i/>
          <w:noProof/>
          <w:szCs w:val="20"/>
          <w:lang w:val="es-MX" w:eastAsia="es-ES"/>
        </w:rPr>
        <w:t xml:space="preserve"> </w:t>
      </w:r>
    </w:p>
    <w:p w14:paraId="6B7F61F3" w14:textId="77777777" w:rsidR="005166F9" w:rsidRPr="001C46C0" w:rsidRDefault="005166F9" w:rsidP="00123780">
      <w:pPr>
        <w:pStyle w:val="TOC2"/>
      </w:pPr>
      <w:bookmarkStart w:id="296" w:name="_Toc468910025"/>
      <w:bookmarkStart w:id="297" w:name="_Toc468910251"/>
      <w:bookmarkStart w:id="298" w:name="_Toc469404490"/>
      <w:bookmarkStart w:id="299" w:name="_Toc472608935"/>
      <w:r w:rsidRPr="001C46C0">
        <w:t xml:space="preserve">G. Inobservancia del plazo razonable para someter </w:t>
      </w:r>
      <w:r w:rsidR="006B5F0E">
        <w:t>el caso a la Comisión</w:t>
      </w:r>
      <w:bookmarkEnd w:id="296"/>
      <w:bookmarkEnd w:id="297"/>
      <w:bookmarkEnd w:id="298"/>
      <w:bookmarkEnd w:id="299"/>
    </w:p>
    <w:p w14:paraId="10DD96D9" w14:textId="77777777" w:rsidR="005166F9" w:rsidRDefault="005166F9" w:rsidP="00B811D7">
      <w:pPr>
        <w:pStyle w:val="ListParagraph"/>
        <w:ind w:left="0"/>
        <w:rPr>
          <w:color w:val="222222"/>
          <w:szCs w:val="20"/>
          <w:lang w:val="es-ES"/>
        </w:rPr>
      </w:pPr>
    </w:p>
    <w:p w14:paraId="1FF0C825" w14:textId="77777777" w:rsidR="005166F9" w:rsidRPr="00520E0B" w:rsidRDefault="005166F9" w:rsidP="00B811D7">
      <w:pPr>
        <w:pStyle w:val="Heading3"/>
        <w:ind w:left="0"/>
        <w:rPr>
          <w:noProof/>
          <w:szCs w:val="20"/>
          <w:lang w:eastAsia="es-ES"/>
        </w:rPr>
      </w:pPr>
      <w:bookmarkStart w:id="300" w:name="_Toc468910026"/>
      <w:bookmarkStart w:id="301" w:name="_Toc468910252"/>
      <w:bookmarkStart w:id="302" w:name="_Toc469404491"/>
      <w:bookmarkStart w:id="303" w:name="_Toc472608936"/>
      <w:r>
        <w:rPr>
          <w:rFonts w:cs="Verdana Bold"/>
          <w:bCs/>
          <w:szCs w:val="20"/>
          <w:lang w:val="es-ES"/>
        </w:rPr>
        <w:t>G</w:t>
      </w:r>
      <w:r w:rsidRPr="00520E0B">
        <w:rPr>
          <w:rFonts w:cs="Verdana Bold"/>
          <w:bCs/>
          <w:szCs w:val="20"/>
          <w:lang w:val="es-ES"/>
        </w:rPr>
        <w:t xml:space="preserve">.1 </w:t>
      </w:r>
      <w:r w:rsidRPr="00520E0B">
        <w:rPr>
          <w:noProof/>
          <w:szCs w:val="20"/>
          <w:lang w:eastAsia="es-ES"/>
        </w:rPr>
        <w:t>Alegatos del Estado, observaciones de la Comisión y de los representantes</w:t>
      </w:r>
      <w:bookmarkEnd w:id="300"/>
      <w:bookmarkEnd w:id="301"/>
      <w:bookmarkEnd w:id="302"/>
      <w:bookmarkEnd w:id="303"/>
    </w:p>
    <w:p w14:paraId="733AE797" w14:textId="77777777" w:rsidR="005166F9" w:rsidRPr="001E0E26" w:rsidRDefault="005166F9" w:rsidP="00B811D7">
      <w:pPr>
        <w:pStyle w:val="ListParagraph"/>
        <w:ind w:left="0"/>
        <w:rPr>
          <w:color w:val="222222"/>
          <w:szCs w:val="20"/>
          <w:lang w:val="es-MX"/>
        </w:rPr>
      </w:pPr>
    </w:p>
    <w:p w14:paraId="35D375E1" w14:textId="21369F3B" w:rsidR="005166F9" w:rsidRPr="001C46C0" w:rsidRDefault="005166F9" w:rsidP="00D6683A">
      <w:pPr>
        <w:pStyle w:val="ListParagraph"/>
        <w:numPr>
          <w:ilvl w:val="0"/>
          <w:numId w:val="1"/>
        </w:numPr>
        <w:rPr>
          <w:color w:val="222222"/>
          <w:szCs w:val="20"/>
          <w:lang w:val="es-ES"/>
        </w:rPr>
      </w:pPr>
      <w:r w:rsidRPr="006B5F0E">
        <w:rPr>
          <w:rFonts w:cs="Verdana Bold"/>
          <w:bCs/>
          <w:szCs w:val="20"/>
        </w:rPr>
        <w:t xml:space="preserve">El </w:t>
      </w:r>
      <w:r w:rsidRPr="006B5F0E">
        <w:rPr>
          <w:rFonts w:cs="Verdana Bold"/>
          <w:b/>
          <w:bCs/>
          <w:i/>
          <w:szCs w:val="20"/>
        </w:rPr>
        <w:t>Estado</w:t>
      </w:r>
      <w:r w:rsidRPr="006B5F0E">
        <w:rPr>
          <w:rFonts w:cs="Verdana Bold"/>
          <w:bCs/>
          <w:szCs w:val="20"/>
        </w:rPr>
        <w:t xml:space="preserve"> alegó que la Comisión analizó de forma incorrecta la demora injustificada</w:t>
      </w:r>
      <w:r w:rsidR="00AC6E15" w:rsidRPr="006B5F0E">
        <w:rPr>
          <w:rFonts w:cs="Verdana Bold"/>
          <w:bCs/>
          <w:szCs w:val="20"/>
        </w:rPr>
        <w:t xml:space="preserve"> de los procesos judiciales internos al examinar la admisibilidad de las peticiones, pues tuvo</w:t>
      </w:r>
      <w:r w:rsidRPr="006B5F0E">
        <w:rPr>
          <w:rFonts w:cs="Verdana Bold"/>
          <w:bCs/>
          <w:szCs w:val="20"/>
        </w:rPr>
        <w:t xml:space="preserve"> </w:t>
      </w:r>
      <w:r w:rsidRPr="006B5F0E">
        <w:rPr>
          <w:rFonts w:cs="Verdana Bold"/>
          <w:bCs/>
          <w:szCs w:val="20"/>
        </w:rPr>
        <w:lastRenderedPageBreak/>
        <w:t xml:space="preserve">en </w:t>
      </w:r>
      <w:r w:rsidRPr="006B5F0E">
        <w:rPr>
          <w:color w:val="222222"/>
          <w:szCs w:val="20"/>
          <w:lang w:val="es-ES"/>
        </w:rPr>
        <w:t xml:space="preserve">cuenta el período comprendido entre la fecha </w:t>
      </w:r>
      <w:r w:rsidR="00AC6E15" w:rsidRPr="006B5F0E">
        <w:rPr>
          <w:color w:val="222222"/>
          <w:szCs w:val="20"/>
          <w:lang w:val="es-ES"/>
        </w:rPr>
        <w:t>en que ocurrieron los hechos</w:t>
      </w:r>
      <w:r w:rsidRPr="006B5F0E">
        <w:rPr>
          <w:color w:val="222222"/>
          <w:szCs w:val="20"/>
          <w:lang w:val="es-ES"/>
        </w:rPr>
        <w:t xml:space="preserve"> y </w:t>
      </w:r>
      <w:r w:rsidR="00AC6E15" w:rsidRPr="006B5F0E">
        <w:rPr>
          <w:color w:val="222222"/>
          <w:szCs w:val="20"/>
          <w:lang w:val="es-ES"/>
        </w:rPr>
        <w:t>los</w:t>
      </w:r>
      <w:r w:rsidRPr="006B5F0E">
        <w:rPr>
          <w:color w:val="222222"/>
          <w:szCs w:val="20"/>
          <w:lang w:val="es-ES"/>
        </w:rPr>
        <w:t xml:space="preserve"> informes de admisibilidad</w:t>
      </w:r>
      <w:r w:rsidR="00AC6E15" w:rsidRPr="006B5F0E">
        <w:rPr>
          <w:color w:val="222222"/>
          <w:szCs w:val="20"/>
          <w:lang w:val="es-ES"/>
        </w:rPr>
        <w:t xml:space="preserve"> (</w:t>
      </w:r>
      <w:r w:rsidR="006C3DC8">
        <w:rPr>
          <w:color w:val="222222"/>
          <w:szCs w:val="20"/>
          <w:lang w:val="es-ES"/>
        </w:rPr>
        <w:t>cinco</w:t>
      </w:r>
      <w:r w:rsidR="006C3DC8" w:rsidRPr="006B5F0E">
        <w:rPr>
          <w:color w:val="222222"/>
          <w:szCs w:val="20"/>
          <w:lang w:val="es-ES"/>
        </w:rPr>
        <w:t xml:space="preserve"> </w:t>
      </w:r>
      <w:r w:rsidR="00AC6E15" w:rsidRPr="006B5F0E">
        <w:rPr>
          <w:color w:val="222222"/>
          <w:szCs w:val="20"/>
          <w:lang w:val="es-ES"/>
        </w:rPr>
        <w:t>años en relación con los hechos ocurridos en 1994 y tres años en relación con los hechos ocurridos en 1995)</w:t>
      </w:r>
      <w:r w:rsidRPr="006B5F0E">
        <w:rPr>
          <w:color w:val="222222"/>
          <w:szCs w:val="20"/>
          <w:lang w:val="es-ES"/>
        </w:rPr>
        <w:t xml:space="preserve">, sin </w:t>
      </w:r>
      <w:r w:rsidR="00AC6E15" w:rsidRPr="006B5F0E">
        <w:rPr>
          <w:color w:val="222222"/>
          <w:szCs w:val="20"/>
          <w:lang w:val="es-ES"/>
        </w:rPr>
        <w:t>tener en consideración que el retardo injustificado, al igual que el agotamiento de los recursos internos debía ser examinado en relación con el lapso transcurrido entre la ocurrencia de los hechos y la presentación de la denuncia ante la Comisión, pues las peticiones no podían ser sometidas ante la Comisión sin previamente haberse agotado los recursos internos. Según el Estado</w:t>
      </w:r>
      <w:r w:rsidR="00501478">
        <w:rPr>
          <w:color w:val="222222"/>
          <w:szCs w:val="20"/>
          <w:lang w:val="es-ES"/>
        </w:rPr>
        <w:t>,</w:t>
      </w:r>
      <w:r w:rsidR="00AC6E15" w:rsidRPr="006B5F0E">
        <w:rPr>
          <w:color w:val="222222"/>
          <w:szCs w:val="20"/>
          <w:lang w:val="es-ES"/>
        </w:rPr>
        <w:t xml:space="preserve"> admitir </w:t>
      </w:r>
      <w:r w:rsidRPr="001C46C0">
        <w:rPr>
          <w:color w:val="222222"/>
          <w:szCs w:val="20"/>
          <w:lang w:val="es-ES"/>
        </w:rPr>
        <w:t>el criterio de la Comisión, perjudicaría en primer lugar a las víctimas, porque posibilitaría someter denuncias a la Comisión sin previo agotamiento de los recursos internos, e invertiría el orden del principio de complementariedad entre el sistema doméstico e interamericano de protección de derechos humanos. Por otro lado</w:t>
      </w:r>
      <w:r w:rsidR="00501478">
        <w:rPr>
          <w:color w:val="222222"/>
          <w:szCs w:val="20"/>
          <w:lang w:val="es-ES"/>
        </w:rPr>
        <w:t>,</w:t>
      </w:r>
      <w:r w:rsidRPr="001C46C0">
        <w:rPr>
          <w:color w:val="222222"/>
          <w:szCs w:val="20"/>
          <w:lang w:val="es-ES"/>
        </w:rPr>
        <w:t xml:space="preserve"> sería perjudicial para la Comisión, porque condicionaría el procesamiento de las peticiones a un </w:t>
      </w:r>
      <w:r>
        <w:rPr>
          <w:color w:val="222222"/>
          <w:szCs w:val="20"/>
          <w:lang w:val="es-ES"/>
        </w:rPr>
        <w:t>último análisis para adicionar a</w:t>
      </w:r>
      <w:r w:rsidRPr="001C46C0">
        <w:rPr>
          <w:color w:val="222222"/>
          <w:szCs w:val="20"/>
          <w:lang w:val="es-ES"/>
        </w:rPr>
        <w:t>l informe de admisibilidad, a efecto de comprobar el cumplimiento de tal requisito, perjudicando de e</w:t>
      </w:r>
      <w:r>
        <w:rPr>
          <w:color w:val="222222"/>
          <w:szCs w:val="20"/>
          <w:lang w:val="es-ES"/>
        </w:rPr>
        <w:t>ste modo el funcionamiento del sistema de protección de derechos h</w:t>
      </w:r>
      <w:r w:rsidRPr="001C46C0">
        <w:rPr>
          <w:color w:val="222222"/>
          <w:szCs w:val="20"/>
          <w:lang w:val="es-ES"/>
        </w:rPr>
        <w:t>umanos.</w:t>
      </w:r>
    </w:p>
    <w:p w14:paraId="0C5E137B" w14:textId="77777777" w:rsidR="005166F9" w:rsidRPr="001C46C0" w:rsidRDefault="005166F9" w:rsidP="00B811D7">
      <w:pPr>
        <w:pStyle w:val="ListParagraph"/>
        <w:ind w:left="0"/>
        <w:rPr>
          <w:color w:val="222222"/>
          <w:szCs w:val="20"/>
          <w:lang w:val="es-ES"/>
        </w:rPr>
      </w:pPr>
    </w:p>
    <w:p w14:paraId="101E07E4" w14:textId="2E122651" w:rsidR="005166F9" w:rsidRPr="001C46C0" w:rsidRDefault="005166F9" w:rsidP="00D6683A">
      <w:pPr>
        <w:pStyle w:val="ListParagraph"/>
        <w:numPr>
          <w:ilvl w:val="0"/>
          <w:numId w:val="1"/>
        </w:numPr>
        <w:rPr>
          <w:color w:val="222222"/>
          <w:szCs w:val="20"/>
          <w:lang w:val="es-ES"/>
        </w:rPr>
      </w:pPr>
      <w:r w:rsidRPr="001C46C0">
        <w:rPr>
          <w:color w:val="222222"/>
          <w:szCs w:val="20"/>
          <w:lang w:val="es-ES"/>
        </w:rPr>
        <w:t>Además, el Estado expuso que</w:t>
      </w:r>
      <w:r w:rsidR="00501478">
        <w:rPr>
          <w:color w:val="222222"/>
          <w:szCs w:val="20"/>
          <w:lang w:val="es-ES"/>
        </w:rPr>
        <w:t>,</w:t>
      </w:r>
      <w:r w:rsidRPr="001C46C0">
        <w:rPr>
          <w:color w:val="222222"/>
          <w:szCs w:val="20"/>
          <w:lang w:val="es-ES"/>
        </w:rPr>
        <w:t xml:space="preserve"> al momento de la </w:t>
      </w:r>
      <w:r w:rsidR="00AC6E15">
        <w:rPr>
          <w:color w:val="222222"/>
          <w:szCs w:val="20"/>
          <w:lang w:val="es-ES"/>
        </w:rPr>
        <w:t>presentación de las peticiones</w:t>
      </w:r>
      <w:r w:rsidR="00501478">
        <w:rPr>
          <w:color w:val="222222"/>
          <w:szCs w:val="20"/>
          <w:lang w:val="es-ES"/>
        </w:rPr>
        <w:t>,</w:t>
      </w:r>
      <w:r w:rsidRPr="001C46C0">
        <w:rPr>
          <w:color w:val="222222"/>
          <w:szCs w:val="20"/>
          <w:lang w:val="es-ES"/>
        </w:rPr>
        <w:t xml:space="preserve"> la Comisión no podía </w:t>
      </w:r>
      <w:r w:rsidR="00955470">
        <w:rPr>
          <w:color w:val="222222"/>
          <w:szCs w:val="20"/>
          <w:lang w:val="es-ES"/>
        </w:rPr>
        <w:t xml:space="preserve">aceptar el alegato </w:t>
      </w:r>
      <w:r w:rsidRPr="001C46C0">
        <w:rPr>
          <w:color w:val="222222"/>
          <w:szCs w:val="20"/>
          <w:lang w:val="es-ES"/>
        </w:rPr>
        <w:t>de los peticionarios de que el plazo legal para completar las investigaciones estaba concluido, mucho menos excedido, dado que hicieron una interpretación equivocada de la legislación doméstica. Manifest</w:t>
      </w:r>
      <w:r>
        <w:rPr>
          <w:color w:val="222222"/>
          <w:szCs w:val="20"/>
          <w:lang w:val="es-ES"/>
        </w:rPr>
        <w:t>ó</w:t>
      </w:r>
      <w:r w:rsidRPr="001C46C0">
        <w:rPr>
          <w:color w:val="222222"/>
          <w:szCs w:val="20"/>
          <w:lang w:val="es-ES"/>
        </w:rPr>
        <w:t xml:space="preserve"> que los peticionarios no comprobaron haber agotado previamente los recursos internos en el momento de la denuncia, resultando evidente la </w:t>
      </w:r>
      <w:r w:rsidR="00AC6E15">
        <w:rPr>
          <w:color w:val="222222"/>
          <w:szCs w:val="20"/>
          <w:lang w:val="es-ES"/>
        </w:rPr>
        <w:t xml:space="preserve">inobservancia de </w:t>
      </w:r>
      <w:r w:rsidRPr="001C46C0">
        <w:rPr>
          <w:color w:val="222222"/>
          <w:szCs w:val="20"/>
          <w:lang w:val="es-ES"/>
        </w:rPr>
        <w:t>los requisitos del artículo 46.2</w:t>
      </w:r>
      <w:r>
        <w:rPr>
          <w:color w:val="222222"/>
          <w:szCs w:val="20"/>
          <w:lang w:val="es-ES"/>
        </w:rPr>
        <w:t>.</w:t>
      </w:r>
      <w:r w:rsidRPr="001C46C0">
        <w:rPr>
          <w:color w:val="222222"/>
          <w:szCs w:val="20"/>
          <w:lang w:val="es-ES"/>
        </w:rPr>
        <w:t xml:space="preserve">c, ya que no había demora en las actuaciones policiales </w:t>
      </w:r>
      <w:r w:rsidR="004422AF">
        <w:rPr>
          <w:color w:val="222222"/>
          <w:szCs w:val="20"/>
          <w:lang w:val="es-ES"/>
        </w:rPr>
        <w:t xml:space="preserve">a </w:t>
      </w:r>
      <w:r w:rsidRPr="001C46C0">
        <w:rPr>
          <w:color w:val="222222"/>
          <w:szCs w:val="20"/>
          <w:lang w:val="es-ES"/>
        </w:rPr>
        <w:t>la fecha de la denuncia.</w:t>
      </w:r>
    </w:p>
    <w:p w14:paraId="6B215DC3" w14:textId="77777777" w:rsidR="005166F9" w:rsidRPr="00183C41" w:rsidRDefault="005166F9" w:rsidP="00B811D7">
      <w:pPr>
        <w:pStyle w:val="ListParagraph"/>
        <w:ind w:left="0"/>
        <w:rPr>
          <w:rFonts w:cs="Verdana Bold"/>
          <w:bCs/>
          <w:szCs w:val="20"/>
          <w:lang w:val="es-ES"/>
        </w:rPr>
      </w:pPr>
    </w:p>
    <w:p w14:paraId="7A16FAEC" w14:textId="6C66E6DE" w:rsidR="005166F9" w:rsidRPr="001C46C0" w:rsidRDefault="005166F9" w:rsidP="00D6683A">
      <w:pPr>
        <w:pStyle w:val="ListParagraph"/>
        <w:numPr>
          <w:ilvl w:val="0"/>
          <w:numId w:val="1"/>
        </w:numPr>
        <w:rPr>
          <w:rFonts w:cs="Verdana Bold"/>
          <w:bCs/>
          <w:szCs w:val="20"/>
        </w:rPr>
      </w:pPr>
      <w:r w:rsidRPr="001C46C0">
        <w:rPr>
          <w:rFonts w:cs="Verdana Bold"/>
          <w:bCs/>
          <w:szCs w:val="20"/>
        </w:rPr>
        <w:t xml:space="preserve">La </w:t>
      </w:r>
      <w:r w:rsidRPr="00183C41">
        <w:rPr>
          <w:rFonts w:cs="Verdana Bold"/>
          <w:b/>
          <w:bCs/>
          <w:i/>
          <w:szCs w:val="20"/>
        </w:rPr>
        <w:t>Comisión</w:t>
      </w:r>
      <w:r w:rsidRPr="001C46C0">
        <w:rPr>
          <w:rFonts w:cs="Verdana Bold"/>
          <w:b/>
          <w:bCs/>
          <w:szCs w:val="20"/>
        </w:rPr>
        <w:t xml:space="preserve"> </w:t>
      </w:r>
      <w:r w:rsidRPr="001C46C0">
        <w:rPr>
          <w:rFonts w:cs="Verdana Bold"/>
          <w:bCs/>
          <w:szCs w:val="20"/>
        </w:rPr>
        <w:t xml:space="preserve">observó que en ciertos </w:t>
      </w:r>
      <w:r>
        <w:rPr>
          <w:rFonts w:cs="Verdana Bold"/>
          <w:bCs/>
          <w:szCs w:val="20"/>
        </w:rPr>
        <w:t>puntos</w:t>
      </w:r>
      <w:r w:rsidRPr="001C46C0">
        <w:rPr>
          <w:rFonts w:cs="Verdana Bold"/>
          <w:bCs/>
          <w:szCs w:val="20"/>
        </w:rPr>
        <w:t xml:space="preserve"> el Estado reitera algunos de los elementos planteados con relación a la falta de agotamiento de los recursos internos</w:t>
      </w:r>
      <w:r w:rsidRPr="006B5F0E">
        <w:rPr>
          <w:rFonts w:cs="Verdana Bold"/>
          <w:bCs/>
          <w:szCs w:val="20"/>
        </w:rPr>
        <w:t xml:space="preserve">. Añadió que el análisis sobre agotamiento de los recursos internos, incluyendo la posible aplicación de excepciones a dicho requisito, debe efectuarse a la luz de la situación existente al momento </w:t>
      </w:r>
      <w:r w:rsidR="006B5F0E" w:rsidRPr="006B5F0E">
        <w:rPr>
          <w:rFonts w:cs="Verdana Bold"/>
          <w:bCs/>
          <w:szCs w:val="20"/>
        </w:rPr>
        <w:t>del pronunciamiento de admisibilidad</w:t>
      </w:r>
      <w:r w:rsidR="006B5F0E">
        <w:rPr>
          <w:rFonts w:cs="Verdana Bold"/>
          <w:bCs/>
          <w:szCs w:val="20"/>
        </w:rPr>
        <w:t xml:space="preserve"> y no </w:t>
      </w:r>
      <w:r w:rsidRPr="006B5F0E">
        <w:rPr>
          <w:rFonts w:cs="Verdana Bold"/>
          <w:bCs/>
          <w:szCs w:val="20"/>
        </w:rPr>
        <w:t>de la presentación de la petición</w:t>
      </w:r>
      <w:r w:rsidRPr="001C46C0">
        <w:rPr>
          <w:rFonts w:cs="Verdana Bold"/>
          <w:bCs/>
          <w:szCs w:val="20"/>
        </w:rPr>
        <w:t>. A fin de resguardar el derecho de defensa del Estado, la bilateralidad del procedimiento y la igualdad procesal, toda información recibida por la Comisión con posteri</w:t>
      </w:r>
      <w:r w:rsidR="004422AF">
        <w:rPr>
          <w:rFonts w:cs="Verdana Bold"/>
          <w:bCs/>
          <w:szCs w:val="20"/>
        </w:rPr>
        <w:t>ori</w:t>
      </w:r>
      <w:r w:rsidRPr="001C46C0">
        <w:rPr>
          <w:rFonts w:cs="Verdana Bold"/>
          <w:bCs/>
          <w:szCs w:val="20"/>
        </w:rPr>
        <w:t>dad a la petición inicial es estrictamente sometida a contradictorio</w:t>
      </w:r>
      <w:r w:rsidRPr="00183C41">
        <w:rPr>
          <w:rFonts w:cs="Verdana Bold"/>
          <w:bCs/>
          <w:szCs w:val="20"/>
        </w:rPr>
        <w:t>.</w:t>
      </w:r>
      <w:r>
        <w:rPr>
          <w:rFonts w:cs="Verdana Bold"/>
          <w:b/>
          <w:bCs/>
          <w:szCs w:val="20"/>
        </w:rPr>
        <w:t xml:space="preserve"> </w:t>
      </w:r>
    </w:p>
    <w:p w14:paraId="5EA51DF4" w14:textId="77777777" w:rsidR="005166F9" w:rsidRPr="001C46C0" w:rsidRDefault="005166F9" w:rsidP="00B811D7">
      <w:pPr>
        <w:pStyle w:val="ListParagraph"/>
        <w:ind w:left="0" w:right="49"/>
        <w:outlineLvl w:val="0"/>
        <w:rPr>
          <w:rFonts w:cs="Verdana Bold"/>
          <w:bCs/>
          <w:szCs w:val="20"/>
          <w:lang w:val="es-ES"/>
        </w:rPr>
      </w:pPr>
    </w:p>
    <w:p w14:paraId="7F7AFAF8" w14:textId="77A3E40C" w:rsidR="005166F9" w:rsidRPr="001C46C0" w:rsidRDefault="005166F9" w:rsidP="00D6683A">
      <w:pPr>
        <w:pStyle w:val="ListParagraph"/>
        <w:numPr>
          <w:ilvl w:val="0"/>
          <w:numId w:val="1"/>
        </w:numPr>
        <w:ind w:right="49"/>
        <w:outlineLvl w:val="0"/>
        <w:rPr>
          <w:rFonts w:cs="Verdana Bold"/>
          <w:bCs/>
          <w:szCs w:val="20"/>
          <w:lang w:val="es-ES"/>
        </w:rPr>
      </w:pPr>
      <w:bookmarkStart w:id="304" w:name="_Toc468910027"/>
      <w:bookmarkStart w:id="305" w:name="_Toc468910253"/>
      <w:bookmarkStart w:id="306" w:name="_Toc469404492"/>
      <w:bookmarkStart w:id="307" w:name="_Toc472608937"/>
      <w:r w:rsidRPr="001C46C0">
        <w:rPr>
          <w:rFonts w:cs="Verdana Bold"/>
          <w:bCs/>
          <w:szCs w:val="20"/>
        </w:rPr>
        <w:t xml:space="preserve">Los </w:t>
      </w:r>
      <w:r w:rsidRPr="00183C41">
        <w:rPr>
          <w:rFonts w:cs="Verdana Bold"/>
          <w:b/>
          <w:bCs/>
          <w:i/>
          <w:szCs w:val="20"/>
        </w:rPr>
        <w:t>representantes</w:t>
      </w:r>
      <w:r w:rsidRPr="001C46C0">
        <w:rPr>
          <w:rFonts w:cs="Verdana Bold"/>
          <w:bCs/>
          <w:szCs w:val="20"/>
        </w:rPr>
        <w:t xml:space="preserve"> señalaron que el análisis de los requisitos de los artículos 46 y 47 de la </w:t>
      </w:r>
      <w:r>
        <w:rPr>
          <w:rFonts w:cs="Verdana Bold"/>
          <w:bCs/>
          <w:szCs w:val="20"/>
        </w:rPr>
        <w:t>Convención Americana</w:t>
      </w:r>
      <w:r w:rsidRPr="001C46C0">
        <w:rPr>
          <w:rFonts w:cs="Verdana Bold"/>
          <w:bCs/>
          <w:szCs w:val="20"/>
        </w:rPr>
        <w:t xml:space="preserve"> ocurre </w:t>
      </w:r>
      <w:r w:rsidR="00955470">
        <w:rPr>
          <w:rFonts w:cs="Verdana Bold"/>
          <w:bCs/>
          <w:szCs w:val="20"/>
        </w:rPr>
        <w:t xml:space="preserve">cuando </w:t>
      </w:r>
      <w:r w:rsidRPr="001C46C0">
        <w:rPr>
          <w:rFonts w:cs="Verdana Bold"/>
          <w:bCs/>
          <w:szCs w:val="20"/>
        </w:rPr>
        <w:t xml:space="preserve">la </w:t>
      </w:r>
      <w:r>
        <w:rPr>
          <w:rFonts w:cs="Verdana Bold"/>
          <w:bCs/>
          <w:szCs w:val="20"/>
        </w:rPr>
        <w:t>Comisión</w:t>
      </w:r>
      <w:r w:rsidRPr="001C46C0">
        <w:rPr>
          <w:rFonts w:cs="Verdana Bold"/>
          <w:bCs/>
          <w:szCs w:val="20"/>
        </w:rPr>
        <w:t xml:space="preserve"> </w:t>
      </w:r>
      <w:r w:rsidR="00955470">
        <w:rPr>
          <w:rFonts w:cs="Verdana Bold"/>
          <w:bCs/>
          <w:szCs w:val="20"/>
        </w:rPr>
        <w:t>examina</w:t>
      </w:r>
      <w:r w:rsidRPr="001C46C0">
        <w:rPr>
          <w:rFonts w:cs="Verdana Bold"/>
          <w:bCs/>
          <w:szCs w:val="20"/>
        </w:rPr>
        <w:t xml:space="preserve"> los argumentos de hecho y de derecho presentados por las partes y se pronuncia sobre la admisibilidad</w:t>
      </w:r>
      <w:r>
        <w:rPr>
          <w:rFonts w:cs="Verdana Bold"/>
          <w:bCs/>
          <w:szCs w:val="20"/>
        </w:rPr>
        <w:t>,</w:t>
      </w:r>
      <w:r w:rsidRPr="001C46C0">
        <w:rPr>
          <w:rFonts w:cs="Verdana Bold"/>
          <w:bCs/>
          <w:szCs w:val="20"/>
        </w:rPr>
        <w:t xml:space="preserve"> y no cuando se presenta la denuncia inicial por parte de los peticionarios. De tal manera que el argumento del Estado sobre la falta de agotamiento de los recursos internos en el momento de la presentación de la denuncia inicial o antes de la notificación de la petición al Estado, carece de sustento. Además, destacaron que la regla del agotamiento previo del recurso en el ámbito interno está concebida para que el Estado evite responder jurídicamente en ámbito internacional antes de tener la oportunidad de hacer justicia por sus propios medios. Al respecto, la historia procesal del presente caso demuestra que</w:t>
      </w:r>
      <w:r w:rsidR="004422AF">
        <w:rPr>
          <w:rFonts w:cs="Verdana Bold"/>
          <w:bCs/>
          <w:szCs w:val="20"/>
        </w:rPr>
        <w:t xml:space="preserve"> no se consideraron</w:t>
      </w:r>
      <w:r w:rsidRPr="001C46C0">
        <w:rPr>
          <w:rFonts w:cs="Verdana Bold"/>
          <w:bCs/>
          <w:szCs w:val="20"/>
        </w:rPr>
        <w:t xml:space="preserve"> las medidas adecuadas para remediar las violaciones denunciadas, ni en el momento en que fueron presentada las peticiones iniciales en 1995 y 1996, ni tampoco cuando fueron emitidos los informes de admisibilidad. </w:t>
      </w:r>
      <w:bookmarkEnd w:id="304"/>
      <w:bookmarkEnd w:id="305"/>
      <w:bookmarkEnd w:id="306"/>
      <w:bookmarkEnd w:id="307"/>
    </w:p>
    <w:p w14:paraId="2BFAFA6D" w14:textId="77777777" w:rsidR="005166F9" w:rsidRPr="001C46C0" w:rsidRDefault="005166F9" w:rsidP="00B811D7">
      <w:pPr>
        <w:pStyle w:val="Heading3"/>
        <w:ind w:left="0"/>
        <w:rPr>
          <w:noProof/>
          <w:szCs w:val="20"/>
          <w:lang w:eastAsia="es-ES"/>
        </w:rPr>
      </w:pPr>
    </w:p>
    <w:p w14:paraId="5665E4AA" w14:textId="77777777" w:rsidR="005166F9" w:rsidRPr="001C46C0" w:rsidRDefault="005166F9" w:rsidP="00B811D7">
      <w:pPr>
        <w:pStyle w:val="Heading3"/>
        <w:ind w:left="0"/>
        <w:rPr>
          <w:noProof/>
          <w:szCs w:val="20"/>
          <w:lang w:eastAsia="es-ES"/>
        </w:rPr>
      </w:pPr>
      <w:bookmarkStart w:id="308" w:name="_Toc468910029"/>
      <w:bookmarkStart w:id="309" w:name="_Toc468910255"/>
      <w:bookmarkStart w:id="310" w:name="_Toc469404493"/>
      <w:bookmarkStart w:id="311" w:name="_Toc472608938"/>
      <w:r w:rsidRPr="001C46C0">
        <w:rPr>
          <w:noProof/>
          <w:szCs w:val="20"/>
          <w:lang w:eastAsia="es-ES"/>
        </w:rPr>
        <w:t>G.2. Consideraciones de la Corte</w:t>
      </w:r>
      <w:bookmarkEnd w:id="308"/>
      <w:bookmarkEnd w:id="309"/>
      <w:bookmarkEnd w:id="310"/>
      <w:bookmarkEnd w:id="311"/>
    </w:p>
    <w:p w14:paraId="1E022906" w14:textId="77777777" w:rsidR="005166F9" w:rsidRPr="001C46C0" w:rsidRDefault="005166F9" w:rsidP="00B811D7">
      <w:pPr>
        <w:rPr>
          <w:szCs w:val="20"/>
          <w:lang w:val="es-ES" w:eastAsia="es-ES"/>
        </w:rPr>
      </w:pPr>
    </w:p>
    <w:p w14:paraId="53EC87CC" w14:textId="124F20AD" w:rsidR="005166F9" w:rsidRPr="007C27C7" w:rsidRDefault="005166F9" w:rsidP="00D6683A">
      <w:pPr>
        <w:pStyle w:val="ListParagraph"/>
        <w:numPr>
          <w:ilvl w:val="0"/>
          <w:numId w:val="1"/>
        </w:numPr>
        <w:rPr>
          <w:rFonts w:cs="Arial"/>
          <w:szCs w:val="20"/>
        </w:rPr>
      </w:pPr>
      <w:r w:rsidRPr="001C46C0">
        <w:rPr>
          <w:szCs w:val="20"/>
        </w:rPr>
        <w:t xml:space="preserve">La Corte </w:t>
      </w:r>
      <w:r w:rsidR="00AC6E15">
        <w:rPr>
          <w:szCs w:val="20"/>
        </w:rPr>
        <w:t xml:space="preserve">constata que el alegato del Estado va dirigido principalmente a cuestionar </w:t>
      </w:r>
      <w:r w:rsidR="00E92EF6">
        <w:rPr>
          <w:szCs w:val="20"/>
        </w:rPr>
        <w:t xml:space="preserve">el criterio de la Comisión de examinar el agotamiento de los recursos internos y por ende el retardo injustificado en la resolución de los mismos, teniendo en cuenta el lapso transcurrido entre el momento de ocurrencia de los hechos y el momento en que examina la admisibilidad de las peticiones. </w:t>
      </w:r>
      <w:r w:rsidR="007C27C7" w:rsidRPr="007C27C7">
        <w:rPr>
          <w:szCs w:val="20"/>
        </w:rPr>
        <w:t>E</w:t>
      </w:r>
      <w:r w:rsidR="00501478">
        <w:rPr>
          <w:szCs w:val="20"/>
        </w:rPr>
        <w:t xml:space="preserve">n el caso Wong Ho </w:t>
      </w:r>
      <w:proofErr w:type="spellStart"/>
      <w:r w:rsidR="00501478">
        <w:rPr>
          <w:szCs w:val="20"/>
        </w:rPr>
        <w:t>Wing</w:t>
      </w:r>
      <w:proofErr w:type="spellEnd"/>
      <w:r w:rsidR="00501478">
        <w:rPr>
          <w:szCs w:val="20"/>
        </w:rPr>
        <w:t xml:space="preserve"> Vs. Perú</w:t>
      </w:r>
      <w:r w:rsidR="007C27C7" w:rsidRPr="007C27C7">
        <w:rPr>
          <w:szCs w:val="20"/>
        </w:rPr>
        <w:t xml:space="preserve"> la Corte indicó que el </w:t>
      </w:r>
      <w:r w:rsidR="007C27C7" w:rsidRPr="007C27C7">
        <w:rPr>
          <w:szCs w:val="20"/>
        </w:rPr>
        <w:lastRenderedPageBreak/>
        <w:t>artículo 46.1.a) de la Convención Americana, en el cual se dispone que para determinar la admisibilidad de una petición o comunicación presentada ante la Comisión Interamericana, de conformidad con los artículos 44 o 45 de la Convención, es necesario que se hayan interpuesto y agotado los recursos de la jurisdicción interna, debe ser interpretado en el sentido que exige el agotamiento de los recursos para el momento en que se decida sobre la admisibilidad de la petición y no para el momento</w:t>
      </w:r>
      <w:r w:rsidR="007C27C7">
        <w:rPr>
          <w:szCs w:val="20"/>
        </w:rPr>
        <w:t xml:space="preserve"> de la presentación de la misma</w:t>
      </w:r>
      <w:r>
        <w:rPr>
          <w:rStyle w:val="FootnoteReference"/>
        </w:rPr>
        <w:footnoteReference w:id="59"/>
      </w:r>
      <w:r w:rsidRPr="001C46C0">
        <w:rPr>
          <w:szCs w:val="20"/>
        </w:rPr>
        <w:t>.</w:t>
      </w:r>
    </w:p>
    <w:p w14:paraId="342274ED" w14:textId="77777777" w:rsidR="007C27C7" w:rsidRDefault="007C27C7" w:rsidP="007C27C7">
      <w:pPr>
        <w:pStyle w:val="ListParagraph"/>
        <w:ind w:left="0"/>
        <w:rPr>
          <w:rFonts w:cs="Arial"/>
          <w:szCs w:val="20"/>
        </w:rPr>
      </w:pPr>
    </w:p>
    <w:p w14:paraId="28EC7D71" w14:textId="6F3A9192" w:rsidR="007C27C7" w:rsidRPr="001C46C0" w:rsidRDefault="007C27C7" w:rsidP="00D6683A">
      <w:pPr>
        <w:pStyle w:val="ListParagraph"/>
        <w:numPr>
          <w:ilvl w:val="0"/>
          <w:numId w:val="1"/>
        </w:numPr>
        <w:rPr>
          <w:rFonts w:cs="Arial"/>
          <w:szCs w:val="20"/>
        </w:rPr>
      </w:pPr>
      <w:r w:rsidRPr="007C27C7">
        <w:rPr>
          <w:rFonts w:cs="Arial"/>
          <w:szCs w:val="20"/>
        </w:rPr>
        <w:t>Del mismo modo, este Tribunal recuerda que la regla del previo agotamiento de los recursos internos está concebida en interés del Estado, pues busca dispensarlo de responder ante un órgano internacional por actos que se le imputen, antes de haber tenido la ocasión de remediarlos con sus propios medios</w:t>
      </w:r>
      <w:r>
        <w:rPr>
          <w:rStyle w:val="FootnoteReference"/>
        </w:rPr>
        <w:footnoteReference w:id="60"/>
      </w:r>
      <w:r w:rsidRPr="007C27C7">
        <w:rPr>
          <w:rFonts w:cs="Arial"/>
          <w:szCs w:val="20"/>
        </w:rPr>
        <w:t>. Lo anterior significa que no sólo deben existir formalmente esos recursos, sino también deben ser adecuados y efectivos, como resulta de las excepciones contempladas en el artículo 46.2 de la Convención</w:t>
      </w:r>
      <w:r>
        <w:rPr>
          <w:rStyle w:val="FootnoteReference"/>
        </w:rPr>
        <w:footnoteReference w:id="61"/>
      </w:r>
      <w:r w:rsidRPr="007C27C7">
        <w:rPr>
          <w:rFonts w:cs="Arial"/>
          <w:szCs w:val="20"/>
        </w:rPr>
        <w:t xml:space="preserve">. Asimismo, el hecho de que el análisis del cumplimiento del requisito de agotamiento de recursos internos se realice de acuerdo con la situación </w:t>
      </w:r>
      <w:r w:rsidR="003A2A21">
        <w:rPr>
          <w:rFonts w:cs="Arial"/>
          <w:szCs w:val="20"/>
        </w:rPr>
        <w:t xml:space="preserve">existente </w:t>
      </w:r>
      <w:r w:rsidRPr="007C27C7">
        <w:rPr>
          <w:rFonts w:cs="Arial"/>
          <w:szCs w:val="20"/>
        </w:rPr>
        <w:t>al momento de decidir sobre la admisibilidad de la petición no afecta el carácter complementario del sistema interamericano. Por el contrario, de estar pendiente algún recurso interno, el Estado tiene la oportunidad de solucionar la situación alegada durante la etapa de admisibilidad</w:t>
      </w:r>
      <w:r>
        <w:rPr>
          <w:rStyle w:val="FootnoteReference"/>
        </w:rPr>
        <w:footnoteReference w:id="62"/>
      </w:r>
      <w:r>
        <w:rPr>
          <w:rFonts w:cs="Arial"/>
          <w:szCs w:val="20"/>
        </w:rPr>
        <w:t>.</w:t>
      </w:r>
    </w:p>
    <w:p w14:paraId="13952D9F" w14:textId="77777777" w:rsidR="005166F9" w:rsidRPr="001C46C0" w:rsidRDefault="005166F9" w:rsidP="00B811D7">
      <w:pPr>
        <w:pStyle w:val="ListParagraph"/>
        <w:ind w:left="0"/>
        <w:rPr>
          <w:rFonts w:cs="Arial"/>
          <w:szCs w:val="20"/>
        </w:rPr>
      </w:pPr>
    </w:p>
    <w:p w14:paraId="5D03F0DF" w14:textId="32C12670" w:rsidR="005166F9" w:rsidRPr="001C46C0" w:rsidRDefault="005166F9" w:rsidP="00D6683A">
      <w:pPr>
        <w:pStyle w:val="ListParagraph"/>
        <w:numPr>
          <w:ilvl w:val="0"/>
          <w:numId w:val="1"/>
        </w:numPr>
        <w:rPr>
          <w:bCs/>
          <w:strike/>
          <w:szCs w:val="20"/>
        </w:rPr>
      </w:pPr>
      <w:r>
        <w:rPr>
          <w:szCs w:val="20"/>
        </w:rPr>
        <w:t>Por otro lado</w:t>
      </w:r>
      <w:r w:rsidRPr="001C46C0">
        <w:rPr>
          <w:szCs w:val="20"/>
        </w:rPr>
        <w:t xml:space="preserve">, </w:t>
      </w:r>
      <w:r w:rsidRPr="001C46C0">
        <w:rPr>
          <w:color w:val="000000"/>
          <w:szCs w:val="20"/>
          <w:lang w:val="es-CL"/>
        </w:rPr>
        <w:t xml:space="preserve">tomando en cuenta las características del presente </w:t>
      </w:r>
      <w:r w:rsidR="00501478">
        <w:rPr>
          <w:color w:val="000000"/>
          <w:szCs w:val="20"/>
          <w:lang w:val="es-CL"/>
        </w:rPr>
        <w:t>caso</w:t>
      </w:r>
      <w:r w:rsidRPr="001C46C0">
        <w:rPr>
          <w:color w:val="000000"/>
          <w:szCs w:val="20"/>
          <w:lang w:val="es-CL"/>
        </w:rPr>
        <w:t xml:space="preserve"> y los argumentos expuestos por las partes al respecto</w:t>
      </w:r>
      <w:r w:rsidRPr="001C46C0">
        <w:rPr>
          <w:szCs w:val="20"/>
        </w:rPr>
        <w:t>, este Tribunal considera que el análisis pr</w:t>
      </w:r>
      <w:r w:rsidR="00501478">
        <w:rPr>
          <w:szCs w:val="20"/>
        </w:rPr>
        <w:t xml:space="preserve">eliminar de la disponibilidad </w:t>
      </w:r>
      <w:r w:rsidRPr="001C46C0">
        <w:rPr>
          <w:szCs w:val="20"/>
        </w:rPr>
        <w:t>o efectividad de las acciones en las investigaciones, implicaría una evaluación de las actuaciones del Estado en relación con sus obligaciones de respetar y garantizar los derechos reconocidos en los instrumentos internacionales cuya violación se alega, cuestión que no debe examinarse con carácter preliminar sino al e</w:t>
      </w:r>
      <w:r w:rsidR="003A2A21">
        <w:rPr>
          <w:szCs w:val="20"/>
        </w:rPr>
        <w:t>studi</w:t>
      </w:r>
      <w:r w:rsidRPr="001C46C0">
        <w:rPr>
          <w:szCs w:val="20"/>
        </w:rPr>
        <w:t>ar el fondo de la controversia.</w:t>
      </w:r>
    </w:p>
    <w:p w14:paraId="7B3C791E" w14:textId="77777777" w:rsidR="005166F9" w:rsidRPr="001C46C0" w:rsidRDefault="005166F9" w:rsidP="00B811D7">
      <w:pPr>
        <w:pStyle w:val="ListParagraph"/>
        <w:ind w:left="0"/>
        <w:rPr>
          <w:bCs/>
          <w:szCs w:val="20"/>
        </w:rPr>
      </w:pPr>
    </w:p>
    <w:p w14:paraId="59FF797F" w14:textId="77777777" w:rsidR="005166F9" w:rsidRPr="00BE2EA8" w:rsidRDefault="005166F9" w:rsidP="00D6683A">
      <w:pPr>
        <w:pStyle w:val="ListParagraph"/>
        <w:numPr>
          <w:ilvl w:val="0"/>
          <w:numId w:val="1"/>
        </w:numPr>
        <w:rPr>
          <w:bCs/>
          <w:szCs w:val="20"/>
        </w:rPr>
      </w:pPr>
      <w:r w:rsidRPr="001C46C0">
        <w:rPr>
          <w:bCs/>
          <w:szCs w:val="20"/>
        </w:rPr>
        <w:t>En consecuencia, el Tribunal entiende que no se ha afectado el derecho a la defensa del Estado, y que, consiguientemente, no hay motivo alguno para apartarse de lo decidido por la Comisión</w:t>
      </w:r>
      <w:r w:rsidRPr="001C46C0">
        <w:rPr>
          <w:szCs w:val="20"/>
        </w:rPr>
        <w:t xml:space="preserve"> en el procedimiento ante ella</w:t>
      </w:r>
      <w:r w:rsidRPr="001C46C0">
        <w:rPr>
          <w:bCs/>
          <w:szCs w:val="20"/>
        </w:rPr>
        <w:t xml:space="preserve">. </w:t>
      </w:r>
      <w:r>
        <w:rPr>
          <w:bCs/>
          <w:szCs w:val="20"/>
        </w:rPr>
        <w:t>L</w:t>
      </w:r>
      <w:r w:rsidRPr="001C46C0">
        <w:rPr>
          <w:szCs w:val="20"/>
        </w:rPr>
        <w:t xml:space="preserve">a falta de especificidad por parte del Estado en el momento procesal oportuno ante la Comisión, respecto de los recursos internos </w:t>
      </w:r>
      <w:r w:rsidRPr="001C46C0">
        <w:rPr>
          <w:rFonts w:cs="Verdana"/>
          <w:szCs w:val="20"/>
          <w:lang w:bidi="en-US"/>
        </w:rPr>
        <w:t>adecuados</w:t>
      </w:r>
      <w:r w:rsidRPr="001C46C0">
        <w:rPr>
          <w:szCs w:val="20"/>
        </w:rPr>
        <w:t xml:space="preserve"> que no se habrían agotado, así como la falta de argumentación sobre su disponibilidad, idoneidad y efectividad, hacen que el planteamiento al respecto ante esta Corte </w:t>
      </w:r>
      <w:r>
        <w:rPr>
          <w:szCs w:val="20"/>
        </w:rPr>
        <w:t>resulte</w:t>
      </w:r>
      <w:r w:rsidRPr="001C46C0">
        <w:rPr>
          <w:szCs w:val="20"/>
        </w:rPr>
        <w:t xml:space="preserve"> extemporáneo.</w:t>
      </w:r>
      <w:r>
        <w:rPr>
          <w:bCs/>
          <w:szCs w:val="20"/>
        </w:rPr>
        <w:t xml:space="preserve"> </w:t>
      </w:r>
      <w:r w:rsidRPr="00BE2EA8">
        <w:rPr>
          <w:bCs/>
          <w:szCs w:val="20"/>
        </w:rPr>
        <w:t xml:space="preserve">En virtud de lo anterior, la Corte desestima la excepción interpuesta por el Estado. </w:t>
      </w:r>
    </w:p>
    <w:p w14:paraId="38E4D1E2" w14:textId="77777777" w:rsidR="005166F9" w:rsidRPr="001C46C0" w:rsidRDefault="005166F9" w:rsidP="00B811D7">
      <w:pPr>
        <w:pStyle w:val="ListParagraph"/>
        <w:ind w:left="0" w:right="49"/>
        <w:outlineLvl w:val="0"/>
        <w:rPr>
          <w:rFonts w:cs="Verdana Bold"/>
          <w:bCs/>
          <w:szCs w:val="20"/>
          <w:lang w:val="es-MX"/>
        </w:rPr>
      </w:pPr>
    </w:p>
    <w:p w14:paraId="3D548F49" w14:textId="77777777" w:rsidR="0017090E" w:rsidRPr="0017090E" w:rsidRDefault="0017090E" w:rsidP="00547D83">
      <w:pPr>
        <w:pStyle w:val="TOC1"/>
        <w:rPr>
          <w:snapToGrid w:val="0"/>
        </w:rPr>
      </w:pPr>
      <w:bookmarkStart w:id="312" w:name="_Toc464813917"/>
      <w:bookmarkStart w:id="313" w:name="_Toc468910030"/>
      <w:bookmarkStart w:id="314" w:name="_Toc468910256"/>
      <w:bookmarkStart w:id="315" w:name="_Toc469404494"/>
      <w:bookmarkStart w:id="316" w:name="_Toc472608939"/>
      <w:r w:rsidRPr="0017090E">
        <w:rPr>
          <w:snapToGrid w:val="0"/>
        </w:rPr>
        <w:t>V</w:t>
      </w:r>
      <w:r w:rsidRPr="0017090E">
        <w:rPr>
          <w:snapToGrid w:val="0"/>
        </w:rPr>
        <w:br/>
      </w:r>
      <w:bookmarkStart w:id="317" w:name="_Toc311128362"/>
      <w:bookmarkStart w:id="318" w:name="_Toc311128165"/>
      <w:r w:rsidRPr="0017090E">
        <w:rPr>
          <w:snapToGrid w:val="0"/>
        </w:rPr>
        <w:t>PRUEBA</w:t>
      </w:r>
      <w:bookmarkEnd w:id="312"/>
      <w:bookmarkEnd w:id="313"/>
      <w:bookmarkEnd w:id="314"/>
      <w:bookmarkEnd w:id="315"/>
      <w:bookmarkEnd w:id="316"/>
      <w:bookmarkEnd w:id="317"/>
      <w:bookmarkEnd w:id="318"/>
    </w:p>
    <w:p w14:paraId="7009C898" w14:textId="77777777" w:rsidR="0017090E" w:rsidRPr="00E45E3B" w:rsidRDefault="0017090E" w:rsidP="00E45E3B">
      <w:pPr>
        <w:pStyle w:val="CommentText"/>
        <w:rPr>
          <w:rFonts w:eastAsia="Batang" w:cs="Times"/>
          <w:noProof/>
          <w:szCs w:val="24"/>
          <w:lang w:eastAsia="es-ES"/>
        </w:rPr>
      </w:pPr>
    </w:p>
    <w:p w14:paraId="426170B2" w14:textId="77777777" w:rsidR="0017090E" w:rsidRPr="00C25D1E" w:rsidRDefault="00C25D1E" w:rsidP="00123780">
      <w:pPr>
        <w:pStyle w:val="TOC2"/>
      </w:pPr>
      <w:bookmarkStart w:id="319" w:name="_Toc400025662"/>
      <w:bookmarkStart w:id="320" w:name="_Toc400031342"/>
      <w:bookmarkStart w:id="321" w:name="_Toc400035794"/>
      <w:bookmarkStart w:id="322" w:name="_Toc400116405"/>
      <w:bookmarkStart w:id="323" w:name="_Toc400118176"/>
      <w:bookmarkStart w:id="324" w:name="_Toc359314425"/>
      <w:bookmarkStart w:id="325" w:name="_Toc361671575"/>
      <w:bookmarkStart w:id="326" w:name="_Toc361671995"/>
      <w:bookmarkStart w:id="327" w:name="_Toc361732792"/>
      <w:bookmarkStart w:id="328" w:name="_Toc361732835"/>
      <w:bookmarkStart w:id="329" w:name="_Toc362456866"/>
      <w:bookmarkStart w:id="330" w:name="_Toc365021395"/>
      <w:bookmarkStart w:id="331" w:name="_Toc369076781"/>
      <w:bookmarkStart w:id="332" w:name="_Toc369989373"/>
      <w:bookmarkStart w:id="333" w:name="_Toc369989460"/>
      <w:bookmarkStart w:id="334" w:name="_Toc369989741"/>
      <w:bookmarkStart w:id="335" w:name="_Toc404770060"/>
      <w:bookmarkStart w:id="336" w:name="_Toc416164799"/>
      <w:bookmarkStart w:id="337" w:name="_Toc460432993"/>
      <w:bookmarkStart w:id="338" w:name="_Toc460441924"/>
      <w:bookmarkStart w:id="339" w:name="_Toc464813918"/>
      <w:bookmarkStart w:id="340" w:name="_Toc468910031"/>
      <w:bookmarkStart w:id="341" w:name="_Toc468910257"/>
      <w:bookmarkStart w:id="342" w:name="_Toc469404495"/>
      <w:bookmarkStart w:id="343" w:name="_Toc472608940"/>
      <w:bookmarkEnd w:id="319"/>
      <w:bookmarkEnd w:id="320"/>
      <w:bookmarkEnd w:id="321"/>
      <w:bookmarkEnd w:id="322"/>
      <w:bookmarkEnd w:id="323"/>
      <w:r>
        <w:t>A. P</w:t>
      </w:r>
      <w:r w:rsidR="0017090E" w:rsidRPr="00C25D1E">
        <w:t>rueba documental, testimonial y pericial</w:t>
      </w:r>
      <w:bookmarkStart w:id="344" w:name="_Ref30514567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F2D31B6" w14:textId="77777777" w:rsidR="0017090E" w:rsidRPr="0017090E" w:rsidRDefault="0017090E" w:rsidP="00B811D7">
      <w:pPr>
        <w:rPr>
          <w:rFonts w:eastAsia="Batang" w:cs="Times"/>
          <w:noProof/>
          <w:szCs w:val="24"/>
          <w:lang w:val="es-ES_tradnl"/>
        </w:rPr>
      </w:pPr>
    </w:p>
    <w:p w14:paraId="73D8CCCF" w14:textId="6C1B9DF6" w:rsidR="0017090E" w:rsidRPr="0017090E" w:rsidRDefault="0017090E" w:rsidP="00D6683A">
      <w:pPr>
        <w:numPr>
          <w:ilvl w:val="0"/>
          <w:numId w:val="1"/>
        </w:numPr>
        <w:rPr>
          <w:rFonts w:eastAsia="Batang" w:cs="Times"/>
          <w:noProof/>
          <w:szCs w:val="24"/>
          <w:lang w:val="es-ES_tradnl"/>
        </w:rPr>
      </w:pPr>
      <w:r w:rsidRPr="0017090E">
        <w:rPr>
          <w:rFonts w:eastAsia="Batang" w:cs="Times"/>
          <w:noProof/>
          <w:szCs w:val="24"/>
          <w:lang w:val="es-ES_tradnl" w:eastAsia="es-ES"/>
        </w:rPr>
        <w:t>Este Tribunal recibió diversos d</w:t>
      </w:r>
      <w:r w:rsidRPr="0017090E">
        <w:rPr>
          <w:rFonts w:eastAsia="Batang" w:cs="Times"/>
          <w:noProof/>
          <w:szCs w:val="24"/>
          <w:lang w:val="es-ES_tradnl"/>
        </w:rPr>
        <w:t>o</w:t>
      </w:r>
      <w:r w:rsidRPr="0017090E">
        <w:rPr>
          <w:rFonts w:eastAsia="Batang" w:cs="Times"/>
          <w:noProof/>
          <w:szCs w:val="24"/>
          <w:lang w:val="es-ES_tradnl" w:eastAsia="es-ES"/>
        </w:rPr>
        <w:t>c</w:t>
      </w:r>
      <w:r w:rsidRPr="0017090E">
        <w:rPr>
          <w:rFonts w:eastAsia="Batang" w:cs="Times"/>
          <w:noProof/>
          <w:szCs w:val="24"/>
          <w:lang w:val="es-ES_tradnl"/>
        </w:rPr>
        <w:t>umentos present</w:t>
      </w:r>
      <w:r w:rsidRPr="0017090E">
        <w:rPr>
          <w:rFonts w:eastAsia="Calibri" w:cs="Verdana"/>
          <w:noProof/>
          <w:spacing w:val="-2"/>
          <w:szCs w:val="20"/>
          <w:lang w:val="es-ES_tradnl" w:eastAsia="es-MX"/>
        </w:rPr>
        <w:t>ados como pru</w:t>
      </w:r>
      <w:r w:rsidRPr="0017090E">
        <w:rPr>
          <w:rFonts w:eastAsia="Batang" w:cs="Times"/>
          <w:noProof/>
          <w:szCs w:val="24"/>
          <w:lang w:val="es-ES_tradnl"/>
        </w:rPr>
        <w:t>eba por los representantes, el Estado y la Comisión, adjuntos a sus escritos principales y alegatos finales (</w:t>
      </w:r>
      <w:r w:rsidRPr="0017090E">
        <w:rPr>
          <w:rFonts w:eastAsia="Batang" w:cs="Times"/>
          <w:i/>
          <w:noProof/>
          <w:szCs w:val="24"/>
          <w:lang w:val="es-ES_tradnl"/>
        </w:rPr>
        <w:t xml:space="preserve">supra </w:t>
      </w:r>
      <w:r w:rsidRPr="0017090E">
        <w:rPr>
          <w:rFonts w:eastAsia="Batang" w:cs="Times"/>
          <w:noProof/>
          <w:szCs w:val="24"/>
          <w:lang w:val="es-ES_tradnl"/>
        </w:rPr>
        <w:t xml:space="preserve">párrs. </w:t>
      </w:r>
      <w:r w:rsidR="00C27E5A">
        <w:rPr>
          <w:rFonts w:eastAsia="Batang" w:cs="Times"/>
          <w:noProof/>
          <w:szCs w:val="24"/>
          <w:lang w:val="es-ES_tradnl"/>
        </w:rPr>
        <w:t>1</w:t>
      </w:r>
      <w:r w:rsidRPr="00E2279E">
        <w:rPr>
          <w:rFonts w:eastAsia="Batang" w:cs="Times"/>
          <w:noProof/>
          <w:szCs w:val="24"/>
          <w:lang w:val="es-ES_tradnl"/>
        </w:rPr>
        <w:t xml:space="preserve">, </w:t>
      </w:r>
      <w:r w:rsidR="00C27E5A">
        <w:rPr>
          <w:rFonts w:eastAsia="Batang" w:cs="Times"/>
          <w:noProof/>
          <w:szCs w:val="24"/>
          <w:lang w:val="es-ES_tradnl"/>
        </w:rPr>
        <w:t>4</w:t>
      </w:r>
      <w:r w:rsidRPr="00E2279E">
        <w:rPr>
          <w:rFonts w:eastAsia="Batang" w:cs="Times"/>
          <w:noProof/>
          <w:szCs w:val="24"/>
          <w:lang w:val="es-ES_tradnl"/>
        </w:rPr>
        <w:t xml:space="preserve"> y </w:t>
      </w:r>
      <w:r w:rsidR="00C27E5A">
        <w:rPr>
          <w:rFonts w:eastAsia="Batang" w:cs="Times"/>
          <w:noProof/>
          <w:szCs w:val="24"/>
          <w:lang w:val="es-ES_tradnl"/>
        </w:rPr>
        <w:t>7</w:t>
      </w:r>
      <w:r w:rsidRPr="0017090E">
        <w:rPr>
          <w:rFonts w:eastAsia="Batang" w:cs="Times"/>
          <w:noProof/>
          <w:szCs w:val="24"/>
          <w:lang w:val="es-ES_tradnl"/>
        </w:rPr>
        <w:t xml:space="preserve">). </w:t>
      </w:r>
      <w:r w:rsidRPr="00CC6D82">
        <w:rPr>
          <w:rFonts w:eastAsia="Batang" w:cs="Times"/>
          <w:noProof/>
          <w:szCs w:val="24"/>
          <w:lang w:val="es-ES_tradnl"/>
        </w:rPr>
        <w:t xml:space="preserve">Asimismo, la Corte recibió las declaraciones rendidas ante fedatario público </w:t>
      </w:r>
      <w:r w:rsidRPr="00CC6D82">
        <w:rPr>
          <w:rFonts w:eastAsia="Batang" w:cs="Times"/>
          <w:i/>
          <w:noProof/>
          <w:szCs w:val="24"/>
          <w:lang w:val="es-ES_tradnl"/>
        </w:rPr>
        <w:t>(</w:t>
      </w:r>
      <w:r w:rsidR="004422AF" w:rsidRPr="00CC6D82">
        <w:rPr>
          <w:rFonts w:eastAsia="Batang" w:cs="Times"/>
          <w:i/>
          <w:noProof/>
          <w:szCs w:val="24"/>
          <w:lang w:val="es-ES_tradnl"/>
        </w:rPr>
        <w:t>affidávit</w:t>
      </w:r>
      <w:r w:rsidRPr="00CC6D82">
        <w:rPr>
          <w:rFonts w:eastAsia="Batang" w:cs="Times"/>
          <w:i/>
          <w:noProof/>
          <w:szCs w:val="24"/>
          <w:lang w:val="es-ES_tradnl"/>
        </w:rPr>
        <w:t>)</w:t>
      </w:r>
      <w:r w:rsidRPr="00CC6D82">
        <w:rPr>
          <w:rFonts w:eastAsia="Batang" w:cs="Times"/>
          <w:noProof/>
          <w:szCs w:val="24"/>
          <w:lang w:val="es-ES_tradnl"/>
        </w:rPr>
        <w:t xml:space="preserve"> </w:t>
      </w:r>
      <w:r w:rsidR="00501478" w:rsidRPr="00CC6D82">
        <w:rPr>
          <w:rFonts w:eastAsia="Batang" w:cs="Times"/>
          <w:noProof/>
          <w:szCs w:val="24"/>
          <w:lang w:val="es-ES_tradnl"/>
        </w:rPr>
        <w:t>por</w:t>
      </w:r>
      <w:r w:rsidRPr="00CC6D82">
        <w:rPr>
          <w:rFonts w:eastAsia="Batang" w:cs="Times"/>
          <w:noProof/>
          <w:szCs w:val="24"/>
          <w:lang w:val="es-ES_tradnl"/>
        </w:rPr>
        <w:t xml:space="preserve"> las presuntas víticimas Bruna Fonseca Costa, Diogo da Silva Genoveva, Evelyn Santos de Souza Rodrigues, Geni Pereira Dutra, Helena Viana</w:t>
      </w:r>
      <w:r w:rsidR="003D3D8D" w:rsidRPr="00CC6D82">
        <w:rPr>
          <w:rFonts w:eastAsia="Batang" w:cs="Times"/>
          <w:noProof/>
          <w:szCs w:val="24"/>
          <w:lang w:val="es-ES_tradnl"/>
        </w:rPr>
        <w:t xml:space="preserve"> dos </w:t>
      </w:r>
      <w:r w:rsidR="003D3D8D" w:rsidRPr="00ED3229">
        <w:rPr>
          <w:rFonts w:eastAsia="Batang" w:cs="Times"/>
          <w:noProof/>
          <w:szCs w:val="24"/>
          <w:lang w:val="es-ES_tradnl"/>
        </w:rPr>
        <w:t>Santos</w:t>
      </w:r>
      <w:r w:rsidRPr="00CC6D82">
        <w:rPr>
          <w:rFonts w:eastAsia="Batang" w:cs="Times"/>
          <w:noProof/>
          <w:szCs w:val="24"/>
          <w:lang w:val="es-ES_tradnl"/>
        </w:rPr>
        <w:t xml:space="preserve">, João Alves de Moura, Joyce Neri da Silva Dantas, Maria das Graças da Silva, Michelle </w:t>
      </w:r>
      <w:r w:rsidRPr="00CC6D82">
        <w:rPr>
          <w:rFonts w:eastAsia="Batang" w:cs="Times"/>
          <w:noProof/>
          <w:szCs w:val="24"/>
          <w:lang w:val="es-ES_tradnl"/>
        </w:rPr>
        <w:lastRenderedPageBreak/>
        <w:t xml:space="preserve">Mariano dos Santos, Mônica Santos de Souza Rodrigues, Otacilio Costa, </w:t>
      </w:r>
      <w:r w:rsidR="00CC6D82" w:rsidRPr="00ED3229">
        <w:rPr>
          <w:rFonts w:eastAsia="Batang" w:cs="Times"/>
          <w:noProof/>
          <w:szCs w:val="24"/>
          <w:lang w:val="es-ES_tradnl"/>
        </w:rPr>
        <w:t>Pricila</w:t>
      </w:r>
      <w:r w:rsidRPr="00CC6D82">
        <w:rPr>
          <w:rFonts w:eastAsia="Batang" w:cs="Times"/>
          <w:noProof/>
          <w:szCs w:val="24"/>
          <w:lang w:val="es-ES_tradnl"/>
        </w:rPr>
        <w:t xml:space="preserve"> da Silva Rodrigues, Robson Genuino dos Santos Junior, Samuel da Silva Rodrigues, Tereza de Cássia Rosa Genoveva y William Mariano dos Santos, así como la declaración testimonial de Ignácio Cano. </w:t>
      </w:r>
      <w:r w:rsidRPr="0017090E">
        <w:rPr>
          <w:rFonts w:eastAsia="Batang" w:cs="Times"/>
          <w:noProof/>
          <w:szCs w:val="24"/>
          <w:lang w:val="es-ES_tradnl"/>
        </w:rPr>
        <w:t>De igual forma, recibió los dictámenes de los peritos Caetano Lagrasta Neto, Cec</w:t>
      </w:r>
      <w:r w:rsidR="00011D6C">
        <w:rPr>
          <w:rFonts w:eastAsia="Batang" w:cs="Times"/>
          <w:noProof/>
          <w:szCs w:val="24"/>
          <w:lang w:val="es-ES_tradnl"/>
        </w:rPr>
        <w:t>í</w:t>
      </w:r>
      <w:r w:rsidRPr="0017090E">
        <w:rPr>
          <w:rFonts w:eastAsia="Batang" w:cs="Times"/>
          <w:noProof/>
          <w:szCs w:val="24"/>
          <w:lang w:val="es-ES_tradnl"/>
        </w:rPr>
        <w:t xml:space="preserve">lia Coimbra, Daniel Sarmento, Débora Diniz, Jan Michael-Simon, João Batista Damasceno, João Tancredo, João Trajano, José Pablo Baraybar, Marlon Alberto Weichert, Michel Misse y Christof Heyns. En cuanto a la prueba rendida en audiencia pública, la Corte recibió las declaraciones de las presuntas víctimas L.R.J. y </w:t>
      </w:r>
      <w:r w:rsidRPr="0017090E">
        <w:rPr>
          <w:rFonts w:eastAsia="Batang" w:cs="Times"/>
          <w:noProof/>
          <w:szCs w:val="24"/>
        </w:rPr>
        <w:t xml:space="preserve">Mac Laine Faria Neves </w:t>
      </w:r>
      <w:r w:rsidRPr="0017090E">
        <w:rPr>
          <w:rFonts w:eastAsia="Batang" w:cs="Times"/>
          <w:noProof/>
          <w:szCs w:val="24"/>
          <w:lang w:val="es-ES_tradnl"/>
        </w:rPr>
        <w:t xml:space="preserve">propuestas por los representantes, y de los peritos </w:t>
      </w:r>
      <w:r w:rsidRPr="0017090E">
        <w:rPr>
          <w:rFonts w:eastAsia="Batang" w:cs="Times"/>
          <w:noProof/>
          <w:szCs w:val="24"/>
        </w:rPr>
        <w:t>Patricia Viseur-Sellers,</w:t>
      </w:r>
      <w:r w:rsidRPr="0017090E">
        <w:rPr>
          <w:rFonts w:eastAsia="Batang" w:cs="Times"/>
          <w:noProof/>
          <w:szCs w:val="24"/>
          <w:lang w:val="es-ES_tradnl"/>
        </w:rPr>
        <w:t xml:space="preserve"> </w:t>
      </w:r>
      <w:r w:rsidRPr="0017090E">
        <w:rPr>
          <w:rFonts w:eastAsia="Batang" w:cs="Times"/>
          <w:noProof/>
          <w:szCs w:val="24"/>
        </w:rPr>
        <w:t>Marlon Weichert y Claude Jacques Chambriard, propuestos por la Comisión, los representantes y el Estado, respectivamente.</w:t>
      </w:r>
    </w:p>
    <w:p w14:paraId="5F361C28" w14:textId="77777777" w:rsidR="0017090E" w:rsidRPr="0017090E" w:rsidRDefault="0017090E" w:rsidP="00B811D7">
      <w:pPr>
        <w:rPr>
          <w:rFonts w:eastAsia="Batang" w:cs="Times"/>
          <w:noProof/>
          <w:szCs w:val="24"/>
          <w:lang w:val="es-ES_tradnl"/>
        </w:rPr>
      </w:pPr>
    </w:p>
    <w:p w14:paraId="39E30738" w14:textId="2A7AC46E" w:rsidR="0017090E" w:rsidRPr="0017090E" w:rsidRDefault="0017090E" w:rsidP="00D6683A">
      <w:pPr>
        <w:numPr>
          <w:ilvl w:val="0"/>
          <w:numId w:val="1"/>
        </w:numPr>
        <w:rPr>
          <w:rFonts w:eastAsia="Batang" w:cs="Times"/>
          <w:noProof/>
          <w:szCs w:val="20"/>
          <w:lang w:val="es-ES_tradnl"/>
        </w:rPr>
      </w:pPr>
      <w:r w:rsidRPr="0017090E">
        <w:rPr>
          <w:rFonts w:eastAsia="Batang" w:cs="Times"/>
          <w:noProof/>
          <w:szCs w:val="20"/>
          <w:lang w:val="es-ES_tradnl"/>
        </w:rPr>
        <w:t xml:space="preserve">Finalmente, la Corte recibió diversos documentos presentados por los representantes junto con los alegatos finales escritos. </w:t>
      </w:r>
    </w:p>
    <w:p w14:paraId="5598BD45" w14:textId="77777777" w:rsidR="0017090E" w:rsidRPr="0017090E" w:rsidRDefault="0017090E" w:rsidP="00B811D7">
      <w:pPr>
        <w:rPr>
          <w:rFonts w:eastAsia="Batang" w:cs="Times"/>
          <w:noProof/>
          <w:szCs w:val="24"/>
          <w:lang w:val="es-ES_tradnl"/>
        </w:rPr>
      </w:pPr>
    </w:p>
    <w:p w14:paraId="5FA1D64F" w14:textId="77777777" w:rsidR="0017090E" w:rsidRPr="0017090E" w:rsidRDefault="00C25D1E" w:rsidP="00123780">
      <w:pPr>
        <w:pStyle w:val="TOC2"/>
      </w:pPr>
      <w:bookmarkStart w:id="345" w:name="_Toc464813919"/>
      <w:bookmarkStart w:id="346" w:name="_Toc460441925"/>
      <w:bookmarkStart w:id="347" w:name="_Toc460432994"/>
      <w:bookmarkStart w:id="348" w:name="_Toc416164800"/>
      <w:bookmarkStart w:id="349" w:name="_Toc369989742"/>
      <w:bookmarkStart w:id="350" w:name="_Toc369989461"/>
      <w:bookmarkStart w:id="351" w:name="_Toc369989374"/>
      <w:bookmarkStart w:id="352" w:name="_Toc369076782"/>
      <w:bookmarkStart w:id="353" w:name="_Toc404770061"/>
      <w:bookmarkStart w:id="354" w:name="_Toc365021396"/>
      <w:bookmarkStart w:id="355" w:name="_Toc362456867"/>
      <w:bookmarkStart w:id="356" w:name="_Toc361732836"/>
      <w:bookmarkStart w:id="357" w:name="_Toc361732793"/>
      <w:bookmarkStart w:id="358" w:name="_Toc361671996"/>
      <w:bookmarkStart w:id="359" w:name="_Toc361671576"/>
      <w:bookmarkStart w:id="360" w:name="_Toc359314426"/>
      <w:bookmarkStart w:id="361" w:name="_Toc468910032"/>
      <w:bookmarkStart w:id="362" w:name="_Toc468910258"/>
      <w:bookmarkStart w:id="363" w:name="_Toc469404496"/>
      <w:bookmarkStart w:id="364" w:name="_Toc472608941"/>
      <w:bookmarkEnd w:id="344"/>
      <w:r>
        <w:t xml:space="preserve">B. </w:t>
      </w:r>
      <w:r w:rsidR="0017090E" w:rsidRPr="0017090E">
        <w:t>Admisión de la prueba</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EA77129" w14:textId="77777777" w:rsidR="0017090E" w:rsidRPr="0017090E" w:rsidRDefault="0017090E" w:rsidP="00B811D7">
      <w:pPr>
        <w:rPr>
          <w:rFonts w:eastAsia="Batang" w:cs="Times"/>
          <w:noProof/>
          <w:szCs w:val="24"/>
          <w:lang w:val="es-ES_tradnl"/>
        </w:rPr>
      </w:pPr>
    </w:p>
    <w:p w14:paraId="58AD1147" w14:textId="77777777" w:rsidR="0017090E" w:rsidRPr="0017090E" w:rsidRDefault="0017090E" w:rsidP="00D6683A">
      <w:pPr>
        <w:numPr>
          <w:ilvl w:val="0"/>
          <w:numId w:val="1"/>
        </w:numPr>
        <w:rPr>
          <w:rFonts w:eastAsia="Batang" w:cs="Times"/>
          <w:noProof/>
          <w:szCs w:val="24"/>
          <w:lang w:val="es-ES_tradnl"/>
        </w:rPr>
      </w:pPr>
      <w:r w:rsidRPr="0017090E">
        <w:rPr>
          <w:rFonts w:eastAsia="Batang" w:cs="Times"/>
          <w:noProof/>
          <w:szCs w:val="24"/>
          <w:lang w:val="es-ES_tradnl"/>
        </w:rPr>
        <w:t xml:space="preserve">Este Tribunal admite los documentos </w:t>
      </w:r>
      <w:r w:rsidRPr="0017090E">
        <w:rPr>
          <w:rFonts w:eastAsia="Batang" w:cs="Times"/>
          <w:noProof/>
          <w:szCs w:val="20"/>
          <w:lang w:val="es-ES_tradnl"/>
        </w:rPr>
        <w:t>presentados en la debida oportunidad procesal por las partes y la Comisión, cuya admisiblidad no fue controvertida ni objetada</w:t>
      </w:r>
      <w:r w:rsidRPr="0017090E">
        <w:rPr>
          <w:rFonts w:eastAsia="Batang" w:cs="Times New Roman"/>
          <w:noProof/>
          <w:szCs w:val="20"/>
          <w:vertAlign w:val="superscript"/>
          <w:lang w:val="es-ES_tradnl"/>
        </w:rPr>
        <w:footnoteReference w:id="63"/>
      </w:r>
      <w:r w:rsidRPr="0017090E">
        <w:rPr>
          <w:rFonts w:eastAsia="Times New Roman" w:cs="Times"/>
          <w:noProof/>
          <w:szCs w:val="20"/>
          <w:lang w:val="es-ES_tradnl"/>
        </w:rPr>
        <w:t xml:space="preserve">. </w:t>
      </w:r>
    </w:p>
    <w:p w14:paraId="027CB367" w14:textId="77777777" w:rsidR="0017090E" w:rsidRPr="0017090E" w:rsidRDefault="0017090E" w:rsidP="00B811D7">
      <w:pPr>
        <w:rPr>
          <w:rFonts w:eastAsia="Batang" w:cs="Times"/>
          <w:noProof/>
          <w:szCs w:val="24"/>
          <w:lang w:val="es-ES_tradnl"/>
        </w:rPr>
      </w:pPr>
      <w:r w:rsidRPr="0017090E">
        <w:rPr>
          <w:rFonts w:eastAsia="Times New Roman" w:cs="Times"/>
          <w:noProof/>
          <w:szCs w:val="20"/>
          <w:lang w:val="es-ES_tradnl"/>
        </w:rPr>
        <w:t xml:space="preserve"> </w:t>
      </w:r>
    </w:p>
    <w:p w14:paraId="04FB2B65" w14:textId="2F19AC17" w:rsidR="0017090E" w:rsidRPr="0017090E" w:rsidRDefault="0017090E" w:rsidP="00D6683A">
      <w:pPr>
        <w:numPr>
          <w:ilvl w:val="0"/>
          <w:numId w:val="1"/>
        </w:numPr>
        <w:rPr>
          <w:rFonts w:eastAsia="Batang" w:cs="Times"/>
          <w:noProof/>
          <w:szCs w:val="24"/>
          <w:lang w:val="es-ES_tradnl"/>
        </w:rPr>
      </w:pPr>
      <w:r w:rsidRPr="0017090E">
        <w:rPr>
          <w:rFonts w:eastAsia="Batang" w:cs="Times"/>
          <w:noProof/>
          <w:szCs w:val="20"/>
          <w:lang w:val="es-ES_tradnl"/>
        </w:rPr>
        <w:t xml:space="preserve">Respecto a documentos señalados por medio de enlaces electrónicos, la Corte ha establecido que, si una parte o la Comisión proporciona al menos el enlace electrónico directo del documento que cita como prueba y es posible acceder a </w:t>
      </w:r>
      <w:r w:rsidR="00FE29EA">
        <w:rPr>
          <w:rFonts w:eastAsia="Batang" w:cs="Times"/>
          <w:noProof/>
          <w:szCs w:val="20"/>
          <w:lang w:val="es-ES_tradnl"/>
        </w:rPr>
        <w:t>é</w:t>
      </w:r>
      <w:r w:rsidRPr="0017090E">
        <w:rPr>
          <w:rFonts w:eastAsia="Batang" w:cs="Times"/>
          <w:noProof/>
          <w:szCs w:val="20"/>
          <w:lang w:val="es-ES_tradnl"/>
        </w:rPr>
        <w:t>ste, no se ve afectada la seguridad jurídica ni el equilibrio procesal porque es inmediatamente localizable por la Corte y por las otras partes</w:t>
      </w:r>
      <w:r w:rsidRPr="0017090E">
        <w:rPr>
          <w:rFonts w:eastAsia="Batang" w:cs="Times New Roman"/>
          <w:noProof/>
          <w:szCs w:val="20"/>
          <w:vertAlign w:val="superscript"/>
          <w:lang w:val="es-ES_tradnl"/>
        </w:rPr>
        <w:footnoteReference w:id="64"/>
      </w:r>
      <w:r w:rsidRPr="0017090E">
        <w:rPr>
          <w:rFonts w:eastAsia="Batang" w:cs="Times"/>
          <w:noProof/>
          <w:szCs w:val="20"/>
          <w:lang w:val="es-ES_tradnl"/>
        </w:rPr>
        <w:t xml:space="preserve">. </w:t>
      </w:r>
      <w:r w:rsidRPr="0017090E">
        <w:rPr>
          <w:rFonts w:eastAsia="Batang" w:cs="Times"/>
          <w:noProof/>
          <w:szCs w:val="24"/>
          <w:lang w:val="es-ES_tradnl"/>
        </w:rPr>
        <w:t>En consecuencia</w:t>
      </w:r>
      <w:r w:rsidR="00FE29EA">
        <w:rPr>
          <w:rFonts w:eastAsia="Batang" w:cs="Times"/>
          <w:noProof/>
          <w:szCs w:val="24"/>
          <w:lang w:val="es-ES_tradnl"/>
        </w:rPr>
        <w:t>,</w:t>
      </w:r>
      <w:r w:rsidRPr="0017090E">
        <w:rPr>
          <w:rFonts w:eastAsia="Batang" w:cs="Times"/>
          <w:noProof/>
          <w:szCs w:val="24"/>
          <w:lang w:val="es-ES_tradnl"/>
        </w:rPr>
        <w:t xml:space="preserve"> la Corte estima pertinente admitir los documentos que fueron señalados por medio de enlaces electrónicos en el presente caso.</w:t>
      </w:r>
    </w:p>
    <w:p w14:paraId="32BC8548" w14:textId="77777777" w:rsidR="0017090E" w:rsidRPr="0017090E" w:rsidRDefault="0017090E" w:rsidP="00B811D7">
      <w:pPr>
        <w:ind w:left="720"/>
        <w:rPr>
          <w:szCs w:val="20"/>
          <w:lang w:val="es-ES"/>
        </w:rPr>
      </w:pPr>
    </w:p>
    <w:p w14:paraId="0551DF7C" w14:textId="04AC7BA3" w:rsidR="0017090E" w:rsidRPr="0017090E" w:rsidRDefault="0017090E" w:rsidP="00D6683A">
      <w:pPr>
        <w:numPr>
          <w:ilvl w:val="0"/>
          <w:numId w:val="1"/>
        </w:numPr>
        <w:rPr>
          <w:rFonts w:eastAsia="Batang" w:cs="Times"/>
          <w:noProof/>
          <w:szCs w:val="24"/>
          <w:lang w:val="es-ES_tradnl"/>
        </w:rPr>
      </w:pPr>
      <w:r w:rsidRPr="0017090E">
        <w:rPr>
          <w:szCs w:val="20"/>
          <w:lang w:val="es-ES"/>
        </w:rPr>
        <w:t xml:space="preserve">En </w:t>
      </w:r>
      <w:r w:rsidRPr="0017090E">
        <w:rPr>
          <w:szCs w:val="20"/>
        </w:rPr>
        <w:t>cuanto</w:t>
      </w:r>
      <w:r w:rsidRPr="0017090E">
        <w:rPr>
          <w:szCs w:val="20"/>
          <w:lang w:val="es-ES"/>
        </w:rPr>
        <w:t xml:space="preserve"> a las notas de prensa remitidas por la Comisión y los representantes, la Corte ha considerado que podrán ser apreciadas cuando recojan hechos públicos y notorios o declaraciones de funcionarios del Estado, o cuando corroboren aspectos relacionados con el caso</w:t>
      </w:r>
      <w:r w:rsidRPr="0017090E">
        <w:rPr>
          <w:rFonts w:cs="Times New Roman"/>
          <w:szCs w:val="20"/>
          <w:vertAlign w:val="superscript"/>
          <w:lang w:val="es-ES"/>
        </w:rPr>
        <w:footnoteReference w:id="65"/>
      </w:r>
      <w:r w:rsidRPr="0017090E">
        <w:rPr>
          <w:szCs w:val="20"/>
          <w:lang w:val="es-ES"/>
        </w:rPr>
        <w:t>. La Corte decide admitir aquellos documentos que se encuentren completos o que, por lo menos, permitan constatar su fuente y fecha de publicación</w:t>
      </w:r>
      <w:r w:rsidRPr="0017090E">
        <w:rPr>
          <w:rFonts w:cs="Times New Roman"/>
          <w:szCs w:val="20"/>
          <w:vertAlign w:val="superscript"/>
          <w:lang w:val="es-ES"/>
        </w:rPr>
        <w:footnoteReference w:id="66"/>
      </w:r>
      <w:r w:rsidRPr="0017090E">
        <w:rPr>
          <w:szCs w:val="20"/>
          <w:lang w:val="es-ES"/>
        </w:rPr>
        <w:t xml:space="preserve">. </w:t>
      </w:r>
    </w:p>
    <w:p w14:paraId="30F75574" w14:textId="77777777" w:rsidR="0017090E" w:rsidRPr="0017090E" w:rsidRDefault="0017090E" w:rsidP="00B811D7">
      <w:pPr>
        <w:rPr>
          <w:rFonts w:eastAsia="Batang" w:cs="Times"/>
          <w:noProof/>
          <w:szCs w:val="24"/>
          <w:lang w:val="es-ES_tradnl"/>
        </w:rPr>
      </w:pPr>
    </w:p>
    <w:p w14:paraId="1B960438" w14:textId="7D3BCCF1" w:rsidR="0017090E" w:rsidRPr="0017090E" w:rsidRDefault="0017090E" w:rsidP="00D6683A">
      <w:pPr>
        <w:numPr>
          <w:ilvl w:val="0"/>
          <w:numId w:val="1"/>
        </w:numPr>
        <w:rPr>
          <w:rFonts w:eastAsia="Batang" w:cs="Times"/>
          <w:noProof/>
          <w:szCs w:val="24"/>
          <w:lang w:val="es-ES_tradnl"/>
        </w:rPr>
      </w:pPr>
      <w:r w:rsidRPr="0017090E">
        <w:rPr>
          <w:rFonts w:eastAsia="Batang" w:cs="Times"/>
          <w:noProof/>
          <w:szCs w:val="24"/>
          <w:lang w:val="es-ES_tradnl"/>
        </w:rPr>
        <w:t xml:space="preserve">Con relación a la declaración en forma de audio rendida por la presunta víctima </w:t>
      </w:r>
      <w:r w:rsidRPr="0017090E">
        <w:rPr>
          <w:rFonts w:eastAsia="Batang" w:cs="Times"/>
          <w:noProof/>
          <w:szCs w:val="24"/>
        </w:rPr>
        <w:t xml:space="preserve">Michelle Mariano dos Santos, la misma no fue rendida ante fedatario público. En ese sentido, los representantes justificaron que no fue posible autenticar la declaración de la señora dos Santos en virtud de estar internada en una Unidad de Tratamiento Intensivo debido a su grave estado de salud. </w:t>
      </w:r>
      <w:r w:rsidR="00FE29EA">
        <w:rPr>
          <w:rFonts w:eastAsia="Batang" w:cs="Times"/>
          <w:noProof/>
          <w:szCs w:val="24"/>
        </w:rPr>
        <w:t>E</w:t>
      </w:r>
      <w:r w:rsidRPr="0017090E">
        <w:rPr>
          <w:rFonts w:eastAsia="Batang" w:cs="Times"/>
          <w:noProof/>
          <w:szCs w:val="24"/>
        </w:rPr>
        <w:t xml:space="preserve">ste Tribunal constata que </w:t>
      </w:r>
      <w:r w:rsidR="00FE29EA">
        <w:rPr>
          <w:rFonts w:eastAsia="Batang" w:cs="Times"/>
          <w:noProof/>
          <w:szCs w:val="24"/>
        </w:rPr>
        <w:t xml:space="preserve">ni </w:t>
      </w:r>
      <w:r w:rsidRPr="0017090E">
        <w:rPr>
          <w:rFonts w:eastAsia="Batang" w:cs="Times"/>
          <w:noProof/>
          <w:szCs w:val="24"/>
        </w:rPr>
        <w:t>su admisibilidad ni su autencidad fue</w:t>
      </w:r>
      <w:r w:rsidR="00FF5852">
        <w:rPr>
          <w:rFonts w:eastAsia="Batang" w:cs="Times"/>
          <w:noProof/>
          <w:szCs w:val="24"/>
        </w:rPr>
        <w:t>ron</w:t>
      </w:r>
      <w:r w:rsidRPr="0017090E">
        <w:rPr>
          <w:rFonts w:eastAsia="Batang" w:cs="Times"/>
          <w:noProof/>
          <w:szCs w:val="24"/>
        </w:rPr>
        <w:t xml:space="preserve"> objetada</w:t>
      </w:r>
      <w:r w:rsidR="00FF5852">
        <w:rPr>
          <w:rFonts w:eastAsia="Batang" w:cs="Times"/>
          <w:noProof/>
          <w:szCs w:val="24"/>
        </w:rPr>
        <w:t>s</w:t>
      </w:r>
      <w:r w:rsidRPr="0017090E">
        <w:rPr>
          <w:rFonts w:eastAsia="Batang" w:cs="Times"/>
          <w:noProof/>
          <w:szCs w:val="24"/>
        </w:rPr>
        <w:t xml:space="preserve"> por el Estado y que posteriormente los representates adjuntaron el acta de defunción de la presunta víctima. </w:t>
      </w:r>
      <w:r w:rsidR="00FE29EA">
        <w:rPr>
          <w:rFonts w:eastAsia="Batang" w:cs="Times"/>
          <w:noProof/>
          <w:szCs w:val="24"/>
        </w:rPr>
        <w:t>L</w:t>
      </w:r>
      <w:r w:rsidRPr="0017090E">
        <w:rPr>
          <w:rFonts w:eastAsia="Batang" w:cs="Times"/>
          <w:noProof/>
          <w:szCs w:val="24"/>
        </w:rPr>
        <w:t xml:space="preserve">a Corte reconoce las circunstancias especiales que imposibilitaron </w:t>
      </w:r>
      <w:r w:rsidR="004422AF">
        <w:rPr>
          <w:rFonts w:eastAsia="Batang" w:cs="Times"/>
          <w:noProof/>
          <w:szCs w:val="24"/>
        </w:rPr>
        <w:t xml:space="preserve">a </w:t>
      </w:r>
      <w:r w:rsidRPr="0017090E">
        <w:rPr>
          <w:rFonts w:eastAsia="Batang" w:cs="Times"/>
          <w:noProof/>
          <w:szCs w:val="24"/>
        </w:rPr>
        <w:t xml:space="preserve">la señora Michelle Mariano dos Santos de rendir su declaración ante un fedatario público </w:t>
      </w:r>
      <w:r w:rsidR="004422AF">
        <w:rPr>
          <w:rFonts w:eastAsia="Batang" w:cs="Times"/>
          <w:noProof/>
          <w:szCs w:val="24"/>
        </w:rPr>
        <w:t>y</w:t>
      </w:r>
      <w:r w:rsidRPr="0017090E">
        <w:rPr>
          <w:rFonts w:eastAsia="Batang" w:cs="Times"/>
          <w:noProof/>
          <w:szCs w:val="24"/>
        </w:rPr>
        <w:t xml:space="preserve"> estima procedente admitir dicha prueba de conformidad con el artículo 58.a del Reglamento. </w:t>
      </w:r>
    </w:p>
    <w:p w14:paraId="652C9598" w14:textId="77777777" w:rsidR="0017090E" w:rsidRPr="0017090E" w:rsidRDefault="0017090E" w:rsidP="00B811D7">
      <w:pPr>
        <w:rPr>
          <w:rFonts w:eastAsia="Batang" w:cs="Times"/>
          <w:noProof/>
          <w:szCs w:val="24"/>
          <w:lang w:val="es-ES_tradnl"/>
        </w:rPr>
      </w:pPr>
    </w:p>
    <w:p w14:paraId="7A73E815" w14:textId="29FA9481" w:rsidR="0017090E" w:rsidRPr="0069482F" w:rsidRDefault="0017090E" w:rsidP="00D6683A">
      <w:pPr>
        <w:numPr>
          <w:ilvl w:val="0"/>
          <w:numId w:val="1"/>
        </w:numPr>
        <w:rPr>
          <w:rFonts w:eastAsia="Times New Roman" w:cs="Verdana"/>
          <w:szCs w:val="20"/>
          <w:lang w:bidi="en-US"/>
        </w:rPr>
      </w:pPr>
      <w:r w:rsidRPr="0017090E">
        <w:rPr>
          <w:rFonts w:eastAsia="Times New Roman" w:cs="Verdana"/>
          <w:szCs w:val="20"/>
          <w:lang w:bidi="en-US"/>
        </w:rPr>
        <w:t>Además, el 3 de octubre de 2016 los representantes remitieron como prueba superv</w:t>
      </w:r>
      <w:r w:rsidR="00DB4054">
        <w:rPr>
          <w:rFonts w:eastAsia="Times New Roman" w:cs="Verdana"/>
          <w:szCs w:val="20"/>
          <w:lang w:bidi="en-US"/>
        </w:rPr>
        <w:t>i</w:t>
      </w:r>
      <w:r w:rsidRPr="0017090E">
        <w:rPr>
          <w:rFonts w:eastAsia="Times New Roman" w:cs="Verdana"/>
          <w:szCs w:val="20"/>
          <w:lang w:bidi="en-US"/>
        </w:rPr>
        <w:t xml:space="preserve">niente copia del proceso de acción indemnizatoria </w:t>
      </w:r>
      <w:r w:rsidR="00FF5852">
        <w:rPr>
          <w:rFonts w:eastAsia="Times New Roman" w:cs="Verdana"/>
          <w:szCs w:val="20"/>
          <w:lang w:bidi="en-US"/>
        </w:rPr>
        <w:t>No.</w:t>
      </w:r>
      <w:r w:rsidR="00FF5852" w:rsidRPr="0017090E">
        <w:rPr>
          <w:rFonts w:eastAsia="Times New Roman" w:cs="Verdana"/>
          <w:szCs w:val="20"/>
          <w:lang w:bidi="en-US"/>
        </w:rPr>
        <w:t xml:space="preserve"> </w:t>
      </w:r>
      <w:r w:rsidRPr="0017090E">
        <w:rPr>
          <w:rFonts w:eastAsia="Times New Roman" w:cs="Verdana"/>
          <w:szCs w:val="20"/>
          <w:lang w:bidi="en-US"/>
        </w:rPr>
        <w:t xml:space="preserve">2002.001.085895-0, </w:t>
      </w:r>
      <w:r w:rsidRPr="0017090E">
        <w:rPr>
          <w:rFonts w:eastAsia="Times New Roman" w:cs="Verdana"/>
          <w:szCs w:val="20"/>
          <w:lang w:bidi="en-US"/>
        </w:rPr>
        <w:lastRenderedPageBreak/>
        <w:t xml:space="preserve">interpuesto por las presuntas víctimas </w:t>
      </w:r>
      <w:proofErr w:type="spellStart"/>
      <w:r w:rsidRPr="0017090E">
        <w:rPr>
          <w:rFonts w:eastAsia="Times New Roman" w:cs="Verdana"/>
          <w:szCs w:val="20"/>
          <w:lang w:bidi="en-US"/>
        </w:rPr>
        <w:t>Mônica</w:t>
      </w:r>
      <w:proofErr w:type="spellEnd"/>
      <w:r w:rsidRPr="0017090E">
        <w:rPr>
          <w:rFonts w:eastAsia="Times New Roman" w:cs="Verdana"/>
          <w:szCs w:val="20"/>
          <w:lang w:bidi="en-US"/>
        </w:rPr>
        <w:t xml:space="preserve"> Santos de Souza </w:t>
      </w:r>
      <w:proofErr w:type="spellStart"/>
      <w:r w:rsidRPr="0017090E">
        <w:rPr>
          <w:rFonts w:eastAsia="Times New Roman" w:cs="Verdana"/>
          <w:szCs w:val="20"/>
          <w:lang w:bidi="en-US"/>
        </w:rPr>
        <w:t>Rodrigues</w:t>
      </w:r>
      <w:proofErr w:type="spellEnd"/>
      <w:r w:rsidRPr="0017090E">
        <w:rPr>
          <w:rFonts w:eastAsia="Times New Roman" w:cs="Verdana"/>
          <w:szCs w:val="20"/>
          <w:lang w:bidi="en-US"/>
        </w:rPr>
        <w:t xml:space="preserve"> y Evelyn </w:t>
      </w:r>
      <w:r w:rsidRPr="0069482F">
        <w:rPr>
          <w:rFonts w:eastAsia="Times New Roman" w:cs="Verdana"/>
          <w:szCs w:val="20"/>
          <w:lang w:bidi="en-US"/>
        </w:rPr>
        <w:t xml:space="preserve">Santos de Souza </w:t>
      </w:r>
      <w:proofErr w:type="spellStart"/>
      <w:r w:rsidRPr="0069482F">
        <w:rPr>
          <w:rFonts w:eastAsia="Times New Roman" w:cs="Verdana"/>
          <w:szCs w:val="20"/>
          <w:lang w:bidi="en-US"/>
        </w:rPr>
        <w:t>Rodrigues</w:t>
      </w:r>
      <w:proofErr w:type="spellEnd"/>
      <w:r w:rsidRPr="0069482F">
        <w:rPr>
          <w:rFonts w:eastAsia="Times New Roman" w:cs="Verdana"/>
          <w:szCs w:val="20"/>
          <w:lang w:bidi="en-US"/>
        </w:rPr>
        <w:t xml:space="preserve"> en el ámbito interno. Esta prueba fue tr</w:t>
      </w:r>
      <w:r w:rsidR="004422AF">
        <w:rPr>
          <w:rFonts w:eastAsia="Times New Roman" w:cs="Verdana"/>
          <w:szCs w:val="20"/>
          <w:lang w:bidi="en-US"/>
        </w:rPr>
        <w:t>ansmitida al Estado, sin haberla</w:t>
      </w:r>
      <w:r w:rsidRPr="0069482F">
        <w:rPr>
          <w:rFonts w:eastAsia="Times New Roman" w:cs="Verdana"/>
          <w:szCs w:val="20"/>
          <w:lang w:bidi="en-US"/>
        </w:rPr>
        <w:t xml:space="preserve"> objetado. La Corte constata que la información presentada es posterior al escrito de solicitudes</w:t>
      </w:r>
      <w:r w:rsidR="004422AF">
        <w:rPr>
          <w:rFonts w:eastAsia="Times New Roman" w:cs="Verdana"/>
          <w:szCs w:val="20"/>
          <w:lang w:bidi="en-US"/>
        </w:rPr>
        <w:t>,</w:t>
      </w:r>
      <w:r w:rsidRPr="0069482F">
        <w:rPr>
          <w:rFonts w:eastAsia="Times New Roman" w:cs="Verdana"/>
          <w:szCs w:val="20"/>
          <w:lang w:bidi="en-US"/>
        </w:rPr>
        <w:t xml:space="preserve"> argumentos</w:t>
      </w:r>
      <w:r w:rsidR="00FE29EA">
        <w:rPr>
          <w:rFonts w:eastAsia="Times New Roman" w:cs="Verdana"/>
          <w:szCs w:val="20"/>
          <w:lang w:bidi="en-US"/>
        </w:rPr>
        <w:t xml:space="preserve"> y pruebas, en razón de lo cual</w:t>
      </w:r>
      <w:r w:rsidRPr="0069482F">
        <w:rPr>
          <w:rFonts w:eastAsia="Times New Roman" w:cs="Verdana"/>
          <w:szCs w:val="20"/>
          <w:lang w:bidi="en-US"/>
        </w:rPr>
        <w:t xml:space="preserve"> este Tribunal admite la referida documentación</w:t>
      </w:r>
      <w:r w:rsidRPr="0069482F">
        <w:rPr>
          <w:rFonts w:eastAsia="Times New Roman" w:cs="Times New Roman"/>
          <w:szCs w:val="20"/>
          <w:vertAlign w:val="superscript"/>
          <w:lang w:bidi="en-US"/>
        </w:rPr>
        <w:footnoteReference w:id="67"/>
      </w:r>
      <w:r w:rsidRPr="0069482F">
        <w:rPr>
          <w:rFonts w:eastAsia="Times New Roman" w:cs="Verdana"/>
          <w:szCs w:val="20"/>
          <w:lang w:bidi="en-US"/>
        </w:rPr>
        <w:t>.</w:t>
      </w:r>
    </w:p>
    <w:p w14:paraId="4B9B5986" w14:textId="77777777" w:rsidR="0017090E" w:rsidRPr="0069482F" w:rsidRDefault="0017090E" w:rsidP="00B811D7">
      <w:pPr>
        <w:rPr>
          <w:rFonts w:eastAsia="Batang" w:cs="Times"/>
          <w:noProof/>
          <w:szCs w:val="20"/>
        </w:rPr>
      </w:pPr>
    </w:p>
    <w:p w14:paraId="21C6591A" w14:textId="392EF6F2" w:rsidR="00BF170E" w:rsidRPr="00882229" w:rsidRDefault="0017090E" w:rsidP="00D6683A">
      <w:pPr>
        <w:numPr>
          <w:ilvl w:val="0"/>
          <w:numId w:val="1"/>
        </w:numPr>
        <w:rPr>
          <w:rFonts w:eastAsia="Batang" w:cs="Times"/>
          <w:bCs/>
          <w:i/>
          <w:noProof/>
          <w:szCs w:val="24"/>
          <w:lang w:val="es-BO"/>
        </w:rPr>
      </w:pPr>
      <w:r w:rsidRPr="0069482F">
        <w:rPr>
          <w:rFonts w:eastAsia="Batang" w:cs="Times"/>
          <w:noProof/>
          <w:szCs w:val="24"/>
          <w:lang w:val="es-ES_tradnl"/>
        </w:rPr>
        <w:t xml:space="preserve"> En lo que se refiere a los documentos remitidos por los representantes sobre costas y gastos aportados con los alegatos finales escritos, la Corte solo considerará aquellos que se refieran a las nuevas costas y gastos en que hayan incurrido con ocasión del procedimiento ante esta Corte, es decir, aquellos realizados con posterioridad a la presentación del escrito de solicitudes y argumentos. Por ende, no considerará las facturas cuya fecha sea anterior a la presentación del escrito de solicitudes y argumentos, ya que debieron ser presentadas en el momento procesal oportuno</w:t>
      </w:r>
      <w:r w:rsidRPr="0069482F">
        <w:rPr>
          <w:rFonts w:eastAsia="Batang" w:cs="Times New Roman"/>
          <w:noProof/>
          <w:szCs w:val="20"/>
          <w:vertAlign w:val="superscript"/>
          <w:lang w:val="es-ES_tradnl"/>
        </w:rPr>
        <w:footnoteReference w:id="68"/>
      </w:r>
      <w:r w:rsidRPr="0069482F">
        <w:rPr>
          <w:rFonts w:eastAsia="Batang" w:cs="Times"/>
          <w:noProof/>
          <w:szCs w:val="24"/>
          <w:lang w:val="es-ES_tradnl"/>
        </w:rPr>
        <w:t xml:space="preserve">. </w:t>
      </w:r>
      <w:r w:rsidR="00FE29EA">
        <w:rPr>
          <w:rFonts w:eastAsia="Batang" w:cs="Times"/>
          <w:noProof/>
          <w:szCs w:val="24"/>
          <w:lang w:val="es-ES_tradnl"/>
        </w:rPr>
        <w:t>En relación con</w:t>
      </w:r>
      <w:r w:rsidR="00BF170E" w:rsidRPr="0069482F">
        <w:rPr>
          <w:rFonts w:eastAsia="Batang" w:cs="Times"/>
          <w:noProof/>
          <w:szCs w:val="24"/>
          <w:lang w:val="es-ES_tradnl"/>
        </w:rPr>
        <w:t xml:space="preserve"> </w:t>
      </w:r>
      <w:r w:rsidR="00EA37A4" w:rsidRPr="0069482F">
        <w:rPr>
          <w:rFonts w:eastAsia="Batang" w:cs="Times"/>
          <w:noProof/>
          <w:szCs w:val="24"/>
          <w:lang w:val="es-ES_tradnl"/>
        </w:rPr>
        <w:t xml:space="preserve">determinados </w:t>
      </w:r>
      <w:r w:rsidR="00BF170E" w:rsidRPr="0069482F">
        <w:rPr>
          <w:rFonts w:eastAsia="Batang" w:cs="Times"/>
          <w:noProof/>
          <w:szCs w:val="24"/>
          <w:lang w:val="es-ES_tradnl"/>
        </w:rPr>
        <w:t xml:space="preserve">documentos remitidos por los representantes </w:t>
      </w:r>
      <w:r w:rsidR="00EA37A4" w:rsidRPr="0069482F">
        <w:rPr>
          <w:rFonts w:eastAsia="Batang" w:cs="Times"/>
          <w:noProof/>
          <w:szCs w:val="24"/>
          <w:lang w:val="es-ES_tradnl"/>
        </w:rPr>
        <w:t xml:space="preserve">junto con sus alegatos finales escritos referentes a partes del expediente del caso ante la Comisión Interamericana, en particular actas de reuniones entre el Estado y los representantes para intentar llegar a un acuerdo de solución amistosa, la Corte considera que dicha prueba no fue presentada </w:t>
      </w:r>
      <w:r w:rsidR="00BF170E" w:rsidRPr="0069482F">
        <w:rPr>
          <w:rFonts w:eastAsia="Batang" w:cs="Times"/>
          <w:noProof/>
          <w:szCs w:val="24"/>
          <w:lang w:val="es-ES_tradnl"/>
        </w:rPr>
        <w:t xml:space="preserve">en el momento procesal oportuno ante la </w:t>
      </w:r>
      <w:r w:rsidR="00EA37A4" w:rsidRPr="0069482F">
        <w:rPr>
          <w:rFonts w:eastAsia="Batang" w:cs="Times"/>
          <w:noProof/>
          <w:szCs w:val="24"/>
          <w:lang w:val="es-ES_tradnl"/>
        </w:rPr>
        <w:t xml:space="preserve">Corte y, por lo tanto, la considera inadmisible. </w:t>
      </w:r>
    </w:p>
    <w:p w14:paraId="5154F1BE" w14:textId="77777777" w:rsidR="00882229" w:rsidRDefault="00882229" w:rsidP="00882229">
      <w:pPr>
        <w:pStyle w:val="ListParagraph"/>
        <w:rPr>
          <w:rFonts w:eastAsia="Batang" w:cs="Times"/>
          <w:bCs/>
          <w:i/>
          <w:noProof/>
          <w:szCs w:val="24"/>
          <w:lang w:val="es-BO"/>
        </w:rPr>
      </w:pPr>
    </w:p>
    <w:p w14:paraId="42CAE1D0" w14:textId="640D49B7" w:rsidR="00882229" w:rsidRPr="00C6651D" w:rsidRDefault="00882229" w:rsidP="00D6683A">
      <w:pPr>
        <w:numPr>
          <w:ilvl w:val="0"/>
          <w:numId w:val="1"/>
        </w:numPr>
        <w:rPr>
          <w:rFonts w:eastAsia="Batang" w:cs="Times"/>
          <w:bCs/>
          <w:i/>
          <w:noProof/>
          <w:szCs w:val="24"/>
          <w:lang w:val="es-ES"/>
        </w:rPr>
      </w:pPr>
      <w:r>
        <w:rPr>
          <w:rFonts w:eastAsia="Batang" w:cs="Times"/>
          <w:bCs/>
          <w:noProof/>
          <w:szCs w:val="24"/>
          <w:lang w:val="es-BO"/>
        </w:rPr>
        <w:t xml:space="preserve">Por otro lado, de </w:t>
      </w:r>
      <w:r w:rsidRPr="00882229">
        <w:rPr>
          <w:rFonts w:eastAsia="Batang" w:cs="Times"/>
          <w:bCs/>
          <w:noProof/>
          <w:szCs w:val="24"/>
          <w:lang w:val="es-ES"/>
        </w:rPr>
        <w:t>conformidad con el artículo 58.a) de su Reglamento, “[e]n cualquier estado de la causa la Corte podrá: Procurar de oficio toda prueba que considere útil y necesaria”.</w:t>
      </w:r>
      <w:r>
        <w:rPr>
          <w:rFonts w:eastAsia="Batang" w:cs="Times"/>
          <w:bCs/>
          <w:noProof/>
          <w:szCs w:val="24"/>
          <w:lang w:val="es-ES"/>
        </w:rPr>
        <w:t xml:space="preserve"> </w:t>
      </w:r>
      <w:r w:rsidRPr="00C6651D">
        <w:rPr>
          <w:rFonts w:eastAsia="Batang" w:cs="Times"/>
          <w:bCs/>
          <w:noProof/>
          <w:szCs w:val="24"/>
          <w:lang w:val="es-ES"/>
        </w:rPr>
        <w:t xml:space="preserve">En ese sentido, en el presente caso la Corte considera útil </w:t>
      </w:r>
      <w:r w:rsidR="00977AB2">
        <w:rPr>
          <w:rFonts w:eastAsia="Batang" w:cs="Times"/>
          <w:bCs/>
          <w:noProof/>
          <w:szCs w:val="24"/>
          <w:lang w:val="es-ES"/>
        </w:rPr>
        <w:t xml:space="preserve">para corroborar datos sobre </w:t>
      </w:r>
      <w:r w:rsidR="0080595B">
        <w:rPr>
          <w:rFonts w:eastAsia="Batang" w:cs="Times"/>
          <w:bCs/>
          <w:noProof/>
          <w:szCs w:val="24"/>
          <w:lang w:val="es-ES"/>
        </w:rPr>
        <w:t xml:space="preserve">el </w:t>
      </w:r>
      <w:r w:rsidR="00977AB2">
        <w:rPr>
          <w:rFonts w:eastAsia="Batang" w:cs="Times"/>
          <w:bCs/>
          <w:noProof/>
          <w:szCs w:val="24"/>
          <w:lang w:val="es-ES"/>
        </w:rPr>
        <w:t xml:space="preserve">contexto </w:t>
      </w:r>
      <w:r w:rsidRPr="00C6651D">
        <w:rPr>
          <w:rFonts w:eastAsia="Batang" w:cs="Times"/>
          <w:bCs/>
          <w:noProof/>
          <w:szCs w:val="24"/>
          <w:lang w:val="es-ES"/>
        </w:rPr>
        <w:t xml:space="preserve">e incorpora de oficio </w:t>
      </w:r>
      <w:r w:rsidR="00C6651D" w:rsidRPr="00C6651D">
        <w:rPr>
          <w:rFonts w:eastAsia="Batang" w:cs="Times"/>
          <w:bCs/>
          <w:noProof/>
          <w:szCs w:val="24"/>
          <w:lang w:val="es-ES"/>
        </w:rPr>
        <w:t>el libro “</w:t>
      </w:r>
      <w:r w:rsidR="00C6651D" w:rsidRPr="00C6651D">
        <w:rPr>
          <w:rFonts w:eastAsia="Batang" w:cs="Times"/>
          <w:bCs/>
          <w:i/>
          <w:noProof/>
          <w:szCs w:val="24"/>
          <w:lang w:val="es-ES"/>
        </w:rPr>
        <w:t>Pensando a Segurança Pública, Segurança Pública e Direitos Humanos: temas transversais</w:t>
      </w:r>
      <w:r w:rsidR="00C6651D" w:rsidRPr="00C6651D">
        <w:rPr>
          <w:rFonts w:eastAsia="Batang" w:cs="Times"/>
          <w:bCs/>
          <w:noProof/>
          <w:szCs w:val="24"/>
          <w:lang w:val="es-ES"/>
        </w:rPr>
        <w:t xml:space="preserve">”, publicado por el Ministerio de Justicia de Brasil en 2014. </w:t>
      </w:r>
    </w:p>
    <w:p w14:paraId="7C45AF97" w14:textId="77777777" w:rsidR="0017090E" w:rsidRPr="00C6651D" w:rsidRDefault="0017090E" w:rsidP="00B811D7">
      <w:pPr>
        <w:rPr>
          <w:rFonts w:eastAsia="Batang" w:cs="Times"/>
          <w:noProof/>
          <w:szCs w:val="24"/>
          <w:lang w:val="es-ES"/>
        </w:rPr>
      </w:pPr>
    </w:p>
    <w:p w14:paraId="186E3B8E" w14:textId="77777777" w:rsidR="0017090E" w:rsidRPr="0017090E" w:rsidRDefault="00C25D1E" w:rsidP="00123780">
      <w:pPr>
        <w:pStyle w:val="TOC2"/>
      </w:pPr>
      <w:bookmarkStart w:id="365" w:name="_Toc464813920"/>
      <w:bookmarkStart w:id="366" w:name="_Toc460441926"/>
      <w:bookmarkStart w:id="367" w:name="_Toc460432995"/>
      <w:bookmarkStart w:id="368" w:name="_Toc468910033"/>
      <w:bookmarkStart w:id="369" w:name="_Toc468910259"/>
      <w:bookmarkStart w:id="370" w:name="_Toc469404497"/>
      <w:bookmarkStart w:id="371" w:name="_Toc472608942"/>
      <w:r>
        <w:t xml:space="preserve">C. </w:t>
      </w:r>
      <w:r w:rsidR="0017090E" w:rsidRPr="0017090E">
        <w:t>Valoración de la prueba</w:t>
      </w:r>
      <w:bookmarkEnd w:id="365"/>
      <w:bookmarkEnd w:id="366"/>
      <w:bookmarkEnd w:id="367"/>
      <w:bookmarkEnd w:id="368"/>
      <w:bookmarkEnd w:id="369"/>
      <w:bookmarkEnd w:id="370"/>
      <w:bookmarkEnd w:id="371"/>
    </w:p>
    <w:p w14:paraId="57EF6843" w14:textId="77777777" w:rsidR="0017090E" w:rsidRPr="0017090E" w:rsidRDefault="0017090E" w:rsidP="00B811D7">
      <w:pPr>
        <w:rPr>
          <w:rFonts w:eastAsia="Batang" w:cs="Times"/>
          <w:noProof/>
          <w:szCs w:val="24"/>
          <w:lang w:val="es-ES_tradnl"/>
        </w:rPr>
      </w:pPr>
    </w:p>
    <w:p w14:paraId="167FBC97" w14:textId="77777777" w:rsidR="009153DB" w:rsidRDefault="0017090E" w:rsidP="00D6683A">
      <w:pPr>
        <w:numPr>
          <w:ilvl w:val="0"/>
          <w:numId w:val="1"/>
        </w:numPr>
        <w:rPr>
          <w:rFonts w:eastAsia="Batang" w:cs="Times"/>
          <w:noProof/>
          <w:szCs w:val="24"/>
          <w:lang w:val="es-ES_tradnl"/>
        </w:rPr>
      </w:pPr>
      <w:r w:rsidRPr="0017090E">
        <w:rPr>
          <w:rFonts w:eastAsia="Batang" w:cs="Times"/>
          <w:noProof/>
          <w:szCs w:val="24"/>
          <w:lang w:val="es-ES_tradnl"/>
        </w:rPr>
        <w:t>Con base en lo establecido en los artículos 46, 47, 48, 50, 51, 57 y 58 del Reglamento, así como en su jurisprudencia constante respecto de la prueba y su apreciación, la Corte examinará y valorará los elementos probatorios documentales remitidos por las partes y la Comisión, las declaraciones, testimonios y dictámenes periciales, al establecer los hechos del caso y pronunciarse sobre el fondo. Para ello se sujeta a los principios de la sana crítica, dentro del marco normativo correspondiente, teniendo en cuenta el conjunto del acervo probatorio y lo alegado en la causa</w:t>
      </w:r>
      <w:r w:rsidRPr="0017090E">
        <w:rPr>
          <w:rFonts w:eastAsia="Batang" w:cs="Times"/>
          <w:noProof/>
          <w:szCs w:val="24"/>
          <w:vertAlign w:val="superscript"/>
          <w:lang w:val="es-ES_tradnl"/>
        </w:rPr>
        <w:footnoteReference w:id="69"/>
      </w:r>
      <w:r w:rsidRPr="0017090E">
        <w:rPr>
          <w:rFonts w:eastAsia="Batang" w:cs="Times"/>
          <w:noProof/>
          <w:szCs w:val="24"/>
          <w:lang w:val="es-ES_tradnl"/>
        </w:rPr>
        <w:t>. Asimismo, conforme a la jurisprudencia de este Tribunal, las declaraciones rendidas por las presuntas víctimas no pueden ser valoradas aisladamente sino dentro del conjunto de las pruebas del proceso, en la medida en que pueden proporcionar mayor información sobre las presuntas violaciones y sus consecuencias</w:t>
      </w:r>
      <w:r w:rsidRPr="0017090E">
        <w:rPr>
          <w:rFonts w:eastAsia="Batang" w:cs="Times"/>
          <w:noProof/>
          <w:szCs w:val="24"/>
          <w:vertAlign w:val="superscript"/>
          <w:lang w:val="es-ES_tradnl"/>
        </w:rPr>
        <w:footnoteReference w:id="70"/>
      </w:r>
      <w:r w:rsidRPr="0017090E">
        <w:rPr>
          <w:rFonts w:eastAsia="Batang" w:cs="Times"/>
          <w:noProof/>
          <w:szCs w:val="24"/>
          <w:lang w:val="es-ES_tradnl"/>
        </w:rPr>
        <w:t>.</w:t>
      </w:r>
    </w:p>
    <w:p w14:paraId="3D72B610" w14:textId="77777777" w:rsidR="00E33FD7" w:rsidRPr="003C3E1E" w:rsidRDefault="00E33FD7" w:rsidP="003C3E1E">
      <w:pPr>
        <w:pStyle w:val="CommentText"/>
        <w:rPr>
          <w:rFonts w:eastAsia="Batang" w:cs="Times"/>
          <w:noProof/>
          <w:szCs w:val="24"/>
          <w:lang w:val="es-ES_tradnl"/>
        </w:rPr>
      </w:pPr>
    </w:p>
    <w:p w14:paraId="74BF490B" w14:textId="77777777" w:rsidR="000358D6" w:rsidRDefault="00E33FD7" w:rsidP="00547D83">
      <w:pPr>
        <w:pStyle w:val="TOC1"/>
        <w:rPr>
          <w:lang w:val="es-ES_tradnl"/>
        </w:rPr>
      </w:pPr>
      <w:bookmarkStart w:id="372" w:name="_Toc468910034"/>
      <w:bookmarkStart w:id="373" w:name="_Toc468910260"/>
      <w:bookmarkStart w:id="374" w:name="_Toc469404498"/>
      <w:bookmarkStart w:id="375" w:name="_Toc472608943"/>
      <w:r w:rsidRPr="00E33FD7">
        <w:rPr>
          <w:lang w:val="es-ES_tradnl"/>
        </w:rPr>
        <w:t>VI</w:t>
      </w:r>
      <w:bookmarkEnd w:id="372"/>
      <w:bookmarkEnd w:id="373"/>
      <w:bookmarkEnd w:id="374"/>
      <w:bookmarkEnd w:id="375"/>
    </w:p>
    <w:p w14:paraId="696224E7" w14:textId="77777777" w:rsidR="00E33FD7" w:rsidRPr="000358D6" w:rsidRDefault="00E33FD7" w:rsidP="00547D83">
      <w:pPr>
        <w:pStyle w:val="TOC1"/>
        <w:rPr>
          <w:lang w:val="es-ES_tradnl"/>
        </w:rPr>
      </w:pPr>
      <w:bookmarkStart w:id="376" w:name="_Toc469404499"/>
      <w:bookmarkStart w:id="377" w:name="_Toc472608944"/>
      <w:r w:rsidRPr="000358D6">
        <w:rPr>
          <w:lang w:val="es-ES_tradnl"/>
        </w:rPr>
        <w:t>HECHOS</w:t>
      </w:r>
      <w:bookmarkEnd w:id="376"/>
      <w:bookmarkEnd w:id="377"/>
    </w:p>
    <w:p w14:paraId="752EA022" w14:textId="77777777" w:rsidR="00E33FD7" w:rsidRDefault="00E33FD7" w:rsidP="00B811D7">
      <w:pPr>
        <w:rPr>
          <w:rFonts w:eastAsia="Batang" w:cs="Times"/>
          <w:noProof/>
          <w:szCs w:val="24"/>
          <w:lang w:val="es-ES_tradnl"/>
        </w:rPr>
      </w:pPr>
    </w:p>
    <w:p w14:paraId="18C23FF9" w14:textId="77777777"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 xml:space="preserve">En el presente capítulo se expondrá el contexto referente al caso y los hechos </w:t>
      </w:r>
      <w:r w:rsidRPr="00E33FD7">
        <w:rPr>
          <w:rFonts w:eastAsia="Batang" w:cs="Times"/>
          <w:noProof/>
          <w:szCs w:val="24"/>
          <w:lang w:val="es-ES"/>
        </w:rPr>
        <w:t>dentro de la competencia temporal de la Corte</w:t>
      </w:r>
      <w:r w:rsidRPr="00E33FD7">
        <w:rPr>
          <w:rFonts w:eastAsia="Batang" w:cs="Times"/>
          <w:noProof/>
          <w:szCs w:val="24"/>
        </w:rPr>
        <w:t>.</w:t>
      </w:r>
    </w:p>
    <w:p w14:paraId="6F1D049A" w14:textId="77777777" w:rsidR="00E33FD7" w:rsidRPr="00E33FD7" w:rsidRDefault="00E33FD7" w:rsidP="00B811D7">
      <w:pPr>
        <w:pStyle w:val="ListParagraph"/>
        <w:ind w:left="0"/>
        <w:rPr>
          <w:rFonts w:eastAsia="Batang" w:cs="Times"/>
          <w:noProof/>
          <w:szCs w:val="24"/>
        </w:rPr>
      </w:pPr>
    </w:p>
    <w:p w14:paraId="47467D48" w14:textId="20A8DC62"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lastRenderedPageBreak/>
        <w:t xml:space="preserve">Los hechos anteriores a la fecha de ratificación de la competencia contenciosa de la Corte por parte de Brasil (10 de diciembre de 1998) únicamente se enuncian como parte del contexto y de los antecedentes </w:t>
      </w:r>
      <w:r w:rsidR="005242CF">
        <w:rPr>
          <w:rFonts w:eastAsia="Batang" w:cs="Times"/>
          <w:noProof/>
          <w:szCs w:val="24"/>
        </w:rPr>
        <w:t xml:space="preserve">para </w:t>
      </w:r>
      <w:r w:rsidR="0080595B">
        <w:rPr>
          <w:rFonts w:eastAsia="Batang" w:cs="Times"/>
          <w:noProof/>
          <w:szCs w:val="24"/>
        </w:rPr>
        <w:t>m</w:t>
      </w:r>
      <w:r w:rsidR="005242CF">
        <w:rPr>
          <w:rFonts w:eastAsia="Batang" w:cs="Times"/>
          <w:noProof/>
          <w:szCs w:val="24"/>
        </w:rPr>
        <w:t>ejor comprensión</w:t>
      </w:r>
      <w:r w:rsidR="0080595B">
        <w:rPr>
          <w:rFonts w:eastAsia="Batang" w:cs="Times"/>
          <w:noProof/>
          <w:szCs w:val="24"/>
        </w:rPr>
        <w:t xml:space="preserve"> del caso</w:t>
      </w:r>
      <w:r w:rsidRPr="00E33FD7">
        <w:rPr>
          <w:rFonts w:eastAsia="Batang" w:cs="Times"/>
          <w:noProof/>
          <w:szCs w:val="24"/>
        </w:rPr>
        <w:t>.</w:t>
      </w:r>
    </w:p>
    <w:p w14:paraId="76411E60" w14:textId="77777777" w:rsidR="00E33FD7" w:rsidRDefault="00E33FD7" w:rsidP="00B811D7">
      <w:pPr>
        <w:pStyle w:val="ListParagraph"/>
        <w:ind w:left="0"/>
        <w:rPr>
          <w:rFonts w:eastAsia="Batang" w:cs="Times"/>
          <w:noProof/>
          <w:szCs w:val="24"/>
        </w:rPr>
      </w:pPr>
    </w:p>
    <w:p w14:paraId="3B37464E" w14:textId="77777777" w:rsidR="00D82F5C" w:rsidRPr="00D82F5C" w:rsidRDefault="00D82F5C" w:rsidP="00D82F5C">
      <w:pPr>
        <w:pStyle w:val="ListParagraph"/>
        <w:numPr>
          <w:ilvl w:val="2"/>
          <w:numId w:val="3"/>
        </w:numPr>
        <w:rPr>
          <w:rFonts w:eastAsia="Batang" w:cs="Times"/>
          <w:b/>
          <w:i/>
          <w:noProof/>
          <w:szCs w:val="24"/>
        </w:rPr>
      </w:pPr>
      <w:r>
        <w:rPr>
          <w:rFonts w:eastAsia="Batang" w:cs="Times"/>
          <w:b/>
          <w:i/>
          <w:noProof/>
          <w:szCs w:val="24"/>
        </w:rPr>
        <w:t>Reconocimiento del Estado</w:t>
      </w:r>
    </w:p>
    <w:p w14:paraId="5290FADF" w14:textId="77777777" w:rsidR="00D82F5C" w:rsidRDefault="00D82F5C" w:rsidP="00B811D7">
      <w:pPr>
        <w:pStyle w:val="ListParagraph"/>
        <w:ind w:left="0"/>
        <w:rPr>
          <w:rFonts w:eastAsia="Batang" w:cs="Times"/>
          <w:noProof/>
          <w:szCs w:val="24"/>
        </w:rPr>
      </w:pPr>
    </w:p>
    <w:p w14:paraId="1EF5235E" w14:textId="50B02BF9" w:rsidR="00D82F5C" w:rsidRDefault="00D82F5C" w:rsidP="00D82F5C">
      <w:pPr>
        <w:pStyle w:val="ListParagraph"/>
        <w:numPr>
          <w:ilvl w:val="0"/>
          <w:numId w:val="1"/>
        </w:numPr>
        <w:autoSpaceDE w:val="0"/>
        <w:autoSpaceDN w:val="0"/>
        <w:adjustRightInd w:val="0"/>
        <w:contextualSpacing w:val="0"/>
        <w:rPr>
          <w:rFonts w:cs="Arial"/>
          <w:szCs w:val="20"/>
        </w:rPr>
      </w:pPr>
      <w:r w:rsidRPr="00107733">
        <w:rPr>
          <w:rFonts w:cs="Arial"/>
          <w:szCs w:val="20"/>
        </w:rPr>
        <w:t>Durante la audiencia pública del presente caso el Estado realizó un reconocimiento de hechos en los siguientes términos: “</w:t>
      </w:r>
      <w:r w:rsidRPr="00107733">
        <w:rPr>
          <w:rFonts w:eastAsia="Times"/>
          <w:szCs w:val="20"/>
        </w:rPr>
        <w:t>las conductas perpetradas por los agentes públicos durante las incursiones policiales en la Favela Nova Brasilia en 1994 y 1995 y consistentes específicamente en el homicidio de 26 personas y en la violencia sexual de otra</w:t>
      </w:r>
      <w:r w:rsidR="004422AF">
        <w:rPr>
          <w:rFonts w:eastAsia="Times"/>
          <w:szCs w:val="20"/>
        </w:rPr>
        <w:t>s</w:t>
      </w:r>
      <w:r w:rsidRPr="00107733">
        <w:rPr>
          <w:rFonts w:eastAsia="Times"/>
          <w:szCs w:val="20"/>
        </w:rPr>
        <w:t xml:space="preserve"> tres representan violaciones al artículo 4º, párrafo primero y al [artículo] 5º, párrafo primero de la Convención Americana sobre Derechos Humanos, a pesar de que tales hechos no se encuentran bajo la jurisdicción temporal de la Corte. […] El Estado Brasileño una vez más afirma que reconoce que sus agentes son responsables por 26 homicidios y tres crímenes de violencia sexual, reconoce todo el dolor y sufrimiento que las víctimas pasaron como consecuencia de estos hechos”.</w:t>
      </w:r>
      <w:r w:rsidRPr="00107733">
        <w:rPr>
          <w:rFonts w:eastAsia="Times"/>
          <w:b/>
          <w:szCs w:val="20"/>
        </w:rPr>
        <w:t xml:space="preserve"> </w:t>
      </w:r>
      <w:r w:rsidRPr="00107733">
        <w:rPr>
          <w:rFonts w:cs="Arial"/>
          <w:szCs w:val="20"/>
        </w:rPr>
        <w:t>Asimismo, en sus alegatos finales escritos el Estado afirmó que “</w:t>
      </w:r>
      <w:r w:rsidRPr="00107733">
        <w:rPr>
          <w:rFonts w:cs="Arial"/>
          <w:szCs w:val="20"/>
          <w:lang w:val="es-ES"/>
        </w:rPr>
        <w:t xml:space="preserve">las conductas perpetradas por agentes públicos durante las redadas policiales en la Favela Nova Brasilia el 18 de octubre de 1994 y el 8 de mayo de 1995, resultantes, específicamente en el homicidio de 26 (veintiséis) personas y en la violencia sexual de otras 3 (tres), representan violaciones a los artículos 4.1 y 5.1 de la Convención Americana, aun cuando esos hechos no están bajo la jurisdicción temporal de la Corte”. </w:t>
      </w:r>
    </w:p>
    <w:p w14:paraId="3D5A8545" w14:textId="77777777" w:rsidR="00D82F5C" w:rsidRDefault="00D82F5C" w:rsidP="00D82F5C">
      <w:pPr>
        <w:pStyle w:val="ListParagraph"/>
        <w:autoSpaceDE w:val="0"/>
        <w:autoSpaceDN w:val="0"/>
        <w:adjustRightInd w:val="0"/>
        <w:ind w:left="0"/>
        <w:contextualSpacing w:val="0"/>
        <w:rPr>
          <w:rFonts w:cs="Arial"/>
          <w:szCs w:val="20"/>
        </w:rPr>
      </w:pPr>
    </w:p>
    <w:p w14:paraId="54B783C7" w14:textId="77777777" w:rsidR="00E33FD7" w:rsidRPr="00E33FD7" w:rsidRDefault="00D82F5C" w:rsidP="00123780">
      <w:pPr>
        <w:pStyle w:val="TOC2"/>
      </w:pPr>
      <w:bookmarkStart w:id="378" w:name="_Toc469404500"/>
      <w:bookmarkStart w:id="379" w:name="_Toc472608945"/>
      <w:r>
        <w:t>B</w:t>
      </w:r>
      <w:r w:rsidR="00E33FD7">
        <w:t xml:space="preserve">. </w:t>
      </w:r>
      <w:bookmarkStart w:id="380" w:name="_Toc464813923"/>
      <w:r w:rsidR="0046046A">
        <w:tab/>
      </w:r>
      <w:r w:rsidR="00E33FD7" w:rsidRPr="00E33FD7">
        <w:t>Contexto</w:t>
      </w:r>
      <w:bookmarkEnd w:id="378"/>
      <w:bookmarkEnd w:id="379"/>
      <w:bookmarkEnd w:id="380"/>
    </w:p>
    <w:p w14:paraId="1F474FB9" w14:textId="77777777" w:rsidR="00E33FD7" w:rsidRPr="00E33FD7" w:rsidRDefault="00E33FD7" w:rsidP="00B811D7">
      <w:pPr>
        <w:pStyle w:val="ListParagraph"/>
        <w:ind w:left="0"/>
        <w:rPr>
          <w:rFonts w:eastAsia="Batang" w:cs="Times"/>
          <w:b/>
          <w:i/>
          <w:noProof/>
          <w:szCs w:val="24"/>
          <w:lang w:val="es-ES"/>
        </w:rPr>
      </w:pPr>
    </w:p>
    <w:p w14:paraId="0DCA2B4D" w14:textId="33808433" w:rsidR="00E33FD7" w:rsidRPr="00E33FD7" w:rsidRDefault="00D82F5C" w:rsidP="00123780">
      <w:pPr>
        <w:pStyle w:val="TOC2"/>
      </w:pPr>
      <w:bookmarkStart w:id="381" w:name="_Toc469404501"/>
      <w:bookmarkStart w:id="382" w:name="_Toc472608946"/>
      <w:r>
        <w:t>B</w:t>
      </w:r>
      <w:r w:rsidR="00E33FD7" w:rsidRPr="00E33FD7">
        <w:t>.1</w:t>
      </w:r>
      <w:r w:rsidR="00CE18D4">
        <w:t>.</w:t>
      </w:r>
      <w:r w:rsidR="00E33FD7" w:rsidRPr="00E33FD7">
        <w:t xml:space="preserve"> </w:t>
      </w:r>
      <w:r w:rsidR="0046046A">
        <w:tab/>
      </w:r>
      <w:r w:rsidR="00E33FD7" w:rsidRPr="00E33FD7">
        <w:t>Violencia policial en Brasil</w:t>
      </w:r>
      <w:bookmarkEnd w:id="381"/>
      <w:bookmarkEnd w:id="382"/>
    </w:p>
    <w:p w14:paraId="1FEBDA34" w14:textId="77777777" w:rsidR="00E33FD7" w:rsidRPr="00E33FD7" w:rsidRDefault="00E33FD7" w:rsidP="00B811D7">
      <w:pPr>
        <w:pStyle w:val="ListParagraph"/>
        <w:ind w:left="0"/>
        <w:rPr>
          <w:rFonts w:eastAsia="Batang" w:cs="Times"/>
          <w:b/>
          <w:noProof/>
          <w:szCs w:val="24"/>
          <w:lang w:val="es-ES"/>
        </w:rPr>
      </w:pPr>
    </w:p>
    <w:p w14:paraId="361EBD54" w14:textId="2F6CADA7" w:rsidR="00753082" w:rsidRPr="00753082" w:rsidRDefault="0080595B" w:rsidP="00D6683A">
      <w:pPr>
        <w:pStyle w:val="ListParagraph"/>
        <w:numPr>
          <w:ilvl w:val="0"/>
          <w:numId w:val="1"/>
        </w:numPr>
        <w:rPr>
          <w:rFonts w:eastAsia="Batang" w:cs="Times"/>
          <w:noProof/>
          <w:szCs w:val="24"/>
          <w:lang w:val="es-EC"/>
        </w:rPr>
      </w:pPr>
      <w:r>
        <w:rPr>
          <w:rFonts w:eastAsia="Batang" w:cs="Times"/>
          <w:noProof/>
          <w:szCs w:val="24"/>
          <w:lang w:val="es-EC"/>
        </w:rPr>
        <w:t xml:space="preserve">Según </w:t>
      </w:r>
      <w:r w:rsidR="005242CF">
        <w:rPr>
          <w:rFonts w:eastAsia="Batang" w:cs="Times"/>
          <w:noProof/>
          <w:szCs w:val="24"/>
          <w:lang w:val="es-EC"/>
        </w:rPr>
        <w:t xml:space="preserve">la información de órganos estatales, </w:t>
      </w:r>
      <w:r>
        <w:rPr>
          <w:rFonts w:eastAsia="Batang" w:cs="Times"/>
          <w:noProof/>
          <w:szCs w:val="24"/>
          <w:lang w:val="es-EC"/>
        </w:rPr>
        <w:t xml:space="preserve">la </w:t>
      </w:r>
      <w:r w:rsidR="00E33FD7" w:rsidRPr="00753082">
        <w:rPr>
          <w:rFonts w:eastAsia="Batang" w:cs="Times"/>
          <w:noProof/>
          <w:szCs w:val="24"/>
          <w:lang w:val="es-EC"/>
        </w:rPr>
        <w:t xml:space="preserve">violencia policial representa un problema de derechos humanos en </w:t>
      </w:r>
      <w:r w:rsidR="005242CF">
        <w:rPr>
          <w:rFonts w:eastAsia="Batang" w:cs="Times"/>
          <w:noProof/>
          <w:szCs w:val="24"/>
          <w:lang w:val="es-EC"/>
        </w:rPr>
        <w:t xml:space="preserve">Brasil, en particular en </w:t>
      </w:r>
      <w:r w:rsidR="001E114C">
        <w:rPr>
          <w:rFonts w:eastAsia="Batang" w:cs="Times"/>
          <w:noProof/>
          <w:szCs w:val="24"/>
          <w:lang w:val="es-EC"/>
        </w:rPr>
        <w:t>Río de Janeiro</w:t>
      </w:r>
      <w:r w:rsidR="00E33FD7" w:rsidRPr="00E33FD7">
        <w:rPr>
          <w:rFonts w:eastAsia="Batang" w:cs="Times"/>
          <w:noProof/>
          <w:szCs w:val="24"/>
          <w:vertAlign w:val="superscript"/>
          <w:lang w:val="es-EC"/>
        </w:rPr>
        <w:footnoteReference w:id="71"/>
      </w:r>
      <w:r w:rsidR="00E33FD7" w:rsidRPr="00753082">
        <w:rPr>
          <w:rFonts w:eastAsia="Batang" w:cs="Times"/>
          <w:noProof/>
          <w:szCs w:val="24"/>
          <w:lang w:val="es-EC"/>
        </w:rPr>
        <w:t xml:space="preserve">. </w:t>
      </w:r>
      <w:r w:rsidR="00753082" w:rsidRPr="00753082">
        <w:rPr>
          <w:rFonts w:eastAsia="Batang" w:cs="Times"/>
          <w:noProof/>
          <w:szCs w:val="24"/>
          <w:lang w:val="es-EC"/>
        </w:rPr>
        <w:t xml:space="preserve">No hay datos disponibles sobre muertes ocurridas durante operativos policiacos en los años 1994 y 1995. A partir de 1998 la Secretaría de Seguridad Pública de Río de Janeiro empezó a </w:t>
      </w:r>
      <w:r w:rsidR="005901C2">
        <w:rPr>
          <w:rFonts w:eastAsia="Batang" w:cs="Times"/>
          <w:noProof/>
          <w:szCs w:val="24"/>
          <w:lang w:val="es-EC"/>
        </w:rPr>
        <w:t>re</w:t>
      </w:r>
      <w:r w:rsidR="00753082" w:rsidRPr="00753082">
        <w:rPr>
          <w:rFonts w:eastAsia="Batang" w:cs="Times"/>
          <w:noProof/>
          <w:szCs w:val="24"/>
          <w:lang w:val="es-EC"/>
        </w:rPr>
        <w:t>copila</w:t>
      </w:r>
      <w:r w:rsidR="003E7471">
        <w:rPr>
          <w:rFonts w:eastAsia="Batang" w:cs="Times"/>
          <w:noProof/>
          <w:szCs w:val="24"/>
          <w:lang w:val="es-EC"/>
        </w:rPr>
        <w:t>r esas estadísticas. En 1998, 397</w:t>
      </w:r>
      <w:r w:rsidR="00753082" w:rsidRPr="00753082">
        <w:rPr>
          <w:rFonts w:eastAsia="Batang" w:cs="Times"/>
          <w:noProof/>
          <w:szCs w:val="24"/>
          <w:lang w:val="es-EC"/>
        </w:rPr>
        <w:t xml:space="preserve"> personas </w:t>
      </w:r>
      <w:r w:rsidR="003A2A21">
        <w:rPr>
          <w:rFonts w:eastAsia="Batang" w:cs="Times"/>
          <w:noProof/>
          <w:szCs w:val="24"/>
          <w:lang w:val="es-EC"/>
        </w:rPr>
        <w:t>m</w:t>
      </w:r>
      <w:r w:rsidR="00753082" w:rsidRPr="00753082">
        <w:rPr>
          <w:rFonts w:eastAsia="Batang" w:cs="Times"/>
          <w:noProof/>
          <w:szCs w:val="24"/>
          <w:lang w:val="es-EC"/>
        </w:rPr>
        <w:t>u</w:t>
      </w:r>
      <w:r w:rsidR="003A2A21">
        <w:rPr>
          <w:rFonts w:eastAsia="Batang" w:cs="Times"/>
          <w:noProof/>
          <w:szCs w:val="24"/>
          <w:lang w:val="es-EC"/>
        </w:rPr>
        <w:t>rieron</w:t>
      </w:r>
      <w:r w:rsidR="00753082" w:rsidRPr="00753082">
        <w:rPr>
          <w:rFonts w:eastAsia="Batang" w:cs="Times"/>
          <w:noProof/>
          <w:szCs w:val="24"/>
          <w:lang w:val="es-EC"/>
        </w:rPr>
        <w:t xml:space="preserve"> por </w:t>
      </w:r>
      <w:r w:rsidR="003A2A21">
        <w:rPr>
          <w:rFonts w:eastAsia="Batang" w:cs="Times"/>
          <w:noProof/>
          <w:szCs w:val="24"/>
          <w:lang w:val="es-EC"/>
        </w:rPr>
        <w:t xml:space="preserve">acción de </w:t>
      </w:r>
      <w:r w:rsidR="00753082" w:rsidRPr="00753082">
        <w:rPr>
          <w:rFonts w:eastAsia="Batang" w:cs="Times"/>
          <w:noProof/>
          <w:szCs w:val="24"/>
          <w:lang w:val="es-EC"/>
        </w:rPr>
        <w:t>la policía en ese Esta</w:t>
      </w:r>
      <w:r w:rsidR="003E7471">
        <w:rPr>
          <w:rFonts w:eastAsia="Batang" w:cs="Times"/>
          <w:noProof/>
          <w:szCs w:val="24"/>
          <w:lang w:val="es-EC"/>
        </w:rPr>
        <w:t>do; en 200</w:t>
      </w:r>
      <w:r w:rsidR="00D21865">
        <w:rPr>
          <w:rFonts w:eastAsia="Batang" w:cs="Times"/>
          <w:noProof/>
          <w:szCs w:val="24"/>
          <w:lang w:val="es-EC"/>
        </w:rPr>
        <w:t>7</w:t>
      </w:r>
      <w:r w:rsidR="003E7471">
        <w:rPr>
          <w:rFonts w:eastAsia="Batang" w:cs="Times"/>
          <w:noProof/>
          <w:szCs w:val="24"/>
          <w:lang w:val="es-EC"/>
        </w:rPr>
        <w:t xml:space="preserve"> la cifra llegó a </w:t>
      </w:r>
      <w:r w:rsidR="00D21865">
        <w:rPr>
          <w:rFonts w:eastAsia="Batang" w:cs="Times"/>
          <w:noProof/>
          <w:szCs w:val="24"/>
          <w:lang w:val="es-EC"/>
        </w:rPr>
        <w:t>1,330</w:t>
      </w:r>
      <w:r w:rsidR="00753082" w:rsidRPr="00753082">
        <w:rPr>
          <w:rFonts w:eastAsia="Batang" w:cs="Times"/>
          <w:noProof/>
          <w:szCs w:val="24"/>
          <w:lang w:val="es-EC"/>
        </w:rPr>
        <w:t>. En 2014</w:t>
      </w:r>
      <w:r w:rsidR="00753082">
        <w:rPr>
          <w:rFonts w:eastAsia="Batang" w:cs="Times"/>
          <w:noProof/>
          <w:szCs w:val="24"/>
          <w:lang w:val="es-EC"/>
        </w:rPr>
        <w:t>,</w:t>
      </w:r>
      <w:r w:rsidR="00753082" w:rsidRPr="00753082">
        <w:rPr>
          <w:rFonts w:eastAsia="Batang" w:cs="Times"/>
          <w:noProof/>
          <w:szCs w:val="24"/>
          <w:lang w:val="es-EC"/>
        </w:rPr>
        <w:t xml:space="preserve"> </w:t>
      </w:r>
      <w:r w:rsidR="003A2A21">
        <w:rPr>
          <w:rFonts w:eastAsia="Batang" w:cs="Times"/>
          <w:noProof/>
          <w:szCs w:val="24"/>
          <w:lang w:val="es-EC"/>
        </w:rPr>
        <w:t xml:space="preserve">hubo 584 </w:t>
      </w:r>
      <w:r w:rsidR="00710747">
        <w:rPr>
          <w:rFonts w:eastAsia="Batang" w:cs="Times"/>
          <w:noProof/>
          <w:szCs w:val="24"/>
          <w:lang w:val="es-EC"/>
        </w:rPr>
        <w:t xml:space="preserve">víctimas letales de </w:t>
      </w:r>
      <w:r w:rsidR="00753082" w:rsidRPr="00753082">
        <w:rPr>
          <w:rFonts w:eastAsia="Batang" w:cs="Times"/>
          <w:noProof/>
          <w:szCs w:val="24"/>
          <w:lang w:val="es-EC"/>
        </w:rPr>
        <w:t xml:space="preserve">intervenciones policiales y en 2015 ese número </w:t>
      </w:r>
      <w:r w:rsidR="00710747">
        <w:rPr>
          <w:rFonts w:eastAsia="Batang" w:cs="Times"/>
          <w:noProof/>
          <w:szCs w:val="24"/>
          <w:lang w:val="es-EC"/>
        </w:rPr>
        <w:t xml:space="preserve">aumentó </w:t>
      </w:r>
      <w:r w:rsidR="00753082" w:rsidRPr="00753082">
        <w:rPr>
          <w:rFonts w:eastAsia="Batang" w:cs="Times"/>
          <w:noProof/>
          <w:szCs w:val="24"/>
          <w:lang w:val="es-EC"/>
        </w:rPr>
        <w:t>a 645</w:t>
      </w:r>
      <w:r w:rsidR="00753082" w:rsidRPr="00753082">
        <w:rPr>
          <w:rFonts w:eastAsia="Batang" w:cs="Times"/>
          <w:noProof/>
          <w:szCs w:val="24"/>
          <w:vertAlign w:val="superscript"/>
          <w:lang w:val="es-EC"/>
        </w:rPr>
        <w:footnoteReference w:id="72"/>
      </w:r>
      <w:r w:rsidR="00753082" w:rsidRPr="00753082">
        <w:rPr>
          <w:rFonts w:eastAsia="Batang" w:cs="Times"/>
          <w:noProof/>
          <w:szCs w:val="24"/>
          <w:lang w:val="es-EC"/>
        </w:rPr>
        <w:t>.</w:t>
      </w:r>
      <w:r w:rsidR="00045135">
        <w:rPr>
          <w:rFonts w:eastAsia="Batang" w:cs="Times"/>
          <w:noProof/>
          <w:szCs w:val="24"/>
          <w:lang w:val="es-EC"/>
        </w:rPr>
        <w:t xml:space="preserve"> </w:t>
      </w:r>
    </w:p>
    <w:p w14:paraId="54522172" w14:textId="77777777" w:rsidR="00E33FD7" w:rsidRPr="00E33FD7" w:rsidRDefault="00E33FD7" w:rsidP="00B811D7">
      <w:pPr>
        <w:pStyle w:val="ListParagraph"/>
        <w:ind w:left="0"/>
        <w:rPr>
          <w:rFonts w:eastAsia="Batang" w:cs="Times"/>
          <w:noProof/>
          <w:szCs w:val="24"/>
          <w:lang w:val="es-EC"/>
        </w:rPr>
      </w:pPr>
    </w:p>
    <w:p w14:paraId="6DD9FBC3" w14:textId="115041BF" w:rsidR="00710747" w:rsidRPr="00303133" w:rsidRDefault="00526275" w:rsidP="00303133">
      <w:pPr>
        <w:pStyle w:val="ListParagraph"/>
        <w:numPr>
          <w:ilvl w:val="0"/>
          <w:numId w:val="1"/>
        </w:numPr>
        <w:rPr>
          <w:rFonts w:eastAsia="Batang" w:cs="Times"/>
          <w:noProof/>
          <w:szCs w:val="24"/>
          <w:u w:val="single"/>
          <w:lang w:val="es-EC"/>
        </w:rPr>
      </w:pPr>
      <w:r>
        <w:rPr>
          <w:rFonts w:cs="TmsRmn"/>
          <w:color w:val="000000"/>
          <w:szCs w:val="20"/>
          <w:lang w:val="es-EC"/>
        </w:rPr>
        <w:t xml:space="preserve">Entre las víctimas fatales de violencia policial, </w:t>
      </w:r>
      <w:r w:rsidR="007E3D07">
        <w:rPr>
          <w:rFonts w:cs="TmsRmn"/>
          <w:color w:val="000000"/>
          <w:szCs w:val="20"/>
          <w:lang w:val="es-EC"/>
        </w:rPr>
        <w:t xml:space="preserve">se estima </w:t>
      </w:r>
      <w:r>
        <w:rPr>
          <w:rFonts w:cs="TmsRmn"/>
          <w:color w:val="000000"/>
          <w:szCs w:val="20"/>
          <w:lang w:val="es-EC"/>
        </w:rPr>
        <w:t>una predominancia de jóvenes, negros, pobres y desarmados</w:t>
      </w:r>
      <w:r w:rsidR="006469BC" w:rsidRPr="00854D5F">
        <w:rPr>
          <w:rStyle w:val="FootnoteReference"/>
          <w:color w:val="000000"/>
          <w:lang w:val="es-EC"/>
        </w:rPr>
        <w:footnoteReference w:id="73"/>
      </w:r>
      <w:r w:rsidR="006469BC" w:rsidRPr="00854D5F">
        <w:rPr>
          <w:rFonts w:cs="TmsRmn"/>
          <w:color w:val="000000"/>
          <w:szCs w:val="20"/>
          <w:lang w:val="es-EC"/>
        </w:rPr>
        <w:t xml:space="preserve">. </w:t>
      </w:r>
      <w:r w:rsidR="001033A2" w:rsidRPr="00303133">
        <w:rPr>
          <w:rFonts w:eastAsia="Batang" w:cs="Times"/>
          <w:noProof/>
          <w:szCs w:val="24"/>
          <w:lang w:val="es-EC"/>
        </w:rPr>
        <w:t xml:space="preserve">Según </w:t>
      </w:r>
      <w:r w:rsidR="00303133" w:rsidRPr="00303133">
        <w:rPr>
          <w:rFonts w:eastAsia="Batang" w:cs="Times"/>
          <w:noProof/>
          <w:szCs w:val="24"/>
          <w:lang w:val="es-EC"/>
        </w:rPr>
        <w:t>datos oficiales, “los homicidios son hoy la principal causa de muerte de jóvenes entre 15 y 29 a</w:t>
      </w:r>
      <w:r w:rsidR="00303133">
        <w:rPr>
          <w:rFonts w:eastAsia="Batang" w:cs="Times"/>
          <w:noProof/>
          <w:szCs w:val="24"/>
          <w:lang w:val="es-EC"/>
        </w:rPr>
        <w:t>ños en Brasil, y afecta</w:t>
      </w:r>
      <w:r w:rsidR="00437606">
        <w:rPr>
          <w:rFonts w:eastAsia="Batang" w:cs="Times"/>
          <w:noProof/>
          <w:szCs w:val="24"/>
          <w:lang w:val="es-EC"/>
        </w:rPr>
        <w:t>n</w:t>
      </w:r>
      <w:r w:rsidR="00303133">
        <w:rPr>
          <w:rFonts w:eastAsia="Batang" w:cs="Times"/>
          <w:noProof/>
          <w:szCs w:val="24"/>
          <w:lang w:val="es-EC"/>
        </w:rPr>
        <w:t xml:space="preserve"> especialmente jovenes negros del sexo </w:t>
      </w:r>
      <w:r w:rsidR="00303133" w:rsidRPr="00303133">
        <w:rPr>
          <w:rFonts w:eastAsia="Batang" w:cs="Times"/>
          <w:noProof/>
          <w:szCs w:val="24"/>
          <w:lang w:val="es-EC"/>
        </w:rPr>
        <w:t xml:space="preserve">masculino, </w:t>
      </w:r>
      <w:r w:rsidR="00303133">
        <w:rPr>
          <w:rFonts w:eastAsia="Batang" w:cs="Times"/>
          <w:noProof/>
          <w:szCs w:val="24"/>
          <w:lang w:val="es-EC"/>
        </w:rPr>
        <w:t xml:space="preserve">habitantes de las </w:t>
      </w:r>
      <w:r w:rsidR="00303133" w:rsidRPr="00303133">
        <w:rPr>
          <w:rFonts w:eastAsia="Batang" w:cs="Times"/>
          <w:noProof/>
          <w:szCs w:val="24"/>
          <w:lang w:val="es-EC"/>
        </w:rPr>
        <w:t xml:space="preserve">periferias </w:t>
      </w:r>
      <w:r w:rsidR="00303133">
        <w:rPr>
          <w:rFonts w:eastAsia="Batang" w:cs="Times"/>
          <w:noProof/>
          <w:szCs w:val="24"/>
          <w:lang w:val="es-EC"/>
        </w:rPr>
        <w:t xml:space="preserve">y </w:t>
      </w:r>
      <w:r w:rsidR="00303133" w:rsidRPr="00303133">
        <w:rPr>
          <w:rFonts w:eastAsia="Batang" w:cs="Times"/>
          <w:noProof/>
          <w:szCs w:val="24"/>
          <w:lang w:val="es-EC"/>
        </w:rPr>
        <w:t>áreas metropolitanas d</w:t>
      </w:r>
      <w:r w:rsidR="00303133">
        <w:rPr>
          <w:rFonts w:eastAsia="Batang" w:cs="Times"/>
          <w:noProof/>
          <w:szCs w:val="24"/>
          <w:lang w:val="es-EC"/>
        </w:rPr>
        <w:t>e l</w:t>
      </w:r>
      <w:r w:rsidR="00303133" w:rsidRPr="00303133">
        <w:rPr>
          <w:rFonts w:eastAsia="Batang" w:cs="Times"/>
          <w:noProof/>
          <w:szCs w:val="24"/>
          <w:lang w:val="es-EC"/>
        </w:rPr>
        <w:t>os centros urbanos. Datos d</w:t>
      </w:r>
      <w:r w:rsidR="00303133">
        <w:rPr>
          <w:rFonts w:eastAsia="Batang" w:cs="Times"/>
          <w:noProof/>
          <w:szCs w:val="24"/>
          <w:lang w:val="es-EC"/>
        </w:rPr>
        <w:t>el</w:t>
      </w:r>
      <w:r w:rsidR="00303133" w:rsidRPr="00303133">
        <w:rPr>
          <w:rFonts w:eastAsia="Batang" w:cs="Times"/>
          <w:noProof/>
          <w:szCs w:val="24"/>
          <w:lang w:val="es-EC"/>
        </w:rPr>
        <w:t xml:space="preserve"> SIM/Datasus </w:t>
      </w:r>
      <w:r w:rsidR="00303133">
        <w:rPr>
          <w:rFonts w:eastAsia="Batang" w:cs="Times"/>
          <w:noProof/>
          <w:szCs w:val="24"/>
          <w:lang w:val="es-EC"/>
        </w:rPr>
        <w:t>del</w:t>
      </w:r>
      <w:r w:rsidR="00303133" w:rsidRPr="00303133">
        <w:rPr>
          <w:rFonts w:eastAsia="Batang" w:cs="Times"/>
          <w:noProof/>
          <w:szCs w:val="24"/>
          <w:lang w:val="es-EC"/>
        </w:rPr>
        <w:t xml:space="preserve"> Minist</w:t>
      </w:r>
      <w:r w:rsidR="00E27722">
        <w:rPr>
          <w:rFonts w:eastAsia="Batang" w:cs="Times"/>
          <w:noProof/>
          <w:szCs w:val="24"/>
          <w:lang w:val="es-EC"/>
        </w:rPr>
        <w:t>e</w:t>
      </w:r>
      <w:r w:rsidR="00303133" w:rsidRPr="00303133">
        <w:rPr>
          <w:rFonts w:eastAsia="Batang" w:cs="Times"/>
          <w:noProof/>
          <w:szCs w:val="24"/>
          <w:lang w:val="es-EC"/>
        </w:rPr>
        <w:t>rio d</w:t>
      </w:r>
      <w:r w:rsidR="00303133">
        <w:rPr>
          <w:rFonts w:eastAsia="Batang" w:cs="Times"/>
          <w:noProof/>
          <w:szCs w:val="24"/>
          <w:lang w:val="es-EC"/>
        </w:rPr>
        <w:t>e</w:t>
      </w:r>
      <w:r w:rsidR="00303133" w:rsidRPr="00303133">
        <w:rPr>
          <w:rFonts w:eastAsia="Batang" w:cs="Times"/>
          <w:noProof/>
          <w:szCs w:val="24"/>
          <w:lang w:val="es-EC"/>
        </w:rPr>
        <w:t xml:space="preserve"> Sa</w:t>
      </w:r>
      <w:r w:rsidR="00303133">
        <w:rPr>
          <w:rFonts w:eastAsia="Batang" w:cs="Times"/>
          <w:noProof/>
          <w:szCs w:val="24"/>
          <w:lang w:val="es-EC"/>
        </w:rPr>
        <w:t xml:space="preserve">lud muestran que más de la mitad de los </w:t>
      </w:r>
      <w:r w:rsidR="00303133" w:rsidRPr="00303133">
        <w:rPr>
          <w:rFonts w:eastAsia="Batang" w:cs="Times"/>
          <w:noProof/>
          <w:szCs w:val="24"/>
          <w:lang w:val="es-EC"/>
        </w:rPr>
        <w:t>5</w:t>
      </w:r>
      <w:r w:rsidR="00D21865">
        <w:rPr>
          <w:rFonts w:eastAsia="Batang" w:cs="Times"/>
          <w:noProof/>
          <w:szCs w:val="24"/>
          <w:lang w:val="es-EC"/>
        </w:rPr>
        <w:t>2,000</w:t>
      </w:r>
      <w:r w:rsidR="00303133" w:rsidRPr="00303133">
        <w:rPr>
          <w:rFonts w:eastAsia="Batang" w:cs="Times"/>
          <w:noProof/>
          <w:szCs w:val="24"/>
          <w:lang w:val="es-EC"/>
        </w:rPr>
        <w:t xml:space="preserve"> </w:t>
      </w:r>
      <w:r w:rsidR="00303133">
        <w:rPr>
          <w:rFonts w:eastAsia="Batang" w:cs="Times"/>
          <w:noProof/>
          <w:szCs w:val="24"/>
          <w:lang w:val="es-EC"/>
        </w:rPr>
        <w:t xml:space="preserve">muertos </w:t>
      </w:r>
      <w:r w:rsidR="00303133" w:rsidRPr="00303133">
        <w:rPr>
          <w:rFonts w:eastAsia="Batang" w:cs="Times"/>
          <w:noProof/>
          <w:szCs w:val="24"/>
          <w:lang w:val="es-EC"/>
        </w:rPr>
        <w:t>por homic</w:t>
      </w:r>
      <w:r w:rsidR="00303133">
        <w:rPr>
          <w:rFonts w:eastAsia="Batang" w:cs="Times"/>
          <w:noProof/>
          <w:szCs w:val="24"/>
          <w:lang w:val="es-EC"/>
        </w:rPr>
        <w:t>i</w:t>
      </w:r>
      <w:r w:rsidR="005901C2">
        <w:rPr>
          <w:rFonts w:eastAsia="Batang" w:cs="Times"/>
          <w:noProof/>
          <w:szCs w:val="24"/>
          <w:lang w:val="es-EC"/>
        </w:rPr>
        <w:t>dios</w:t>
      </w:r>
      <w:r w:rsidR="00303133" w:rsidRPr="00303133">
        <w:rPr>
          <w:rFonts w:eastAsia="Batang" w:cs="Times"/>
          <w:noProof/>
          <w:szCs w:val="24"/>
          <w:lang w:val="es-EC"/>
        </w:rPr>
        <w:t xml:space="preserve"> e</w:t>
      </w:r>
      <w:r w:rsidR="00303133">
        <w:rPr>
          <w:rFonts w:eastAsia="Batang" w:cs="Times"/>
          <w:noProof/>
          <w:szCs w:val="24"/>
          <w:lang w:val="es-EC"/>
        </w:rPr>
        <w:t>n</w:t>
      </w:r>
      <w:r w:rsidR="00303133" w:rsidRPr="00303133">
        <w:rPr>
          <w:rFonts w:eastAsia="Batang" w:cs="Times"/>
          <w:noProof/>
          <w:szCs w:val="24"/>
          <w:lang w:val="es-EC"/>
        </w:rPr>
        <w:t xml:space="preserve"> 201</w:t>
      </w:r>
      <w:r w:rsidR="00D21865">
        <w:rPr>
          <w:rFonts w:eastAsia="Batang" w:cs="Times"/>
          <w:noProof/>
          <w:szCs w:val="24"/>
          <w:lang w:val="es-EC"/>
        </w:rPr>
        <w:t>1</w:t>
      </w:r>
      <w:r w:rsidR="00303133" w:rsidRPr="00303133">
        <w:rPr>
          <w:rFonts w:eastAsia="Batang" w:cs="Times"/>
          <w:noProof/>
          <w:szCs w:val="24"/>
          <w:lang w:val="es-EC"/>
        </w:rPr>
        <w:t xml:space="preserve"> </w:t>
      </w:r>
      <w:r w:rsidR="00303133">
        <w:rPr>
          <w:rFonts w:eastAsia="Batang" w:cs="Times"/>
          <w:noProof/>
          <w:szCs w:val="24"/>
          <w:lang w:val="es-EC"/>
        </w:rPr>
        <w:t xml:space="preserve">en </w:t>
      </w:r>
      <w:r w:rsidR="00303133" w:rsidRPr="00303133">
        <w:rPr>
          <w:rFonts w:eastAsia="Batang" w:cs="Times"/>
          <w:noProof/>
          <w:szCs w:val="24"/>
          <w:lang w:val="es-EC"/>
        </w:rPr>
        <w:t>Brasil, era</w:t>
      </w:r>
      <w:r w:rsidR="00303133">
        <w:rPr>
          <w:rFonts w:eastAsia="Batang" w:cs="Times"/>
          <w:noProof/>
          <w:szCs w:val="24"/>
          <w:lang w:val="es-EC"/>
        </w:rPr>
        <w:t xml:space="preserve">n jovenes </w:t>
      </w:r>
      <w:r w:rsidR="00303133" w:rsidRPr="00303133">
        <w:rPr>
          <w:rFonts w:eastAsia="Batang" w:cs="Times"/>
          <w:noProof/>
          <w:szCs w:val="24"/>
          <w:lang w:val="es-EC"/>
        </w:rPr>
        <w:t>(</w:t>
      </w:r>
      <w:r w:rsidR="00D21865">
        <w:rPr>
          <w:rFonts w:eastAsia="Batang" w:cs="Times"/>
          <w:noProof/>
          <w:szCs w:val="24"/>
          <w:lang w:val="es-EC"/>
        </w:rPr>
        <w:t>27,000</w:t>
      </w:r>
      <w:r w:rsidR="00303133" w:rsidRPr="00303133">
        <w:rPr>
          <w:rFonts w:eastAsia="Batang" w:cs="Times"/>
          <w:noProof/>
          <w:szCs w:val="24"/>
          <w:lang w:val="es-EC"/>
        </w:rPr>
        <w:t>, equivalente a 5</w:t>
      </w:r>
      <w:r w:rsidR="00D21865">
        <w:rPr>
          <w:rFonts w:eastAsia="Batang" w:cs="Times"/>
          <w:noProof/>
          <w:szCs w:val="24"/>
          <w:lang w:val="es-EC"/>
        </w:rPr>
        <w:t>2</w:t>
      </w:r>
      <w:r w:rsidR="00303133" w:rsidRPr="00303133">
        <w:rPr>
          <w:rFonts w:eastAsia="Batang" w:cs="Times"/>
          <w:noProof/>
          <w:szCs w:val="24"/>
          <w:lang w:val="es-EC"/>
        </w:rPr>
        <w:t>%), d</w:t>
      </w:r>
      <w:r w:rsidR="00303133">
        <w:rPr>
          <w:rFonts w:eastAsia="Batang" w:cs="Times"/>
          <w:noProof/>
          <w:szCs w:val="24"/>
          <w:lang w:val="es-EC"/>
        </w:rPr>
        <w:t xml:space="preserve">e los cuales </w:t>
      </w:r>
      <w:r w:rsidR="00303133" w:rsidRPr="00303133">
        <w:rPr>
          <w:rFonts w:eastAsia="Batang" w:cs="Times"/>
          <w:noProof/>
          <w:szCs w:val="24"/>
          <w:lang w:val="es-EC"/>
        </w:rPr>
        <w:t>7</w:t>
      </w:r>
      <w:r w:rsidR="00D21865">
        <w:rPr>
          <w:rFonts w:eastAsia="Batang" w:cs="Times"/>
          <w:noProof/>
          <w:szCs w:val="24"/>
          <w:lang w:val="es-EC"/>
        </w:rPr>
        <w:t>1</w:t>
      </w:r>
      <w:r w:rsidR="00303133" w:rsidRPr="00303133">
        <w:rPr>
          <w:rFonts w:eastAsia="Batang" w:cs="Times"/>
          <w:noProof/>
          <w:szCs w:val="24"/>
          <w:lang w:val="es-EC"/>
        </w:rPr>
        <w:t>% negros (</w:t>
      </w:r>
      <w:r w:rsidR="00303133">
        <w:rPr>
          <w:rFonts w:eastAsia="Batang" w:cs="Times"/>
          <w:noProof/>
          <w:szCs w:val="24"/>
          <w:lang w:val="es-EC"/>
        </w:rPr>
        <w:t>negros y mulatos</w:t>
      </w:r>
      <w:r w:rsidR="00303133" w:rsidRPr="00303133">
        <w:rPr>
          <w:rFonts w:eastAsia="Batang" w:cs="Times"/>
          <w:noProof/>
          <w:szCs w:val="24"/>
          <w:lang w:val="es-EC"/>
        </w:rPr>
        <w:t xml:space="preserve">) </w:t>
      </w:r>
      <w:r w:rsidR="00303133">
        <w:rPr>
          <w:rFonts w:eastAsia="Batang" w:cs="Times"/>
          <w:noProof/>
          <w:szCs w:val="24"/>
          <w:lang w:val="es-EC"/>
        </w:rPr>
        <w:t>y</w:t>
      </w:r>
      <w:r w:rsidR="00303133" w:rsidRPr="00303133">
        <w:rPr>
          <w:rFonts w:eastAsia="Batang" w:cs="Times"/>
          <w:noProof/>
          <w:szCs w:val="24"/>
          <w:lang w:val="es-EC"/>
        </w:rPr>
        <w:t xml:space="preserve"> 93% d</w:t>
      </w:r>
      <w:r w:rsidR="00303133">
        <w:rPr>
          <w:rFonts w:eastAsia="Batang" w:cs="Times"/>
          <w:noProof/>
          <w:szCs w:val="24"/>
          <w:lang w:val="es-EC"/>
        </w:rPr>
        <w:t>el</w:t>
      </w:r>
      <w:r w:rsidR="00303133" w:rsidRPr="00303133">
        <w:rPr>
          <w:rFonts w:eastAsia="Batang" w:cs="Times"/>
          <w:noProof/>
          <w:szCs w:val="24"/>
          <w:lang w:val="es-EC"/>
        </w:rPr>
        <w:t xml:space="preserve"> sexo masculino</w:t>
      </w:r>
      <w:r w:rsidR="00303133">
        <w:rPr>
          <w:rFonts w:eastAsia="Batang" w:cs="Times"/>
          <w:noProof/>
          <w:szCs w:val="24"/>
          <w:lang w:val="es-EC"/>
        </w:rPr>
        <w:t>”</w:t>
      </w:r>
      <w:r w:rsidR="00AC5BAB" w:rsidRPr="00825804">
        <w:rPr>
          <w:rFonts w:eastAsia="Batang" w:cs="Times"/>
          <w:noProof/>
          <w:szCs w:val="24"/>
          <w:vertAlign w:val="superscript"/>
          <w:lang w:val="es-EC"/>
        </w:rPr>
        <w:footnoteReference w:id="74"/>
      </w:r>
      <w:r w:rsidR="001033A2" w:rsidRPr="00303133">
        <w:rPr>
          <w:lang w:val="es-EC"/>
        </w:rPr>
        <w:t xml:space="preserve">. </w:t>
      </w:r>
      <w:r w:rsidR="001033A2" w:rsidRPr="00303133">
        <w:rPr>
          <w:rFonts w:eastAsia="Batang" w:cs="Times"/>
          <w:noProof/>
          <w:szCs w:val="24"/>
          <w:lang w:val="es-EC"/>
        </w:rPr>
        <w:t xml:space="preserve">En la ciudad de Rio de Janeiro, </w:t>
      </w:r>
      <w:r w:rsidR="00B1594F">
        <w:rPr>
          <w:rFonts w:eastAsia="Batang" w:cs="Times"/>
          <w:noProof/>
          <w:szCs w:val="24"/>
          <w:lang w:val="es-EC"/>
        </w:rPr>
        <w:t xml:space="preserve">aproximadamente </w:t>
      </w:r>
      <w:r w:rsidR="001033A2" w:rsidRPr="00303133">
        <w:rPr>
          <w:rFonts w:eastAsia="Batang" w:cs="Times"/>
          <w:noProof/>
          <w:szCs w:val="24"/>
          <w:lang w:val="es-EC"/>
        </w:rPr>
        <w:t>6</w:t>
      </w:r>
      <w:r w:rsidR="00B1594F">
        <w:rPr>
          <w:rFonts w:eastAsia="Batang" w:cs="Times"/>
          <w:noProof/>
          <w:szCs w:val="24"/>
          <w:lang w:val="es-EC"/>
        </w:rPr>
        <w:t>5</w:t>
      </w:r>
      <w:r w:rsidR="001033A2" w:rsidRPr="00303133">
        <w:rPr>
          <w:rFonts w:eastAsia="Batang" w:cs="Times"/>
          <w:noProof/>
          <w:szCs w:val="24"/>
          <w:lang w:val="es-EC"/>
        </w:rPr>
        <w:t>% de las personas que murierón en 2015 son negras (</w:t>
      </w:r>
      <w:r w:rsidR="007E3D07" w:rsidRPr="00303133">
        <w:rPr>
          <w:rFonts w:eastAsia="Batang" w:cs="Times"/>
          <w:noProof/>
          <w:szCs w:val="24"/>
          <w:lang w:val="es-EC"/>
        </w:rPr>
        <w:t>negros y mulatos</w:t>
      </w:r>
      <w:r w:rsidR="001033A2" w:rsidRPr="00303133">
        <w:rPr>
          <w:rFonts w:eastAsia="Batang" w:cs="Times"/>
          <w:noProof/>
          <w:szCs w:val="24"/>
          <w:lang w:val="es-EC"/>
        </w:rPr>
        <w:t>)</w:t>
      </w:r>
      <w:r w:rsidR="001033A2">
        <w:rPr>
          <w:rStyle w:val="FootnoteReference"/>
          <w:rFonts w:eastAsia="Batang"/>
          <w:noProof/>
          <w:lang w:val="es-EC"/>
        </w:rPr>
        <w:footnoteReference w:id="75"/>
      </w:r>
      <w:r w:rsidR="001033A2" w:rsidRPr="00303133">
        <w:rPr>
          <w:rFonts w:eastAsia="Batang" w:cs="Times"/>
          <w:noProof/>
          <w:szCs w:val="24"/>
          <w:lang w:val="es-EC"/>
        </w:rPr>
        <w:t xml:space="preserve">. </w:t>
      </w:r>
      <w:r w:rsidR="00671DD3" w:rsidRPr="00303133">
        <w:rPr>
          <w:szCs w:val="20"/>
        </w:rPr>
        <w:t xml:space="preserve">En el Estado de Rio de Janeiro, </w:t>
      </w:r>
      <w:r w:rsidR="0052743F" w:rsidRPr="00303133">
        <w:rPr>
          <w:szCs w:val="20"/>
        </w:rPr>
        <w:t xml:space="preserve">estudios indican que </w:t>
      </w:r>
      <w:r w:rsidR="00671DD3" w:rsidRPr="00303133">
        <w:rPr>
          <w:szCs w:val="20"/>
        </w:rPr>
        <w:t>la oportunidad de un</w:t>
      </w:r>
      <w:r w:rsidR="00B1594F">
        <w:rPr>
          <w:szCs w:val="20"/>
        </w:rPr>
        <w:t xml:space="preserve"> joven </w:t>
      </w:r>
      <w:r w:rsidR="00671DD3" w:rsidRPr="00303133">
        <w:rPr>
          <w:szCs w:val="20"/>
        </w:rPr>
        <w:t>negr</w:t>
      </w:r>
      <w:r w:rsidR="00B1594F">
        <w:rPr>
          <w:szCs w:val="20"/>
        </w:rPr>
        <w:t>o</w:t>
      </w:r>
      <w:r w:rsidR="00671DD3" w:rsidRPr="00303133">
        <w:rPr>
          <w:szCs w:val="20"/>
        </w:rPr>
        <w:t xml:space="preserve"> </w:t>
      </w:r>
      <w:r w:rsidR="003A2A21">
        <w:rPr>
          <w:szCs w:val="20"/>
        </w:rPr>
        <w:t xml:space="preserve">de morir por acción de </w:t>
      </w:r>
      <w:r w:rsidR="00671DD3" w:rsidRPr="00303133">
        <w:rPr>
          <w:szCs w:val="20"/>
        </w:rPr>
        <w:t xml:space="preserve">la policía es casi </w:t>
      </w:r>
      <w:r w:rsidR="00B1594F">
        <w:rPr>
          <w:szCs w:val="20"/>
        </w:rPr>
        <w:t xml:space="preserve">2.5 </w:t>
      </w:r>
      <w:r w:rsidR="005901C2">
        <w:rPr>
          <w:szCs w:val="20"/>
        </w:rPr>
        <w:t>veces mayor</w:t>
      </w:r>
      <w:r w:rsidR="00671DD3" w:rsidRPr="00303133">
        <w:rPr>
          <w:szCs w:val="20"/>
        </w:rPr>
        <w:t xml:space="preserve"> que la de un </w:t>
      </w:r>
      <w:r w:rsidR="00B1594F">
        <w:rPr>
          <w:szCs w:val="20"/>
        </w:rPr>
        <w:t xml:space="preserve">joven </w:t>
      </w:r>
      <w:r w:rsidR="00671DD3" w:rsidRPr="00303133">
        <w:rPr>
          <w:szCs w:val="20"/>
        </w:rPr>
        <w:t>blanc</w:t>
      </w:r>
      <w:r w:rsidR="00B1594F">
        <w:rPr>
          <w:szCs w:val="20"/>
        </w:rPr>
        <w:t>o</w:t>
      </w:r>
      <w:r w:rsidR="00671DD3">
        <w:rPr>
          <w:rStyle w:val="FootnoteReference"/>
        </w:rPr>
        <w:footnoteReference w:id="76"/>
      </w:r>
      <w:r w:rsidR="00671DD3" w:rsidRPr="00303133">
        <w:rPr>
          <w:szCs w:val="20"/>
        </w:rPr>
        <w:t xml:space="preserve">. </w:t>
      </w:r>
    </w:p>
    <w:p w14:paraId="5E9C5083" w14:textId="77777777" w:rsidR="00710747" w:rsidRPr="001033A2" w:rsidRDefault="00710747" w:rsidP="00B811D7">
      <w:pPr>
        <w:pStyle w:val="ListParagraph"/>
        <w:rPr>
          <w:rFonts w:eastAsia="Batang" w:cs="Times"/>
          <w:noProof/>
          <w:szCs w:val="24"/>
          <w:lang w:val="es-EC"/>
        </w:rPr>
      </w:pPr>
    </w:p>
    <w:p w14:paraId="7A281623" w14:textId="4A92F19A" w:rsidR="005242CF" w:rsidRPr="00C3333C" w:rsidRDefault="005242CF" w:rsidP="00801245">
      <w:pPr>
        <w:pStyle w:val="ListParagraph"/>
        <w:numPr>
          <w:ilvl w:val="0"/>
          <w:numId w:val="1"/>
        </w:numPr>
        <w:rPr>
          <w:rFonts w:eastAsia="Batang" w:cs="Times"/>
          <w:strike/>
          <w:noProof/>
          <w:szCs w:val="24"/>
          <w:lang w:val="es-ES"/>
        </w:rPr>
      </w:pPr>
      <w:r w:rsidRPr="00C3333C">
        <w:rPr>
          <w:rFonts w:eastAsia="Batang" w:cs="Times"/>
          <w:noProof/>
          <w:szCs w:val="24"/>
          <w:lang w:val="es-EC"/>
        </w:rPr>
        <w:t xml:space="preserve">En 1996 Brasil </w:t>
      </w:r>
      <w:r w:rsidR="00373110" w:rsidRPr="00C3333C">
        <w:rPr>
          <w:rFonts w:eastAsia="Batang" w:cs="Times"/>
          <w:noProof/>
          <w:szCs w:val="24"/>
          <w:lang w:val="es-EC"/>
        </w:rPr>
        <w:t>reconoci</w:t>
      </w:r>
      <w:r w:rsidR="00801245" w:rsidRPr="00C3333C">
        <w:rPr>
          <w:rFonts w:eastAsia="Batang" w:cs="Times"/>
          <w:noProof/>
          <w:szCs w:val="24"/>
          <w:lang w:val="es-EC"/>
        </w:rPr>
        <w:t>ó</w:t>
      </w:r>
      <w:r w:rsidRPr="00C3333C">
        <w:rPr>
          <w:rFonts w:eastAsia="Batang" w:cs="Times"/>
          <w:noProof/>
          <w:szCs w:val="24"/>
          <w:lang w:val="es-EC"/>
        </w:rPr>
        <w:t xml:space="preserve"> ante el Comité de Derechos Humanos que </w:t>
      </w:r>
      <w:r w:rsidR="00801245" w:rsidRPr="00C3333C">
        <w:rPr>
          <w:rFonts w:eastAsia="Batang" w:cs="Times"/>
          <w:noProof/>
          <w:szCs w:val="24"/>
          <w:lang w:val="es-ES"/>
        </w:rPr>
        <w:t xml:space="preserve">era preciso tomar medidas para acabar con la impunidad </w:t>
      </w:r>
      <w:r w:rsidR="00687656" w:rsidRPr="00C3333C">
        <w:rPr>
          <w:rFonts w:eastAsia="Batang" w:cs="Times"/>
          <w:noProof/>
          <w:szCs w:val="24"/>
          <w:lang w:val="es-ES"/>
        </w:rPr>
        <w:t xml:space="preserve">de las violaciones de derechos humanos atribuidas a autoridades policiales </w:t>
      </w:r>
      <w:r w:rsidR="00801245" w:rsidRPr="00C3333C">
        <w:rPr>
          <w:rFonts w:eastAsia="Batang" w:cs="Times"/>
          <w:noProof/>
          <w:szCs w:val="24"/>
          <w:lang w:val="es-ES"/>
        </w:rPr>
        <w:t>provoca</w:t>
      </w:r>
      <w:r w:rsidR="00373110" w:rsidRPr="00C3333C">
        <w:rPr>
          <w:rFonts w:eastAsia="Batang" w:cs="Times"/>
          <w:noProof/>
          <w:szCs w:val="24"/>
          <w:lang w:val="es-ES"/>
        </w:rPr>
        <w:t>das por</w:t>
      </w:r>
      <w:r w:rsidR="00801245" w:rsidRPr="00C3333C">
        <w:rPr>
          <w:rFonts w:eastAsia="Batang" w:cs="Times"/>
          <w:noProof/>
          <w:szCs w:val="24"/>
          <w:lang w:val="es-ES"/>
        </w:rPr>
        <w:t xml:space="preserve"> un funcionamiento excesivamente lento de los engranajes de la justicia, fruto a su vez, en muchas ocasiones, de la incapacidad de los Estados para realizar una investigación policial eficiente</w:t>
      </w:r>
      <w:r w:rsidRPr="00C3333C">
        <w:rPr>
          <w:rFonts w:eastAsia="Batang" w:cs="Times"/>
          <w:noProof/>
          <w:szCs w:val="24"/>
          <w:vertAlign w:val="superscript"/>
          <w:lang w:val="es-EC"/>
        </w:rPr>
        <w:footnoteReference w:id="77"/>
      </w:r>
      <w:r w:rsidR="004B524C">
        <w:rPr>
          <w:rFonts w:eastAsia="Batang" w:cs="Times"/>
          <w:noProof/>
          <w:szCs w:val="24"/>
          <w:lang w:val="es-ES"/>
        </w:rPr>
        <w:t>.</w:t>
      </w:r>
    </w:p>
    <w:p w14:paraId="43DE348B" w14:textId="77777777" w:rsidR="005242CF" w:rsidRPr="00C3333C" w:rsidRDefault="005242CF" w:rsidP="00C3333C">
      <w:pPr>
        <w:pStyle w:val="ListParagraph"/>
        <w:rPr>
          <w:rFonts w:eastAsia="Batang" w:cs="Times"/>
          <w:noProof/>
          <w:szCs w:val="24"/>
          <w:lang w:val="es-EC"/>
        </w:rPr>
      </w:pPr>
    </w:p>
    <w:p w14:paraId="2DC9A85A" w14:textId="59991CF6" w:rsidR="00E33FD7" w:rsidRPr="00E33FD7" w:rsidRDefault="00687656" w:rsidP="00D6683A">
      <w:pPr>
        <w:pStyle w:val="ListParagraph"/>
        <w:numPr>
          <w:ilvl w:val="0"/>
          <w:numId w:val="1"/>
        </w:numPr>
        <w:rPr>
          <w:rFonts w:eastAsia="Batang" w:cs="Times"/>
          <w:noProof/>
          <w:szCs w:val="24"/>
          <w:lang w:val="es-EC"/>
        </w:rPr>
      </w:pPr>
      <w:r>
        <w:rPr>
          <w:rFonts w:eastAsia="Batang" w:cs="Times"/>
          <w:noProof/>
          <w:szCs w:val="24"/>
          <w:lang w:val="es-EC"/>
        </w:rPr>
        <w:t>Por su parte</w:t>
      </w:r>
      <w:r w:rsidR="005901C2">
        <w:rPr>
          <w:rFonts w:eastAsia="Batang" w:cs="Times"/>
          <w:noProof/>
          <w:szCs w:val="24"/>
          <w:lang w:val="es-EC"/>
        </w:rPr>
        <w:t>,</w:t>
      </w:r>
      <w:r>
        <w:rPr>
          <w:rFonts w:eastAsia="Batang" w:cs="Times"/>
          <w:noProof/>
          <w:szCs w:val="24"/>
          <w:lang w:val="es-EC"/>
        </w:rPr>
        <w:t xml:space="preserve"> la Comisión Interamericana </w:t>
      </w:r>
      <w:r w:rsidR="00373110">
        <w:rPr>
          <w:rFonts w:eastAsia="Batang" w:cs="Times"/>
          <w:noProof/>
          <w:szCs w:val="24"/>
          <w:lang w:val="es-EC"/>
        </w:rPr>
        <w:t xml:space="preserve">ha señalado </w:t>
      </w:r>
      <w:r>
        <w:rPr>
          <w:rFonts w:eastAsia="Batang" w:cs="Times"/>
          <w:noProof/>
          <w:szCs w:val="24"/>
          <w:lang w:val="es-EC"/>
        </w:rPr>
        <w:t>que l</w:t>
      </w:r>
      <w:r w:rsidR="00E33FD7" w:rsidRPr="00E33FD7">
        <w:rPr>
          <w:rFonts w:eastAsia="Batang" w:cs="Times"/>
          <w:noProof/>
          <w:szCs w:val="24"/>
          <w:lang w:val="es-EC"/>
        </w:rPr>
        <w:t>as muertes ocurridas durante las intervenciones policiales son registradas como legítima defensa</w:t>
      </w:r>
      <w:r w:rsidR="005901C2">
        <w:rPr>
          <w:rFonts w:eastAsia="Batang" w:cs="Times"/>
          <w:noProof/>
          <w:szCs w:val="24"/>
          <w:lang w:val="es-EC"/>
        </w:rPr>
        <w:t>,</w:t>
      </w:r>
      <w:r w:rsidR="00E33FD7" w:rsidRPr="00E33FD7">
        <w:rPr>
          <w:rFonts w:eastAsia="Batang" w:cs="Times"/>
          <w:noProof/>
          <w:szCs w:val="24"/>
          <w:lang w:val="es-EC"/>
        </w:rPr>
        <w:t xml:space="preserve"> no obstante de las autopsias practicadas a las víctimas comúnmente surge que estas mueren por disparos recibidos en regiones vitales del cuerpo</w:t>
      </w:r>
      <w:r w:rsidR="00E33FD7" w:rsidRPr="00E33FD7">
        <w:rPr>
          <w:rFonts w:eastAsia="Batang" w:cs="Times"/>
          <w:noProof/>
          <w:szCs w:val="24"/>
          <w:vertAlign w:val="superscript"/>
          <w:lang w:val="es-EC"/>
        </w:rPr>
        <w:footnoteReference w:id="78"/>
      </w:r>
      <w:r w:rsidR="00E33FD7" w:rsidRPr="00E33FD7">
        <w:rPr>
          <w:rFonts w:eastAsia="Batang" w:cs="Times"/>
          <w:noProof/>
          <w:szCs w:val="24"/>
          <w:lang w:val="es-EC"/>
        </w:rPr>
        <w:t xml:space="preserve">. Al respecto, en 1996 el Comité de Derechos Humanos de Naciones Unidas mostró preocupación por los casos de ejecuciones sumarias y arbitrarias llevadas a cabo por fuerzas de seguridad y “escuadrones de la muerte” en Brasil, </w:t>
      </w:r>
      <w:r w:rsidR="00E33FD7" w:rsidRPr="00E33FD7">
        <w:rPr>
          <w:rFonts w:eastAsia="Batang" w:cs="Times"/>
          <w:noProof/>
          <w:szCs w:val="24"/>
          <w:lang w:val="es-EC"/>
        </w:rPr>
        <w:lastRenderedPageBreak/>
        <w:t>en los que con frecuencia participaban miembros de las fuerzas de seguridad, contra personas que pertenecen a grupos especialmente vulnerables</w:t>
      </w:r>
      <w:r w:rsidR="00E33FD7" w:rsidRPr="00E33FD7">
        <w:rPr>
          <w:rFonts w:eastAsia="Batang" w:cs="Times"/>
          <w:noProof/>
          <w:szCs w:val="24"/>
          <w:vertAlign w:val="superscript"/>
          <w:lang w:val="es-EC"/>
        </w:rPr>
        <w:footnoteReference w:id="79"/>
      </w:r>
      <w:r w:rsidR="00E33FD7" w:rsidRPr="00E33FD7">
        <w:rPr>
          <w:rFonts w:eastAsia="Batang" w:cs="Times"/>
          <w:noProof/>
          <w:szCs w:val="24"/>
          <w:lang w:val="es-EC"/>
        </w:rPr>
        <w:t xml:space="preserve">. </w:t>
      </w:r>
    </w:p>
    <w:p w14:paraId="2C4C5AB7" w14:textId="77777777" w:rsidR="00E33FD7" w:rsidRPr="00E33FD7" w:rsidRDefault="00E33FD7" w:rsidP="00B811D7">
      <w:pPr>
        <w:pStyle w:val="ListParagraph"/>
        <w:ind w:left="0"/>
        <w:rPr>
          <w:rFonts w:eastAsia="Batang" w:cs="Times"/>
          <w:noProof/>
          <w:szCs w:val="24"/>
          <w:lang w:val="es-EC"/>
        </w:rPr>
      </w:pPr>
    </w:p>
    <w:p w14:paraId="0840E60A" w14:textId="61F8FABB"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MX"/>
        </w:rPr>
        <w:t xml:space="preserve">Existen dificultades para que </w:t>
      </w:r>
      <w:r w:rsidRPr="00E33FD7">
        <w:rPr>
          <w:rFonts w:eastAsia="Batang" w:cs="Times"/>
          <w:noProof/>
          <w:szCs w:val="24"/>
          <w:lang w:val="es-EC"/>
        </w:rPr>
        <w:t xml:space="preserve">los casos de ejecuciones sumarias y arbitrarias se investiguen de manera adecuada y con frecuencia quedan en </w:t>
      </w:r>
      <w:r w:rsidR="005901C2">
        <w:rPr>
          <w:rFonts w:eastAsia="Batang" w:cs="Times"/>
          <w:noProof/>
          <w:szCs w:val="24"/>
          <w:lang w:val="es-EC"/>
        </w:rPr>
        <w:t xml:space="preserve">la </w:t>
      </w:r>
      <w:r w:rsidRPr="00E33FD7">
        <w:rPr>
          <w:rFonts w:eastAsia="Batang" w:cs="Times"/>
          <w:noProof/>
          <w:szCs w:val="24"/>
          <w:lang w:val="es-EC"/>
        </w:rPr>
        <w:t>impunidad</w:t>
      </w:r>
      <w:r w:rsidRPr="00E33FD7">
        <w:rPr>
          <w:rFonts w:eastAsia="Batang" w:cs="Times"/>
          <w:noProof/>
          <w:szCs w:val="24"/>
          <w:vertAlign w:val="superscript"/>
          <w:lang w:val="es-EC"/>
        </w:rPr>
        <w:footnoteReference w:id="80"/>
      </w:r>
      <w:r w:rsidRPr="00E33FD7">
        <w:rPr>
          <w:rFonts w:eastAsia="Batang" w:cs="Times"/>
          <w:noProof/>
          <w:szCs w:val="24"/>
          <w:lang w:val="es-EC"/>
        </w:rPr>
        <w:t xml:space="preserve">. </w:t>
      </w:r>
    </w:p>
    <w:p w14:paraId="3CC5D304" w14:textId="77777777" w:rsidR="00E33FD7" w:rsidRPr="00E33FD7" w:rsidRDefault="00E33FD7" w:rsidP="00B811D7">
      <w:pPr>
        <w:pStyle w:val="ListParagraph"/>
        <w:ind w:left="0"/>
        <w:rPr>
          <w:rFonts w:eastAsia="Batang" w:cs="Times"/>
          <w:noProof/>
          <w:szCs w:val="24"/>
          <w:lang w:val="es-EC"/>
        </w:rPr>
      </w:pPr>
    </w:p>
    <w:p w14:paraId="0C3D21F0" w14:textId="77777777"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Un elemento que dificulta las investigaciones son los formularios de “resistencia al arresto”, los cuales son emitidos antes de abrirse la investigación relativa a un homicidio cometido por un agente policial. Antes de investigar y corroborar la conducta policial, en muchas de las investigaciones se realiza una investigación respecto del perfil de la víctima fallecida y se cierra la investigación por considerar que era un posible delincuente</w:t>
      </w:r>
      <w:r w:rsidRPr="00E33FD7">
        <w:rPr>
          <w:rFonts w:eastAsia="Batang" w:cs="Times"/>
          <w:noProof/>
          <w:szCs w:val="24"/>
          <w:vertAlign w:val="superscript"/>
          <w:lang w:val="es-EC"/>
        </w:rPr>
        <w:footnoteReference w:id="81"/>
      </w:r>
      <w:r w:rsidRPr="00E33FD7">
        <w:rPr>
          <w:rFonts w:eastAsia="Batang" w:cs="Times"/>
          <w:noProof/>
          <w:szCs w:val="24"/>
          <w:lang w:val="es-EC"/>
        </w:rPr>
        <w:t xml:space="preserve">. </w:t>
      </w:r>
    </w:p>
    <w:p w14:paraId="204BB3BB" w14:textId="77777777" w:rsidR="00E33FD7" w:rsidRPr="00E33FD7" w:rsidRDefault="00E33FD7" w:rsidP="00B811D7">
      <w:pPr>
        <w:pStyle w:val="ListParagraph"/>
        <w:ind w:left="0"/>
        <w:rPr>
          <w:rFonts w:eastAsia="Batang" w:cs="Times"/>
          <w:noProof/>
          <w:szCs w:val="24"/>
          <w:lang w:val="es-EC"/>
        </w:rPr>
      </w:pPr>
    </w:p>
    <w:p w14:paraId="133AC19C" w14:textId="6E8843F1" w:rsidR="00E33FD7" w:rsidRPr="000E5EA9"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 xml:space="preserve">En el Informe </w:t>
      </w:r>
      <w:r w:rsidR="006568F8">
        <w:rPr>
          <w:rFonts w:eastAsia="Batang" w:cs="Times"/>
          <w:noProof/>
          <w:szCs w:val="24"/>
          <w:lang w:val="es-EC"/>
        </w:rPr>
        <w:t xml:space="preserve">sobre </w:t>
      </w:r>
      <w:r w:rsidRPr="00E33FD7">
        <w:rPr>
          <w:rFonts w:eastAsia="Batang" w:cs="Times"/>
          <w:noProof/>
          <w:szCs w:val="24"/>
          <w:lang w:val="es-EC"/>
        </w:rPr>
        <w:t>la Misión a Brasil</w:t>
      </w:r>
      <w:r w:rsidR="006568F8">
        <w:rPr>
          <w:rFonts w:eastAsia="Batang" w:cs="Times"/>
          <w:noProof/>
          <w:szCs w:val="24"/>
          <w:lang w:val="es-EC"/>
        </w:rPr>
        <w:t>,</w:t>
      </w:r>
      <w:r w:rsidRPr="00E33FD7">
        <w:rPr>
          <w:rFonts w:eastAsia="Batang" w:cs="Times"/>
          <w:noProof/>
          <w:szCs w:val="24"/>
          <w:lang w:val="es-EC"/>
        </w:rPr>
        <w:t xml:space="preserve"> en 2003, la entonces Relatora Especial</w:t>
      </w:r>
      <w:r w:rsidR="00D60116">
        <w:rPr>
          <w:rFonts w:eastAsia="Batang" w:cs="Times"/>
          <w:noProof/>
          <w:szCs w:val="24"/>
          <w:lang w:val="es-EC"/>
        </w:rPr>
        <w:t xml:space="preserve"> de Naciones Unidas</w:t>
      </w:r>
      <w:r w:rsidRPr="00E33FD7">
        <w:rPr>
          <w:rFonts w:eastAsia="Batang" w:cs="Times"/>
          <w:noProof/>
          <w:szCs w:val="24"/>
          <w:lang w:val="es-EC"/>
        </w:rPr>
        <w:t xml:space="preserve"> sobre Ejecuciones Extrajudiciales, Sumarias o Arbitrarias, afirmó que “[un] análisis más cercano revela que las muertes ocasionadas por la policía son </w:t>
      </w:r>
      <w:r w:rsidR="00E27722">
        <w:rPr>
          <w:rFonts w:eastAsia="Batang" w:cs="Times"/>
          <w:noProof/>
          <w:szCs w:val="24"/>
          <w:lang w:val="es-EC"/>
        </w:rPr>
        <w:t xml:space="preserve">con frecuencia </w:t>
      </w:r>
      <w:r w:rsidRPr="000E5EA9">
        <w:rPr>
          <w:rFonts w:eastAsia="Batang" w:cs="Times"/>
          <w:noProof/>
          <w:szCs w:val="24"/>
          <w:lang w:val="es-EC"/>
        </w:rPr>
        <w:t>ejecuciones extrajudiciales mal disfrazadas”</w:t>
      </w:r>
      <w:r w:rsidRPr="000E5EA9">
        <w:rPr>
          <w:rFonts w:eastAsia="Batang" w:cs="Times"/>
          <w:noProof/>
          <w:szCs w:val="24"/>
          <w:vertAlign w:val="superscript"/>
          <w:lang w:val="es-EC"/>
        </w:rPr>
        <w:footnoteReference w:id="82"/>
      </w:r>
      <w:r w:rsidRPr="000E5EA9">
        <w:rPr>
          <w:rFonts w:eastAsia="Batang" w:cs="Times"/>
          <w:noProof/>
          <w:szCs w:val="24"/>
          <w:lang w:val="es-EC"/>
        </w:rPr>
        <w:t xml:space="preserve">. En el Informe de la visita de 2007 y en el Informe de Seguimiento a las Recomendaciones, el Relator Especial reiteró que en la mayoría de los casos las ejecuciones cometidas por policías en servicio se registran como “actos de resistencia” o casos de “resistencia seguida de muerte”, es decir que la propia policía determina si se trató de una ejecución extrajudicial o una muerte conforme a la ley. En raras ocasiones estas clasificaciones realizadas por la propia policía son investigadas seriamente y pocos de los autores son procesados </w:t>
      </w:r>
      <w:r w:rsidRPr="000E5EA9">
        <w:rPr>
          <w:rFonts w:ascii="Arial" w:eastAsia="Batang" w:hAnsi="Arial" w:cs="Arial"/>
          <w:noProof/>
          <w:szCs w:val="24"/>
          <w:lang w:val="es-EC"/>
        </w:rPr>
        <w:t>​​</w:t>
      </w:r>
      <w:r w:rsidRPr="000E5EA9">
        <w:rPr>
          <w:rFonts w:eastAsia="Batang" w:cs="Times"/>
          <w:noProof/>
          <w:szCs w:val="24"/>
          <w:lang w:val="es-EC"/>
        </w:rPr>
        <w:t>o condenados</w:t>
      </w:r>
      <w:r w:rsidRPr="000E5EA9">
        <w:rPr>
          <w:rFonts w:eastAsia="Batang" w:cs="Times"/>
          <w:noProof/>
          <w:szCs w:val="24"/>
          <w:vertAlign w:val="superscript"/>
          <w:lang w:val="es-EC"/>
        </w:rPr>
        <w:footnoteReference w:id="83"/>
      </w:r>
      <w:r w:rsidRPr="000E5EA9">
        <w:rPr>
          <w:rFonts w:eastAsia="Batang" w:cs="Times"/>
          <w:noProof/>
          <w:szCs w:val="24"/>
          <w:lang w:val="es-EC"/>
        </w:rPr>
        <w:t>.</w:t>
      </w:r>
    </w:p>
    <w:p w14:paraId="50224BBF" w14:textId="77777777" w:rsidR="00E33FD7" w:rsidRPr="00E33FD7" w:rsidRDefault="00E33FD7" w:rsidP="00B811D7">
      <w:pPr>
        <w:pStyle w:val="ListParagraph"/>
        <w:ind w:left="0"/>
        <w:rPr>
          <w:rFonts w:eastAsia="Batang" w:cs="Times"/>
          <w:noProof/>
          <w:szCs w:val="24"/>
          <w:lang w:val="es-EC"/>
        </w:rPr>
      </w:pPr>
    </w:p>
    <w:p w14:paraId="21098B14" w14:textId="5BC123DE" w:rsidR="00687656" w:rsidRPr="00C3333C" w:rsidRDefault="00687656" w:rsidP="00C3333C">
      <w:pPr>
        <w:numPr>
          <w:ilvl w:val="0"/>
          <w:numId w:val="1"/>
        </w:numPr>
        <w:rPr>
          <w:iCs/>
          <w:lang w:val="es-CL"/>
        </w:rPr>
      </w:pPr>
      <w:r>
        <w:rPr>
          <w:rFonts w:eastAsia="Batang" w:cs="Times"/>
          <w:noProof/>
          <w:szCs w:val="24"/>
          <w:lang w:val="es-EC"/>
        </w:rPr>
        <w:t>Esta información ha sido reproducida por organizaciones no gubernamentales</w:t>
      </w:r>
      <w:r w:rsidR="00373110">
        <w:rPr>
          <w:rFonts w:eastAsia="Batang" w:cs="Times"/>
          <w:noProof/>
          <w:szCs w:val="24"/>
          <w:lang w:val="es-EC"/>
        </w:rPr>
        <w:t>, e igualmente ha sido reiterada en</w:t>
      </w:r>
      <w:r w:rsidRPr="00373110">
        <w:rPr>
          <w:rFonts w:eastAsia="Batang" w:cs="Times"/>
          <w:noProof/>
          <w:szCs w:val="24"/>
          <w:lang w:val="es-EC"/>
        </w:rPr>
        <w:t xml:space="preserve"> los peritajes aportados al presente caso</w:t>
      </w:r>
      <w:r w:rsidRPr="00E33FD7">
        <w:rPr>
          <w:rFonts w:eastAsia="Batang" w:cs="Times"/>
          <w:noProof/>
          <w:szCs w:val="24"/>
          <w:vertAlign w:val="superscript"/>
          <w:lang w:val="es-EC"/>
        </w:rPr>
        <w:footnoteReference w:id="84"/>
      </w:r>
      <w:r w:rsidRPr="00C3333C">
        <w:rPr>
          <w:rFonts w:eastAsia="Batang" w:cs="Times"/>
          <w:noProof/>
          <w:szCs w:val="24"/>
          <w:lang w:val="es-EC"/>
        </w:rPr>
        <w:t xml:space="preserve">. </w:t>
      </w:r>
    </w:p>
    <w:p w14:paraId="2D65F3CB" w14:textId="77777777" w:rsidR="00687656" w:rsidRPr="00C3333C" w:rsidRDefault="00687656" w:rsidP="00C3333C">
      <w:pPr>
        <w:pStyle w:val="ListParagraph"/>
        <w:rPr>
          <w:rFonts w:eastAsia="Batang" w:cs="Times"/>
          <w:noProof/>
          <w:szCs w:val="24"/>
          <w:lang w:val="es-CL"/>
        </w:rPr>
      </w:pPr>
    </w:p>
    <w:p w14:paraId="4EC0C291" w14:textId="33BBD8CB" w:rsidR="00E33FD7" w:rsidRPr="00E33FD7" w:rsidRDefault="00687656" w:rsidP="00D6683A">
      <w:pPr>
        <w:pStyle w:val="ListParagraph"/>
        <w:numPr>
          <w:ilvl w:val="0"/>
          <w:numId w:val="1"/>
        </w:numPr>
        <w:rPr>
          <w:rFonts w:eastAsia="Batang" w:cs="Times"/>
          <w:noProof/>
          <w:szCs w:val="24"/>
          <w:lang w:val="es-EC"/>
        </w:rPr>
      </w:pPr>
      <w:r>
        <w:rPr>
          <w:rFonts w:eastAsia="Batang" w:cs="Times"/>
          <w:noProof/>
          <w:szCs w:val="24"/>
          <w:lang w:val="es-EC"/>
        </w:rPr>
        <w:t xml:space="preserve">Finalmente, </w:t>
      </w:r>
      <w:r w:rsidR="00EE139F">
        <w:rPr>
          <w:rFonts w:eastAsia="Batang" w:cs="Times"/>
          <w:noProof/>
          <w:szCs w:val="24"/>
          <w:lang w:val="es-EC"/>
        </w:rPr>
        <w:t xml:space="preserve">aunque la gran mayoría de las víctimas letales de operaciones </w:t>
      </w:r>
      <w:r w:rsidR="00E33FD7" w:rsidRPr="00E33FD7">
        <w:rPr>
          <w:rFonts w:eastAsia="Batang" w:cs="Times"/>
          <w:noProof/>
          <w:szCs w:val="24"/>
          <w:lang w:val="es-EC"/>
        </w:rPr>
        <w:t xml:space="preserve">policiales en Brasil son </w:t>
      </w:r>
      <w:r w:rsidR="00EE139F">
        <w:rPr>
          <w:rFonts w:eastAsia="Batang" w:cs="Times"/>
          <w:noProof/>
          <w:szCs w:val="24"/>
          <w:lang w:val="es-EC"/>
        </w:rPr>
        <w:t xml:space="preserve">hombres, las mujeres residentes de comunidades en donde </w:t>
      </w:r>
      <w:r w:rsidR="00E33FD7" w:rsidRPr="00E33FD7">
        <w:rPr>
          <w:rFonts w:eastAsia="Batang" w:cs="Times"/>
          <w:noProof/>
          <w:szCs w:val="24"/>
          <w:lang w:val="es-EC"/>
        </w:rPr>
        <w:t xml:space="preserve">existen </w:t>
      </w:r>
      <w:r w:rsidR="00EE139F">
        <w:rPr>
          <w:rFonts w:eastAsia="Batang" w:cs="Times"/>
          <w:noProof/>
          <w:szCs w:val="24"/>
          <w:lang w:val="es-EC"/>
        </w:rPr>
        <w:t>“</w:t>
      </w:r>
      <w:r w:rsidR="00E33FD7" w:rsidRPr="00E33FD7">
        <w:rPr>
          <w:rFonts w:eastAsia="Batang" w:cs="Times"/>
          <w:noProof/>
          <w:szCs w:val="24"/>
          <w:lang w:val="es-EC"/>
        </w:rPr>
        <w:t>enfrentamientos</w:t>
      </w:r>
      <w:r w:rsidR="00EE139F">
        <w:rPr>
          <w:rFonts w:eastAsia="Batang" w:cs="Times"/>
          <w:noProof/>
          <w:szCs w:val="24"/>
          <w:lang w:val="es-EC"/>
        </w:rPr>
        <w:t>”</w:t>
      </w:r>
      <w:r w:rsidR="00E33FD7" w:rsidRPr="00E33FD7">
        <w:rPr>
          <w:rFonts w:eastAsia="Batang" w:cs="Times"/>
          <w:noProof/>
          <w:szCs w:val="24"/>
          <w:lang w:val="es-EC"/>
        </w:rPr>
        <w:t xml:space="preserve"> generalmente</w:t>
      </w:r>
      <w:r w:rsidR="00BE36F3">
        <w:rPr>
          <w:rFonts w:eastAsia="Batang" w:cs="Times"/>
          <w:noProof/>
          <w:szCs w:val="24"/>
          <w:lang w:val="es-EC"/>
        </w:rPr>
        <w:t xml:space="preserve"> </w:t>
      </w:r>
      <w:r w:rsidR="005901C2">
        <w:rPr>
          <w:rFonts w:eastAsia="Batang" w:cs="Times"/>
          <w:noProof/>
          <w:szCs w:val="24"/>
          <w:lang w:val="es-EC"/>
        </w:rPr>
        <w:t xml:space="preserve">sufren </w:t>
      </w:r>
      <w:r w:rsidR="00BE36F3">
        <w:rPr>
          <w:rFonts w:eastAsia="Batang" w:cs="Times"/>
          <w:noProof/>
          <w:szCs w:val="24"/>
          <w:lang w:val="es-EC"/>
        </w:rPr>
        <w:t>una violencia particular y</w:t>
      </w:r>
      <w:r w:rsidR="00E33FD7" w:rsidRPr="00E33FD7">
        <w:rPr>
          <w:rFonts w:eastAsia="Batang" w:cs="Times"/>
          <w:noProof/>
          <w:szCs w:val="24"/>
          <w:lang w:val="es-EC"/>
        </w:rPr>
        <w:t xml:space="preserve"> son amenazadas, atacadas, heridas, insultadas e incluso objeto de </w:t>
      </w:r>
      <w:r w:rsidR="00F94410">
        <w:rPr>
          <w:rFonts w:eastAsia="Batang" w:cs="Times"/>
          <w:noProof/>
          <w:szCs w:val="24"/>
          <w:lang w:val="es-EC"/>
        </w:rPr>
        <w:t>violencia</w:t>
      </w:r>
      <w:r w:rsidR="00E33FD7" w:rsidRPr="00E33FD7">
        <w:rPr>
          <w:rFonts w:eastAsia="Batang" w:cs="Times"/>
          <w:noProof/>
          <w:szCs w:val="24"/>
          <w:lang w:val="es-EC"/>
        </w:rPr>
        <w:t xml:space="preserve"> sexual a manos de la policía</w:t>
      </w:r>
      <w:r w:rsidR="00E33FD7" w:rsidRPr="00E33FD7">
        <w:rPr>
          <w:rFonts w:eastAsia="Batang" w:cs="Times"/>
          <w:noProof/>
          <w:szCs w:val="24"/>
          <w:vertAlign w:val="superscript"/>
          <w:lang w:val="es-EC"/>
        </w:rPr>
        <w:footnoteReference w:id="85"/>
      </w:r>
      <w:r w:rsidR="00E33FD7" w:rsidRPr="00E33FD7">
        <w:rPr>
          <w:rFonts w:eastAsia="Batang" w:cs="Times"/>
          <w:noProof/>
          <w:szCs w:val="24"/>
          <w:lang w:val="es-EC"/>
        </w:rPr>
        <w:t>.</w:t>
      </w:r>
    </w:p>
    <w:p w14:paraId="23515F83" w14:textId="77777777" w:rsidR="00326CA8" w:rsidRDefault="00326CA8" w:rsidP="00B811D7">
      <w:pPr>
        <w:pStyle w:val="ListParagraph"/>
        <w:ind w:left="0"/>
        <w:rPr>
          <w:rFonts w:eastAsia="Batang" w:cs="Times"/>
          <w:noProof/>
          <w:szCs w:val="24"/>
          <w:lang w:val="es-EC"/>
        </w:rPr>
      </w:pPr>
    </w:p>
    <w:p w14:paraId="3FE3105B" w14:textId="733D3968" w:rsidR="00326CA8" w:rsidRPr="00FC0F3D" w:rsidRDefault="00326CA8" w:rsidP="00326CA8">
      <w:pPr>
        <w:numPr>
          <w:ilvl w:val="0"/>
          <w:numId w:val="1"/>
        </w:numPr>
      </w:pPr>
      <w:r>
        <w:rPr>
          <w:iCs/>
          <w:lang w:val="es-CL"/>
        </w:rPr>
        <w:t xml:space="preserve">Entre las medias </w:t>
      </w:r>
      <w:r w:rsidR="001F5AF8">
        <w:rPr>
          <w:iCs/>
          <w:lang w:val="es-CL"/>
        </w:rPr>
        <w:t xml:space="preserve">normativas existentes </w:t>
      </w:r>
      <w:r>
        <w:rPr>
          <w:iCs/>
          <w:lang w:val="es-CL"/>
        </w:rPr>
        <w:t>para enfrentar esa problemática, el Ministerio Público tiene entre sus atribuciones</w:t>
      </w:r>
      <w:r w:rsidR="007858F0">
        <w:rPr>
          <w:iCs/>
          <w:lang w:val="es-CL"/>
        </w:rPr>
        <w:t>,</w:t>
      </w:r>
      <w:r>
        <w:rPr>
          <w:iCs/>
          <w:lang w:val="es-CL"/>
        </w:rPr>
        <w:t xml:space="preserve"> </w:t>
      </w:r>
      <w:r w:rsidR="001F5AF8">
        <w:rPr>
          <w:iCs/>
          <w:lang w:val="es-CL"/>
        </w:rPr>
        <w:t>definidas en el artículo 129 de la Constitución Federal de 1988</w:t>
      </w:r>
      <w:r w:rsidR="007858F0">
        <w:rPr>
          <w:iCs/>
          <w:lang w:val="es-CL"/>
        </w:rPr>
        <w:t>,</w:t>
      </w:r>
      <w:r w:rsidR="001F5AF8">
        <w:rPr>
          <w:iCs/>
          <w:lang w:val="es-CL"/>
        </w:rPr>
        <w:t xml:space="preserve"> </w:t>
      </w:r>
      <w:r>
        <w:rPr>
          <w:iCs/>
          <w:lang w:val="es-CL"/>
        </w:rPr>
        <w:t>la</w:t>
      </w:r>
      <w:r w:rsidRPr="00FC0F3D">
        <w:t xml:space="preserve"> responsabilidad </w:t>
      </w:r>
      <w:r>
        <w:t xml:space="preserve">de </w:t>
      </w:r>
      <w:r w:rsidRPr="00FC0F3D">
        <w:t>control externo de la actividad policial</w:t>
      </w:r>
      <w:r w:rsidRPr="00FC0F3D">
        <w:rPr>
          <w:vertAlign w:val="superscript"/>
          <w:lang w:val="en-US"/>
        </w:rPr>
        <w:footnoteReference w:id="86"/>
      </w:r>
      <w:r>
        <w:t xml:space="preserve">. </w:t>
      </w:r>
    </w:p>
    <w:p w14:paraId="04F7493B" w14:textId="77777777" w:rsidR="00326CA8" w:rsidRPr="00FC0F3D" w:rsidRDefault="00326CA8" w:rsidP="00326CA8"/>
    <w:p w14:paraId="6DD84F79" w14:textId="76C55339" w:rsidR="00CC5042" w:rsidRDefault="00326CA8" w:rsidP="00C3333C">
      <w:pPr>
        <w:numPr>
          <w:ilvl w:val="0"/>
          <w:numId w:val="1"/>
        </w:numPr>
        <w:rPr>
          <w:iCs/>
          <w:lang w:val="es-CL"/>
        </w:rPr>
      </w:pPr>
      <w:r>
        <w:rPr>
          <w:iCs/>
          <w:lang w:val="es-CL"/>
        </w:rPr>
        <w:t xml:space="preserve">Asimismo, la </w:t>
      </w:r>
      <w:r w:rsidRPr="00FC0F3D">
        <w:rPr>
          <w:iCs/>
          <w:lang w:val="es-CL"/>
        </w:rPr>
        <w:t xml:space="preserve">Ley </w:t>
      </w:r>
      <w:r w:rsidRPr="00FC0F3D">
        <w:t xml:space="preserve">No. </w:t>
      </w:r>
      <w:r w:rsidRPr="00FC0F3D">
        <w:rPr>
          <w:iCs/>
          <w:lang w:val="es-CL"/>
        </w:rPr>
        <w:t>12.030/2009 garantiza la autonomía técnica, científica y funcional de los peritos</w:t>
      </w:r>
      <w:r>
        <w:rPr>
          <w:iCs/>
          <w:lang w:val="es-CL"/>
        </w:rPr>
        <w:t xml:space="preserve">, y la Enmienda Constitucional 45 estableció el instituto de traslado de competencia de casos de violaciones de derechos humanos desde la jurisdicción estadual hacia la federal, a </w:t>
      </w:r>
      <w:r w:rsidR="00243161">
        <w:rPr>
          <w:iCs/>
          <w:lang w:val="es-CL"/>
        </w:rPr>
        <w:t>solicitud</w:t>
      </w:r>
      <w:r>
        <w:rPr>
          <w:iCs/>
          <w:lang w:val="es-CL"/>
        </w:rPr>
        <w:t xml:space="preserve"> del Jefe del Ministerio Público. </w:t>
      </w:r>
    </w:p>
    <w:p w14:paraId="584A8830" w14:textId="77777777" w:rsidR="00C3333C" w:rsidRPr="00C3333C" w:rsidRDefault="00C3333C" w:rsidP="00C3333C">
      <w:pPr>
        <w:rPr>
          <w:iCs/>
          <w:lang w:val="es-CL"/>
        </w:rPr>
      </w:pPr>
    </w:p>
    <w:p w14:paraId="7A631952" w14:textId="4ED1D034" w:rsidR="00E33FD7" w:rsidRPr="00F32DA7" w:rsidRDefault="0046046A" w:rsidP="00123780">
      <w:pPr>
        <w:pStyle w:val="TOC2"/>
      </w:pPr>
      <w:bookmarkStart w:id="383" w:name="_Toc469404502"/>
      <w:bookmarkStart w:id="384" w:name="_Toc472608947"/>
      <w:r>
        <w:t>B</w:t>
      </w:r>
      <w:r w:rsidR="00E33FD7" w:rsidRPr="00F32DA7">
        <w:t>.2</w:t>
      </w:r>
      <w:r w:rsidR="00CE18D4">
        <w:t>.</w:t>
      </w:r>
      <w:r w:rsidR="00E33FD7" w:rsidRPr="00F32DA7">
        <w:t xml:space="preserve"> </w:t>
      </w:r>
      <w:r>
        <w:tab/>
      </w:r>
      <w:r w:rsidR="00E33FD7" w:rsidRPr="00F32DA7">
        <w:t>Antecedentes</w:t>
      </w:r>
      <w:bookmarkEnd w:id="383"/>
      <w:bookmarkEnd w:id="384"/>
    </w:p>
    <w:p w14:paraId="46CF60B7" w14:textId="77777777" w:rsidR="00E33FD7" w:rsidRPr="00E33FD7" w:rsidRDefault="00E33FD7" w:rsidP="00B811D7">
      <w:pPr>
        <w:pStyle w:val="ListParagraph"/>
        <w:ind w:left="0"/>
        <w:rPr>
          <w:rFonts w:eastAsia="Batang" w:cs="Times"/>
          <w:noProof/>
          <w:szCs w:val="24"/>
          <w:lang w:val="es-EC"/>
        </w:rPr>
      </w:pPr>
    </w:p>
    <w:p w14:paraId="1CBE2520" w14:textId="77777777" w:rsidR="00E33FD7" w:rsidRPr="00E33FD7" w:rsidRDefault="00E33FD7" w:rsidP="00B811D7">
      <w:pPr>
        <w:pStyle w:val="ListParagraph"/>
        <w:ind w:left="0"/>
        <w:rPr>
          <w:rFonts w:eastAsia="Batang" w:cs="Times"/>
          <w:i/>
          <w:noProof/>
          <w:szCs w:val="24"/>
          <w:lang w:val="es-EC"/>
        </w:rPr>
      </w:pPr>
      <w:r w:rsidRPr="00E33FD7">
        <w:rPr>
          <w:rFonts w:eastAsia="Batang" w:cs="Times"/>
          <w:i/>
          <w:iCs/>
          <w:noProof/>
          <w:szCs w:val="24"/>
          <w:lang w:val="es-ES"/>
        </w:rPr>
        <w:t>Redada policial de 18 de octubre de 1994</w:t>
      </w:r>
      <w:r w:rsidRPr="00E33FD7">
        <w:rPr>
          <w:rFonts w:eastAsia="Batang" w:cs="Times"/>
          <w:i/>
          <w:iCs/>
          <w:noProof/>
          <w:szCs w:val="24"/>
          <w:vertAlign w:val="superscript"/>
          <w:lang w:val="es-ES"/>
        </w:rPr>
        <w:footnoteReference w:id="87"/>
      </w:r>
    </w:p>
    <w:p w14:paraId="45A2EB88" w14:textId="77777777" w:rsidR="00E33FD7" w:rsidRPr="00E33FD7" w:rsidRDefault="00E33FD7" w:rsidP="00B811D7">
      <w:pPr>
        <w:pStyle w:val="ListParagraph"/>
        <w:ind w:left="0"/>
        <w:rPr>
          <w:rFonts w:eastAsia="Batang" w:cs="Times"/>
          <w:noProof/>
          <w:szCs w:val="24"/>
          <w:lang w:val="es-EC"/>
        </w:rPr>
      </w:pPr>
    </w:p>
    <w:p w14:paraId="16328F02" w14:textId="77777777" w:rsidR="00E33FD7" w:rsidRPr="00E33FD7" w:rsidRDefault="00E33FD7" w:rsidP="00D6683A">
      <w:pPr>
        <w:pStyle w:val="ListParagraph"/>
        <w:numPr>
          <w:ilvl w:val="0"/>
          <w:numId w:val="1"/>
        </w:numPr>
        <w:rPr>
          <w:rFonts w:eastAsia="Batang" w:cs="Times"/>
          <w:b/>
          <w:noProof/>
          <w:szCs w:val="24"/>
          <w:lang w:val="es-EC"/>
        </w:rPr>
      </w:pPr>
      <w:r w:rsidRPr="00E33FD7">
        <w:rPr>
          <w:rFonts w:eastAsia="Batang" w:cs="Times"/>
          <w:noProof/>
          <w:szCs w:val="24"/>
          <w:lang w:val="es-EC"/>
        </w:rPr>
        <w:t>El 18 de octubre de 1994, por la mañana, una incursión policial fue realizada en la Favela Nova Brasilia por un grupo de entre 40 y 80 policías civiles y militares</w:t>
      </w:r>
      <w:r w:rsidRPr="00E33FD7">
        <w:rPr>
          <w:rFonts w:eastAsia="Batang" w:cs="Times"/>
          <w:noProof/>
          <w:szCs w:val="24"/>
          <w:vertAlign w:val="superscript"/>
          <w:lang w:val="es-EC"/>
        </w:rPr>
        <w:footnoteReference w:id="88"/>
      </w:r>
      <w:r w:rsidRPr="00E33FD7">
        <w:rPr>
          <w:rFonts w:eastAsia="Batang" w:cs="Times"/>
          <w:noProof/>
          <w:szCs w:val="24"/>
          <w:lang w:val="es-EC"/>
        </w:rPr>
        <w:t xml:space="preserve"> de varios distritos de la ciudad de Río de Janeiro</w:t>
      </w:r>
      <w:r w:rsidRPr="00E33FD7">
        <w:rPr>
          <w:rFonts w:eastAsia="Batang" w:cs="Times"/>
          <w:noProof/>
          <w:szCs w:val="24"/>
          <w:vertAlign w:val="superscript"/>
        </w:rPr>
        <w:footnoteReference w:id="89"/>
      </w:r>
      <w:r w:rsidRPr="00E33FD7">
        <w:rPr>
          <w:rFonts w:eastAsia="Batang" w:cs="Times"/>
          <w:noProof/>
          <w:szCs w:val="24"/>
          <w:lang w:val="es-EC"/>
        </w:rPr>
        <w:t xml:space="preserve">. </w:t>
      </w:r>
      <w:r w:rsidRPr="00E33FD7">
        <w:rPr>
          <w:rFonts w:eastAsia="Batang" w:cs="Times"/>
          <w:noProof/>
          <w:szCs w:val="24"/>
          <w:lang w:val="es-ES"/>
        </w:rPr>
        <w:t>Solo 28 policías fueron identificados en la investigación</w:t>
      </w:r>
      <w:r w:rsidRPr="00E33FD7">
        <w:rPr>
          <w:rFonts w:eastAsia="Batang" w:cs="Times"/>
          <w:noProof/>
          <w:szCs w:val="24"/>
          <w:vertAlign w:val="superscript"/>
          <w:lang w:val="es-ES"/>
        </w:rPr>
        <w:footnoteReference w:id="90"/>
      </w:r>
      <w:r w:rsidRPr="00E33FD7">
        <w:rPr>
          <w:rFonts w:eastAsia="Batang" w:cs="Times"/>
          <w:noProof/>
          <w:szCs w:val="24"/>
          <w:lang w:val="es-ES"/>
        </w:rPr>
        <w:t>.</w:t>
      </w:r>
    </w:p>
    <w:p w14:paraId="2CA507F5" w14:textId="77777777" w:rsidR="00E33FD7" w:rsidRPr="00E33FD7" w:rsidRDefault="00E33FD7" w:rsidP="00B811D7">
      <w:pPr>
        <w:pStyle w:val="ListParagraph"/>
        <w:ind w:left="0"/>
        <w:rPr>
          <w:rFonts w:eastAsia="Batang" w:cs="Times"/>
          <w:b/>
          <w:noProof/>
          <w:szCs w:val="24"/>
          <w:lang w:val="es-EC"/>
        </w:rPr>
      </w:pPr>
    </w:p>
    <w:p w14:paraId="522F1FBD" w14:textId="451D54BE" w:rsidR="00E33FD7" w:rsidRPr="00E33FD7" w:rsidRDefault="00E33FD7" w:rsidP="00D6683A">
      <w:pPr>
        <w:pStyle w:val="ListParagraph"/>
        <w:numPr>
          <w:ilvl w:val="0"/>
          <w:numId w:val="1"/>
        </w:numPr>
        <w:rPr>
          <w:rFonts w:eastAsia="Batang" w:cs="Times"/>
          <w:b/>
          <w:noProof/>
          <w:szCs w:val="24"/>
          <w:lang w:val="es-EC"/>
        </w:rPr>
      </w:pPr>
      <w:r w:rsidRPr="00E33FD7">
        <w:rPr>
          <w:rFonts w:eastAsia="Batang" w:cs="Times"/>
          <w:noProof/>
          <w:szCs w:val="24"/>
          <w:lang w:val="es-ES"/>
        </w:rPr>
        <w:lastRenderedPageBreak/>
        <w:t xml:space="preserve">Durante la operación, </w:t>
      </w:r>
      <w:r w:rsidR="00BD08BC">
        <w:rPr>
          <w:rFonts w:eastAsia="Batang" w:cs="Times"/>
          <w:noProof/>
          <w:szCs w:val="24"/>
          <w:lang w:val="es-ES"/>
        </w:rPr>
        <w:t xml:space="preserve">los </w:t>
      </w:r>
      <w:r w:rsidRPr="00E33FD7">
        <w:rPr>
          <w:rFonts w:eastAsia="Batang" w:cs="Times"/>
          <w:noProof/>
          <w:szCs w:val="24"/>
          <w:lang w:val="es-ES"/>
        </w:rPr>
        <w:t>policías invadieron al menos cinco casas, y procedieron a</w:t>
      </w:r>
      <w:r w:rsidR="004D259A">
        <w:rPr>
          <w:rFonts w:eastAsia="Batang" w:cs="Times"/>
          <w:noProof/>
          <w:szCs w:val="24"/>
          <w:lang w:val="es-ES"/>
        </w:rPr>
        <w:t>:</w:t>
      </w:r>
      <w:r w:rsidRPr="00E33FD7">
        <w:rPr>
          <w:rFonts w:eastAsia="Batang" w:cs="Times"/>
          <w:noProof/>
          <w:szCs w:val="24"/>
          <w:lang w:val="es-ES"/>
        </w:rPr>
        <w:t xml:space="preserve"> i) disparar a los ocupantes y llevar los cuerpos, cubiertos por mantas, a la pla</w:t>
      </w:r>
      <w:r w:rsidR="007858F0">
        <w:rPr>
          <w:rFonts w:eastAsia="Batang" w:cs="Times"/>
          <w:noProof/>
          <w:szCs w:val="24"/>
          <w:lang w:val="es-ES"/>
        </w:rPr>
        <w:t xml:space="preserve">za principal de la comunidad, </w:t>
      </w:r>
      <w:r w:rsidRPr="00E33FD7">
        <w:rPr>
          <w:rFonts w:eastAsia="Batang" w:cs="Times"/>
          <w:noProof/>
          <w:szCs w:val="24"/>
          <w:lang w:val="es-ES"/>
        </w:rPr>
        <w:t xml:space="preserve">o ii) detener ocupantes para llevarlos y posteriormente </w:t>
      </w:r>
      <w:r w:rsidR="00656409">
        <w:rPr>
          <w:rFonts w:eastAsia="Batang" w:cs="Times"/>
          <w:noProof/>
          <w:szCs w:val="24"/>
          <w:lang w:val="es-ES"/>
        </w:rPr>
        <w:t>privarlos de la vid</w:t>
      </w:r>
      <w:r w:rsidR="00CA66EF">
        <w:rPr>
          <w:rFonts w:eastAsia="Batang" w:cs="Times"/>
          <w:noProof/>
          <w:szCs w:val="24"/>
          <w:lang w:val="es-ES"/>
        </w:rPr>
        <w:t>a y</w:t>
      </w:r>
      <w:r w:rsidRPr="00E33FD7">
        <w:rPr>
          <w:rFonts w:eastAsia="Batang" w:cs="Times"/>
          <w:noProof/>
          <w:szCs w:val="24"/>
          <w:lang w:val="es-ES"/>
        </w:rPr>
        <w:t xml:space="preserve"> depositar sus cuerpos en la plaza de la comunidad</w:t>
      </w:r>
      <w:r w:rsidRPr="00E33FD7">
        <w:rPr>
          <w:rFonts w:eastAsia="Batang" w:cs="Times"/>
          <w:noProof/>
          <w:szCs w:val="24"/>
          <w:vertAlign w:val="superscript"/>
          <w:lang w:val="es-ES"/>
        </w:rPr>
        <w:footnoteReference w:id="91"/>
      </w:r>
      <w:r w:rsidRPr="00E33FD7">
        <w:rPr>
          <w:rFonts w:eastAsia="Batang" w:cs="Times"/>
          <w:noProof/>
          <w:szCs w:val="24"/>
          <w:lang w:val="es-ES"/>
        </w:rPr>
        <w:t xml:space="preserve">. </w:t>
      </w:r>
    </w:p>
    <w:p w14:paraId="74E1786A" w14:textId="77777777" w:rsidR="00E33FD7" w:rsidRPr="00E33FD7" w:rsidRDefault="00E33FD7" w:rsidP="00B811D7">
      <w:pPr>
        <w:pStyle w:val="ListParagraph"/>
        <w:ind w:left="0"/>
        <w:rPr>
          <w:rFonts w:eastAsia="Batang" w:cs="Times"/>
          <w:b/>
          <w:noProof/>
          <w:szCs w:val="24"/>
          <w:lang w:val="es-EC"/>
        </w:rPr>
      </w:pPr>
    </w:p>
    <w:p w14:paraId="08D563C9" w14:textId="77777777" w:rsidR="00E33FD7" w:rsidRPr="00E33FD7" w:rsidRDefault="00E33FD7" w:rsidP="00D6683A">
      <w:pPr>
        <w:pStyle w:val="ListParagraph"/>
        <w:numPr>
          <w:ilvl w:val="0"/>
          <w:numId w:val="1"/>
        </w:numPr>
        <w:rPr>
          <w:rFonts w:eastAsia="Batang" w:cs="Times"/>
          <w:b/>
          <w:noProof/>
          <w:szCs w:val="24"/>
          <w:lang w:val="es-EC"/>
        </w:rPr>
      </w:pPr>
      <w:r w:rsidRPr="00E33FD7">
        <w:rPr>
          <w:rFonts w:eastAsia="Batang" w:cs="Times"/>
          <w:noProof/>
          <w:szCs w:val="24"/>
          <w:lang w:val="es-EC"/>
        </w:rPr>
        <w:t>En dos de las casas invadidas, los policías interrogaron y cometieron actos de violencia sexual en contra de tres jóvenes, dos de las cuales eran niñas de 15 y 16 años de edad</w:t>
      </w:r>
      <w:r w:rsidRPr="00E33FD7">
        <w:rPr>
          <w:rFonts w:eastAsia="Batang" w:cs="Times"/>
          <w:noProof/>
          <w:szCs w:val="24"/>
          <w:vertAlign w:val="superscript"/>
          <w:lang w:val="es-EC"/>
        </w:rPr>
        <w:footnoteReference w:id="92"/>
      </w:r>
      <w:r w:rsidRPr="00E33FD7">
        <w:rPr>
          <w:rFonts w:eastAsia="Batang" w:cs="Times"/>
          <w:noProof/>
          <w:szCs w:val="24"/>
          <w:lang w:val="es-EC"/>
        </w:rPr>
        <w:t xml:space="preserve">. </w:t>
      </w:r>
    </w:p>
    <w:p w14:paraId="7D61D16F" w14:textId="77777777" w:rsidR="00E33FD7" w:rsidRPr="00E33FD7" w:rsidRDefault="00E33FD7" w:rsidP="00B811D7">
      <w:pPr>
        <w:pStyle w:val="ListParagraph"/>
        <w:ind w:left="0"/>
        <w:rPr>
          <w:rFonts w:eastAsia="Batang" w:cs="Times"/>
          <w:noProof/>
          <w:szCs w:val="24"/>
          <w:lang w:val="es-EC"/>
        </w:rPr>
      </w:pPr>
    </w:p>
    <w:p w14:paraId="2CAC911A" w14:textId="392B032C"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Como resultado de esta incursión</w:t>
      </w:r>
      <w:r w:rsidR="00BD08BC" w:rsidRPr="00E33FD7">
        <w:rPr>
          <w:rFonts w:eastAsia="Batang" w:cs="Times"/>
          <w:noProof/>
          <w:szCs w:val="24"/>
          <w:vertAlign w:val="superscript"/>
          <w:lang w:val="es-EC"/>
        </w:rPr>
        <w:footnoteReference w:id="93"/>
      </w:r>
      <w:r w:rsidRPr="00E33FD7">
        <w:rPr>
          <w:rFonts w:eastAsia="Batang" w:cs="Times"/>
          <w:noProof/>
          <w:szCs w:val="24"/>
          <w:lang w:val="es-EC"/>
        </w:rPr>
        <w:t xml:space="preserve">, la policía </w:t>
      </w:r>
      <w:r w:rsidR="00EC4849" w:rsidRPr="00656409">
        <w:rPr>
          <w:rFonts w:eastAsia="Batang" w:cs="Times"/>
          <w:noProof/>
          <w:szCs w:val="24"/>
          <w:lang w:val="es-EC"/>
        </w:rPr>
        <w:t>mató</w:t>
      </w:r>
      <w:r w:rsidRPr="003957EE">
        <w:rPr>
          <w:rFonts w:eastAsia="Batang" w:cs="Times"/>
          <w:noProof/>
          <w:szCs w:val="24"/>
          <w:lang w:val="es-EC"/>
        </w:rPr>
        <w:t xml:space="preserve"> </w:t>
      </w:r>
      <w:r w:rsidRPr="00E33FD7">
        <w:rPr>
          <w:rFonts w:eastAsia="Batang" w:cs="Times"/>
          <w:noProof/>
          <w:szCs w:val="24"/>
          <w:lang w:val="es-EC"/>
        </w:rPr>
        <w:t>a 13 residentes de sexo masculino de la Favela Nova Brasilia, cuatro de los cuáles eran niños: Alberto dos Santos Ramos, 22 años (</w:t>
      </w:r>
      <w:r w:rsidR="00AC6FB2">
        <w:rPr>
          <w:rFonts w:eastAsia="Batang" w:cs="Times"/>
          <w:noProof/>
          <w:szCs w:val="24"/>
          <w:lang w:val="es-EC"/>
        </w:rPr>
        <w:t>tres</w:t>
      </w:r>
      <w:r w:rsidRPr="00E33FD7">
        <w:rPr>
          <w:rFonts w:eastAsia="Batang" w:cs="Times"/>
          <w:noProof/>
          <w:szCs w:val="24"/>
          <w:lang w:val="es-EC"/>
        </w:rPr>
        <w:t xml:space="preserve"> heridas de bala en su pecho y una en el brazo izquierdo); André Luiz Neri da Silva, 17 años (una herida de bala en su espalda, una en la parte izquierda de su abdomen, una en la mano izquierda, una en la muñeca derecha y una en el brazo derecho); Macmiller Faria Neves, 17 años (una herida de bala en la parte de atrás de su cabeza, una en la región temporal izquierda, una en la cara y una en su hombro izquierdo); Fabio Henrique Fernandes, 19 años (</w:t>
      </w:r>
      <w:r w:rsidR="00AC6FB2">
        <w:rPr>
          <w:rFonts w:eastAsia="Batang" w:cs="Times"/>
          <w:noProof/>
          <w:szCs w:val="24"/>
          <w:lang w:val="es-EC"/>
        </w:rPr>
        <w:t>ocho</w:t>
      </w:r>
      <w:r w:rsidRPr="00E33FD7">
        <w:rPr>
          <w:rFonts w:eastAsia="Batang" w:cs="Times"/>
          <w:noProof/>
          <w:szCs w:val="24"/>
          <w:lang w:val="es-EC"/>
        </w:rPr>
        <w:t xml:space="preserve"> heridas de bala en la parte de atrás de su cuello, </w:t>
      </w:r>
      <w:r w:rsidR="00AC6FB2">
        <w:rPr>
          <w:rFonts w:eastAsia="Batang" w:cs="Times"/>
          <w:noProof/>
          <w:szCs w:val="24"/>
          <w:lang w:val="es-EC"/>
        </w:rPr>
        <w:t>seis</w:t>
      </w:r>
      <w:r w:rsidRPr="00E33FD7">
        <w:rPr>
          <w:rFonts w:eastAsia="Batang" w:cs="Times"/>
          <w:noProof/>
          <w:szCs w:val="24"/>
          <w:lang w:val="es-EC"/>
        </w:rPr>
        <w:t xml:space="preserve"> heridas de bala en la parte de atrás de su pierna derecha y una herida de bala en su muslo izquierdo); Robson Genuino dos Santos, 30 años (</w:t>
      </w:r>
      <w:r w:rsidR="00AC6FB2">
        <w:rPr>
          <w:rFonts w:eastAsia="Batang" w:cs="Times"/>
          <w:noProof/>
          <w:szCs w:val="24"/>
          <w:lang w:val="es-EC"/>
        </w:rPr>
        <w:t>dos</w:t>
      </w:r>
      <w:r w:rsidRPr="00E33FD7">
        <w:rPr>
          <w:rFonts w:eastAsia="Batang" w:cs="Times"/>
          <w:noProof/>
          <w:szCs w:val="24"/>
          <w:lang w:val="es-EC"/>
        </w:rPr>
        <w:t xml:space="preserve"> heridas de bala en su abdomen y en su pecho); Adriano Silva Donato, 18 años (</w:t>
      </w:r>
      <w:r w:rsidR="00AC6FB2">
        <w:rPr>
          <w:rFonts w:eastAsia="Batang" w:cs="Times"/>
          <w:noProof/>
          <w:szCs w:val="24"/>
          <w:lang w:val="es-EC"/>
        </w:rPr>
        <w:t>tres</w:t>
      </w:r>
      <w:r w:rsidRPr="00E33FD7">
        <w:rPr>
          <w:rFonts w:eastAsia="Batang" w:cs="Times"/>
          <w:noProof/>
          <w:szCs w:val="24"/>
          <w:lang w:val="es-EC"/>
        </w:rPr>
        <w:t xml:space="preserve"> heridas de bala en su espalda, en su región temporal derecha y en su brazo derecho); Evandro de Oliveira, 22 años (una herida de bala en su espalda y </w:t>
      </w:r>
      <w:r w:rsidR="00AC6FB2">
        <w:rPr>
          <w:rFonts w:eastAsia="Batang" w:cs="Times"/>
          <w:noProof/>
          <w:szCs w:val="24"/>
          <w:lang w:val="es-EC"/>
        </w:rPr>
        <w:t>dos</w:t>
      </w:r>
      <w:r w:rsidRPr="00E33FD7">
        <w:rPr>
          <w:rFonts w:eastAsia="Batang" w:cs="Times"/>
          <w:noProof/>
          <w:szCs w:val="24"/>
          <w:lang w:val="es-EC"/>
        </w:rPr>
        <w:t xml:space="preserve"> en sus ojos - una en cada ojo); Alex Vianna dos Santos, 17 años (</w:t>
      </w:r>
      <w:r w:rsidR="00AC6FB2">
        <w:rPr>
          <w:rFonts w:eastAsia="Batang" w:cs="Times"/>
          <w:noProof/>
          <w:szCs w:val="24"/>
          <w:lang w:val="es-EC"/>
        </w:rPr>
        <w:t>dos</w:t>
      </w:r>
      <w:r w:rsidRPr="00E33FD7">
        <w:rPr>
          <w:rFonts w:eastAsia="Batang" w:cs="Times"/>
          <w:noProof/>
          <w:szCs w:val="24"/>
          <w:lang w:val="es-EC"/>
        </w:rPr>
        <w:t xml:space="preserve"> heridas de bala en su oreja y pecho); Alan Kardec Silva de Oliveira, 14 años (2 heridas de bala en su región temporal derecha y en su muslo derecho); Sergio Mendes Oliveira, 20 años (</w:t>
      </w:r>
      <w:r w:rsidR="00AC6FB2">
        <w:rPr>
          <w:rFonts w:eastAsia="Batang" w:cs="Times"/>
          <w:noProof/>
          <w:szCs w:val="24"/>
          <w:lang w:val="es-EC"/>
        </w:rPr>
        <w:t>nueve</w:t>
      </w:r>
      <w:r w:rsidRPr="00E33FD7">
        <w:rPr>
          <w:rFonts w:eastAsia="Batang" w:cs="Times"/>
          <w:noProof/>
          <w:szCs w:val="24"/>
          <w:lang w:val="es-EC"/>
        </w:rPr>
        <w:t xml:space="preserve"> heridas de bala en su boca, cuello, abdomen derecho, hombro izquierdo, muslo derecho, cadera izquierda, </w:t>
      </w:r>
      <w:r w:rsidR="00A016C5">
        <w:rPr>
          <w:rFonts w:eastAsia="Batang" w:cs="Times"/>
          <w:noProof/>
          <w:szCs w:val="24"/>
          <w:lang w:val="es-EC"/>
        </w:rPr>
        <w:t>glúteo</w:t>
      </w:r>
      <w:r w:rsidRPr="00E33FD7">
        <w:rPr>
          <w:rFonts w:eastAsia="Batang" w:cs="Times"/>
          <w:noProof/>
          <w:szCs w:val="24"/>
          <w:lang w:val="es-EC"/>
        </w:rPr>
        <w:t xml:space="preserve"> derech</w:t>
      </w:r>
      <w:r w:rsidR="00A016C5">
        <w:rPr>
          <w:rFonts w:eastAsia="Batang" w:cs="Times"/>
          <w:noProof/>
          <w:szCs w:val="24"/>
          <w:lang w:val="es-EC"/>
        </w:rPr>
        <w:t>o</w:t>
      </w:r>
      <w:r w:rsidRPr="00E33FD7">
        <w:rPr>
          <w:rFonts w:eastAsia="Batang" w:cs="Times"/>
          <w:noProof/>
          <w:szCs w:val="24"/>
          <w:lang w:val="es-EC"/>
        </w:rPr>
        <w:t xml:space="preserve"> y dos en su </w:t>
      </w:r>
      <w:r w:rsidR="00A016C5">
        <w:rPr>
          <w:rFonts w:eastAsia="Batang" w:cs="Times"/>
          <w:noProof/>
          <w:szCs w:val="24"/>
          <w:lang w:val="es-EC"/>
        </w:rPr>
        <w:t xml:space="preserve">glúteo </w:t>
      </w:r>
      <w:r w:rsidRPr="00E33FD7">
        <w:rPr>
          <w:rFonts w:eastAsia="Batang" w:cs="Times"/>
          <w:noProof/>
          <w:szCs w:val="24"/>
          <w:lang w:val="es-EC"/>
        </w:rPr>
        <w:t>izquierd</w:t>
      </w:r>
      <w:r w:rsidR="00A016C5">
        <w:rPr>
          <w:rFonts w:eastAsia="Batang" w:cs="Times"/>
          <w:noProof/>
          <w:szCs w:val="24"/>
          <w:lang w:val="es-EC"/>
        </w:rPr>
        <w:t>o</w:t>
      </w:r>
      <w:r w:rsidRPr="00E33FD7">
        <w:rPr>
          <w:rFonts w:eastAsia="Batang" w:cs="Times"/>
          <w:noProof/>
          <w:szCs w:val="24"/>
          <w:lang w:val="es-EC"/>
        </w:rPr>
        <w:t>); Ranilson José de Souza, 21 años (</w:t>
      </w:r>
      <w:r w:rsidR="00AC6FB2">
        <w:rPr>
          <w:rFonts w:eastAsia="Batang" w:cs="Times"/>
          <w:noProof/>
          <w:szCs w:val="24"/>
          <w:lang w:val="es-EC"/>
        </w:rPr>
        <w:t>tres</w:t>
      </w:r>
      <w:r w:rsidRPr="00E33FD7">
        <w:rPr>
          <w:rFonts w:eastAsia="Batang" w:cs="Times"/>
          <w:noProof/>
          <w:szCs w:val="24"/>
          <w:lang w:val="es-EC"/>
        </w:rPr>
        <w:t xml:space="preserve"> heridas de bala en su ojo izquierdo, en su mejilla izquierda y en la parte de atrás de su cráneo); Clemilson dos Santos Moura, 19 años (</w:t>
      </w:r>
      <w:r w:rsidR="00AC6FB2">
        <w:rPr>
          <w:rFonts w:eastAsia="Batang" w:cs="Times"/>
          <w:noProof/>
          <w:szCs w:val="24"/>
          <w:lang w:val="es-EC"/>
        </w:rPr>
        <w:t>dos</w:t>
      </w:r>
      <w:r w:rsidRPr="00E33FD7">
        <w:rPr>
          <w:rFonts w:eastAsia="Batang" w:cs="Times"/>
          <w:noProof/>
          <w:szCs w:val="24"/>
          <w:lang w:val="es-EC"/>
        </w:rPr>
        <w:t xml:space="preserve"> heridas de bala en su región temporal derecha y </w:t>
      </w:r>
      <w:r w:rsidR="00AC6FB2">
        <w:rPr>
          <w:rFonts w:eastAsia="Batang" w:cs="Times"/>
          <w:noProof/>
          <w:szCs w:val="24"/>
          <w:lang w:val="es-EC"/>
        </w:rPr>
        <w:t>una</w:t>
      </w:r>
      <w:r w:rsidRPr="00E33FD7">
        <w:rPr>
          <w:rFonts w:eastAsia="Batang" w:cs="Times"/>
          <w:noProof/>
          <w:szCs w:val="24"/>
          <w:lang w:val="es-EC"/>
        </w:rPr>
        <w:t xml:space="preserve"> en su brazo derecho); y Alexander Batista de Souza, 19 años (</w:t>
      </w:r>
      <w:r w:rsidR="00AC6FB2">
        <w:rPr>
          <w:rFonts w:eastAsia="Batang" w:cs="Times"/>
          <w:noProof/>
          <w:szCs w:val="24"/>
          <w:lang w:val="es-EC"/>
        </w:rPr>
        <w:t>una</w:t>
      </w:r>
      <w:r w:rsidRPr="00E33FD7">
        <w:rPr>
          <w:rFonts w:eastAsia="Batang" w:cs="Times"/>
          <w:noProof/>
          <w:szCs w:val="24"/>
          <w:lang w:val="es-EC"/>
        </w:rPr>
        <w:t xml:space="preserve"> herida de bala en la espalda y dos en el hombro derecho)</w:t>
      </w:r>
      <w:r w:rsidRPr="00E33FD7">
        <w:rPr>
          <w:rFonts w:eastAsia="Batang" w:cs="Times"/>
          <w:noProof/>
          <w:szCs w:val="24"/>
          <w:vertAlign w:val="superscript"/>
          <w:lang w:val="es-EC"/>
        </w:rPr>
        <w:footnoteReference w:id="94"/>
      </w:r>
      <w:r w:rsidRPr="00E33FD7">
        <w:rPr>
          <w:rFonts w:eastAsia="Batang" w:cs="Times"/>
          <w:noProof/>
          <w:szCs w:val="24"/>
          <w:lang w:val="es-EC"/>
        </w:rPr>
        <w:t>.</w:t>
      </w:r>
    </w:p>
    <w:p w14:paraId="73475CFF" w14:textId="77777777" w:rsidR="00E33FD7" w:rsidRPr="00E33FD7" w:rsidRDefault="00E33FD7" w:rsidP="00B811D7">
      <w:pPr>
        <w:pStyle w:val="ListParagraph"/>
        <w:ind w:left="0"/>
        <w:rPr>
          <w:rFonts w:eastAsia="Batang" w:cs="Times"/>
          <w:i/>
          <w:noProof/>
          <w:szCs w:val="24"/>
          <w:lang w:val="es-EC"/>
        </w:rPr>
      </w:pPr>
      <w:bookmarkStart w:id="385" w:name="_Toc460433006"/>
      <w:bookmarkStart w:id="386" w:name="_Toc460441937"/>
      <w:bookmarkStart w:id="387" w:name="_Toc462750755"/>
      <w:bookmarkStart w:id="388" w:name="_Toc462751079"/>
    </w:p>
    <w:p w14:paraId="13C79894" w14:textId="77777777" w:rsidR="00E33FD7" w:rsidRPr="00E33FD7" w:rsidRDefault="00E33FD7" w:rsidP="00B811D7">
      <w:pPr>
        <w:pStyle w:val="ListParagraph"/>
        <w:ind w:left="0"/>
        <w:rPr>
          <w:rFonts w:eastAsia="Batang" w:cs="Times"/>
          <w:i/>
          <w:noProof/>
          <w:szCs w:val="24"/>
          <w:lang w:val="es-EC"/>
        </w:rPr>
      </w:pPr>
      <w:r w:rsidRPr="00E33FD7">
        <w:rPr>
          <w:rFonts w:eastAsia="Batang" w:cs="Times"/>
          <w:i/>
          <w:noProof/>
          <w:szCs w:val="24"/>
          <w:lang w:val="es-EC"/>
        </w:rPr>
        <w:t>Redada policial de 8 de mayo de 1995</w:t>
      </w:r>
      <w:r w:rsidRPr="00E33FD7">
        <w:rPr>
          <w:rFonts w:eastAsia="Batang" w:cs="Times"/>
          <w:i/>
          <w:noProof/>
          <w:szCs w:val="24"/>
          <w:vertAlign w:val="superscript"/>
          <w:lang w:val="es-EC"/>
        </w:rPr>
        <w:footnoteReference w:id="95"/>
      </w:r>
      <w:r w:rsidRPr="00E33FD7">
        <w:rPr>
          <w:rFonts w:eastAsia="Batang" w:cs="Times"/>
          <w:i/>
          <w:noProof/>
          <w:szCs w:val="24"/>
          <w:lang w:val="es-EC"/>
        </w:rPr>
        <w:t xml:space="preserve"> </w:t>
      </w:r>
      <w:bookmarkEnd w:id="385"/>
      <w:bookmarkEnd w:id="386"/>
      <w:bookmarkEnd w:id="387"/>
      <w:bookmarkEnd w:id="388"/>
    </w:p>
    <w:p w14:paraId="6B3515A4" w14:textId="77777777" w:rsidR="00E33FD7" w:rsidRPr="00E33FD7" w:rsidRDefault="00E33FD7" w:rsidP="00B811D7">
      <w:pPr>
        <w:pStyle w:val="ListParagraph"/>
        <w:ind w:left="0"/>
        <w:rPr>
          <w:rFonts w:eastAsia="Batang" w:cs="Times"/>
          <w:noProof/>
          <w:szCs w:val="24"/>
          <w:lang w:val="es-EC"/>
        </w:rPr>
      </w:pPr>
    </w:p>
    <w:p w14:paraId="6E8C3767" w14:textId="1148CC87"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lastRenderedPageBreak/>
        <w:t>El 8 de mayo de 1995, aproximadamente a las 6:00 horas de la mañana, incursionó en la Favela Nova Brasilia un grupo de 14 policías civiles con el apoyo de dos helicópteros. La operación presuntamente tenía como objetivo detener un cargamento de armas que sería entregado a traficantes de droga de la localidad</w:t>
      </w:r>
      <w:r w:rsidRPr="00E33FD7">
        <w:rPr>
          <w:rFonts w:eastAsia="Batang" w:cs="Times"/>
          <w:noProof/>
          <w:szCs w:val="24"/>
          <w:vertAlign w:val="superscript"/>
          <w:lang w:val="es-EC"/>
        </w:rPr>
        <w:footnoteReference w:id="96"/>
      </w:r>
      <w:r w:rsidRPr="00E33FD7">
        <w:rPr>
          <w:rFonts w:eastAsia="Batang" w:cs="Times"/>
          <w:noProof/>
          <w:szCs w:val="24"/>
          <w:lang w:val="es-EC"/>
        </w:rPr>
        <w:t>. De acuerdo con testimonios hubo un intenso tiroteo entre policías y supuestos traficantes de drogas que causó pánico en la comunidad</w:t>
      </w:r>
      <w:r w:rsidRPr="00E33FD7">
        <w:rPr>
          <w:rFonts w:eastAsia="Batang" w:cs="Times"/>
          <w:noProof/>
          <w:szCs w:val="24"/>
          <w:vertAlign w:val="superscript"/>
        </w:rPr>
        <w:footnoteReference w:id="97"/>
      </w:r>
      <w:r w:rsidRPr="00E33FD7">
        <w:rPr>
          <w:rFonts w:eastAsia="Batang" w:cs="Times"/>
          <w:noProof/>
          <w:szCs w:val="24"/>
        </w:rPr>
        <w:t xml:space="preserve">. </w:t>
      </w:r>
    </w:p>
    <w:p w14:paraId="143649F4" w14:textId="77777777" w:rsidR="00E33FD7" w:rsidRPr="00E33FD7" w:rsidRDefault="00E33FD7" w:rsidP="00B811D7">
      <w:pPr>
        <w:pStyle w:val="ListParagraph"/>
        <w:ind w:left="0"/>
        <w:rPr>
          <w:rFonts w:eastAsia="Batang" w:cs="Times"/>
          <w:noProof/>
          <w:szCs w:val="24"/>
          <w:lang w:val="es-EC"/>
        </w:rPr>
      </w:pPr>
    </w:p>
    <w:p w14:paraId="01BFDFE6" w14:textId="4179D9EF"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Como resultado de esta incursión policial, tres policías fueron heridos</w:t>
      </w:r>
      <w:r w:rsidRPr="00E33FD7">
        <w:rPr>
          <w:rFonts w:eastAsia="Batang" w:cs="Times"/>
          <w:noProof/>
          <w:szCs w:val="24"/>
          <w:vertAlign w:val="superscript"/>
          <w:lang w:val="es-EC"/>
        </w:rPr>
        <w:footnoteReference w:id="98"/>
      </w:r>
      <w:r w:rsidRPr="00E33FD7">
        <w:rPr>
          <w:rFonts w:eastAsia="Batang" w:cs="Times"/>
          <w:noProof/>
          <w:szCs w:val="24"/>
          <w:lang w:val="es-EC"/>
        </w:rPr>
        <w:t xml:space="preserve"> y 13 </w:t>
      </w:r>
      <w:r w:rsidR="007858F0">
        <w:rPr>
          <w:rFonts w:eastAsia="Batang" w:cs="Times"/>
          <w:noProof/>
          <w:szCs w:val="24"/>
          <w:lang w:val="es-EC"/>
        </w:rPr>
        <w:t>hombres</w:t>
      </w:r>
      <w:r w:rsidRPr="00E33FD7">
        <w:rPr>
          <w:rFonts w:eastAsia="Batang" w:cs="Times"/>
          <w:noProof/>
          <w:szCs w:val="24"/>
          <w:lang w:val="es-EC"/>
        </w:rPr>
        <w:t xml:space="preserve"> de la comunidad resultaron muertos</w:t>
      </w:r>
      <w:r w:rsidR="00BD08BC">
        <w:rPr>
          <w:rStyle w:val="FootnoteReference"/>
          <w:rFonts w:eastAsia="Batang"/>
          <w:noProof/>
          <w:lang w:val="es-EC"/>
        </w:rPr>
        <w:footnoteReference w:id="99"/>
      </w:r>
      <w:r w:rsidRPr="00E33FD7">
        <w:rPr>
          <w:rFonts w:eastAsia="Batang" w:cs="Times"/>
          <w:noProof/>
          <w:szCs w:val="24"/>
          <w:lang w:val="es-EC"/>
        </w:rPr>
        <w:t>. Los</w:t>
      </w:r>
      <w:r w:rsidRPr="00E33FD7">
        <w:rPr>
          <w:rFonts w:eastAsia="Batang" w:cs="Times"/>
          <w:noProof/>
          <w:szCs w:val="24"/>
        </w:rPr>
        <w:t xml:space="preserve"> análisis forenses con base en los informes de autopsia señalaron numerosas heridas de bala en el cuerpo de las 13 víctimas, con frecuencia impactando el pecho, cerca del corazón, y la cabeza</w:t>
      </w:r>
      <w:r w:rsidRPr="00E33FD7">
        <w:rPr>
          <w:rFonts w:eastAsia="Batang" w:cs="Times"/>
          <w:noProof/>
          <w:szCs w:val="24"/>
          <w:vertAlign w:val="superscript"/>
        </w:rPr>
        <w:footnoteReference w:id="100"/>
      </w:r>
      <w:r w:rsidRPr="00E33FD7">
        <w:rPr>
          <w:rFonts w:eastAsia="Batang" w:cs="Times"/>
          <w:noProof/>
          <w:szCs w:val="24"/>
        </w:rPr>
        <w:t>. Además, documentos provenientes del Hospital Getúlio Vargas indicaron que las 13 personas llegaron muertas al hospital</w:t>
      </w:r>
      <w:r w:rsidRPr="00E33FD7">
        <w:rPr>
          <w:rFonts w:eastAsia="Batang" w:cs="Times"/>
          <w:noProof/>
          <w:szCs w:val="24"/>
          <w:vertAlign w:val="superscript"/>
        </w:rPr>
        <w:footnoteReference w:id="101"/>
      </w:r>
      <w:r w:rsidRPr="00E33FD7">
        <w:rPr>
          <w:rFonts w:eastAsia="Batang" w:cs="Times"/>
          <w:noProof/>
          <w:szCs w:val="24"/>
        </w:rPr>
        <w:t>.</w:t>
      </w:r>
    </w:p>
    <w:p w14:paraId="38FD2E42" w14:textId="77777777" w:rsidR="00E33FD7" w:rsidRPr="00E33FD7" w:rsidRDefault="00E33FD7" w:rsidP="00B811D7">
      <w:pPr>
        <w:pStyle w:val="ListParagraph"/>
        <w:ind w:left="0"/>
        <w:rPr>
          <w:rFonts w:eastAsia="Batang" w:cs="Times"/>
          <w:noProof/>
          <w:szCs w:val="24"/>
          <w:lang w:val="es-ES"/>
        </w:rPr>
      </w:pPr>
    </w:p>
    <w:p w14:paraId="63E45A31" w14:textId="0A25770D"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S"/>
        </w:rPr>
        <w:t xml:space="preserve">Las personas fallecidas fueron: </w:t>
      </w:r>
      <w:r w:rsidRPr="00E33FD7">
        <w:rPr>
          <w:rFonts w:eastAsia="Batang" w:cs="Times"/>
          <w:noProof/>
          <w:szCs w:val="24"/>
        </w:rPr>
        <w:t>Cosme Rosa Genoveva, 20 años (</w:t>
      </w:r>
      <w:r w:rsidR="00AC6FB2">
        <w:rPr>
          <w:rFonts w:eastAsia="Batang" w:cs="Times"/>
          <w:noProof/>
          <w:szCs w:val="24"/>
        </w:rPr>
        <w:t>tres</w:t>
      </w:r>
      <w:r w:rsidRPr="00E33FD7">
        <w:rPr>
          <w:rFonts w:eastAsia="Batang" w:cs="Times"/>
          <w:noProof/>
          <w:szCs w:val="24"/>
        </w:rPr>
        <w:t xml:space="preserve"> heridas de bala en su pecho, una en la rodilla, una en el pie y una en el muslo); Anderson Mendes, 22 años (una herida de bala en </w:t>
      </w:r>
      <w:r w:rsidR="00A016C5">
        <w:rPr>
          <w:rFonts w:eastAsia="Batang" w:cs="Times"/>
          <w:noProof/>
          <w:szCs w:val="24"/>
        </w:rPr>
        <w:t xml:space="preserve">el glúteo </w:t>
      </w:r>
      <w:r w:rsidRPr="00E33FD7">
        <w:rPr>
          <w:rFonts w:eastAsia="Batang" w:cs="Times"/>
          <w:noProof/>
          <w:szCs w:val="24"/>
        </w:rPr>
        <w:t>derech</w:t>
      </w:r>
      <w:r w:rsidR="00A016C5">
        <w:rPr>
          <w:rFonts w:eastAsia="Batang" w:cs="Times"/>
          <w:noProof/>
          <w:szCs w:val="24"/>
        </w:rPr>
        <w:t>o</w:t>
      </w:r>
      <w:r w:rsidRPr="00E33FD7">
        <w:rPr>
          <w:rFonts w:eastAsia="Batang" w:cs="Times"/>
          <w:noProof/>
          <w:szCs w:val="24"/>
        </w:rPr>
        <w:t xml:space="preserve"> y dos en la caja torácica izquierda); Eduardo Pinto da Silva, 18 años (varias heridas de bala en su pecho); Nilton Ramos de Oliveira Junior, 17 años (dos heridas de bala en el pecho); Anderson Abrantes da Silva, 18 años (una herida de bala en su región temporal derecha); Marcio Felix, 21 años (una herida de bala en su pecho, dos en su muslo superior izquierdo, dos en la espalda, una en el hombro izquierdo, dos en la espalda inferior derecha, una en la mano derecha y una en la mano izquierda); Alex Fonseca Costa, 20 años (una herida de bala en su cuello, una en su pecho izquierdo, una en su muslo superior derecho, una en la rodilla derecha); Jacques Douglas Melo Rodrigues, 25 años (una herida de bala en su región frontal derecha, una en la barbilla, una en el pecho superior derecho y una en el hombro derecho); Renato Inacio da Silva, 18 años (una herida de bala en la zona temporal izquierda y una en el pecho); Ciro Pereira Dutra, 21 años (una herida de bala en su espalda cerca del hombro izquierdo); Welington Silva, 17 años (una herida de bala en su pecho y una en su hombro derecho); Fabio Ribeiro Castor, 20 años (una herida de bala en su cuello, dos en su pecho y una en su abdomen); y Alex Sandro Alves dos Reis, 19 años (dos heridas de bala en su pecho y una en su brazo izquierdo)</w:t>
      </w:r>
      <w:r w:rsidRPr="00E33FD7">
        <w:rPr>
          <w:rFonts w:eastAsia="Batang" w:cs="Times"/>
          <w:noProof/>
          <w:szCs w:val="24"/>
          <w:vertAlign w:val="superscript"/>
        </w:rPr>
        <w:footnoteReference w:id="102"/>
      </w:r>
      <w:r w:rsidRPr="00E33FD7">
        <w:rPr>
          <w:rFonts w:eastAsia="Batang" w:cs="Times"/>
          <w:noProof/>
          <w:szCs w:val="24"/>
        </w:rPr>
        <w:t>.</w:t>
      </w:r>
    </w:p>
    <w:p w14:paraId="4A64EDD4" w14:textId="77777777" w:rsidR="00E33FD7" w:rsidRPr="00E33FD7" w:rsidRDefault="00E33FD7" w:rsidP="00B811D7">
      <w:pPr>
        <w:pStyle w:val="ListParagraph"/>
        <w:ind w:left="0"/>
        <w:rPr>
          <w:rFonts w:eastAsia="Batang" w:cs="Times"/>
          <w:noProof/>
          <w:szCs w:val="24"/>
          <w:lang w:val="es-ES"/>
        </w:rPr>
      </w:pPr>
    </w:p>
    <w:p w14:paraId="1D04CAAA" w14:textId="77777777" w:rsidR="00E33FD7" w:rsidRPr="00E33FD7" w:rsidRDefault="00E33FD7" w:rsidP="00B811D7">
      <w:pPr>
        <w:pStyle w:val="ListParagraph"/>
        <w:ind w:left="0"/>
        <w:rPr>
          <w:rFonts w:eastAsia="Batang" w:cs="Times"/>
          <w:i/>
          <w:noProof/>
          <w:szCs w:val="24"/>
          <w:lang w:val="es-ES"/>
        </w:rPr>
      </w:pPr>
      <w:r w:rsidRPr="00E33FD7">
        <w:rPr>
          <w:rFonts w:eastAsia="Batang" w:cs="Times"/>
          <w:i/>
          <w:noProof/>
          <w:szCs w:val="24"/>
          <w:lang w:val="es-ES"/>
        </w:rPr>
        <w:lastRenderedPageBreak/>
        <w:t>Investigaciones sobre la incursión policial de 18 de octubre de 1994</w:t>
      </w:r>
    </w:p>
    <w:p w14:paraId="5BDF9DC5" w14:textId="77777777" w:rsidR="00E33FD7" w:rsidRPr="00E33FD7" w:rsidRDefault="00E33FD7" w:rsidP="00B811D7">
      <w:pPr>
        <w:pStyle w:val="ListParagraph"/>
        <w:ind w:left="0"/>
        <w:rPr>
          <w:rFonts w:eastAsia="Batang" w:cs="Times"/>
          <w:noProof/>
          <w:szCs w:val="24"/>
          <w:lang w:val="es-ES"/>
        </w:rPr>
      </w:pPr>
    </w:p>
    <w:p w14:paraId="2CB46962" w14:textId="15E85D43"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L</w:t>
      </w:r>
      <w:r w:rsidR="007858F0">
        <w:rPr>
          <w:rFonts w:eastAsia="Batang" w:cs="Times"/>
          <w:noProof/>
          <w:szCs w:val="24"/>
          <w:lang w:val="es-EC"/>
        </w:rPr>
        <w:t>a primera investigación sobre lo</w:t>
      </w:r>
      <w:r w:rsidRPr="00E33FD7">
        <w:rPr>
          <w:rFonts w:eastAsia="Batang" w:cs="Times"/>
          <w:noProof/>
          <w:szCs w:val="24"/>
          <w:lang w:val="es-EC"/>
        </w:rPr>
        <w:t xml:space="preserve"> ocurrido el 18 de octubre de 1994 fue hecha por la División de Represión a Estupefacientes (DRE) de la Policía Civil de Río de Janeiro y se registró con el </w:t>
      </w:r>
      <w:r w:rsidRPr="00E33FD7">
        <w:rPr>
          <w:rFonts w:eastAsia="Batang" w:cs="Times"/>
          <w:noProof/>
          <w:szCs w:val="24"/>
        </w:rPr>
        <w:t xml:space="preserve">Boletín de Novedades No. </w:t>
      </w:r>
      <w:r w:rsidRPr="00E33FD7">
        <w:rPr>
          <w:rFonts w:eastAsia="Batang" w:cs="Times"/>
          <w:noProof/>
          <w:szCs w:val="24"/>
          <w:lang w:val="es-EC"/>
        </w:rPr>
        <w:t>523, el mismo día de la incursión policial</w:t>
      </w:r>
      <w:r w:rsidRPr="00E33FD7">
        <w:rPr>
          <w:rFonts w:eastAsia="Batang" w:cs="Times"/>
          <w:noProof/>
          <w:szCs w:val="24"/>
          <w:vertAlign w:val="superscript"/>
          <w:lang w:val="es-EC"/>
        </w:rPr>
        <w:footnoteReference w:id="103"/>
      </w:r>
      <w:r w:rsidRPr="00E33FD7">
        <w:rPr>
          <w:rFonts w:eastAsia="Batang" w:cs="Times"/>
          <w:noProof/>
          <w:szCs w:val="24"/>
          <w:lang w:val="es-EC"/>
        </w:rPr>
        <w:t xml:space="preserve">. Esta investigación policial fue inscrita bajo el número </w:t>
      </w:r>
      <w:r w:rsidR="004E129F">
        <w:rPr>
          <w:rFonts w:eastAsia="Batang" w:cs="Times"/>
          <w:noProof/>
          <w:szCs w:val="24"/>
          <w:lang w:val="es-EC"/>
        </w:rPr>
        <w:t xml:space="preserve">IP No. </w:t>
      </w:r>
      <w:r w:rsidR="00B21CA7">
        <w:rPr>
          <w:rFonts w:eastAsia="Batang" w:cs="Times"/>
          <w:noProof/>
          <w:szCs w:val="24"/>
          <w:lang w:val="es-EC"/>
        </w:rPr>
        <w:t>187/94</w:t>
      </w:r>
      <w:r w:rsidRPr="00E33FD7">
        <w:rPr>
          <w:rFonts w:eastAsia="Batang" w:cs="Times"/>
          <w:noProof/>
          <w:szCs w:val="24"/>
          <w:lang w:val="es-EC"/>
        </w:rPr>
        <w:t xml:space="preserve"> y las 13 muertes fueron registradas bajo la categoría de “resistencia al arresto resultante en la muerte de los opositores”. En la investigación se incluyó una lista de las armas y drogas junto a testimonios de seis oficiales de policía de la DRE que participaron en la operación, los cuales describieron enfrentamientos contra personas armadas. Todos mencionaron que habían retirado los cuerpos de los “opositores” del lugar de su muerte como parte de un intento por salvar las vidas de éstos</w:t>
      </w:r>
      <w:r w:rsidRPr="00E33FD7">
        <w:rPr>
          <w:rFonts w:eastAsia="Batang" w:cs="Times"/>
          <w:noProof/>
          <w:szCs w:val="24"/>
          <w:vertAlign w:val="superscript"/>
          <w:lang w:val="es-EC"/>
        </w:rPr>
        <w:footnoteReference w:id="104"/>
      </w:r>
      <w:r w:rsidRPr="00E33FD7">
        <w:rPr>
          <w:rFonts w:eastAsia="Batang" w:cs="Times"/>
          <w:noProof/>
          <w:szCs w:val="24"/>
          <w:lang w:val="es-EC"/>
        </w:rPr>
        <w:t xml:space="preserve">. </w:t>
      </w:r>
    </w:p>
    <w:p w14:paraId="203B8DC6" w14:textId="77777777" w:rsidR="00E33FD7" w:rsidRPr="00E33FD7" w:rsidRDefault="00E33FD7" w:rsidP="00B811D7">
      <w:pPr>
        <w:pStyle w:val="ListParagraph"/>
        <w:ind w:left="0"/>
        <w:rPr>
          <w:rFonts w:eastAsia="Batang" w:cs="Times"/>
          <w:noProof/>
          <w:szCs w:val="24"/>
          <w:lang w:val="es-EC"/>
        </w:rPr>
      </w:pPr>
    </w:p>
    <w:p w14:paraId="27BAAF1C" w14:textId="7593F1B9"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Asimismo, la División de Asuntos Internos de la Policía Civil del Estado de Rio de Janeiro (DIVAI) inició</w:t>
      </w:r>
      <w:r w:rsidR="007858F0">
        <w:rPr>
          <w:rFonts w:eastAsia="Batang" w:cs="Times"/>
          <w:noProof/>
          <w:szCs w:val="24"/>
          <w:lang w:val="es-EC"/>
        </w:rPr>
        <w:t>,</w:t>
      </w:r>
      <w:r w:rsidRPr="00E33FD7">
        <w:rPr>
          <w:rFonts w:eastAsia="Batang" w:cs="Times"/>
          <w:noProof/>
          <w:szCs w:val="24"/>
          <w:lang w:val="es-EC"/>
        </w:rPr>
        <w:t xml:space="preserve"> el 10 de noviembre de 1994</w:t>
      </w:r>
      <w:r w:rsidR="007858F0">
        <w:rPr>
          <w:rFonts w:eastAsia="Batang" w:cs="Times"/>
          <w:noProof/>
          <w:szCs w:val="24"/>
          <w:lang w:val="es-EC"/>
        </w:rPr>
        <w:t>,</w:t>
      </w:r>
      <w:r w:rsidRPr="00E33FD7">
        <w:rPr>
          <w:rFonts w:eastAsia="Batang" w:cs="Times"/>
          <w:noProof/>
          <w:szCs w:val="24"/>
          <w:lang w:val="es-EC"/>
        </w:rPr>
        <w:t xml:space="preserve"> una investigación administrativa como consecuencia de una carta de la periodista Fernanda Botelho Portugal, en relación con una investigación de campo que ella había llevado a cabo en la Favela Nova Brasilia</w:t>
      </w:r>
      <w:r w:rsidRPr="00E33FD7">
        <w:rPr>
          <w:rFonts w:eastAsia="Batang" w:cs="Times"/>
          <w:noProof/>
          <w:szCs w:val="24"/>
          <w:vertAlign w:val="superscript"/>
          <w:lang w:val="es-EC"/>
        </w:rPr>
        <w:footnoteReference w:id="105"/>
      </w:r>
      <w:r w:rsidRPr="00E33FD7">
        <w:rPr>
          <w:rFonts w:eastAsia="Batang" w:cs="Times"/>
          <w:noProof/>
          <w:szCs w:val="24"/>
          <w:lang w:val="es-EC"/>
        </w:rPr>
        <w:t xml:space="preserve">. En el documento, la periodista informó haber visitado dos casas donde seis jóvenes varones habían sido ejecutados y </w:t>
      </w:r>
      <w:r w:rsidR="004A3644">
        <w:rPr>
          <w:rFonts w:eastAsia="Batang" w:cs="Times"/>
          <w:noProof/>
          <w:szCs w:val="24"/>
          <w:lang w:val="es-EC"/>
        </w:rPr>
        <w:t xml:space="preserve">haber </w:t>
      </w:r>
      <w:r w:rsidRPr="00E33FD7">
        <w:rPr>
          <w:rFonts w:eastAsia="Batang" w:cs="Times"/>
          <w:noProof/>
          <w:szCs w:val="24"/>
          <w:lang w:val="es-EC"/>
        </w:rPr>
        <w:t xml:space="preserve">conversado con dos jóvenes que fueron testigos de estas violentas acciones por parte de la policía. Una de ellas denunció que la policía se había llevado a su compañero vivo y esposado, pero que después apareció muerto; mientras que la otra informó que había sido víctima de </w:t>
      </w:r>
      <w:r w:rsidR="00F94410">
        <w:rPr>
          <w:rFonts w:eastAsia="Batang" w:cs="Times"/>
          <w:noProof/>
          <w:szCs w:val="24"/>
          <w:lang w:val="es-EC"/>
        </w:rPr>
        <w:t>violencia sexual</w:t>
      </w:r>
      <w:r w:rsidRPr="00E33FD7">
        <w:rPr>
          <w:rFonts w:eastAsia="Batang" w:cs="Times"/>
          <w:noProof/>
          <w:szCs w:val="24"/>
          <w:lang w:val="es-EC"/>
        </w:rPr>
        <w:t xml:space="preserve"> por parte de la policía</w:t>
      </w:r>
      <w:r w:rsidRPr="00E33FD7">
        <w:rPr>
          <w:rFonts w:eastAsia="Batang" w:cs="Times"/>
          <w:noProof/>
          <w:szCs w:val="24"/>
          <w:vertAlign w:val="superscript"/>
          <w:lang w:val="es-EC"/>
        </w:rPr>
        <w:footnoteReference w:id="106"/>
      </w:r>
      <w:r w:rsidRPr="00E33FD7">
        <w:rPr>
          <w:rFonts w:eastAsia="Batang" w:cs="Times"/>
          <w:noProof/>
          <w:szCs w:val="24"/>
          <w:lang w:val="es-EC"/>
        </w:rPr>
        <w:t>. Esas mismas casas fueron examinadas por expertos forenses penales el 17 de noviembre de 1994, sin resultados concluyentes. En su informe, los expertos notaron que el examen se estaba llevando a cabo un mes después de los eventos; que los lugares no habían sido protegidos, y que la periodista Portugal –quien acompañó a los expertos– indicó que las casas se veían completamente distintas a lo que ella pudo verificar un mes antes</w:t>
      </w:r>
      <w:r w:rsidRPr="00E33FD7">
        <w:rPr>
          <w:rFonts w:eastAsia="Batang" w:cs="Times"/>
          <w:noProof/>
          <w:szCs w:val="24"/>
          <w:vertAlign w:val="superscript"/>
          <w:lang w:val="es-EC"/>
        </w:rPr>
        <w:footnoteReference w:id="107"/>
      </w:r>
      <w:r w:rsidRPr="00E33FD7">
        <w:rPr>
          <w:rFonts w:eastAsia="Batang" w:cs="Times"/>
          <w:noProof/>
          <w:szCs w:val="24"/>
          <w:lang w:val="es-EC"/>
        </w:rPr>
        <w:t>.</w:t>
      </w:r>
    </w:p>
    <w:p w14:paraId="3FDC9845" w14:textId="77777777" w:rsidR="00E33FD7" w:rsidRPr="00E33FD7" w:rsidRDefault="00E33FD7" w:rsidP="00B811D7">
      <w:pPr>
        <w:pStyle w:val="ListParagraph"/>
        <w:ind w:left="0"/>
        <w:rPr>
          <w:rFonts w:eastAsia="Batang" w:cs="Times"/>
          <w:noProof/>
          <w:szCs w:val="24"/>
          <w:lang w:val="es-EC"/>
        </w:rPr>
      </w:pPr>
    </w:p>
    <w:p w14:paraId="0CCA5368" w14:textId="770DD8F8" w:rsidR="00D9399E" w:rsidRPr="003473F2" w:rsidRDefault="00E33FD7" w:rsidP="00D9399E">
      <w:pPr>
        <w:pStyle w:val="ListParagraph"/>
        <w:numPr>
          <w:ilvl w:val="0"/>
          <w:numId w:val="1"/>
        </w:numPr>
        <w:rPr>
          <w:rFonts w:eastAsia="Batang" w:cs="Times"/>
          <w:noProof/>
          <w:szCs w:val="24"/>
          <w:lang w:val="es-EC"/>
        </w:rPr>
      </w:pPr>
      <w:r w:rsidRPr="003473F2">
        <w:rPr>
          <w:rFonts w:eastAsia="Batang" w:cs="Times"/>
          <w:noProof/>
          <w:szCs w:val="24"/>
          <w:lang w:val="es-EC"/>
        </w:rPr>
        <w:t xml:space="preserve">Paralelamente a la investigación policial de la DRE y la investigación administrativa de la DIVAI, </w:t>
      </w:r>
      <w:r w:rsidR="00433FA0" w:rsidRPr="003473F2">
        <w:rPr>
          <w:rFonts w:eastAsia="Batang" w:cs="Times"/>
          <w:noProof/>
          <w:szCs w:val="24"/>
          <w:lang w:val="es-EC"/>
        </w:rPr>
        <w:t xml:space="preserve">el 19 de octubre de 1994 el Gobernador del Estado de </w:t>
      </w:r>
      <w:r w:rsidRPr="003473F2">
        <w:rPr>
          <w:rFonts w:eastAsia="Batang" w:cs="Times"/>
          <w:noProof/>
          <w:szCs w:val="24"/>
          <w:lang w:val="es-EC"/>
        </w:rPr>
        <w:t>Rio de Janeiro</w:t>
      </w:r>
      <w:r w:rsidR="00433FA0" w:rsidRPr="003473F2">
        <w:rPr>
          <w:rFonts w:eastAsia="Batang" w:cs="Times"/>
          <w:noProof/>
          <w:szCs w:val="24"/>
          <w:lang w:val="es-EC"/>
        </w:rPr>
        <w:t xml:space="preserve"> estableció </w:t>
      </w:r>
      <w:r w:rsidRPr="003473F2">
        <w:rPr>
          <w:rFonts w:eastAsia="Batang" w:cs="Times"/>
          <w:noProof/>
          <w:szCs w:val="24"/>
          <w:lang w:val="es-EC"/>
        </w:rPr>
        <w:t xml:space="preserve">una Comisión de Investigación Especial, </w:t>
      </w:r>
      <w:r w:rsidR="00433FA0" w:rsidRPr="003473F2">
        <w:rPr>
          <w:rFonts w:eastAsia="Batang" w:cs="Times"/>
          <w:noProof/>
          <w:szCs w:val="24"/>
          <w:lang w:val="es-EC"/>
        </w:rPr>
        <w:t xml:space="preserve">conformada por el Secretario Estadual de Justicia, la </w:t>
      </w:r>
      <w:r w:rsidR="00433FA0" w:rsidRPr="00243161">
        <w:rPr>
          <w:rFonts w:eastAsia="Batang" w:cs="Times"/>
          <w:i/>
          <w:noProof/>
          <w:szCs w:val="24"/>
          <w:lang w:val="es-EC"/>
        </w:rPr>
        <w:t>Corregedora</w:t>
      </w:r>
      <w:r w:rsidR="00433FA0" w:rsidRPr="003473F2">
        <w:rPr>
          <w:rFonts w:eastAsia="Batang" w:cs="Times"/>
          <w:noProof/>
          <w:szCs w:val="24"/>
          <w:lang w:val="es-EC"/>
        </w:rPr>
        <w:t>-</w:t>
      </w:r>
      <w:r w:rsidR="00433FA0" w:rsidRPr="00243161">
        <w:rPr>
          <w:rFonts w:eastAsia="Batang" w:cs="Times"/>
          <w:i/>
          <w:noProof/>
          <w:szCs w:val="24"/>
          <w:lang w:val="es-EC"/>
        </w:rPr>
        <w:t>Geral</w:t>
      </w:r>
      <w:r w:rsidR="00433FA0" w:rsidRPr="003473F2">
        <w:rPr>
          <w:rFonts w:eastAsia="Batang" w:cs="Times"/>
          <w:noProof/>
          <w:szCs w:val="24"/>
          <w:lang w:val="es-EC"/>
        </w:rPr>
        <w:t xml:space="preserve"> de la Policía Civil, el Director General del Departamento General de Policía Especializada, y dos representantes de la Conferencia Nacional de los Obispos de Brasil (CNBB)</w:t>
      </w:r>
      <w:r w:rsidR="000C3012" w:rsidRPr="003473F2">
        <w:rPr>
          <w:rStyle w:val="FootnoteReference"/>
          <w:rFonts w:eastAsia="Batang"/>
          <w:noProof/>
          <w:lang w:val="es-EC"/>
        </w:rPr>
        <w:footnoteReference w:id="108"/>
      </w:r>
      <w:r w:rsidR="00433FA0" w:rsidRPr="003473F2">
        <w:rPr>
          <w:rFonts w:eastAsia="Batang" w:cs="Times"/>
          <w:noProof/>
          <w:szCs w:val="24"/>
          <w:lang w:val="es-EC"/>
        </w:rPr>
        <w:t xml:space="preserve">. </w:t>
      </w:r>
    </w:p>
    <w:p w14:paraId="48EE6312" w14:textId="77777777" w:rsidR="00E33FD7" w:rsidRPr="003473F2" w:rsidRDefault="00E33FD7" w:rsidP="00B811D7">
      <w:pPr>
        <w:pStyle w:val="ListParagraph"/>
        <w:ind w:left="0"/>
        <w:rPr>
          <w:rFonts w:eastAsia="Batang" w:cs="Times"/>
          <w:noProof/>
          <w:szCs w:val="24"/>
          <w:lang w:val="es-ES"/>
        </w:rPr>
      </w:pPr>
    </w:p>
    <w:p w14:paraId="7C5B7C68" w14:textId="3AAD9EF5" w:rsidR="00E33FD7" w:rsidRPr="00E33FD7" w:rsidRDefault="000C3012" w:rsidP="00D6683A">
      <w:pPr>
        <w:pStyle w:val="ListParagraph"/>
        <w:numPr>
          <w:ilvl w:val="0"/>
          <w:numId w:val="1"/>
        </w:numPr>
        <w:rPr>
          <w:rFonts w:eastAsia="Batang" w:cs="Times"/>
          <w:noProof/>
          <w:szCs w:val="24"/>
          <w:lang w:val="es-EC"/>
        </w:rPr>
      </w:pPr>
      <w:r w:rsidRPr="00E33FD7">
        <w:rPr>
          <w:rFonts w:eastAsia="Batang" w:cs="Times"/>
          <w:noProof/>
          <w:szCs w:val="24"/>
          <w:lang w:val="es-EC"/>
        </w:rPr>
        <w:t>El 12 de noviembre de 1994 la Comisión de Investigación Especial recibió los testimonios de L.R.J., C.S.S. y J.F.C., las tres presuntas víctimas de violencia sexual.</w:t>
      </w:r>
      <w:r>
        <w:rPr>
          <w:rFonts w:eastAsia="Batang" w:cs="Times"/>
          <w:noProof/>
          <w:szCs w:val="24"/>
          <w:lang w:val="es-EC"/>
        </w:rPr>
        <w:t xml:space="preserve"> </w:t>
      </w:r>
      <w:r w:rsidR="00E33FD7" w:rsidRPr="00E33FD7">
        <w:rPr>
          <w:rFonts w:eastAsia="Batang" w:cs="Times"/>
          <w:noProof/>
          <w:szCs w:val="24"/>
          <w:lang w:val="es-EC"/>
        </w:rPr>
        <w:t xml:space="preserve">L.R.J. y C.S.S. declararon que un grupo de aproximadamente 10 oficiales de la policía entraron disparando a su casa, y les propinaron patadas y puñetazos en las orejas, </w:t>
      </w:r>
      <w:r w:rsidR="00243161">
        <w:rPr>
          <w:rFonts w:eastAsia="Batang" w:cs="Times"/>
          <w:noProof/>
          <w:szCs w:val="24"/>
          <w:lang w:val="es-EC"/>
        </w:rPr>
        <w:t xml:space="preserve">estomago </w:t>
      </w:r>
      <w:r w:rsidR="00E33FD7" w:rsidRPr="00E33FD7">
        <w:rPr>
          <w:rFonts w:eastAsia="Batang" w:cs="Times"/>
          <w:noProof/>
          <w:szCs w:val="24"/>
          <w:lang w:val="es-EC"/>
        </w:rPr>
        <w:t xml:space="preserve">y piernas, las obligaron a acostarse boca abajo y empezaran a golpear sus nalgas con un pedazo de madera. Además, declararon que: i) fueron víctimas de abusos verbales y físicos mientras eran cuestionadas sobre el paradero de un traficante de drogas; ii) un policía empezó a pellizcar sus nalgas y piernas, y forzó a C.S.S. a quitarse la blusa para poder ver sus senos, momento en que le dijo que “estaba buena para ser comida”; iii) otro policía después de ver los senos de C.S.S la llevó al baño, la amenazó de muerte y la forzó a </w:t>
      </w:r>
      <w:r w:rsidR="00E33FD7" w:rsidRPr="00E33FD7">
        <w:rPr>
          <w:rFonts w:eastAsia="Batang" w:cs="Times"/>
          <w:noProof/>
          <w:szCs w:val="24"/>
          <w:lang w:val="es-EC"/>
        </w:rPr>
        <w:lastRenderedPageBreak/>
        <w:t>desvestirse y tener sexo anal con él</w:t>
      </w:r>
      <w:r w:rsidR="00E33FD7" w:rsidRPr="00E33FD7">
        <w:rPr>
          <w:rFonts w:eastAsia="Batang" w:cs="Times"/>
          <w:noProof/>
          <w:szCs w:val="24"/>
          <w:vertAlign w:val="superscript"/>
          <w:lang w:val="es-EC"/>
        </w:rPr>
        <w:footnoteReference w:id="109"/>
      </w:r>
      <w:r w:rsidR="00E33FD7" w:rsidRPr="00E33FD7">
        <w:rPr>
          <w:rFonts w:eastAsia="Batang" w:cs="Times"/>
          <w:noProof/>
          <w:szCs w:val="24"/>
          <w:lang w:val="es-EC"/>
        </w:rPr>
        <w:t>; y iv) un policía conocido como “Turco” forzó a L.R.J. a practicarle sexo oral, tomándola del cabello para acercar su cara al pene de él y después se masturbó y eyaculó en su cara. Finalmente declararon que</w:t>
      </w:r>
      <w:r w:rsidR="007858F0">
        <w:rPr>
          <w:rFonts w:eastAsia="Batang" w:cs="Times"/>
          <w:noProof/>
          <w:szCs w:val="24"/>
          <w:lang w:val="es-EC"/>
        </w:rPr>
        <w:t>,</w:t>
      </w:r>
      <w:r w:rsidR="00E33FD7" w:rsidRPr="00E33FD7">
        <w:rPr>
          <w:rFonts w:eastAsia="Batang" w:cs="Times"/>
          <w:noProof/>
          <w:szCs w:val="24"/>
          <w:lang w:val="es-EC"/>
        </w:rPr>
        <w:t xml:space="preserve"> cuando los policías salieron, ellas fueron al Hospital Salgado Filho para recibir asistencia médica, y </w:t>
      </w:r>
      <w:r w:rsidR="00003114">
        <w:rPr>
          <w:rFonts w:eastAsia="Batang" w:cs="Times"/>
          <w:noProof/>
          <w:szCs w:val="24"/>
          <w:lang w:val="es-EC"/>
        </w:rPr>
        <w:t>luego</w:t>
      </w:r>
      <w:r w:rsidR="004A3644">
        <w:rPr>
          <w:rFonts w:eastAsia="Batang" w:cs="Times"/>
          <w:noProof/>
          <w:szCs w:val="24"/>
          <w:lang w:val="es-EC"/>
        </w:rPr>
        <w:t xml:space="preserve"> </w:t>
      </w:r>
      <w:r w:rsidR="00E33FD7" w:rsidRPr="00E33FD7">
        <w:rPr>
          <w:rFonts w:eastAsia="Batang" w:cs="Times"/>
          <w:noProof/>
          <w:szCs w:val="24"/>
          <w:lang w:val="es-EC"/>
        </w:rPr>
        <w:t>junto con “André” trataron de buscar refugio en otr</w:t>
      </w:r>
      <w:r w:rsidR="00003114">
        <w:rPr>
          <w:rFonts w:eastAsia="Batang" w:cs="Times"/>
          <w:noProof/>
          <w:szCs w:val="24"/>
          <w:lang w:val="es-EC"/>
        </w:rPr>
        <w:t>o lugar</w:t>
      </w:r>
      <w:r w:rsidR="00E33FD7" w:rsidRPr="00E33FD7">
        <w:rPr>
          <w:rFonts w:eastAsia="Batang" w:cs="Times"/>
          <w:noProof/>
          <w:szCs w:val="24"/>
          <w:lang w:val="es-EC"/>
        </w:rPr>
        <w:t xml:space="preserve"> esa </w:t>
      </w:r>
      <w:r w:rsidR="00003114">
        <w:rPr>
          <w:rFonts w:eastAsia="Batang" w:cs="Times"/>
          <w:noProof/>
          <w:szCs w:val="24"/>
          <w:lang w:val="es-EC"/>
        </w:rPr>
        <w:t xml:space="preserve">misma </w:t>
      </w:r>
      <w:r w:rsidR="00E33FD7" w:rsidRPr="00E33FD7">
        <w:rPr>
          <w:rFonts w:eastAsia="Batang" w:cs="Times"/>
          <w:noProof/>
          <w:szCs w:val="24"/>
          <w:lang w:val="es-EC"/>
        </w:rPr>
        <w:t>noche</w:t>
      </w:r>
      <w:r w:rsidR="00E33FD7" w:rsidRPr="00E33FD7">
        <w:rPr>
          <w:rFonts w:eastAsia="Batang" w:cs="Times"/>
          <w:noProof/>
          <w:szCs w:val="24"/>
          <w:vertAlign w:val="superscript"/>
          <w:lang w:val="es-EC"/>
        </w:rPr>
        <w:footnoteReference w:id="110"/>
      </w:r>
      <w:r w:rsidR="00E33FD7" w:rsidRPr="00E33FD7">
        <w:rPr>
          <w:rFonts w:eastAsia="Batang" w:cs="Times"/>
          <w:noProof/>
          <w:szCs w:val="24"/>
          <w:lang w:val="es-EC"/>
        </w:rPr>
        <w:t xml:space="preserve">. </w:t>
      </w:r>
    </w:p>
    <w:p w14:paraId="5CC09DF0" w14:textId="77777777" w:rsidR="00E33FD7" w:rsidRPr="00E33FD7" w:rsidRDefault="00E33FD7" w:rsidP="00B811D7">
      <w:pPr>
        <w:pStyle w:val="ListParagraph"/>
        <w:ind w:left="0"/>
        <w:rPr>
          <w:rFonts w:eastAsia="Batang" w:cs="Times"/>
          <w:noProof/>
          <w:szCs w:val="24"/>
          <w:lang w:val="es-EC"/>
        </w:rPr>
      </w:pPr>
    </w:p>
    <w:p w14:paraId="6477D946" w14:textId="447A0025"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Por su parte, J.F.C. informó que estaba durmiendo en una casa en la Favela</w:t>
      </w:r>
      <w:r w:rsidRPr="00E33FD7">
        <w:rPr>
          <w:rFonts w:eastAsia="Batang" w:cs="Times"/>
          <w:i/>
          <w:noProof/>
          <w:szCs w:val="24"/>
          <w:lang w:val="es-EC"/>
        </w:rPr>
        <w:t xml:space="preserve"> </w:t>
      </w:r>
      <w:r w:rsidRPr="00E33FD7">
        <w:rPr>
          <w:rFonts w:eastAsia="Batang" w:cs="Times"/>
          <w:noProof/>
          <w:szCs w:val="24"/>
          <w:lang w:val="es-EC"/>
        </w:rPr>
        <w:t xml:space="preserve">Nova </w:t>
      </w:r>
      <w:r w:rsidR="006253B7">
        <w:rPr>
          <w:rFonts w:eastAsia="Batang" w:cs="Times"/>
          <w:noProof/>
          <w:szCs w:val="24"/>
          <w:lang w:val="es-EC"/>
        </w:rPr>
        <w:t>Brasilia</w:t>
      </w:r>
      <w:r w:rsidRPr="00E33FD7">
        <w:rPr>
          <w:rFonts w:eastAsia="Batang" w:cs="Times"/>
          <w:noProof/>
          <w:szCs w:val="24"/>
          <w:lang w:val="es-EC"/>
        </w:rPr>
        <w:t xml:space="preserve"> con su novio André Luiz Neri da Silva, también conocido como “Paizinho”</w:t>
      </w:r>
      <w:r w:rsidR="007858F0">
        <w:rPr>
          <w:rFonts w:eastAsia="Batang" w:cs="Times"/>
          <w:noProof/>
          <w:szCs w:val="24"/>
          <w:lang w:val="es-EC"/>
        </w:rPr>
        <w:t>,</w:t>
      </w:r>
      <w:r w:rsidRPr="00E33FD7">
        <w:rPr>
          <w:rFonts w:eastAsia="Batang" w:cs="Times"/>
          <w:noProof/>
          <w:szCs w:val="24"/>
          <w:lang w:val="es-EC"/>
        </w:rPr>
        <w:t xml:space="preserve"> que era un traficante de drogas y tenía un lanza granada y un fusil. Alrededor de las 5:00 horas del 18 de octubre de 1994, se despertaron con aproximadamente 10 oficiales de la policía entrando violentamente a su casa, los cuales rápidamente les sometieron, confiscaron las armas de su novio y empezaron a golpearlos. J.F.C. informó que le patearon en las piernas y en </w:t>
      </w:r>
      <w:r w:rsidR="00243161">
        <w:rPr>
          <w:rFonts w:eastAsia="Batang" w:cs="Times"/>
          <w:noProof/>
          <w:szCs w:val="24"/>
          <w:lang w:val="es-EC"/>
        </w:rPr>
        <w:t>el</w:t>
      </w:r>
      <w:r w:rsidRPr="00E33FD7">
        <w:rPr>
          <w:rFonts w:eastAsia="Batang" w:cs="Times"/>
          <w:noProof/>
          <w:szCs w:val="24"/>
          <w:lang w:val="es-EC"/>
        </w:rPr>
        <w:t xml:space="preserve"> </w:t>
      </w:r>
      <w:r w:rsidR="007858F0">
        <w:rPr>
          <w:rFonts w:eastAsia="Batang" w:cs="Times"/>
          <w:noProof/>
          <w:szCs w:val="24"/>
          <w:lang w:val="es-EC"/>
        </w:rPr>
        <w:t>estó</w:t>
      </w:r>
      <w:r w:rsidR="00243161">
        <w:rPr>
          <w:rFonts w:eastAsia="Batang" w:cs="Times"/>
          <w:noProof/>
          <w:szCs w:val="24"/>
          <w:lang w:val="es-EC"/>
        </w:rPr>
        <w:t>mago</w:t>
      </w:r>
      <w:r w:rsidRPr="00E33FD7">
        <w:rPr>
          <w:rFonts w:eastAsia="Batang" w:cs="Times"/>
          <w:noProof/>
          <w:szCs w:val="24"/>
          <w:lang w:val="es-EC"/>
        </w:rPr>
        <w:t>, al tiempo que le preguntaban sobre el paradero de un traficante de drogas llamado “Macarrão” y que un policía le tocó sus senos mientras que los otros policías miraban. J.F.C. afirmó que la policía golpeó violentamente a André, quien estaba esposado, y que eventualmente se lo llevaron vivo. Sin embargo, él fue encontrado muerto entre los 13 cadáveres retirados luego de la operación policial</w:t>
      </w:r>
      <w:r w:rsidRPr="00E33FD7">
        <w:rPr>
          <w:rFonts w:eastAsia="Batang" w:cs="Times"/>
          <w:noProof/>
          <w:szCs w:val="24"/>
          <w:vertAlign w:val="superscript"/>
          <w:lang w:val="es-EC"/>
        </w:rPr>
        <w:footnoteReference w:id="111"/>
      </w:r>
      <w:r w:rsidRPr="00E33FD7">
        <w:rPr>
          <w:rFonts w:eastAsia="Batang" w:cs="Times"/>
          <w:noProof/>
          <w:szCs w:val="24"/>
          <w:lang w:val="es-EC"/>
        </w:rPr>
        <w:t>.</w:t>
      </w:r>
    </w:p>
    <w:p w14:paraId="64D75182" w14:textId="77777777" w:rsidR="00E33FD7" w:rsidRPr="00E33FD7" w:rsidRDefault="00E33FD7" w:rsidP="00B811D7">
      <w:pPr>
        <w:pStyle w:val="ListParagraph"/>
        <w:ind w:left="0"/>
        <w:rPr>
          <w:rFonts w:eastAsia="Batang" w:cs="Times"/>
          <w:noProof/>
          <w:szCs w:val="24"/>
          <w:lang w:val="es-EC"/>
        </w:rPr>
      </w:pPr>
    </w:p>
    <w:p w14:paraId="335EC477" w14:textId="1B56A162" w:rsidR="00E33FD7" w:rsidRPr="00E33FD7" w:rsidRDefault="007858F0" w:rsidP="00D6683A">
      <w:pPr>
        <w:pStyle w:val="ListParagraph"/>
        <w:numPr>
          <w:ilvl w:val="0"/>
          <w:numId w:val="1"/>
        </w:numPr>
        <w:rPr>
          <w:rFonts w:eastAsia="Batang" w:cs="Times"/>
          <w:noProof/>
          <w:szCs w:val="24"/>
          <w:lang w:val="es-EC"/>
        </w:rPr>
      </w:pPr>
      <w:r>
        <w:rPr>
          <w:rFonts w:eastAsia="Batang" w:cs="Times"/>
          <w:noProof/>
          <w:szCs w:val="24"/>
          <w:lang w:val="es-EC"/>
        </w:rPr>
        <w:t>El 14 de noviembre de 1994</w:t>
      </w:r>
      <w:r w:rsidR="00E33FD7" w:rsidRPr="00E33FD7">
        <w:rPr>
          <w:rFonts w:eastAsia="Batang" w:cs="Times"/>
          <w:noProof/>
          <w:szCs w:val="24"/>
          <w:lang w:val="es-EC"/>
        </w:rPr>
        <w:t xml:space="preserve"> L.R.J., C.S.S. y J.F.C. fueron sometidas a exámenes médicos forenses en el Instituto Médico Legal (IML) para verificar sus lesiones físicas o sexuales. Estos exámenes no tuvieron resultados conclusivos debido al transcurso del tiempo</w:t>
      </w:r>
      <w:r w:rsidR="00E33FD7" w:rsidRPr="00E33FD7">
        <w:rPr>
          <w:rFonts w:eastAsia="Batang" w:cs="Times"/>
          <w:noProof/>
          <w:szCs w:val="24"/>
          <w:vertAlign w:val="superscript"/>
          <w:lang w:val="es-EC"/>
        </w:rPr>
        <w:footnoteReference w:id="112"/>
      </w:r>
      <w:r>
        <w:rPr>
          <w:rFonts w:eastAsia="Batang" w:cs="Times"/>
          <w:noProof/>
          <w:szCs w:val="24"/>
          <w:lang w:val="es-EC"/>
        </w:rPr>
        <w:t>.</w:t>
      </w:r>
      <w:r w:rsidR="00E33FD7" w:rsidRPr="00E33FD7">
        <w:rPr>
          <w:rFonts w:eastAsia="Batang" w:cs="Times"/>
          <w:noProof/>
          <w:szCs w:val="24"/>
          <w:lang w:val="es-EC"/>
        </w:rPr>
        <w:t xml:space="preserve"> </w:t>
      </w:r>
      <w:r>
        <w:rPr>
          <w:rFonts w:eastAsia="Batang" w:cs="Times"/>
          <w:noProof/>
          <w:szCs w:val="24"/>
          <w:lang w:val="es-EC"/>
        </w:rPr>
        <w:t>El 18 de noviembre de 1994</w:t>
      </w:r>
      <w:r w:rsidR="00E33FD7" w:rsidRPr="00E33FD7">
        <w:rPr>
          <w:rFonts w:eastAsia="Batang" w:cs="Times"/>
          <w:noProof/>
          <w:szCs w:val="24"/>
          <w:lang w:val="es-EC"/>
        </w:rPr>
        <w:t xml:space="preserve"> las tres participaran </w:t>
      </w:r>
      <w:r>
        <w:rPr>
          <w:rFonts w:eastAsia="Batang" w:cs="Times"/>
          <w:noProof/>
          <w:szCs w:val="24"/>
          <w:lang w:val="es-EC"/>
        </w:rPr>
        <w:t xml:space="preserve">en </w:t>
      </w:r>
      <w:r w:rsidR="00E33FD7" w:rsidRPr="00E33FD7">
        <w:rPr>
          <w:rFonts w:eastAsia="Batang" w:cs="Times"/>
          <w:noProof/>
          <w:szCs w:val="24"/>
          <w:lang w:val="es-EC"/>
        </w:rPr>
        <w:t>el proceso de identificación para reconocer a los policías militares y civiles, presuntos victimarios: L.R.J. reconoció a José Luiz Silva dos Santos como uno de los que invadieron la casa y la maltrataron, y notó algún parecido entre Rubens de Souza Bretas y uno de los invasores</w:t>
      </w:r>
      <w:r w:rsidR="00E33FD7" w:rsidRPr="00E33FD7">
        <w:rPr>
          <w:rFonts w:eastAsia="Batang" w:cs="Times"/>
          <w:noProof/>
          <w:szCs w:val="24"/>
          <w:vertAlign w:val="superscript"/>
          <w:lang w:val="es-EC"/>
        </w:rPr>
        <w:footnoteReference w:id="113"/>
      </w:r>
      <w:r w:rsidR="00E33FD7" w:rsidRPr="00E33FD7">
        <w:rPr>
          <w:rFonts w:eastAsia="Batang" w:cs="Times"/>
          <w:noProof/>
          <w:szCs w:val="24"/>
          <w:lang w:val="es-EC"/>
        </w:rPr>
        <w:t>. C.S.S. identificó a Plinio Alberto dos Santos Oliveira como el hombre que la forzó a tener sexo anal con él y Rubens de Souza Bretas y Marcio Mendes Gomes como dos de los que invadieron la casa y la maltrataron</w:t>
      </w:r>
      <w:r w:rsidR="00E33FD7" w:rsidRPr="00E33FD7">
        <w:rPr>
          <w:rFonts w:eastAsia="Batang" w:cs="Times"/>
          <w:noProof/>
          <w:szCs w:val="24"/>
          <w:vertAlign w:val="superscript"/>
          <w:lang w:val="es-EC"/>
        </w:rPr>
        <w:footnoteReference w:id="114"/>
      </w:r>
      <w:r w:rsidR="00E33FD7" w:rsidRPr="00E33FD7">
        <w:rPr>
          <w:rFonts w:eastAsia="Batang" w:cs="Times"/>
          <w:noProof/>
          <w:szCs w:val="24"/>
          <w:lang w:val="es-EC"/>
        </w:rPr>
        <w:t>. J.F.C. identificó a Carlos Coelho Macedo como uno de los que esposó a André Luiz Neri da Silva; reconoció a Rubens de Souza Bretas y Wagner Castilho Leite como dos de los agresores y notó algún parecido entre Reinaldo Antonio da Silva Filho</w:t>
      </w:r>
      <w:r w:rsidR="00243161">
        <w:rPr>
          <w:rFonts w:eastAsia="Batang" w:cs="Times"/>
          <w:noProof/>
          <w:szCs w:val="24"/>
          <w:lang w:val="es-EC"/>
        </w:rPr>
        <w:t>,</w:t>
      </w:r>
      <w:r w:rsidR="00E33FD7" w:rsidRPr="00E33FD7">
        <w:rPr>
          <w:rFonts w:eastAsia="Batang" w:cs="Times"/>
          <w:noProof/>
          <w:szCs w:val="24"/>
          <w:lang w:val="es-EC"/>
        </w:rPr>
        <w:t xml:space="preserve"> Reinaldo Borges Barros y sus agresores</w:t>
      </w:r>
      <w:r w:rsidR="00E33FD7" w:rsidRPr="00E33FD7">
        <w:rPr>
          <w:rFonts w:eastAsia="Batang" w:cs="Times"/>
          <w:noProof/>
          <w:szCs w:val="24"/>
          <w:vertAlign w:val="superscript"/>
          <w:lang w:val="es-EC"/>
        </w:rPr>
        <w:footnoteReference w:id="115"/>
      </w:r>
      <w:r w:rsidR="00E33FD7" w:rsidRPr="00E33FD7">
        <w:rPr>
          <w:rFonts w:eastAsia="Batang" w:cs="Times"/>
          <w:noProof/>
          <w:szCs w:val="24"/>
          <w:lang w:val="es-EC"/>
        </w:rPr>
        <w:t>.</w:t>
      </w:r>
    </w:p>
    <w:p w14:paraId="55A3D3B5" w14:textId="77777777" w:rsidR="00E33FD7" w:rsidRPr="00E33FD7" w:rsidRDefault="00E33FD7" w:rsidP="00B811D7">
      <w:pPr>
        <w:pStyle w:val="ListParagraph"/>
        <w:ind w:left="0"/>
        <w:rPr>
          <w:rFonts w:eastAsia="Batang" w:cs="Times"/>
          <w:noProof/>
          <w:szCs w:val="24"/>
          <w:lang w:val="es-EC"/>
        </w:rPr>
      </w:pPr>
    </w:p>
    <w:p w14:paraId="08FDB5BA" w14:textId="498E03AF"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rPr>
        <w:t>E</w:t>
      </w:r>
      <w:r w:rsidR="007858F0">
        <w:rPr>
          <w:rFonts w:eastAsia="Batang" w:cs="Times"/>
          <w:noProof/>
          <w:szCs w:val="24"/>
          <w:lang w:val="es-EC"/>
        </w:rPr>
        <w:t>l 22 de noviembre de 1994</w:t>
      </w:r>
      <w:r w:rsidRPr="00E33FD7">
        <w:rPr>
          <w:rFonts w:eastAsia="Batang" w:cs="Times"/>
          <w:noProof/>
          <w:szCs w:val="24"/>
          <w:lang w:val="es-EC"/>
        </w:rPr>
        <w:t xml:space="preserve"> el Secretario de Estado de la Policía Civil solicitó que el expediente de la investigación </w:t>
      </w:r>
      <w:r w:rsidR="004E129F">
        <w:rPr>
          <w:rFonts w:eastAsia="Batang" w:cs="Times"/>
          <w:noProof/>
          <w:szCs w:val="24"/>
          <w:lang w:val="es-EC"/>
        </w:rPr>
        <w:t xml:space="preserve">IP No. </w:t>
      </w:r>
      <w:r w:rsidR="00B21CA7">
        <w:rPr>
          <w:rFonts w:eastAsia="Batang" w:cs="Times"/>
          <w:noProof/>
          <w:szCs w:val="24"/>
          <w:lang w:val="es-EC"/>
        </w:rPr>
        <w:t>187/94</w:t>
      </w:r>
      <w:r w:rsidRPr="00E33FD7">
        <w:rPr>
          <w:rFonts w:eastAsia="Batang" w:cs="Times"/>
          <w:noProof/>
          <w:szCs w:val="24"/>
          <w:lang w:val="es-EC"/>
        </w:rPr>
        <w:t xml:space="preserve"> fuera enviado a la Comisaría Especial de Tortura y Abuso de Autoridad (DETAA), que sería responsable de seguir con las investigaciones</w:t>
      </w:r>
      <w:r w:rsidR="007858F0">
        <w:rPr>
          <w:rFonts w:eastAsia="Batang" w:cs="Times"/>
          <w:noProof/>
          <w:szCs w:val="24"/>
          <w:lang w:val="es-EC"/>
        </w:rPr>
        <w:t>;</w:t>
      </w:r>
      <w:r w:rsidRPr="00E33FD7">
        <w:rPr>
          <w:rFonts w:eastAsia="Batang" w:cs="Times"/>
          <w:noProof/>
          <w:szCs w:val="24"/>
          <w:lang w:val="es-EC"/>
        </w:rPr>
        <w:t xml:space="preserve"> sin embargo</w:t>
      </w:r>
      <w:r w:rsidR="007858F0">
        <w:rPr>
          <w:rFonts w:eastAsia="Batang" w:cs="Times"/>
          <w:noProof/>
          <w:szCs w:val="24"/>
          <w:lang w:val="es-EC"/>
        </w:rPr>
        <w:t>,</w:t>
      </w:r>
      <w:r w:rsidRPr="00E33FD7">
        <w:rPr>
          <w:rFonts w:eastAsia="Batang" w:cs="Times"/>
          <w:noProof/>
          <w:szCs w:val="24"/>
          <w:lang w:val="es-EC"/>
        </w:rPr>
        <w:t xml:space="preserve"> esta solicitud no fue cumplida por varios años</w:t>
      </w:r>
      <w:r w:rsidRPr="00E33FD7">
        <w:rPr>
          <w:rFonts w:eastAsia="Batang" w:cs="Times"/>
          <w:noProof/>
          <w:szCs w:val="24"/>
          <w:vertAlign w:val="superscript"/>
          <w:lang w:val="es-EC"/>
        </w:rPr>
        <w:footnoteReference w:id="116"/>
      </w:r>
      <w:r w:rsidRPr="00E33FD7">
        <w:rPr>
          <w:rFonts w:eastAsia="Batang" w:cs="Times"/>
          <w:noProof/>
          <w:szCs w:val="24"/>
          <w:lang w:val="es-EC"/>
        </w:rPr>
        <w:t xml:space="preserve">. </w:t>
      </w:r>
    </w:p>
    <w:p w14:paraId="0831546D" w14:textId="77777777" w:rsidR="00E33FD7" w:rsidRPr="00E33FD7" w:rsidRDefault="00E33FD7" w:rsidP="00B811D7">
      <w:pPr>
        <w:pStyle w:val="ListParagraph"/>
        <w:ind w:left="0"/>
        <w:rPr>
          <w:rFonts w:eastAsia="Batang" w:cs="Times"/>
          <w:noProof/>
          <w:szCs w:val="24"/>
          <w:lang w:val="es-EC"/>
        </w:rPr>
      </w:pPr>
    </w:p>
    <w:p w14:paraId="67808162" w14:textId="4949ED72" w:rsidR="00E33FD7" w:rsidRPr="00E33FD7" w:rsidRDefault="007858F0" w:rsidP="00D6683A">
      <w:pPr>
        <w:pStyle w:val="ListParagraph"/>
        <w:numPr>
          <w:ilvl w:val="0"/>
          <w:numId w:val="1"/>
        </w:numPr>
        <w:rPr>
          <w:rFonts w:eastAsia="Batang" w:cs="Times"/>
          <w:noProof/>
          <w:szCs w:val="24"/>
          <w:lang w:val="es-EC"/>
        </w:rPr>
      </w:pPr>
      <w:r>
        <w:rPr>
          <w:rFonts w:eastAsia="Batang" w:cs="Times"/>
          <w:noProof/>
          <w:szCs w:val="24"/>
          <w:lang w:val="es-EC"/>
        </w:rPr>
        <w:t>El 1 de diciembre de 1994</w:t>
      </w:r>
      <w:r w:rsidR="00E33FD7" w:rsidRPr="00E33FD7">
        <w:rPr>
          <w:rFonts w:eastAsia="Batang" w:cs="Times"/>
          <w:noProof/>
          <w:szCs w:val="24"/>
          <w:lang w:val="es-EC"/>
        </w:rPr>
        <w:t xml:space="preserve"> la Comisión Especial de Investigación emitió su informe final y lo presentó al Gobernador del Estado de Río de Janeiro</w:t>
      </w:r>
      <w:r w:rsidR="00E33FD7" w:rsidRPr="00E33FD7">
        <w:rPr>
          <w:rFonts w:eastAsia="Batang" w:cs="Times"/>
          <w:noProof/>
          <w:szCs w:val="24"/>
          <w:vertAlign w:val="superscript"/>
          <w:lang w:val="es-EC"/>
        </w:rPr>
        <w:footnoteReference w:id="117"/>
      </w:r>
      <w:r w:rsidR="00E33FD7" w:rsidRPr="00E33FD7">
        <w:rPr>
          <w:rFonts w:eastAsia="Batang" w:cs="Times"/>
          <w:noProof/>
          <w:szCs w:val="24"/>
          <w:lang w:val="es-EC"/>
        </w:rPr>
        <w:t xml:space="preserve">. En ese documento el entonces Secretario de Justicia afirmó que, con base en las </w:t>
      </w:r>
      <w:r w:rsidR="000C3012">
        <w:rPr>
          <w:rFonts w:eastAsia="Batang" w:cs="Times"/>
          <w:noProof/>
          <w:szCs w:val="24"/>
          <w:lang w:val="es-EC"/>
        </w:rPr>
        <w:t>evidencias recolectadas</w:t>
      </w:r>
      <w:r w:rsidR="00E33FD7" w:rsidRPr="00E33FD7">
        <w:rPr>
          <w:rFonts w:eastAsia="Batang" w:cs="Times"/>
          <w:noProof/>
          <w:szCs w:val="24"/>
          <w:lang w:val="es-EC"/>
        </w:rPr>
        <w:t xml:space="preserve">, existían </w:t>
      </w:r>
      <w:r w:rsidR="00E33FD7" w:rsidRPr="00E33FD7">
        <w:rPr>
          <w:rFonts w:eastAsia="Batang" w:cs="Times"/>
          <w:noProof/>
          <w:szCs w:val="24"/>
          <w:lang w:val="es-EC"/>
        </w:rPr>
        <w:lastRenderedPageBreak/>
        <w:t>fuertes indicios de que al menos algunos de los muertos habían sido ejecutados sumariamente</w:t>
      </w:r>
      <w:r w:rsidR="00E33FD7" w:rsidRPr="00E33FD7">
        <w:rPr>
          <w:rFonts w:eastAsia="Batang" w:cs="Times"/>
          <w:noProof/>
          <w:szCs w:val="24"/>
          <w:vertAlign w:val="superscript"/>
          <w:lang w:val="es-EC"/>
        </w:rPr>
        <w:footnoteReference w:id="118"/>
      </w:r>
      <w:r w:rsidR="00E33FD7" w:rsidRPr="00E33FD7">
        <w:rPr>
          <w:rFonts w:eastAsia="Batang" w:cs="Times"/>
          <w:noProof/>
          <w:szCs w:val="24"/>
          <w:lang w:val="es-EC"/>
        </w:rPr>
        <w:t>.</w:t>
      </w:r>
      <w:r w:rsidR="000C3012" w:rsidRPr="003473F2">
        <w:rPr>
          <w:rFonts w:eastAsia="Batang" w:cs="Times"/>
          <w:noProof/>
          <w:szCs w:val="24"/>
          <w:lang w:val="es-EC"/>
        </w:rPr>
        <w:t xml:space="preserve"> Ante eso, y los fuertes indicios de “abusos sexuales” contra niñas, el Secretario </w:t>
      </w:r>
      <w:r w:rsidR="00243161">
        <w:rPr>
          <w:rFonts w:eastAsia="Batang" w:cs="Times"/>
          <w:noProof/>
          <w:szCs w:val="24"/>
          <w:lang w:val="es-EC"/>
        </w:rPr>
        <w:t>Estatal</w:t>
      </w:r>
      <w:r w:rsidR="000C3012" w:rsidRPr="003473F2">
        <w:rPr>
          <w:rFonts w:eastAsia="Batang" w:cs="Times"/>
          <w:noProof/>
          <w:szCs w:val="24"/>
          <w:lang w:val="es-EC"/>
        </w:rPr>
        <w:t xml:space="preserve"> de Justicia solicitó específicamente que un miembro del Ministerio Público siguiese con las investigaciones policiales</w:t>
      </w:r>
      <w:r w:rsidR="000C3012" w:rsidRPr="00E33FD7">
        <w:rPr>
          <w:rFonts w:eastAsia="Batang" w:cs="Times"/>
          <w:noProof/>
          <w:szCs w:val="24"/>
          <w:vertAlign w:val="superscript"/>
          <w:lang w:val="es-EC"/>
        </w:rPr>
        <w:footnoteReference w:id="119"/>
      </w:r>
      <w:r w:rsidR="000C3012" w:rsidRPr="003473F2">
        <w:rPr>
          <w:rFonts w:eastAsia="Batang" w:cs="Times"/>
          <w:noProof/>
          <w:szCs w:val="24"/>
          <w:lang w:val="es-EC"/>
        </w:rPr>
        <w:t>. Dicho pedido fue atendido mediante la designación de dos Fiscales por el Jefe del Ministerio Publico</w:t>
      </w:r>
      <w:r w:rsidR="000C3012" w:rsidRPr="00E33FD7">
        <w:rPr>
          <w:rFonts w:eastAsia="Batang" w:cs="Times"/>
          <w:noProof/>
          <w:szCs w:val="24"/>
          <w:vertAlign w:val="superscript"/>
          <w:lang w:val="es-EC"/>
        </w:rPr>
        <w:footnoteReference w:id="120"/>
      </w:r>
      <w:r w:rsidR="000C3012" w:rsidRPr="003473F2">
        <w:rPr>
          <w:rFonts w:eastAsia="Batang" w:cs="Times"/>
          <w:noProof/>
          <w:szCs w:val="24"/>
          <w:lang w:val="es-EC"/>
        </w:rPr>
        <w:t>.</w:t>
      </w:r>
    </w:p>
    <w:p w14:paraId="47F077C0" w14:textId="77777777" w:rsidR="00E33FD7" w:rsidRPr="00E33FD7" w:rsidRDefault="00E33FD7" w:rsidP="00B811D7">
      <w:pPr>
        <w:pStyle w:val="ListParagraph"/>
        <w:ind w:left="0"/>
        <w:rPr>
          <w:rFonts w:eastAsia="Batang" w:cs="Times"/>
          <w:noProof/>
          <w:szCs w:val="24"/>
          <w:lang w:val="es-EC"/>
        </w:rPr>
      </w:pPr>
    </w:p>
    <w:p w14:paraId="6F2ED0D9" w14:textId="2CC4A51E"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Como consecuencia de la investigación administrativa de la Comisión de Investigación Especial, el Jefe de la DETAA solicitó la instauración de una nueva investigación policial y administrativa para investigar los hechos de 18 de octubre de 1994</w:t>
      </w:r>
      <w:r w:rsidRPr="00E33FD7">
        <w:rPr>
          <w:rFonts w:eastAsia="Batang" w:cs="Times"/>
          <w:noProof/>
          <w:szCs w:val="24"/>
          <w:vertAlign w:val="superscript"/>
          <w:lang w:val="es-EC"/>
        </w:rPr>
        <w:footnoteReference w:id="121"/>
      </w:r>
      <w:r w:rsidRPr="00E33FD7">
        <w:rPr>
          <w:rFonts w:eastAsia="Batang" w:cs="Times"/>
          <w:noProof/>
          <w:szCs w:val="24"/>
          <w:lang w:val="es-EC"/>
        </w:rPr>
        <w:t xml:space="preserve">. Esta investigación policial fue instaurada el 5 de diciembre de 1994 y registrada con el número </w:t>
      </w:r>
      <w:r w:rsidR="004E129F">
        <w:rPr>
          <w:rFonts w:eastAsia="Batang" w:cs="Times"/>
          <w:noProof/>
          <w:szCs w:val="24"/>
          <w:lang w:val="es-EC"/>
        </w:rPr>
        <w:t xml:space="preserve">IP No. </w:t>
      </w:r>
      <w:r w:rsidR="00B21CA7">
        <w:rPr>
          <w:rFonts w:eastAsia="Batang" w:cs="Times"/>
          <w:noProof/>
          <w:szCs w:val="24"/>
          <w:lang w:val="es-EC"/>
        </w:rPr>
        <w:t>52/94</w:t>
      </w:r>
      <w:r w:rsidRPr="00E33FD7">
        <w:rPr>
          <w:rFonts w:eastAsia="Batang" w:cs="Times"/>
          <w:noProof/>
          <w:szCs w:val="24"/>
          <w:vertAlign w:val="superscript"/>
          <w:lang w:val="es-EC"/>
        </w:rPr>
        <w:footnoteReference w:id="122"/>
      </w:r>
      <w:r w:rsidRPr="00E33FD7">
        <w:rPr>
          <w:rFonts w:eastAsia="Batang" w:cs="Times"/>
          <w:noProof/>
          <w:szCs w:val="24"/>
          <w:lang w:val="es-EC"/>
        </w:rPr>
        <w:t xml:space="preserve">. </w:t>
      </w:r>
    </w:p>
    <w:p w14:paraId="720EF556" w14:textId="77777777" w:rsidR="00E33FD7" w:rsidRPr="00E33FD7" w:rsidRDefault="00E33FD7" w:rsidP="00B811D7">
      <w:pPr>
        <w:pStyle w:val="ListParagraph"/>
        <w:ind w:left="0"/>
        <w:rPr>
          <w:rFonts w:eastAsia="Batang" w:cs="Times"/>
          <w:noProof/>
          <w:szCs w:val="24"/>
          <w:lang w:val="es-EC"/>
        </w:rPr>
      </w:pPr>
    </w:p>
    <w:p w14:paraId="42E6E2A5" w14:textId="1B95ADA6"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 xml:space="preserve">En el marco de la investigación </w:t>
      </w:r>
      <w:r w:rsidR="004E129F">
        <w:rPr>
          <w:rFonts w:eastAsia="Batang" w:cs="Times"/>
          <w:noProof/>
          <w:szCs w:val="24"/>
          <w:lang w:val="es-EC"/>
        </w:rPr>
        <w:t xml:space="preserve">IP No. </w:t>
      </w:r>
      <w:r w:rsidR="00B21CA7">
        <w:rPr>
          <w:rFonts w:eastAsia="Batang" w:cs="Times"/>
          <w:noProof/>
          <w:szCs w:val="24"/>
          <w:lang w:val="es-EC"/>
        </w:rPr>
        <w:t>52/94</w:t>
      </w:r>
      <w:r w:rsidRPr="00E33FD7">
        <w:rPr>
          <w:rFonts w:eastAsia="Batang" w:cs="Times"/>
          <w:noProof/>
          <w:szCs w:val="24"/>
        </w:rPr>
        <w:t>, entre el 19 de diciembre y el 26 de diciembre de 1994 nueve oficiales de la DRE declararon ante el Jefe de la Policía a cargo de la investigación. Dos oficiales afirmaron no haber participado de la operación</w:t>
      </w:r>
      <w:r w:rsidRPr="00E33FD7">
        <w:rPr>
          <w:rFonts w:eastAsia="Batang" w:cs="Times"/>
          <w:noProof/>
          <w:szCs w:val="24"/>
          <w:vertAlign w:val="superscript"/>
        </w:rPr>
        <w:footnoteReference w:id="123"/>
      </w:r>
      <w:r w:rsidRPr="00E33FD7">
        <w:rPr>
          <w:rFonts w:eastAsia="Batang" w:cs="Times"/>
          <w:noProof/>
          <w:szCs w:val="24"/>
        </w:rPr>
        <w:t xml:space="preserve"> y los otros siete reconocieron haber participado, afirmando que la redada estaba a cargo del Jefe de Policía José Secundino. No obstante, manifestaron que no fueron testigos ni participaron de acto alguno de tortura o abuso y que sólo se dieron cuenta que personas habían muerto cuando vieron los cuerpos en una calle de la </w:t>
      </w:r>
      <w:r w:rsidRPr="00E33FD7">
        <w:rPr>
          <w:rFonts w:eastAsia="Batang" w:cs="Times"/>
          <w:iCs/>
          <w:noProof/>
          <w:szCs w:val="24"/>
        </w:rPr>
        <w:t>favela</w:t>
      </w:r>
      <w:r w:rsidRPr="00E33FD7">
        <w:rPr>
          <w:rFonts w:eastAsia="Batang" w:cs="Times"/>
          <w:i/>
          <w:iCs/>
          <w:noProof/>
          <w:szCs w:val="24"/>
        </w:rPr>
        <w:t xml:space="preserve"> </w:t>
      </w:r>
      <w:r w:rsidRPr="00E33FD7">
        <w:rPr>
          <w:rFonts w:eastAsia="Batang" w:cs="Times"/>
          <w:noProof/>
          <w:szCs w:val="24"/>
        </w:rPr>
        <w:t>antes de que fueran llevados al hospital</w:t>
      </w:r>
      <w:r w:rsidRPr="00E33FD7">
        <w:rPr>
          <w:rFonts w:eastAsia="Batang" w:cs="Times"/>
          <w:noProof/>
          <w:szCs w:val="24"/>
          <w:vertAlign w:val="superscript"/>
        </w:rPr>
        <w:footnoteReference w:id="124"/>
      </w:r>
      <w:r w:rsidRPr="00E33FD7">
        <w:rPr>
          <w:rFonts w:eastAsia="Batang" w:cs="Times"/>
          <w:noProof/>
          <w:szCs w:val="24"/>
        </w:rPr>
        <w:t>.</w:t>
      </w:r>
      <w:r w:rsidRPr="00E33FD7">
        <w:rPr>
          <w:rFonts w:eastAsia="Batang" w:cs="Times"/>
          <w:noProof/>
          <w:szCs w:val="24"/>
          <w:lang w:val="es-EC"/>
        </w:rPr>
        <w:t xml:space="preserve"> </w:t>
      </w:r>
      <w:r w:rsidR="007858F0">
        <w:rPr>
          <w:rFonts w:eastAsia="Batang" w:cs="Times"/>
          <w:noProof/>
          <w:szCs w:val="24"/>
        </w:rPr>
        <w:t>El 30 de diciembre de 1994</w:t>
      </w:r>
      <w:r w:rsidRPr="00E33FD7">
        <w:rPr>
          <w:rFonts w:eastAsia="Batang" w:cs="Times"/>
          <w:noProof/>
          <w:szCs w:val="24"/>
        </w:rPr>
        <w:t xml:space="preserve"> </w:t>
      </w:r>
      <w:r w:rsidRPr="00E33FD7">
        <w:rPr>
          <w:rFonts w:eastAsia="Batang" w:cs="Times"/>
          <w:noProof/>
          <w:szCs w:val="24"/>
          <w:lang w:val="es-EC"/>
        </w:rPr>
        <w:t>el Jefe de la DETAA solicitó nuevas medidas</w:t>
      </w:r>
      <w:r w:rsidRPr="00E33FD7">
        <w:rPr>
          <w:rFonts w:eastAsia="Batang" w:cs="Times"/>
          <w:noProof/>
          <w:szCs w:val="24"/>
          <w:vertAlign w:val="superscript"/>
        </w:rPr>
        <w:footnoteReference w:id="125"/>
      </w:r>
      <w:r w:rsidRPr="00E33FD7">
        <w:rPr>
          <w:rFonts w:eastAsia="Batang" w:cs="Times"/>
          <w:noProof/>
          <w:szCs w:val="24"/>
        </w:rPr>
        <w:t xml:space="preserve">. Sin embargo, según las evidencias presentadas no hubo ningún </w:t>
      </w:r>
      <w:r w:rsidR="00821F8D">
        <w:rPr>
          <w:rFonts w:eastAsia="Batang" w:cs="Times"/>
          <w:noProof/>
          <w:szCs w:val="24"/>
        </w:rPr>
        <w:t xml:space="preserve">avance </w:t>
      </w:r>
      <w:r w:rsidRPr="00E33FD7">
        <w:rPr>
          <w:rFonts w:eastAsia="Batang" w:cs="Times"/>
          <w:noProof/>
          <w:szCs w:val="24"/>
        </w:rPr>
        <w:t>en la investigación entre los años de 1995 y 2002.</w:t>
      </w:r>
    </w:p>
    <w:p w14:paraId="2E91BE44" w14:textId="77777777" w:rsidR="00E33FD7" w:rsidRPr="00E33FD7" w:rsidRDefault="00E33FD7" w:rsidP="00B811D7">
      <w:pPr>
        <w:pStyle w:val="ListParagraph"/>
        <w:ind w:left="0"/>
        <w:rPr>
          <w:rFonts w:eastAsia="Batang" w:cs="Times"/>
          <w:noProof/>
          <w:szCs w:val="24"/>
          <w:lang w:val="es-ES"/>
        </w:rPr>
      </w:pPr>
    </w:p>
    <w:p w14:paraId="283D06E1" w14:textId="77777777" w:rsidR="00E33FD7" w:rsidRPr="00E33FD7" w:rsidRDefault="00E33FD7" w:rsidP="00B811D7">
      <w:pPr>
        <w:pStyle w:val="ListParagraph"/>
        <w:ind w:left="0"/>
        <w:rPr>
          <w:rFonts w:eastAsia="Batang" w:cs="Times"/>
          <w:i/>
          <w:noProof/>
          <w:szCs w:val="24"/>
        </w:rPr>
      </w:pPr>
      <w:r w:rsidRPr="00E33FD7">
        <w:rPr>
          <w:rFonts w:eastAsia="Batang" w:cs="Times"/>
          <w:i/>
          <w:noProof/>
          <w:szCs w:val="24"/>
        </w:rPr>
        <w:t>Investigación sobre la incursión policial de 8 de mayo de 1995</w:t>
      </w:r>
    </w:p>
    <w:p w14:paraId="483DA6DA" w14:textId="77777777" w:rsidR="00E33FD7" w:rsidRPr="00E33FD7" w:rsidRDefault="00E33FD7" w:rsidP="00B811D7">
      <w:pPr>
        <w:pStyle w:val="ListParagraph"/>
        <w:ind w:left="0"/>
        <w:rPr>
          <w:rFonts w:eastAsia="Batang" w:cs="Times"/>
          <w:i/>
          <w:noProof/>
          <w:szCs w:val="24"/>
        </w:rPr>
      </w:pPr>
    </w:p>
    <w:p w14:paraId="0036CD1F" w14:textId="77777777"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lang w:val="es-EC"/>
        </w:rPr>
        <w:t xml:space="preserve">La segunda incursión policial en la Favela Nova Brasilia fue informada el 8 de mayo de 1995 </w:t>
      </w:r>
      <w:r w:rsidRPr="00E33FD7">
        <w:rPr>
          <w:rFonts w:eastAsia="Batang" w:cs="Times"/>
          <w:noProof/>
          <w:szCs w:val="24"/>
        </w:rPr>
        <w:t>al Jefe de Policía a cargo de la División de Represión de Robos y Hurtos contra Establecimientos Financieros (DRRFCEF) de la Policía Civil de Rio de Janeiro</w:t>
      </w:r>
      <w:r w:rsidRPr="00E33FD7">
        <w:rPr>
          <w:rFonts w:eastAsia="Batang" w:cs="Times"/>
          <w:noProof/>
          <w:szCs w:val="24"/>
          <w:vertAlign w:val="superscript"/>
        </w:rPr>
        <w:footnoteReference w:id="126"/>
      </w:r>
      <w:r w:rsidRPr="00E33FD7">
        <w:rPr>
          <w:rFonts w:eastAsia="Batang" w:cs="Times"/>
          <w:noProof/>
          <w:szCs w:val="24"/>
        </w:rPr>
        <w:t xml:space="preserve">. </w:t>
      </w:r>
    </w:p>
    <w:p w14:paraId="5167BC28" w14:textId="77777777" w:rsidR="00E33FD7" w:rsidRPr="00E33FD7" w:rsidRDefault="00E33FD7" w:rsidP="00B811D7">
      <w:pPr>
        <w:pStyle w:val="ListParagraph"/>
        <w:ind w:left="0"/>
        <w:rPr>
          <w:rFonts w:eastAsia="Batang" w:cs="Times"/>
          <w:noProof/>
          <w:szCs w:val="24"/>
        </w:rPr>
      </w:pPr>
    </w:p>
    <w:p w14:paraId="13AA3695" w14:textId="583368E2"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En esa misma fecha dos oficiales de policía civil participantes de la redada registraron los hechos a través del Boletín de Novedades No. 252/95, calificando los hechos como “tráfico de drogas, banda armada y resistencia seguida de muerte” e informaron los nombres de los oficiales de policía que participaron en la redada</w:t>
      </w:r>
      <w:r w:rsidRPr="00E33FD7">
        <w:rPr>
          <w:rFonts w:eastAsia="Batang" w:cs="Times"/>
          <w:noProof/>
          <w:szCs w:val="24"/>
          <w:vertAlign w:val="superscript"/>
        </w:rPr>
        <w:footnoteReference w:id="127"/>
      </w:r>
      <w:r w:rsidRPr="00E33FD7">
        <w:rPr>
          <w:rFonts w:eastAsia="Batang" w:cs="Times"/>
          <w:noProof/>
          <w:szCs w:val="24"/>
        </w:rPr>
        <w:t xml:space="preserve">. </w:t>
      </w:r>
    </w:p>
    <w:p w14:paraId="03FCB126" w14:textId="77777777" w:rsidR="00E33FD7" w:rsidRPr="00E33FD7" w:rsidRDefault="00E33FD7" w:rsidP="00B811D7">
      <w:pPr>
        <w:pStyle w:val="ListParagraph"/>
        <w:ind w:left="0"/>
        <w:rPr>
          <w:rFonts w:eastAsia="Batang" w:cs="Times"/>
          <w:noProof/>
          <w:szCs w:val="24"/>
        </w:rPr>
      </w:pPr>
    </w:p>
    <w:p w14:paraId="1024A911" w14:textId="386F1B97"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 xml:space="preserve">La investigación policial fue registrada como </w:t>
      </w:r>
      <w:r w:rsidR="004E129F">
        <w:rPr>
          <w:rFonts w:eastAsia="Batang" w:cs="Times"/>
          <w:noProof/>
          <w:szCs w:val="24"/>
        </w:rPr>
        <w:t xml:space="preserve">IP No. </w:t>
      </w:r>
      <w:r w:rsidR="006C3472">
        <w:rPr>
          <w:rFonts w:eastAsia="Batang" w:cs="Times"/>
          <w:noProof/>
          <w:szCs w:val="24"/>
        </w:rPr>
        <w:t>061/95</w:t>
      </w:r>
      <w:r w:rsidRPr="00E33FD7">
        <w:rPr>
          <w:rFonts w:eastAsia="Batang" w:cs="Times"/>
          <w:noProof/>
          <w:szCs w:val="24"/>
        </w:rPr>
        <w:t>, inicialmente conducida por la DRRFCEF</w:t>
      </w:r>
      <w:r w:rsidRPr="00E33FD7">
        <w:rPr>
          <w:rFonts w:eastAsia="Batang" w:cs="Times"/>
          <w:noProof/>
          <w:szCs w:val="24"/>
          <w:vertAlign w:val="superscript"/>
        </w:rPr>
        <w:footnoteReference w:id="128"/>
      </w:r>
      <w:r w:rsidRPr="00E33FD7">
        <w:rPr>
          <w:rFonts w:eastAsia="Batang" w:cs="Times"/>
          <w:noProof/>
          <w:szCs w:val="24"/>
        </w:rPr>
        <w:t>. El 8 de mayo d</w:t>
      </w:r>
      <w:r w:rsidR="007858F0">
        <w:rPr>
          <w:rFonts w:eastAsia="Batang" w:cs="Times"/>
          <w:noProof/>
          <w:szCs w:val="24"/>
        </w:rPr>
        <w:t>e 1995</w:t>
      </w:r>
      <w:r w:rsidRPr="00E33FD7">
        <w:rPr>
          <w:rFonts w:eastAsia="Batang" w:cs="Times"/>
          <w:noProof/>
          <w:szCs w:val="24"/>
        </w:rPr>
        <w:t xml:space="preserve"> un oficial de policía declaró ante esta autoridad policial</w:t>
      </w:r>
      <w:r w:rsidRPr="00E33FD7">
        <w:rPr>
          <w:rFonts w:eastAsia="Batang" w:cs="Times"/>
          <w:noProof/>
          <w:szCs w:val="24"/>
          <w:vertAlign w:val="superscript"/>
        </w:rPr>
        <w:footnoteReference w:id="129"/>
      </w:r>
      <w:r w:rsidRPr="00E33FD7">
        <w:rPr>
          <w:rFonts w:eastAsia="Batang" w:cs="Times"/>
          <w:noProof/>
          <w:szCs w:val="24"/>
        </w:rPr>
        <w:t xml:space="preserve">, y también lo hicieron seis residentes de la </w:t>
      </w:r>
      <w:r w:rsidRPr="00E33FD7">
        <w:rPr>
          <w:rFonts w:eastAsia="Batang" w:cs="Times"/>
          <w:iCs/>
          <w:noProof/>
          <w:szCs w:val="24"/>
        </w:rPr>
        <w:t xml:space="preserve">Favela </w:t>
      </w:r>
      <w:r w:rsidRPr="00E33FD7">
        <w:rPr>
          <w:rFonts w:eastAsia="Batang" w:cs="Times"/>
          <w:noProof/>
          <w:szCs w:val="24"/>
        </w:rPr>
        <w:t>Nova Brasilia</w:t>
      </w:r>
      <w:r w:rsidRPr="00E33FD7">
        <w:rPr>
          <w:rFonts w:eastAsia="Batang" w:cs="Times"/>
          <w:noProof/>
          <w:szCs w:val="24"/>
          <w:vertAlign w:val="superscript"/>
        </w:rPr>
        <w:footnoteReference w:id="130"/>
      </w:r>
      <w:r w:rsidRPr="00E33FD7">
        <w:rPr>
          <w:rFonts w:eastAsia="Batang" w:cs="Times"/>
          <w:noProof/>
          <w:szCs w:val="24"/>
        </w:rPr>
        <w:t xml:space="preserve">. </w:t>
      </w:r>
    </w:p>
    <w:p w14:paraId="6976B5BC" w14:textId="77777777" w:rsidR="00E33FD7" w:rsidRPr="00E33FD7" w:rsidRDefault="00E33FD7" w:rsidP="00B811D7">
      <w:pPr>
        <w:pStyle w:val="ListParagraph"/>
        <w:ind w:left="0"/>
        <w:rPr>
          <w:rFonts w:eastAsia="Batang" w:cs="Times"/>
          <w:noProof/>
          <w:szCs w:val="24"/>
        </w:rPr>
      </w:pPr>
    </w:p>
    <w:p w14:paraId="0A26CEDB" w14:textId="74EC1FBE" w:rsidR="00E33FD7" w:rsidRPr="00E33FD7" w:rsidRDefault="007858F0" w:rsidP="00D6683A">
      <w:pPr>
        <w:pStyle w:val="ListParagraph"/>
        <w:numPr>
          <w:ilvl w:val="0"/>
          <w:numId w:val="1"/>
        </w:numPr>
        <w:rPr>
          <w:rFonts w:eastAsia="Batang" w:cs="Times"/>
          <w:noProof/>
          <w:szCs w:val="24"/>
        </w:rPr>
      </w:pPr>
      <w:r>
        <w:rPr>
          <w:rFonts w:eastAsia="Batang" w:cs="Times"/>
          <w:noProof/>
          <w:szCs w:val="24"/>
          <w:lang w:val="es-ES"/>
        </w:rPr>
        <w:t>El 15 de mayo de 1995</w:t>
      </w:r>
      <w:r w:rsidR="00E33FD7" w:rsidRPr="00E33FD7">
        <w:rPr>
          <w:rFonts w:eastAsia="Batang" w:cs="Times"/>
          <w:noProof/>
          <w:szCs w:val="24"/>
          <w:lang w:val="es-ES"/>
        </w:rPr>
        <w:t xml:space="preserve"> el Oficial encargado de la investigación determinó que fueran realizadas las siguientes diligencias: solicitar los resultados de los exámenes relativos a los materiales incautados; unir los registros de examen cadavérico de los atacantes que murieron en el enfrentamiento; identificar y procesar a Wanderley Messias do Nascimento por posesión de estupefacientes; identificar e investigar a “Macinho V.P”, supuesto jefe del tráfico de estupefacientes, e iniciar el proceso sumario para otorgar la “promoción por acto de valentía” a todos los policías que participaron en la operación</w:t>
      </w:r>
      <w:r w:rsidR="00E33FD7" w:rsidRPr="00E33FD7">
        <w:rPr>
          <w:rFonts w:eastAsia="Batang" w:cs="Times"/>
          <w:noProof/>
          <w:szCs w:val="24"/>
          <w:vertAlign w:val="superscript"/>
          <w:lang w:val="es-ES"/>
        </w:rPr>
        <w:footnoteReference w:id="131"/>
      </w:r>
      <w:r w:rsidR="00E33FD7" w:rsidRPr="00E33FD7">
        <w:rPr>
          <w:rFonts w:eastAsia="Batang" w:cs="Times"/>
          <w:noProof/>
          <w:szCs w:val="24"/>
          <w:lang w:val="es-ES"/>
        </w:rPr>
        <w:t>.</w:t>
      </w:r>
    </w:p>
    <w:p w14:paraId="0DDA6E12" w14:textId="77777777" w:rsidR="00E33FD7" w:rsidRPr="00E33FD7" w:rsidRDefault="00E33FD7" w:rsidP="00B811D7">
      <w:pPr>
        <w:pStyle w:val="ListParagraph"/>
        <w:ind w:left="0"/>
        <w:rPr>
          <w:rFonts w:eastAsia="Batang" w:cs="Times"/>
          <w:noProof/>
          <w:szCs w:val="24"/>
        </w:rPr>
      </w:pPr>
    </w:p>
    <w:p w14:paraId="0FBD5919" w14:textId="3768D6CB"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 xml:space="preserve"> Los días 23, 30 y 31</w:t>
      </w:r>
      <w:r w:rsidR="007858F0">
        <w:rPr>
          <w:rFonts w:eastAsia="Batang" w:cs="Times"/>
          <w:noProof/>
          <w:szCs w:val="24"/>
        </w:rPr>
        <w:t xml:space="preserve"> de mayo de 1995</w:t>
      </w:r>
      <w:r w:rsidRPr="00E33FD7">
        <w:rPr>
          <w:rFonts w:eastAsia="Batang" w:cs="Times"/>
          <w:noProof/>
          <w:szCs w:val="24"/>
        </w:rPr>
        <w:t xml:space="preserve"> 19 policías que participaron de la redada policial rindieron declaraciones como testigos de los hechos. En términos generales, todos los oficiales reiteraron declaraciones previas y afirmaron que: i) existió un enfrentamiento y un fuerte fuego cruzado; ii) drogas y armas fueran aprendidas; iii) tres oficiales de policía resultaron heridos, y iv) las personas de la comunidad heridas fueron removidas y llevadas al hospital</w:t>
      </w:r>
      <w:r w:rsidRPr="00E33FD7">
        <w:rPr>
          <w:rFonts w:eastAsia="Batang" w:cs="Times"/>
          <w:noProof/>
          <w:szCs w:val="24"/>
          <w:vertAlign w:val="superscript"/>
        </w:rPr>
        <w:footnoteReference w:id="132"/>
      </w:r>
      <w:r w:rsidRPr="00E33FD7">
        <w:rPr>
          <w:rFonts w:eastAsia="Batang" w:cs="Times"/>
          <w:noProof/>
          <w:szCs w:val="24"/>
        </w:rPr>
        <w:t>. Entre los meses de junio y septiembre de 1995 se realizaron investigaciones sobre los antecedentes penales de las 13 personas asesinadas</w:t>
      </w:r>
      <w:r w:rsidRPr="00E33FD7">
        <w:rPr>
          <w:rFonts w:eastAsia="Batang" w:cs="Times"/>
          <w:noProof/>
          <w:szCs w:val="24"/>
          <w:vertAlign w:val="superscript"/>
        </w:rPr>
        <w:footnoteReference w:id="133"/>
      </w:r>
      <w:r w:rsidRPr="00E33FD7">
        <w:rPr>
          <w:rFonts w:eastAsia="Batang" w:cs="Times"/>
          <w:noProof/>
          <w:szCs w:val="24"/>
        </w:rPr>
        <w:t xml:space="preserve">. </w:t>
      </w:r>
    </w:p>
    <w:p w14:paraId="6E0FBC2B" w14:textId="77777777" w:rsidR="00E33FD7" w:rsidRPr="00E33FD7" w:rsidRDefault="00E33FD7" w:rsidP="00B811D7">
      <w:pPr>
        <w:pStyle w:val="ListParagraph"/>
        <w:ind w:left="0"/>
        <w:rPr>
          <w:rFonts w:eastAsia="Batang" w:cs="Times"/>
          <w:noProof/>
          <w:szCs w:val="24"/>
        </w:rPr>
      </w:pPr>
    </w:p>
    <w:p w14:paraId="6CB29E47" w14:textId="724EAC8C" w:rsidR="00E33FD7" w:rsidRPr="00E33FD7" w:rsidRDefault="007858F0" w:rsidP="00D6683A">
      <w:pPr>
        <w:pStyle w:val="ListParagraph"/>
        <w:numPr>
          <w:ilvl w:val="0"/>
          <w:numId w:val="1"/>
        </w:numPr>
        <w:rPr>
          <w:rFonts w:eastAsia="Batang" w:cs="Times"/>
          <w:noProof/>
          <w:szCs w:val="24"/>
        </w:rPr>
      </w:pPr>
      <w:r>
        <w:rPr>
          <w:rFonts w:eastAsia="Batang" w:cs="Times"/>
          <w:noProof/>
          <w:szCs w:val="24"/>
        </w:rPr>
        <w:t>El 29 de junio de 1995</w:t>
      </w:r>
      <w:r w:rsidR="00E33FD7" w:rsidRPr="00E33FD7">
        <w:rPr>
          <w:rFonts w:eastAsia="Batang" w:cs="Times"/>
          <w:noProof/>
          <w:szCs w:val="24"/>
        </w:rPr>
        <w:t xml:space="preserve"> la Fiscal Maria Ignez C. Pimentel solicitó diversas diligencias, entre ellas, la citación del chofer del vehículo que transportó al hospital a las presuntas víctimas</w:t>
      </w:r>
      <w:r w:rsidR="00E33FD7" w:rsidRPr="00E33FD7">
        <w:rPr>
          <w:rFonts w:eastAsia="Batang" w:cs="Times"/>
          <w:noProof/>
          <w:szCs w:val="24"/>
          <w:vertAlign w:val="superscript"/>
        </w:rPr>
        <w:footnoteReference w:id="134"/>
      </w:r>
      <w:r w:rsidR="00E33FD7" w:rsidRPr="00E33FD7">
        <w:rPr>
          <w:rFonts w:eastAsia="Batang" w:cs="Times"/>
          <w:noProof/>
          <w:szCs w:val="24"/>
        </w:rPr>
        <w:t>. De este modo, el 6 de julio de 1995 el declarante informó que no sabía si las personas transportadas al hospital ya estaban muertas en el momento de lo ocurrido</w:t>
      </w:r>
      <w:r w:rsidR="00E33FD7" w:rsidRPr="00E33FD7">
        <w:rPr>
          <w:rFonts w:eastAsia="Batang" w:cs="Times"/>
          <w:noProof/>
          <w:szCs w:val="24"/>
          <w:vertAlign w:val="superscript"/>
        </w:rPr>
        <w:footnoteReference w:id="135"/>
      </w:r>
      <w:r w:rsidR="00E33FD7" w:rsidRPr="00E33FD7">
        <w:rPr>
          <w:rFonts w:eastAsia="Batang" w:cs="Times"/>
          <w:noProof/>
          <w:szCs w:val="24"/>
        </w:rPr>
        <w:t xml:space="preserve">. </w:t>
      </w:r>
    </w:p>
    <w:p w14:paraId="1B6EEFEC" w14:textId="77777777" w:rsidR="00E33FD7" w:rsidRPr="00E33FD7" w:rsidRDefault="00E33FD7" w:rsidP="00B811D7">
      <w:pPr>
        <w:pStyle w:val="ListParagraph"/>
        <w:ind w:left="0"/>
        <w:rPr>
          <w:rFonts w:eastAsia="Batang" w:cs="Times"/>
          <w:noProof/>
          <w:szCs w:val="24"/>
        </w:rPr>
      </w:pPr>
    </w:p>
    <w:p w14:paraId="09F6FA64" w14:textId="4F3E5FC2" w:rsidR="00E33FD7" w:rsidRPr="00E33FD7" w:rsidRDefault="007858F0" w:rsidP="00D6683A">
      <w:pPr>
        <w:pStyle w:val="ListParagraph"/>
        <w:numPr>
          <w:ilvl w:val="0"/>
          <w:numId w:val="1"/>
        </w:numPr>
        <w:rPr>
          <w:rFonts w:eastAsia="Batang" w:cs="Times"/>
          <w:noProof/>
          <w:szCs w:val="24"/>
        </w:rPr>
      </w:pPr>
      <w:r>
        <w:rPr>
          <w:rFonts w:eastAsia="Batang" w:cs="Times"/>
          <w:noProof/>
          <w:szCs w:val="24"/>
        </w:rPr>
        <w:t>El 21 de septiembre de 1995</w:t>
      </w:r>
      <w:r w:rsidR="00E33FD7" w:rsidRPr="00E33FD7">
        <w:rPr>
          <w:rFonts w:eastAsia="Batang" w:cs="Times"/>
          <w:noProof/>
          <w:szCs w:val="24"/>
        </w:rPr>
        <w:t xml:space="preserve"> el Oficial de Policía a cargo de la investigación emitió su informe final en el cual afirmó que la operación policial estuvo dirigida a interceptar la entrega de un cargamento de armas, sin embargo</w:t>
      </w:r>
      <w:r>
        <w:rPr>
          <w:rFonts w:eastAsia="Batang" w:cs="Times"/>
          <w:noProof/>
          <w:szCs w:val="24"/>
        </w:rPr>
        <w:t>,</w:t>
      </w:r>
      <w:r w:rsidR="00E33FD7" w:rsidRPr="00E33FD7">
        <w:rPr>
          <w:rFonts w:eastAsia="Batang" w:cs="Times"/>
          <w:noProof/>
          <w:szCs w:val="24"/>
        </w:rPr>
        <w:t xml:space="preserve"> frente al ataque sufrido por parte de habitantes de la favela, la policía había reaccionado. Como resultado de la operación 13 individuos fueron heridos </w:t>
      </w:r>
      <w:r w:rsidR="006C3472">
        <w:rPr>
          <w:rFonts w:eastAsia="Batang" w:cs="Times"/>
          <w:noProof/>
          <w:szCs w:val="24"/>
        </w:rPr>
        <w:t xml:space="preserve">y no sobrevivieron; </w:t>
      </w:r>
      <w:r w:rsidR="00E33FD7" w:rsidRPr="00E33FD7">
        <w:rPr>
          <w:rFonts w:eastAsia="Batang" w:cs="Times"/>
          <w:noProof/>
          <w:szCs w:val="24"/>
        </w:rPr>
        <w:t>y drogas y armas fueron incautadas, sin la identificación de a quién pertenecían. El Oficial decidió que ninguna diligencia probatoria adicional era necesaria y determinó el envío del expediente al Ministerio Público</w:t>
      </w:r>
      <w:r w:rsidR="00E33FD7" w:rsidRPr="00E33FD7">
        <w:rPr>
          <w:rFonts w:eastAsia="Batang" w:cs="Times"/>
          <w:noProof/>
          <w:szCs w:val="24"/>
          <w:vertAlign w:val="superscript"/>
        </w:rPr>
        <w:footnoteReference w:id="136"/>
      </w:r>
      <w:r w:rsidR="00E33FD7" w:rsidRPr="00E33FD7">
        <w:rPr>
          <w:rFonts w:eastAsia="Batang" w:cs="Times"/>
          <w:noProof/>
          <w:szCs w:val="24"/>
        </w:rPr>
        <w:t>.</w:t>
      </w:r>
    </w:p>
    <w:p w14:paraId="62F09702" w14:textId="77777777" w:rsidR="00E33FD7" w:rsidRPr="00E33FD7" w:rsidRDefault="00E33FD7" w:rsidP="00B811D7">
      <w:pPr>
        <w:pStyle w:val="ListParagraph"/>
        <w:ind w:left="0"/>
        <w:rPr>
          <w:rFonts w:eastAsia="Batang" w:cs="Times"/>
          <w:noProof/>
          <w:szCs w:val="24"/>
        </w:rPr>
      </w:pPr>
    </w:p>
    <w:p w14:paraId="42DE08E9" w14:textId="394B5ECA" w:rsidR="00E33FD7" w:rsidRPr="00E33FD7" w:rsidRDefault="00857662" w:rsidP="00D6683A">
      <w:pPr>
        <w:pStyle w:val="ListParagraph"/>
        <w:numPr>
          <w:ilvl w:val="0"/>
          <w:numId w:val="1"/>
        </w:numPr>
        <w:rPr>
          <w:rFonts w:eastAsia="Batang" w:cs="Times"/>
          <w:noProof/>
          <w:szCs w:val="24"/>
          <w:lang w:val="es-ES"/>
        </w:rPr>
      </w:pPr>
      <w:r>
        <w:rPr>
          <w:rFonts w:eastAsia="Batang" w:cs="Times"/>
          <w:noProof/>
          <w:szCs w:val="24"/>
        </w:rPr>
        <w:t>El 29 de enero de 1996</w:t>
      </w:r>
      <w:r w:rsidR="00E33FD7" w:rsidRPr="00E33FD7">
        <w:rPr>
          <w:rFonts w:eastAsia="Batang" w:cs="Times"/>
          <w:noProof/>
          <w:szCs w:val="24"/>
        </w:rPr>
        <w:t xml:space="preserve"> la Fiscal Maria Ignez Pimentel solicitó que los familiares de las 13 víctimas fueran citados</w:t>
      </w:r>
      <w:r w:rsidR="00E33FD7" w:rsidRPr="00E33FD7">
        <w:rPr>
          <w:rFonts w:eastAsia="Batang" w:cs="Times"/>
          <w:noProof/>
          <w:szCs w:val="24"/>
          <w:vertAlign w:val="superscript"/>
        </w:rPr>
        <w:footnoteReference w:id="137"/>
      </w:r>
      <w:r w:rsidR="00E33FD7" w:rsidRPr="00E33FD7">
        <w:rPr>
          <w:rFonts w:eastAsia="Batang" w:cs="Times"/>
          <w:noProof/>
          <w:szCs w:val="24"/>
        </w:rPr>
        <w:t>. Algunos de dichos familiares rindieron su declaración el 16 de febrero, 1 de marzo, 8 de marzo, 22 de marzo y 29 de marzo de 1996</w:t>
      </w:r>
      <w:r w:rsidR="00E33FD7" w:rsidRPr="00E33FD7">
        <w:rPr>
          <w:rFonts w:eastAsia="Batang" w:cs="Times"/>
          <w:noProof/>
          <w:szCs w:val="24"/>
          <w:vertAlign w:val="superscript"/>
        </w:rPr>
        <w:footnoteReference w:id="138"/>
      </w:r>
      <w:r w:rsidR="00E33FD7" w:rsidRPr="00E33FD7">
        <w:rPr>
          <w:rFonts w:eastAsia="Batang" w:cs="Times"/>
          <w:noProof/>
          <w:szCs w:val="24"/>
        </w:rPr>
        <w:t xml:space="preserve">. Transcurrieron más de </w:t>
      </w:r>
      <w:r w:rsidR="006C3472">
        <w:rPr>
          <w:rFonts w:eastAsia="Batang" w:cs="Times"/>
          <w:noProof/>
          <w:szCs w:val="24"/>
        </w:rPr>
        <w:t>cuatro</w:t>
      </w:r>
      <w:r w:rsidR="00E33FD7" w:rsidRPr="00E33FD7">
        <w:rPr>
          <w:rFonts w:eastAsia="Batang" w:cs="Times"/>
          <w:noProof/>
          <w:szCs w:val="24"/>
        </w:rPr>
        <w:t xml:space="preserve"> años sin que se realizara ning</w:t>
      </w:r>
      <w:r w:rsidR="00003114">
        <w:rPr>
          <w:rFonts w:eastAsia="Batang" w:cs="Times"/>
          <w:noProof/>
          <w:szCs w:val="24"/>
        </w:rPr>
        <w:t>u</w:t>
      </w:r>
      <w:r w:rsidR="00E33FD7" w:rsidRPr="00E33FD7">
        <w:rPr>
          <w:rFonts w:eastAsia="Batang" w:cs="Times"/>
          <w:noProof/>
          <w:szCs w:val="24"/>
        </w:rPr>
        <w:t>n</w:t>
      </w:r>
      <w:r w:rsidR="00003114">
        <w:rPr>
          <w:rFonts w:eastAsia="Batang" w:cs="Times"/>
          <w:noProof/>
          <w:szCs w:val="24"/>
        </w:rPr>
        <w:t>a</w:t>
      </w:r>
      <w:r w:rsidR="00E33FD7" w:rsidRPr="00E33FD7">
        <w:rPr>
          <w:rFonts w:eastAsia="Batang" w:cs="Times"/>
          <w:noProof/>
          <w:szCs w:val="24"/>
        </w:rPr>
        <w:t xml:space="preserve"> </w:t>
      </w:r>
      <w:r w:rsidR="00003114">
        <w:rPr>
          <w:rFonts w:eastAsia="Batang" w:cs="Times"/>
          <w:noProof/>
          <w:szCs w:val="24"/>
        </w:rPr>
        <w:t>diligencia</w:t>
      </w:r>
      <w:r w:rsidR="00E33FD7" w:rsidRPr="00E33FD7">
        <w:rPr>
          <w:rFonts w:eastAsia="Batang" w:cs="Times"/>
          <w:noProof/>
          <w:szCs w:val="24"/>
        </w:rPr>
        <w:t xml:space="preserve"> relevante dentro de la investigación del </w:t>
      </w:r>
      <w:r w:rsidR="004E129F">
        <w:rPr>
          <w:rFonts w:eastAsia="Batang" w:cs="Times"/>
          <w:noProof/>
          <w:szCs w:val="24"/>
        </w:rPr>
        <w:t xml:space="preserve">IP No. </w:t>
      </w:r>
      <w:r w:rsidR="006C3472">
        <w:rPr>
          <w:rFonts w:eastAsia="Batang" w:cs="Times"/>
          <w:noProof/>
          <w:szCs w:val="24"/>
        </w:rPr>
        <w:t>061/95</w:t>
      </w:r>
      <w:r w:rsidR="00E33FD7" w:rsidRPr="00E33FD7">
        <w:rPr>
          <w:rFonts w:eastAsia="Batang" w:cs="Times"/>
          <w:noProof/>
          <w:szCs w:val="24"/>
        </w:rPr>
        <w:t xml:space="preserve">. </w:t>
      </w:r>
    </w:p>
    <w:p w14:paraId="5B089CAC" w14:textId="77777777" w:rsidR="00E33FD7" w:rsidRPr="00E33FD7" w:rsidRDefault="00E33FD7" w:rsidP="00B811D7">
      <w:pPr>
        <w:pStyle w:val="ListParagraph"/>
        <w:ind w:left="0"/>
        <w:rPr>
          <w:rFonts w:eastAsia="Batang" w:cs="Times"/>
          <w:noProof/>
          <w:szCs w:val="24"/>
        </w:rPr>
      </w:pPr>
    </w:p>
    <w:p w14:paraId="746F5E01" w14:textId="77777777" w:rsidR="00E33FD7" w:rsidRPr="00E33FD7" w:rsidRDefault="0046046A" w:rsidP="00123780">
      <w:pPr>
        <w:pStyle w:val="TOC2"/>
      </w:pPr>
      <w:bookmarkStart w:id="389" w:name="_Toc469404503"/>
      <w:bookmarkStart w:id="390" w:name="_Toc472608948"/>
      <w:r>
        <w:lastRenderedPageBreak/>
        <w:t>C</w:t>
      </w:r>
      <w:r w:rsidR="00E33FD7">
        <w:t xml:space="preserve">. </w:t>
      </w:r>
      <w:r>
        <w:tab/>
      </w:r>
      <w:r w:rsidR="00E33FD7" w:rsidRPr="00E33FD7">
        <w:t>Hechos dentro de la competencia temporal de la Corte</w:t>
      </w:r>
      <w:bookmarkEnd w:id="389"/>
      <w:bookmarkEnd w:id="390"/>
    </w:p>
    <w:p w14:paraId="6F763F4D" w14:textId="77777777" w:rsidR="00E33FD7" w:rsidRPr="00E33FD7" w:rsidRDefault="00E33FD7" w:rsidP="00B811D7">
      <w:pPr>
        <w:pStyle w:val="ListParagraph"/>
        <w:ind w:left="0"/>
        <w:rPr>
          <w:rFonts w:eastAsia="Batang" w:cs="Times"/>
          <w:noProof/>
          <w:szCs w:val="24"/>
          <w:lang w:val="es-EC"/>
        </w:rPr>
      </w:pPr>
    </w:p>
    <w:p w14:paraId="26675F64" w14:textId="77777777" w:rsidR="00E33FD7" w:rsidRPr="00E33FD7" w:rsidRDefault="00E33FD7" w:rsidP="00B811D7">
      <w:pPr>
        <w:pStyle w:val="ListParagraph"/>
        <w:ind w:left="0"/>
        <w:rPr>
          <w:rFonts w:eastAsia="Batang" w:cs="Times"/>
          <w:noProof/>
          <w:szCs w:val="24"/>
        </w:rPr>
      </w:pPr>
      <w:r w:rsidRPr="00E33FD7">
        <w:rPr>
          <w:rFonts w:eastAsia="Batang" w:cs="Times"/>
          <w:i/>
          <w:noProof/>
          <w:szCs w:val="24"/>
          <w:lang w:val="es-ES"/>
        </w:rPr>
        <w:t>Investigaciones sobre la incursión policial de 18 de octubre de 1994</w:t>
      </w:r>
    </w:p>
    <w:p w14:paraId="66C340E3" w14:textId="77777777" w:rsidR="00E33FD7" w:rsidRPr="00E33FD7" w:rsidRDefault="00E33FD7" w:rsidP="00B811D7">
      <w:pPr>
        <w:pStyle w:val="ListParagraph"/>
        <w:ind w:left="0"/>
        <w:rPr>
          <w:rFonts w:eastAsia="Batang" w:cs="Times"/>
          <w:b/>
          <w:noProof/>
          <w:szCs w:val="24"/>
        </w:rPr>
      </w:pPr>
    </w:p>
    <w:p w14:paraId="6B9D4231" w14:textId="20DE650C" w:rsidR="00E33FD7" w:rsidRPr="00E33FD7" w:rsidRDefault="00C7213B" w:rsidP="00D6683A">
      <w:pPr>
        <w:pStyle w:val="ListParagraph"/>
        <w:numPr>
          <w:ilvl w:val="0"/>
          <w:numId w:val="1"/>
        </w:numPr>
        <w:rPr>
          <w:rFonts w:eastAsia="Batang" w:cs="Times"/>
          <w:noProof/>
          <w:szCs w:val="24"/>
          <w:lang w:val="es-EC"/>
        </w:rPr>
      </w:pPr>
      <w:r>
        <w:rPr>
          <w:rFonts w:eastAsia="Batang" w:cs="Times"/>
          <w:noProof/>
          <w:szCs w:val="24"/>
        </w:rPr>
        <w:t>D</w:t>
      </w:r>
      <w:r w:rsidR="00E33FD7" w:rsidRPr="00E33FD7">
        <w:rPr>
          <w:rFonts w:eastAsia="Batang" w:cs="Times"/>
          <w:noProof/>
          <w:szCs w:val="24"/>
        </w:rPr>
        <w:t>e acuerdo con la prueba en el expediente no hubo ning</w:t>
      </w:r>
      <w:r w:rsidR="00003114">
        <w:rPr>
          <w:rFonts w:eastAsia="Batang" w:cs="Times"/>
          <w:noProof/>
          <w:szCs w:val="24"/>
        </w:rPr>
        <w:t>u</w:t>
      </w:r>
      <w:r w:rsidR="00E33FD7" w:rsidRPr="00E33FD7">
        <w:rPr>
          <w:rFonts w:eastAsia="Batang" w:cs="Times"/>
          <w:noProof/>
          <w:szCs w:val="24"/>
        </w:rPr>
        <w:t>n</w:t>
      </w:r>
      <w:r w:rsidR="00003114">
        <w:rPr>
          <w:rFonts w:eastAsia="Batang" w:cs="Times"/>
          <w:noProof/>
          <w:szCs w:val="24"/>
        </w:rPr>
        <w:t>a</w:t>
      </w:r>
      <w:r w:rsidR="00E33FD7" w:rsidRPr="00E33FD7">
        <w:rPr>
          <w:rFonts w:eastAsia="Batang" w:cs="Times"/>
          <w:noProof/>
          <w:szCs w:val="24"/>
        </w:rPr>
        <w:t xml:space="preserve"> </w:t>
      </w:r>
      <w:r w:rsidR="00003114">
        <w:rPr>
          <w:rFonts w:eastAsia="Batang" w:cs="Times"/>
          <w:noProof/>
          <w:szCs w:val="24"/>
        </w:rPr>
        <w:t>actuación</w:t>
      </w:r>
      <w:r w:rsidR="00E33FD7" w:rsidRPr="00E33FD7">
        <w:rPr>
          <w:rFonts w:eastAsia="Batang" w:cs="Times"/>
          <w:noProof/>
          <w:szCs w:val="24"/>
        </w:rPr>
        <w:t xml:space="preserve"> procesal relevante entre 1995 </w:t>
      </w:r>
      <w:r w:rsidR="00857662">
        <w:rPr>
          <w:rFonts w:eastAsia="Batang" w:cs="Times"/>
          <w:noProof/>
          <w:szCs w:val="24"/>
        </w:rPr>
        <w:t>y 2002. El 27 de agosto de 2002</w:t>
      </w:r>
      <w:r w:rsidR="00E33FD7" w:rsidRPr="00E33FD7">
        <w:rPr>
          <w:rFonts w:eastAsia="Batang" w:cs="Times"/>
          <w:noProof/>
          <w:szCs w:val="24"/>
        </w:rPr>
        <w:t xml:space="preserve"> el expediente </w:t>
      </w:r>
      <w:r w:rsidR="004E129F">
        <w:rPr>
          <w:rFonts w:eastAsia="Batang" w:cs="Times"/>
          <w:noProof/>
          <w:szCs w:val="24"/>
        </w:rPr>
        <w:t xml:space="preserve">IP No. </w:t>
      </w:r>
      <w:r w:rsidR="00B21CA7">
        <w:rPr>
          <w:rFonts w:eastAsia="Batang" w:cs="Times"/>
          <w:noProof/>
          <w:szCs w:val="24"/>
        </w:rPr>
        <w:t>52/94</w:t>
      </w:r>
      <w:r w:rsidR="00E33FD7" w:rsidRPr="00E33FD7">
        <w:rPr>
          <w:rFonts w:eastAsia="Batang" w:cs="Times"/>
          <w:noProof/>
          <w:szCs w:val="24"/>
        </w:rPr>
        <w:t xml:space="preserve"> (iniciado por la DETAA) fue renumerado con el No. 141/02 </w:t>
      </w:r>
      <w:r w:rsidR="00E33FD7" w:rsidRPr="00E33FD7">
        <w:rPr>
          <w:rFonts w:eastAsia="Batang" w:cs="Times"/>
          <w:noProof/>
          <w:szCs w:val="24"/>
          <w:lang w:val="es-EC"/>
        </w:rPr>
        <w:t xml:space="preserve">por la </w:t>
      </w:r>
      <w:r w:rsidR="00E33FD7" w:rsidRPr="00E33FD7">
        <w:rPr>
          <w:rFonts w:eastAsia="Batang" w:cs="Times"/>
          <w:i/>
          <w:noProof/>
          <w:szCs w:val="24"/>
          <w:lang w:val="es-EC"/>
        </w:rPr>
        <w:t>Corregedoria</w:t>
      </w:r>
      <w:r w:rsidR="00E33FD7" w:rsidRPr="00E33FD7">
        <w:rPr>
          <w:rFonts w:eastAsia="Batang" w:cs="Times"/>
          <w:noProof/>
          <w:szCs w:val="24"/>
          <w:vertAlign w:val="superscript"/>
          <w:lang w:val="es-EC"/>
        </w:rPr>
        <w:footnoteReference w:id="139"/>
      </w:r>
      <w:r w:rsidR="00E33FD7" w:rsidRPr="00E33FD7">
        <w:rPr>
          <w:rFonts w:eastAsia="Batang" w:cs="Times"/>
          <w:noProof/>
          <w:szCs w:val="24"/>
          <w:lang w:val="es-EC"/>
        </w:rPr>
        <w:t xml:space="preserve"> Interna de la Policía Civil (</w:t>
      </w:r>
      <w:r w:rsidR="00E33FD7" w:rsidRPr="00E33FD7">
        <w:rPr>
          <w:rFonts w:eastAsia="Batang" w:cs="Times"/>
          <w:noProof/>
          <w:szCs w:val="24"/>
        </w:rPr>
        <w:t>COINPOL)</w:t>
      </w:r>
      <w:r w:rsidR="00E33FD7" w:rsidRPr="00E33FD7">
        <w:rPr>
          <w:rFonts w:eastAsia="Batang" w:cs="Times"/>
          <w:noProof/>
          <w:szCs w:val="24"/>
          <w:vertAlign w:val="superscript"/>
        </w:rPr>
        <w:footnoteReference w:id="140"/>
      </w:r>
      <w:r w:rsidR="00E33FD7" w:rsidRPr="00E33FD7">
        <w:rPr>
          <w:rFonts w:eastAsia="Batang" w:cs="Times"/>
          <w:noProof/>
          <w:szCs w:val="24"/>
        </w:rPr>
        <w:t xml:space="preserve">.  </w:t>
      </w:r>
    </w:p>
    <w:p w14:paraId="0B014A10" w14:textId="77777777" w:rsidR="00E33FD7" w:rsidRPr="00E33FD7" w:rsidRDefault="00E33FD7" w:rsidP="00B811D7">
      <w:pPr>
        <w:pStyle w:val="ListParagraph"/>
        <w:ind w:left="0"/>
        <w:rPr>
          <w:rFonts w:eastAsia="Batang" w:cs="Times"/>
          <w:noProof/>
          <w:szCs w:val="24"/>
          <w:lang w:val="es-EC"/>
        </w:rPr>
      </w:pPr>
    </w:p>
    <w:p w14:paraId="4B830FD1" w14:textId="52C63134"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E</w:t>
      </w:r>
      <w:r w:rsidRPr="00E33FD7">
        <w:rPr>
          <w:rFonts w:eastAsia="Batang" w:cs="Times"/>
          <w:noProof/>
          <w:szCs w:val="24"/>
          <w:lang w:val="es-ES"/>
        </w:rPr>
        <w:t xml:space="preserve">l 15 de diciembre de 2003 la investigación </w:t>
      </w:r>
      <w:r w:rsidR="004E129F">
        <w:rPr>
          <w:rFonts w:eastAsia="Batang" w:cs="Times"/>
          <w:noProof/>
          <w:szCs w:val="24"/>
          <w:lang w:val="es-EC"/>
        </w:rPr>
        <w:t xml:space="preserve">IP No. </w:t>
      </w:r>
      <w:r w:rsidR="00B21CA7">
        <w:rPr>
          <w:rFonts w:eastAsia="Batang" w:cs="Times"/>
          <w:noProof/>
          <w:szCs w:val="24"/>
          <w:lang w:val="es-EC"/>
        </w:rPr>
        <w:t>187/94</w:t>
      </w:r>
      <w:r w:rsidRPr="00E33FD7">
        <w:rPr>
          <w:rFonts w:eastAsia="Batang" w:cs="Times"/>
          <w:noProof/>
          <w:szCs w:val="24"/>
          <w:lang w:val="es-EC"/>
        </w:rPr>
        <w:t xml:space="preserve"> (iniciada por la DRE) </w:t>
      </w:r>
      <w:r w:rsidRPr="00E33FD7">
        <w:rPr>
          <w:rFonts w:eastAsia="Batang" w:cs="Times"/>
          <w:noProof/>
          <w:szCs w:val="24"/>
          <w:lang w:val="es-ES"/>
        </w:rPr>
        <w:t xml:space="preserve">fue renumerada por la COINPOL con el número </w:t>
      </w:r>
      <w:r w:rsidR="004E129F">
        <w:rPr>
          <w:rFonts w:eastAsia="Batang" w:cs="Times"/>
          <w:noProof/>
          <w:szCs w:val="24"/>
          <w:lang w:val="es-ES"/>
        </w:rPr>
        <w:t>IP No. 225/03</w:t>
      </w:r>
      <w:r w:rsidRPr="00E33FD7">
        <w:rPr>
          <w:rFonts w:eastAsia="Batang" w:cs="Times"/>
          <w:noProof/>
          <w:szCs w:val="24"/>
          <w:lang w:val="es-ES"/>
        </w:rPr>
        <w:t xml:space="preserve">. </w:t>
      </w:r>
      <w:r w:rsidRPr="00E33FD7">
        <w:rPr>
          <w:rFonts w:eastAsia="Batang" w:cs="Times"/>
          <w:noProof/>
          <w:szCs w:val="24"/>
        </w:rPr>
        <w:t>Entre el 22 de enero de 2004 y el 26 de febrero de 2007, se presentaron varias solicitudes para el otorgamiento de plazos para cumplir diligencias ordenadas</w:t>
      </w:r>
      <w:r w:rsidRPr="00E33FD7">
        <w:rPr>
          <w:rFonts w:eastAsia="Batang" w:cs="Times"/>
          <w:noProof/>
          <w:szCs w:val="24"/>
          <w:vertAlign w:val="superscript"/>
        </w:rPr>
        <w:footnoteReference w:id="141"/>
      </w:r>
      <w:r w:rsidRPr="00E33FD7">
        <w:rPr>
          <w:rFonts w:eastAsia="Batang" w:cs="Times"/>
          <w:noProof/>
          <w:szCs w:val="24"/>
        </w:rPr>
        <w:t>.</w:t>
      </w:r>
    </w:p>
    <w:p w14:paraId="7E02B41E" w14:textId="77777777" w:rsidR="00E33FD7" w:rsidRPr="00E33FD7" w:rsidRDefault="00E33FD7" w:rsidP="00B811D7">
      <w:pPr>
        <w:pStyle w:val="ListParagraph"/>
        <w:ind w:left="0"/>
        <w:rPr>
          <w:rFonts w:eastAsia="Batang" w:cs="Times"/>
          <w:noProof/>
          <w:szCs w:val="24"/>
          <w:lang w:val="es-EC"/>
        </w:rPr>
      </w:pPr>
    </w:p>
    <w:p w14:paraId="48C4D204" w14:textId="06210D76"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 xml:space="preserve">A pesar de que </w:t>
      </w:r>
      <w:r w:rsidRPr="00E33FD7">
        <w:rPr>
          <w:rFonts w:eastAsia="Batang" w:cs="Times"/>
          <w:noProof/>
          <w:szCs w:val="24"/>
        </w:rPr>
        <w:t xml:space="preserve">desde </w:t>
      </w:r>
      <w:r w:rsidRPr="00E33FD7">
        <w:rPr>
          <w:rFonts w:eastAsia="Batang" w:cs="Times"/>
          <w:noProof/>
          <w:szCs w:val="24"/>
          <w:lang w:val="es-EC"/>
        </w:rPr>
        <w:t xml:space="preserve">el 22 de noviembre de 1994 el Secretario de Estado de la Policía Civil había solicitado que el </w:t>
      </w:r>
      <w:r w:rsidR="004E129F">
        <w:rPr>
          <w:rFonts w:eastAsia="Batang" w:cs="Times"/>
          <w:noProof/>
          <w:szCs w:val="24"/>
          <w:lang w:val="es-EC"/>
        </w:rPr>
        <w:t xml:space="preserve">IP No. </w:t>
      </w:r>
      <w:r w:rsidR="00B21CA7">
        <w:rPr>
          <w:rFonts w:eastAsia="Batang" w:cs="Times"/>
          <w:noProof/>
          <w:szCs w:val="24"/>
          <w:lang w:val="es-EC"/>
        </w:rPr>
        <w:t>187/94</w:t>
      </w:r>
      <w:r w:rsidRPr="00E33FD7">
        <w:rPr>
          <w:rFonts w:eastAsia="Batang" w:cs="Times"/>
          <w:noProof/>
          <w:szCs w:val="24"/>
          <w:lang w:val="es-EC"/>
        </w:rPr>
        <w:t xml:space="preserve"> fuera enviado a la DETAA (</w:t>
      </w:r>
      <w:r w:rsidRPr="00E33FD7">
        <w:rPr>
          <w:rFonts w:eastAsia="Batang" w:cs="Times"/>
          <w:i/>
          <w:noProof/>
          <w:szCs w:val="24"/>
          <w:lang w:val="es-EC"/>
        </w:rPr>
        <w:t>supra</w:t>
      </w:r>
      <w:r w:rsidRPr="00E33FD7">
        <w:rPr>
          <w:rFonts w:eastAsia="Batang" w:cs="Times"/>
          <w:noProof/>
          <w:szCs w:val="24"/>
          <w:lang w:val="es-EC"/>
        </w:rPr>
        <w:t xml:space="preserve"> párr.</w:t>
      </w:r>
      <w:r w:rsidR="00C7213B">
        <w:rPr>
          <w:rFonts w:eastAsia="Batang" w:cs="Times"/>
          <w:noProof/>
          <w:szCs w:val="24"/>
          <w:lang w:val="es-EC"/>
        </w:rPr>
        <w:t xml:space="preserve"> 12</w:t>
      </w:r>
      <w:r w:rsidR="00CC36D9">
        <w:rPr>
          <w:rFonts w:eastAsia="Batang" w:cs="Times"/>
          <w:noProof/>
          <w:szCs w:val="24"/>
          <w:lang w:val="es-EC"/>
        </w:rPr>
        <w:t>6</w:t>
      </w:r>
      <w:r w:rsidRPr="00E33FD7">
        <w:rPr>
          <w:rFonts w:eastAsia="Batang" w:cs="Times"/>
          <w:noProof/>
          <w:szCs w:val="24"/>
          <w:lang w:val="es-EC"/>
        </w:rPr>
        <w:t xml:space="preserve">), fue hasta el 2007 que el </w:t>
      </w:r>
      <w:r w:rsidR="004E129F">
        <w:rPr>
          <w:rFonts w:eastAsia="Batang" w:cs="Times"/>
          <w:noProof/>
          <w:szCs w:val="24"/>
          <w:lang w:val="es-EC"/>
        </w:rPr>
        <w:t xml:space="preserve">IP No. </w:t>
      </w:r>
      <w:r w:rsidR="00B21CA7">
        <w:rPr>
          <w:rFonts w:eastAsia="Batang" w:cs="Times"/>
          <w:noProof/>
          <w:szCs w:val="24"/>
          <w:lang w:val="es-EC"/>
        </w:rPr>
        <w:t>187/94</w:t>
      </w:r>
      <w:r w:rsidRPr="00E33FD7">
        <w:rPr>
          <w:rFonts w:eastAsia="Batang" w:cs="Times"/>
          <w:noProof/>
          <w:szCs w:val="24"/>
          <w:lang w:val="es-EC"/>
        </w:rPr>
        <w:t xml:space="preserve">, (reenumerado como </w:t>
      </w:r>
      <w:r w:rsidR="004E129F">
        <w:rPr>
          <w:rFonts w:eastAsia="Batang" w:cs="Times"/>
          <w:noProof/>
          <w:szCs w:val="24"/>
          <w:lang w:val="es-EC"/>
        </w:rPr>
        <w:t>IP No. 225/03</w:t>
      </w:r>
      <w:r w:rsidRPr="00E33FD7">
        <w:rPr>
          <w:rFonts w:eastAsia="Batang" w:cs="Times"/>
          <w:noProof/>
          <w:szCs w:val="24"/>
          <w:lang w:val="es-EC"/>
        </w:rPr>
        <w:t xml:space="preserve"> por la </w:t>
      </w:r>
      <w:r w:rsidRPr="00E33FD7">
        <w:rPr>
          <w:rFonts w:eastAsia="Batang" w:cs="Times"/>
          <w:noProof/>
          <w:szCs w:val="24"/>
        </w:rPr>
        <w:t>COINPOL)</w:t>
      </w:r>
      <w:r w:rsidRPr="00E33FD7">
        <w:rPr>
          <w:rFonts w:eastAsia="Batang" w:cs="Times"/>
          <w:noProof/>
          <w:szCs w:val="24"/>
          <w:vertAlign w:val="superscript"/>
          <w:lang w:val="es-EC"/>
        </w:rPr>
        <w:footnoteReference w:id="142"/>
      </w:r>
      <w:r w:rsidRPr="00E33FD7">
        <w:rPr>
          <w:rFonts w:eastAsia="Batang" w:cs="Times"/>
          <w:noProof/>
          <w:szCs w:val="24"/>
          <w:lang w:val="es-EC"/>
        </w:rPr>
        <w:t xml:space="preserve"> fue unificado con el </w:t>
      </w:r>
      <w:r w:rsidR="004E129F">
        <w:rPr>
          <w:rFonts w:eastAsia="Batang" w:cs="Times"/>
          <w:noProof/>
          <w:szCs w:val="24"/>
          <w:lang w:val="es-EC"/>
        </w:rPr>
        <w:t xml:space="preserve">IP No. </w:t>
      </w:r>
      <w:r w:rsidR="00B21CA7">
        <w:rPr>
          <w:rFonts w:eastAsia="Batang" w:cs="Times"/>
          <w:noProof/>
          <w:szCs w:val="24"/>
          <w:lang w:val="es-EC"/>
        </w:rPr>
        <w:t>52/94</w:t>
      </w:r>
      <w:r w:rsidRPr="00E33FD7">
        <w:rPr>
          <w:rFonts w:eastAsia="Batang" w:cs="Times"/>
          <w:noProof/>
          <w:szCs w:val="24"/>
          <w:lang w:val="es-EC"/>
        </w:rPr>
        <w:t xml:space="preserve"> (reenumerado como </w:t>
      </w:r>
      <w:r w:rsidR="004E129F">
        <w:rPr>
          <w:rFonts w:eastAsia="Batang" w:cs="Times"/>
          <w:noProof/>
          <w:szCs w:val="24"/>
          <w:lang w:val="es-EC"/>
        </w:rPr>
        <w:t>IP No. 141/02</w:t>
      </w:r>
      <w:r w:rsidRPr="00E33FD7">
        <w:rPr>
          <w:rFonts w:eastAsia="Batang" w:cs="Times"/>
          <w:noProof/>
          <w:szCs w:val="24"/>
          <w:lang w:val="es-EC"/>
        </w:rPr>
        <w:t xml:space="preserve"> por la </w:t>
      </w:r>
      <w:r w:rsidRPr="00E33FD7">
        <w:rPr>
          <w:rFonts w:eastAsia="Batang" w:cs="Times"/>
          <w:noProof/>
          <w:szCs w:val="24"/>
        </w:rPr>
        <w:t>COINPOL</w:t>
      </w:r>
      <w:r w:rsidRPr="00E33FD7">
        <w:rPr>
          <w:rFonts w:eastAsia="Batang" w:cs="Times"/>
          <w:noProof/>
          <w:szCs w:val="24"/>
          <w:lang w:val="es-EC"/>
        </w:rPr>
        <w:t xml:space="preserve">). Ambos expedientes se agruparon en el </w:t>
      </w:r>
      <w:r w:rsidR="004E129F">
        <w:rPr>
          <w:rFonts w:eastAsia="Batang" w:cs="Times"/>
          <w:noProof/>
          <w:szCs w:val="24"/>
          <w:lang w:val="es-EC"/>
        </w:rPr>
        <w:t>IP No. 141/02</w:t>
      </w:r>
      <w:r w:rsidRPr="00E33FD7">
        <w:rPr>
          <w:rFonts w:eastAsia="Batang" w:cs="Times"/>
          <w:noProof/>
          <w:szCs w:val="24"/>
          <w:lang w:val="es-EC"/>
        </w:rPr>
        <w:t xml:space="preserve"> de la </w:t>
      </w:r>
      <w:r w:rsidRPr="00E33FD7">
        <w:rPr>
          <w:rFonts w:eastAsia="Batang" w:cs="Times"/>
          <w:i/>
          <w:noProof/>
          <w:szCs w:val="24"/>
          <w:lang w:val="es-EC"/>
        </w:rPr>
        <w:t>Corregedoria</w:t>
      </w:r>
      <w:r w:rsidRPr="00E33FD7">
        <w:rPr>
          <w:rFonts w:eastAsia="Batang" w:cs="Times"/>
          <w:noProof/>
          <w:szCs w:val="24"/>
          <w:lang w:val="es-EC"/>
        </w:rPr>
        <w:t xml:space="preserve"> General de Policía</w:t>
      </w:r>
      <w:r w:rsidRPr="00E33FD7">
        <w:rPr>
          <w:rFonts w:eastAsia="Batang" w:cs="Times"/>
          <w:noProof/>
          <w:szCs w:val="24"/>
          <w:vertAlign w:val="superscript"/>
          <w:lang w:val="es-EC"/>
        </w:rPr>
        <w:footnoteReference w:id="143"/>
      </w:r>
      <w:r w:rsidRPr="00E33FD7">
        <w:rPr>
          <w:rFonts w:eastAsia="Batang" w:cs="Times"/>
          <w:noProof/>
          <w:szCs w:val="24"/>
          <w:lang w:val="es-EC"/>
        </w:rPr>
        <w:t xml:space="preserve">.  </w:t>
      </w:r>
    </w:p>
    <w:p w14:paraId="41B9CBAE" w14:textId="77777777" w:rsidR="00E33FD7" w:rsidRPr="00E33FD7" w:rsidRDefault="00E33FD7" w:rsidP="00B811D7">
      <w:pPr>
        <w:pStyle w:val="ListParagraph"/>
        <w:ind w:left="0"/>
        <w:rPr>
          <w:rFonts w:eastAsia="Batang" w:cs="Times"/>
          <w:noProof/>
          <w:szCs w:val="24"/>
          <w:lang w:val="es-EC"/>
        </w:rPr>
      </w:pPr>
    </w:p>
    <w:p w14:paraId="0FC79F17" w14:textId="7430C89B"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Después de unificados los expedientes dos medidas fueron adop</w:t>
      </w:r>
      <w:r w:rsidR="00857662">
        <w:rPr>
          <w:rFonts w:eastAsia="Batang" w:cs="Times"/>
          <w:noProof/>
          <w:szCs w:val="24"/>
          <w:lang w:val="es-EC"/>
        </w:rPr>
        <w:t>tadas: el 15 de febrero de 2008</w:t>
      </w:r>
      <w:r w:rsidRPr="00E33FD7">
        <w:rPr>
          <w:rFonts w:eastAsia="Batang" w:cs="Times"/>
          <w:noProof/>
          <w:szCs w:val="24"/>
          <w:lang w:val="es-EC"/>
        </w:rPr>
        <w:t xml:space="preserve"> el </w:t>
      </w:r>
      <w:r w:rsidRPr="00E33FD7">
        <w:rPr>
          <w:rFonts w:eastAsia="Batang" w:cs="Times"/>
          <w:noProof/>
          <w:szCs w:val="24"/>
          <w:lang w:val="es-ES_tradnl"/>
        </w:rPr>
        <w:t>Jefe de Policía que estuvo a cargo de la redada policial de 18 de octubre de 1994, fue citado para rendir su declaración sobre los hechos</w:t>
      </w:r>
      <w:r w:rsidRPr="00E33FD7">
        <w:rPr>
          <w:rFonts w:eastAsia="Batang" w:cs="Times"/>
          <w:noProof/>
          <w:szCs w:val="24"/>
          <w:vertAlign w:val="superscript"/>
          <w:lang w:val="es-ES_tradnl"/>
        </w:rPr>
        <w:footnoteReference w:id="144"/>
      </w:r>
      <w:r w:rsidRPr="00E33FD7">
        <w:rPr>
          <w:rFonts w:eastAsia="Batang" w:cs="Times"/>
          <w:noProof/>
          <w:szCs w:val="24"/>
          <w:lang w:val="es-ES_tradnl"/>
        </w:rPr>
        <w:t xml:space="preserve"> y el 19 de septiembre de 2008 una orden de citación determinó la búsqueda de los familiares de las supuestas víctimas asesinadas</w:t>
      </w:r>
      <w:r w:rsidRPr="00E33FD7">
        <w:rPr>
          <w:rFonts w:eastAsia="Batang" w:cs="Times"/>
          <w:noProof/>
          <w:szCs w:val="24"/>
          <w:vertAlign w:val="superscript"/>
          <w:lang w:val="es-ES_tradnl"/>
        </w:rPr>
        <w:footnoteReference w:id="145"/>
      </w:r>
      <w:r w:rsidRPr="00E33FD7">
        <w:rPr>
          <w:rFonts w:eastAsia="Batang" w:cs="Times"/>
          <w:noProof/>
          <w:szCs w:val="24"/>
          <w:lang w:val="es-ES_tradnl"/>
        </w:rPr>
        <w:t>.</w:t>
      </w:r>
    </w:p>
    <w:p w14:paraId="782EF6C4" w14:textId="77777777" w:rsidR="00E33FD7" w:rsidRPr="00E33FD7" w:rsidRDefault="00E33FD7" w:rsidP="00B811D7">
      <w:pPr>
        <w:pStyle w:val="ListParagraph"/>
        <w:ind w:left="0"/>
        <w:rPr>
          <w:rFonts w:eastAsia="Batang" w:cs="Times"/>
          <w:noProof/>
          <w:szCs w:val="24"/>
          <w:lang w:val="es-EC"/>
        </w:rPr>
      </w:pPr>
    </w:p>
    <w:p w14:paraId="3CBDACFF" w14:textId="77777777"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El 30 de abril y el 13 de agosto de 2009 fueron solicitados nuevos plazo</w:t>
      </w:r>
      <w:r w:rsidR="00821F8D">
        <w:rPr>
          <w:rFonts w:eastAsia="Batang" w:cs="Times"/>
          <w:noProof/>
          <w:szCs w:val="24"/>
          <w:lang w:val="es-EC"/>
        </w:rPr>
        <w:t>s</w:t>
      </w:r>
      <w:r w:rsidRPr="00E33FD7">
        <w:rPr>
          <w:rFonts w:eastAsia="Batang" w:cs="Times"/>
          <w:noProof/>
          <w:szCs w:val="24"/>
          <w:lang w:val="es-EC"/>
        </w:rPr>
        <w:t xml:space="preserve"> para el cumplimiento de las diligencias faltantes</w:t>
      </w:r>
      <w:r w:rsidRPr="00E33FD7">
        <w:rPr>
          <w:rFonts w:eastAsia="Batang" w:cs="Times"/>
          <w:noProof/>
          <w:szCs w:val="24"/>
          <w:vertAlign w:val="superscript"/>
          <w:lang w:val="es-EC"/>
        </w:rPr>
        <w:footnoteReference w:id="146"/>
      </w:r>
      <w:r w:rsidRPr="00E33FD7">
        <w:rPr>
          <w:rFonts w:eastAsia="Batang" w:cs="Times"/>
          <w:noProof/>
          <w:szCs w:val="24"/>
          <w:lang w:val="es-EC"/>
        </w:rPr>
        <w:t>. El 14 de agosto fue emitido el informe final, señalando que se extinguía la acción penal, aplicándose la prescripción por el paso del tiempo</w:t>
      </w:r>
      <w:r w:rsidRPr="00E33FD7">
        <w:rPr>
          <w:rFonts w:eastAsia="Batang" w:cs="Times"/>
          <w:noProof/>
          <w:szCs w:val="24"/>
          <w:vertAlign w:val="superscript"/>
          <w:lang w:val="es-EC"/>
        </w:rPr>
        <w:footnoteReference w:id="147"/>
      </w:r>
      <w:r w:rsidRPr="00E33FD7">
        <w:rPr>
          <w:rFonts w:eastAsia="Batang" w:cs="Times"/>
          <w:noProof/>
          <w:szCs w:val="24"/>
          <w:lang w:val="es-EC"/>
        </w:rPr>
        <w:t>. El 18 de agosto de 2009 el informe final fue enviado al Ministerio Púbico</w:t>
      </w:r>
      <w:r w:rsidRPr="00E33FD7">
        <w:rPr>
          <w:rFonts w:eastAsia="Batang" w:cs="Times"/>
          <w:noProof/>
          <w:szCs w:val="24"/>
          <w:vertAlign w:val="superscript"/>
          <w:lang w:val="es-EC"/>
        </w:rPr>
        <w:footnoteReference w:id="148"/>
      </w:r>
      <w:r w:rsidRPr="00E33FD7">
        <w:rPr>
          <w:rFonts w:eastAsia="Batang" w:cs="Times"/>
          <w:noProof/>
          <w:szCs w:val="24"/>
          <w:lang w:val="es-EC"/>
        </w:rPr>
        <w:t>.</w:t>
      </w:r>
    </w:p>
    <w:p w14:paraId="53A28CC6" w14:textId="77777777" w:rsidR="00E33FD7" w:rsidRPr="00E33FD7" w:rsidRDefault="00E33FD7" w:rsidP="00B811D7">
      <w:pPr>
        <w:pStyle w:val="ListParagraph"/>
        <w:ind w:left="0"/>
        <w:rPr>
          <w:rFonts w:eastAsia="Batang" w:cs="Times"/>
          <w:noProof/>
          <w:szCs w:val="24"/>
          <w:lang w:val="es-EC"/>
        </w:rPr>
      </w:pPr>
    </w:p>
    <w:p w14:paraId="1DFF757A" w14:textId="770D58FC"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El 1 de octubre de 2009 el Ministerio Público solicitó el archivo del caso “en razón de la inevitable extinción de punibilidad por la prescripción”</w:t>
      </w:r>
      <w:r w:rsidRPr="00E33FD7">
        <w:rPr>
          <w:rFonts w:eastAsia="Batang" w:cs="Times"/>
          <w:noProof/>
          <w:szCs w:val="24"/>
          <w:vertAlign w:val="superscript"/>
          <w:lang w:val="es-EC"/>
        </w:rPr>
        <w:footnoteReference w:id="149"/>
      </w:r>
      <w:r w:rsidRPr="00E33FD7">
        <w:rPr>
          <w:rFonts w:eastAsia="Batang" w:cs="Times"/>
          <w:noProof/>
          <w:szCs w:val="24"/>
          <w:lang w:val="es-EC"/>
        </w:rPr>
        <w:t xml:space="preserve">. El 3 de noviembre de 2009 el Juez del 31º Juzgado Penal del Tribunal de Justicia del Estado de Río de Janeiro, basándose en las consideraciones del Ministerio Público, determinó el archivo del expediente </w:t>
      </w:r>
      <w:r w:rsidR="004E129F">
        <w:rPr>
          <w:rFonts w:eastAsia="Batang" w:cs="Times"/>
          <w:noProof/>
          <w:szCs w:val="24"/>
          <w:lang w:val="es-EC"/>
        </w:rPr>
        <w:t>IP No. 141/02</w:t>
      </w:r>
      <w:r w:rsidRPr="00E33FD7">
        <w:rPr>
          <w:rFonts w:eastAsia="Batang" w:cs="Times"/>
          <w:noProof/>
          <w:szCs w:val="24"/>
          <w:vertAlign w:val="superscript"/>
          <w:lang w:val="es-EC"/>
        </w:rPr>
        <w:footnoteReference w:id="150"/>
      </w:r>
      <w:r w:rsidRPr="00E33FD7">
        <w:rPr>
          <w:rFonts w:eastAsia="Batang" w:cs="Times"/>
          <w:noProof/>
          <w:szCs w:val="24"/>
          <w:lang w:val="es-EC"/>
        </w:rPr>
        <w:t>.</w:t>
      </w:r>
    </w:p>
    <w:p w14:paraId="6C4A9239" w14:textId="77777777" w:rsidR="00E33FD7" w:rsidRPr="00E33FD7" w:rsidRDefault="00E33FD7" w:rsidP="00B811D7">
      <w:pPr>
        <w:pStyle w:val="ListParagraph"/>
        <w:ind w:left="0"/>
        <w:rPr>
          <w:rFonts w:eastAsia="Batang" w:cs="Times"/>
          <w:noProof/>
          <w:szCs w:val="24"/>
          <w:lang w:val="es-EC"/>
        </w:rPr>
      </w:pPr>
    </w:p>
    <w:p w14:paraId="03D88ACC" w14:textId="25E9D47A" w:rsidR="00400668" w:rsidRDefault="004A1156" w:rsidP="00D6683A">
      <w:pPr>
        <w:pStyle w:val="ListParagraph"/>
        <w:numPr>
          <w:ilvl w:val="0"/>
          <w:numId w:val="1"/>
        </w:numPr>
        <w:rPr>
          <w:rFonts w:eastAsia="Batang" w:cs="Times"/>
          <w:noProof/>
          <w:szCs w:val="24"/>
          <w:lang w:val="es-EC"/>
        </w:rPr>
      </w:pPr>
      <w:r>
        <w:rPr>
          <w:rFonts w:eastAsia="Batang" w:cs="Times"/>
          <w:noProof/>
          <w:szCs w:val="24"/>
          <w:lang w:val="es-EC"/>
        </w:rPr>
        <w:lastRenderedPageBreak/>
        <w:t>C</w:t>
      </w:r>
      <w:r w:rsidR="00857662">
        <w:rPr>
          <w:rFonts w:eastAsia="Batang" w:cs="Times"/>
          <w:noProof/>
          <w:szCs w:val="24"/>
          <w:lang w:val="es-EC"/>
        </w:rPr>
        <w:t>omo consecuencia de la emisión de</w:t>
      </w:r>
      <w:r>
        <w:rPr>
          <w:rFonts w:eastAsia="Batang" w:cs="Times"/>
          <w:noProof/>
          <w:szCs w:val="24"/>
          <w:lang w:val="es-EC"/>
        </w:rPr>
        <w:t>l Informe de Fondo No. 141/11 por la Comisión Interamericana de Derechos Humanos y su remisión al Ministério Público de Rio de Janeiro, e</w:t>
      </w:r>
      <w:r w:rsidR="00400668">
        <w:rPr>
          <w:rFonts w:eastAsia="Batang" w:cs="Times"/>
          <w:noProof/>
          <w:szCs w:val="24"/>
          <w:lang w:val="es-EC"/>
        </w:rPr>
        <w:t xml:space="preserve">l 7 de marzo de 2013 el </w:t>
      </w:r>
      <w:r w:rsidR="00893BF4">
        <w:rPr>
          <w:rFonts w:eastAsia="Batang" w:cs="Times"/>
          <w:noProof/>
          <w:szCs w:val="24"/>
          <w:lang w:val="es-EC"/>
        </w:rPr>
        <w:t>Subprocurador-</w:t>
      </w:r>
      <w:r w:rsidR="00400668">
        <w:rPr>
          <w:rFonts w:eastAsia="Batang" w:cs="Times"/>
          <w:noProof/>
          <w:szCs w:val="24"/>
          <w:lang w:val="es-EC"/>
        </w:rPr>
        <w:t xml:space="preserve">General de Justicia (Jefe del Ministerio Público del Estado de Río de Janeiro) solicitó el desarchivo de la averiguación sobre la masacre (chacina) ocurrida el 18 de octubre de 1994. </w:t>
      </w:r>
      <w:r>
        <w:rPr>
          <w:rFonts w:eastAsia="Batang" w:cs="Times"/>
          <w:noProof/>
          <w:szCs w:val="24"/>
          <w:lang w:val="es-EC"/>
        </w:rPr>
        <w:t xml:space="preserve">Entre las justificativas para ese pedido el </w:t>
      </w:r>
      <w:r w:rsidR="00893BF4">
        <w:rPr>
          <w:rFonts w:eastAsia="Batang" w:cs="Times"/>
          <w:noProof/>
          <w:szCs w:val="24"/>
          <w:lang w:val="es-EC"/>
        </w:rPr>
        <w:t>Subprocurador-</w:t>
      </w:r>
      <w:r>
        <w:rPr>
          <w:rFonts w:eastAsia="Batang" w:cs="Times"/>
          <w:noProof/>
          <w:szCs w:val="24"/>
          <w:lang w:val="es-EC"/>
        </w:rPr>
        <w:t xml:space="preserve">General señaló que la averiguación original (IP </w:t>
      </w:r>
      <w:r w:rsidR="00C7213B">
        <w:rPr>
          <w:rFonts w:eastAsia="Batang" w:cs="Times"/>
          <w:noProof/>
          <w:szCs w:val="24"/>
          <w:lang w:val="es-EC"/>
        </w:rPr>
        <w:t xml:space="preserve">No. </w:t>
      </w:r>
      <w:r>
        <w:rPr>
          <w:rFonts w:eastAsia="Batang" w:cs="Times"/>
          <w:noProof/>
          <w:szCs w:val="24"/>
          <w:lang w:val="es-EC"/>
        </w:rPr>
        <w:t xml:space="preserve">141/94) se refería </w:t>
      </w:r>
      <w:r w:rsidR="00857662">
        <w:rPr>
          <w:rFonts w:eastAsia="Batang" w:cs="Times"/>
          <w:noProof/>
          <w:szCs w:val="24"/>
          <w:lang w:val="es-EC"/>
        </w:rPr>
        <w:t xml:space="preserve">s </w:t>
      </w:r>
      <w:r>
        <w:rPr>
          <w:rFonts w:eastAsia="Batang" w:cs="Times"/>
          <w:noProof/>
          <w:szCs w:val="24"/>
          <w:lang w:val="es-EC"/>
        </w:rPr>
        <w:t>delitos de “abuso de autoridad, agresiones, torturas, así como otras infracciones penales”, y no a los homicidos efectivamente ocurridos en esa fecha.</w:t>
      </w:r>
      <w:r>
        <w:rPr>
          <w:rStyle w:val="FootnoteReference"/>
          <w:rFonts w:eastAsia="Batang"/>
          <w:noProof/>
          <w:lang w:val="es-EC"/>
        </w:rPr>
        <w:footnoteReference w:id="151"/>
      </w:r>
      <w:r>
        <w:rPr>
          <w:rFonts w:eastAsia="Batang" w:cs="Times"/>
          <w:noProof/>
          <w:szCs w:val="24"/>
          <w:lang w:val="es-EC"/>
        </w:rPr>
        <w:t xml:space="preserve"> </w:t>
      </w:r>
      <w:r w:rsidR="002A119C">
        <w:rPr>
          <w:rFonts w:eastAsia="Batang" w:cs="Times"/>
          <w:noProof/>
          <w:szCs w:val="24"/>
          <w:lang w:val="es-EC"/>
        </w:rPr>
        <w:t>Asimi</w:t>
      </w:r>
      <w:r w:rsidR="00C32BF3">
        <w:rPr>
          <w:rFonts w:eastAsia="Batang" w:cs="Times"/>
          <w:noProof/>
          <w:szCs w:val="24"/>
          <w:lang w:val="es-EC"/>
        </w:rPr>
        <w:t>s</w:t>
      </w:r>
      <w:r w:rsidR="002A119C">
        <w:rPr>
          <w:rFonts w:eastAsia="Batang" w:cs="Times"/>
          <w:noProof/>
          <w:szCs w:val="24"/>
          <w:lang w:val="es-EC"/>
        </w:rPr>
        <w:t>mo, ni el</w:t>
      </w:r>
      <w:r w:rsidR="00857662">
        <w:rPr>
          <w:rFonts w:eastAsia="Batang" w:cs="Times"/>
          <w:noProof/>
          <w:szCs w:val="24"/>
          <w:lang w:val="es-EC"/>
        </w:rPr>
        <w:t xml:space="preserve"> Jefe de Policía</w:t>
      </w:r>
      <w:r w:rsidR="002A119C">
        <w:rPr>
          <w:rFonts w:eastAsia="Batang" w:cs="Times"/>
          <w:noProof/>
          <w:szCs w:val="24"/>
          <w:lang w:val="es-EC"/>
        </w:rPr>
        <w:t xml:space="preserve"> ni el Fiscal </w:t>
      </w:r>
      <w:r w:rsidR="00857662">
        <w:rPr>
          <w:rFonts w:eastAsia="Batang" w:cs="Times"/>
          <w:noProof/>
          <w:szCs w:val="24"/>
          <w:lang w:val="es-EC"/>
        </w:rPr>
        <w:t>o</w:t>
      </w:r>
      <w:r w:rsidR="002A119C">
        <w:rPr>
          <w:rFonts w:eastAsia="Batang" w:cs="Times"/>
          <w:noProof/>
          <w:szCs w:val="24"/>
          <w:lang w:val="es-EC"/>
        </w:rPr>
        <w:t xml:space="preserve"> el Juez que confirmó el archivo de la investigación se manifestaron sobre los delitos que efectivamente ocurrieron ese día en la favela Nova Brasilia. En ese sentido, el informe </w:t>
      </w:r>
      <w:r w:rsidR="00893BF4">
        <w:rPr>
          <w:rFonts w:eastAsia="Batang" w:cs="Times"/>
          <w:noProof/>
          <w:szCs w:val="24"/>
          <w:lang w:val="es-EC"/>
        </w:rPr>
        <w:t xml:space="preserve">aprobado por </w:t>
      </w:r>
      <w:r w:rsidR="002A119C">
        <w:rPr>
          <w:rFonts w:eastAsia="Batang" w:cs="Times"/>
          <w:noProof/>
          <w:szCs w:val="24"/>
          <w:lang w:val="es-EC"/>
        </w:rPr>
        <w:t xml:space="preserve">el </w:t>
      </w:r>
      <w:r w:rsidR="00893BF4">
        <w:rPr>
          <w:rFonts w:eastAsia="Batang" w:cs="Times"/>
          <w:noProof/>
          <w:szCs w:val="24"/>
          <w:lang w:val="es-EC"/>
        </w:rPr>
        <w:t>Subprocurador-</w:t>
      </w:r>
      <w:r w:rsidR="002A119C">
        <w:rPr>
          <w:rFonts w:eastAsia="Batang" w:cs="Times"/>
          <w:noProof/>
          <w:szCs w:val="24"/>
          <w:lang w:val="es-EC"/>
        </w:rPr>
        <w:t>General destaca que, en efecto, ocurrieron homicidios, e incluso latrocinio, así como violencias sexuales, tortura y abuso de poder</w:t>
      </w:r>
      <w:r w:rsidR="002A119C">
        <w:rPr>
          <w:rStyle w:val="FootnoteReference"/>
          <w:rFonts w:eastAsia="Batang"/>
          <w:noProof/>
          <w:lang w:val="es-EC"/>
        </w:rPr>
        <w:footnoteReference w:id="152"/>
      </w:r>
      <w:r w:rsidR="002A119C">
        <w:rPr>
          <w:rFonts w:eastAsia="Batang" w:cs="Times"/>
          <w:noProof/>
          <w:szCs w:val="24"/>
          <w:lang w:val="es-EC"/>
        </w:rPr>
        <w:t>. Por otra parte, el documento indica que los delitos de violencia sexual estarían prescritos y no podrían ser investigados nuevamente</w:t>
      </w:r>
      <w:r w:rsidR="002A119C">
        <w:rPr>
          <w:rStyle w:val="FootnoteReference"/>
          <w:rFonts w:eastAsia="Batang"/>
          <w:noProof/>
          <w:lang w:val="es-EC"/>
        </w:rPr>
        <w:footnoteReference w:id="153"/>
      </w:r>
      <w:r w:rsidR="002A119C">
        <w:rPr>
          <w:rFonts w:eastAsia="Batang" w:cs="Times"/>
          <w:noProof/>
          <w:szCs w:val="24"/>
          <w:lang w:val="es-EC"/>
        </w:rPr>
        <w:t xml:space="preserve">. </w:t>
      </w:r>
    </w:p>
    <w:p w14:paraId="255171C7" w14:textId="77777777" w:rsidR="002A119C" w:rsidRPr="002A119C" w:rsidRDefault="002A119C" w:rsidP="002A119C">
      <w:pPr>
        <w:pStyle w:val="ListParagraph"/>
        <w:rPr>
          <w:rFonts w:eastAsia="Batang" w:cs="Times"/>
          <w:noProof/>
          <w:szCs w:val="24"/>
          <w:lang w:val="es-EC"/>
        </w:rPr>
      </w:pPr>
    </w:p>
    <w:p w14:paraId="4086A593" w14:textId="77777777" w:rsidR="00E33FD7" w:rsidRPr="00E33FD7" w:rsidRDefault="00893BF4" w:rsidP="00D6683A">
      <w:pPr>
        <w:pStyle w:val="ListParagraph"/>
        <w:numPr>
          <w:ilvl w:val="0"/>
          <w:numId w:val="1"/>
        </w:numPr>
        <w:rPr>
          <w:rFonts w:eastAsia="Batang" w:cs="Times"/>
          <w:noProof/>
          <w:szCs w:val="24"/>
          <w:lang w:val="es-EC"/>
        </w:rPr>
      </w:pPr>
      <w:r>
        <w:rPr>
          <w:rFonts w:eastAsia="Batang" w:cs="Times"/>
          <w:noProof/>
          <w:szCs w:val="24"/>
          <w:lang w:val="es-ES"/>
        </w:rPr>
        <w:t>Posteriormente, e</w:t>
      </w:r>
      <w:r w:rsidR="00E33FD7" w:rsidRPr="00E33FD7">
        <w:rPr>
          <w:rFonts w:eastAsia="Batang" w:cs="Times"/>
          <w:noProof/>
          <w:szCs w:val="24"/>
          <w:lang w:val="es-ES"/>
        </w:rPr>
        <w:t>l 16 de mayo de 2013 el Ministerio Público</w:t>
      </w:r>
      <w:r>
        <w:rPr>
          <w:rFonts w:eastAsia="Batang" w:cs="Times"/>
          <w:noProof/>
          <w:szCs w:val="24"/>
          <w:lang w:val="es-ES"/>
        </w:rPr>
        <w:t xml:space="preserve"> del Estado de Rio de Janeiro</w:t>
      </w:r>
      <w:r w:rsidR="00E33FD7" w:rsidRPr="00E33FD7">
        <w:rPr>
          <w:rFonts w:eastAsia="Batang" w:cs="Times"/>
          <w:noProof/>
          <w:szCs w:val="24"/>
          <w:lang w:val="es-ES"/>
        </w:rPr>
        <w:t>, por medio del Grupo de Atención Especial al Combate al Crimen Organizado</w:t>
      </w:r>
      <w:r w:rsidR="00E70936">
        <w:rPr>
          <w:rFonts w:eastAsia="Batang" w:cs="Times"/>
          <w:noProof/>
          <w:szCs w:val="24"/>
          <w:lang w:val="es-ES"/>
        </w:rPr>
        <w:t xml:space="preserve"> (GAECO)</w:t>
      </w:r>
      <w:r w:rsidR="00E33FD7" w:rsidRPr="00E33FD7">
        <w:rPr>
          <w:rFonts w:eastAsia="Batang" w:cs="Times"/>
          <w:noProof/>
          <w:szCs w:val="24"/>
          <w:lang w:val="es-ES"/>
        </w:rPr>
        <w:t>, inició una acción penal en contra de seis involucrados en el operativo de la Favela Nova Brasilia por el homicidio de las 13 víctimas</w:t>
      </w:r>
      <w:r w:rsidR="00400668">
        <w:rPr>
          <w:rStyle w:val="FootnoteReference"/>
          <w:rFonts w:eastAsia="Batang"/>
          <w:noProof/>
          <w:lang w:val="es-ES"/>
        </w:rPr>
        <w:footnoteReference w:id="154"/>
      </w:r>
      <w:r w:rsidR="00E33FD7" w:rsidRPr="00E33FD7">
        <w:rPr>
          <w:rFonts w:eastAsia="Batang" w:cs="Times"/>
          <w:noProof/>
          <w:szCs w:val="24"/>
          <w:lang w:val="es-ES"/>
        </w:rPr>
        <w:t xml:space="preserve">. </w:t>
      </w:r>
    </w:p>
    <w:p w14:paraId="088AE0C8" w14:textId="77777777" w:rsidR="00E33FD7" w:rsidRPr="00E33FD7" w:rsidRDefault="00E33FD7" w:rsidP="00B811D7">
      <w:pPr>
        <w:pStyle w:val="ListParagraph"/>
        <w:ind w:left="0"/>
        <w:rPr>
          <w:rFonts w:eastAsia="Batang" w:cs="Times"/>
          <w:noProof/>
          <w:szCs w:val="24"/>
          <w:lang w:val="es-EC"/>
        </w:rPr>
      </w:pPr>
    </w:p>
    <w:p w14:paraId="52DE0D1B" w14:textId="77777777"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C"/>
        </w:rPr>
        <w:t>El 21 de mayo de 2013 el 1º Juzgado Penal admitió la denuncia y ordenó la práctica de diversas diligencias</w:t>
      </w:r>
      <w:r w:rsidRPr="00E33FD7">
        <w:rPr>
          <w:rFonts w:eastAsia="Batang" w:cs="Times"/>
          <w:noProof/>
          <w:szCs w:val="24"/>
          <w:vertAlign w:val="superscript"/>
          <w:lang w:val="es-EC"/>
        </w:rPr>
        <w:footnoteReference w:id="155"/>
      </w:r>
      <w:r w:rsidRPr="00E33FD7">
        <w:rPr>
          <w:rFonts w:eastAsia="Batang" w:cs="Times"/>
          <w:noProof/>
          <w:szCs w:val="24"/>
          <w:lang w:val="es-EC"/>
        </w:rPr>
        <w:t>. Entre junio y agosto de 2013 los acusados presentaron sus contestaciones a la acción penal</w:t>
      </w:r>
      <w:r w:rsidRPr="00E33FD7">
        <w:rPr>
          <w:rFonts w:eastAsia="Batang" w:cs="Times"/>
          <w:noProof/>
          <w:szCs w:val="24"/>
          <w:vertAlign w:val="superscript"/>
          <w:lang w:val="es-EC"/>
        </w:rPr>
        <w:footnoteReference w:id="156"/>
      </w:r>
      <w:r w:rsidRPr="00E33FD7">
        <w:rPr>
          <w:rFonts w:eastAsia="Batang" w:cs="Times"/>
          <w:noProof/>
          <w:szCs w:val="24"/>
          <w:lang w:val="es-EC"/>
        </w:rPr>
        <w:t>. El 18 de diciembre de 2013 fue realizada una audiencia de instrucción y juzgamiento con la presencia de los seis acusados</w:t>
      </w:r>
      <w:r w:rsidRPr="00E33FD7">
        <w:rPr>
          <w:rFonts w:eastAsia="Batang" w:cs="Times"/>
          <w:noProof/>
          <w:szCs w:val="24"/>
          <w:vertAlign w:val="superscript"/>
          <w:lang w:val="es-EC"/>
        </w:rPr>
        <w:footnoteReference w:id="157"/>
      </w:r>
      <w:r w:rsidRPr="00E33FD7">
        <w:rPr>
          <w:rFonts w:eastAsia="Batang" w:cs="Times"/>
          <w:noProof/>
          <w:szCs w:val="24"/>
          <w:lang w:val="es-EC"/>
        </w:rPr>
        <w:t>. El 17 de enero de 2014 el Ministerio Público requirió que fueran localizadas J.F.C, C.S.S. y L.R.J.</w:t>
      </w:r>
      <w:r w:rsidRPr="00E33FD7">
        <w:rPr>
          <w:rFonts w:eastAsia="Batang" w:cs="Times"/>
          <w:noProof/>
          <w:szCs w:val="24"/>
          <w:vertAlign w:val="superscript"/>
          <w:lang w:val="es-EC"/>
        </w:rPr>
        <w:footnoteReference w:id="158"/>
      </w:r>
      <w:r w:rsidRPr="00E33FD7">
        <w:rPr>
          <w:rFonts w:eastAsia="Batang" w:cs="Times"/>
          <w:noProof/>
          <w:szCs w:val="24"/>
          <w:lang w:val="es-EC"/>
        </w:rPr>
        <w:t>. El 7 de julio de 2014 se realizó la continuación de la audiencia de instrucción y juzgamiento con la ausencia de un acusado y de los testigos ofrecidos por el Ministerio Público</w:t>
      </w:r>
      <w:r w:rsidRPr="00E33FD7">
        <w:rPr>
          <w:rFonts w:eastAsia="Batang" w:cs="Times"/>
          <w:noProof/>
          <w:szCs w:val="24"/>
          <w:vertAlign w:val="superscript"/>
          <w:lang w:val="es-EC"/>
        </w:rPr>
        <w:footnoteReference w:id="159"/>
      </w:r>
      <w:r w:rsidRPr="00E33FD7">
        <w:rPr>
          <w:rFonts w:eastAsia="Batang" w:cs="Times"/>
          <w:noProof/>
          <w:szCs w:val="24"/>
          <w:lang w:val="es-EC"/>
        </w:rPr>
        <w:t xml:space="preserve">. </w:t>
      </w:r>
    </w:p>
    <w:p w14:paraId="2BA9A458" w14:textId="77777777" w:rsidR="00E33FD7" w:rsidRPr="00E33FD7" w:rsidRDefault="00E33FD7" w:rsidP="00B811D7">
      <w:pPr>
        <w:pStyle w:val="ListParagraph"/>
        <w:ind w:left="0"/>
        <w:rPr>
          <w:rFonts w:eastAsia="Batang" w:cs="Times"/>
          <w:noProof/>
          <w:szCs w:val="24"/>
          <w:lang w:val="es-EC"/>
        </w:rPr>
      </w:pPr>
    </w:p>
    <w:p w14:paraId="26128E26" w14:textId="22E94E57" w:rsidR="00E33FD7" w:rsidRPr="00C8088D" w:rsidRDefault="00E33FD7" w:rsidP="00D6683A">
      <w:pPr>
        <w:pStyle w:val="ListParagraph"/>
        <w:numPr>
          <w:ilvl w:val="0"/>
          <w:numId w:val="1"/>
        </w:numPr>
        <w:rPr>
          <w:rFonts w:eastAsia="Batang" w:cs="Times"/>
          <w:noProof/>
          <w:szCs w:val="24"/>
          <w:lang w:val="es-EC"/>
        </w:rPr>
      </w:pPr>
      <w:r w:rsidRPr="00C8088D">
        <w:rPr>
          <w:rFonts w:eastAsia="Batang" w:cs="Times"/>
          <w:noProof/>
          <w:szCs w:val="24"/>
          <w:lang w:val="es-EC"/>
        </w:rPr>
        <w:t>El 1 de septiembre de 2014 el Ministerio Público requirió nuevamente la práctica de diligencias para localizar a J.F.C, C.S.S. y L.R.J., quienes no habían podido ser localizadas</w:t>
      </w:r>
      <w:r w:rsidRPr="00E33FD7">
        <w:rPr>
          <w:rFonts w:eastAsia="Batang" w:cs="Times"/>
          <w:noProof/>
          <w:szCs w:val="24"/>
          <w:vertAlign w:val="superscript"/>
          <w:lang w:val="es-EC"/>
        </w:rPr>
        <w:footnoteReference w:id="160"/>
      </w:r>
      <w:r w:rsidRPr="00C8088D">
        <w:rPr>
          <w:rFonts w:eastAsia="Batang" w:cs="Times"/>
          <w:noProof/>
          <w:szCs w:val="24"/>
          <w:lang w:val="es-EC"/>
        </w:rPr>
        <w:t>. El 23 de octubre de 2014 L.R.J. fue contactada por teléfono y confirmó su dirección</w:t>
      </w:r>
      <w:r w:rsidRPr="00E33FD7">
        <w:rPr>
          <w:rFonts w:eastAsia="Batang" w:cs="Times"/>
          <w:noProof/>
          <w:szCs w:val="24"/>
          <w:vertAlign w:val="superscript"/>
          <w:lang w:val="es-EC"/>
        </w:rPr>
        <w:footnoteReference w:id="161"/>
      </w:r>
      <w:r w:rsidRPr="00C8088D">
        <w:rPr>
          <w:rFonts w:eastAsia="Batang" w:cs="Times"/>
          <w:noProof/>
          <w:szCs w:val="24"/>
          <w:lang w:val="es-EC"/>
        </w:rPr>
        <w:t>. El 27 de marzo de 2015 el Ministerio Público solicitó la citación de L.R.J. en el domicilio que había informado, así como la expedición de oficios en que constara el número de CPF de C.S.S.</w:t>
      </w:r>
      <w:r w:rsidRPr="00E33FD7">
        <w:rPr>
          <w:rFonts w:eastAsia="Batang" w:cs="Times"/>
          <w:noProof/>
          <w:szCs w:val="24"/>
          <w:vertAlign w:val="superscript"/>
          <w:lang w:val="es-EC"/>
        </w:rPr>
        <w:footnoteReference w:id="162"/>
      </w:r>
      <w:r w:rsidRPr="00C8088D">
        <w:rPr>
          <w:rFonts w:eastAsia="Batang" w:cs="Times"/>
          <w:noProof/>
          <w:szCs w:val="24"/>
          <w:lang w:val="es-EC"/>
        </w:rPr>
        <w:t>; y el 8 de abril de 2015 se ordenó la tramitación de estas solicitudes</w:t>
      </w:r>
      <w:r w:rsidRPr="00E33FD7">
        <w:rPr>
          <w:rFonts w:eastAsia="Batang" w:cs="Times"/>
          <w:noProof/>
          <w:szCs w:val="24"/>
          <w:vertAlign w:val="superscript"/>
          <w:lang w:val="es-EC"/>
        </w:rPr>
        <w:footnoteReference w:id="163"/>
      </w:r>
      <w:r w:rsidRPr="00C8088D">
        <w:rPr>
          <w:rFonts w:eastAsia="Batang" w:cs="Times"/>
          <w:noProof/>
          <w:szCs w:val="24"/>
          <w:lang w:val="es-EC"/>
        </w:rPr>
        <w:t xml:space="preserve">. </w:t>
      </w:r>
      <w:r w:rsidR="00C8088D">
        <w:rPr>
          <w:rFonts w:eastAsia="Batang" w:cs="Times"/>
          <w:noProof/>
          <w:szCs w:val="24"/>
          <w:lang w:val="es-EC"/>
        </w:rPr>
        <w:t>En audiencia realizada e</w:t>
      </w:r>
      <w:r w:rsidR="0052743F">
        <w:rPr>
          <w:rFonts w:eastAsia="Batang" w:cs="Times"/>
          <w:noProof/>
          <w:szCs w:val="24"/>
          <w:lang w:val="es-EC"/>
        </w:rPr>
        <w:t>l</w:t>
      </w:r>
      <w:r w:rsidR="00857662">
        <w:rPr>
          <w:rFonts w:eastAsia="Batang" w:cs="Times"/>
          <w:noProof/>
          <w:szCs w:val="24"/>
          <w:lang w:val="es-EC"/>
        </w:rPr>
        <w:t xml:space="preserve"> 2 de agosto de 2016</w:t>
      </w:r>
      <w:r w:rsidR="00C8088D">
        <w:rPr>
          <w:rFonts w:eastAsia="Batang" w:cs="Times"/>
          <w:noProof/>
          <w:szCs w:val="24"/>
          <w:lang w:val="es-EC"/>
        </w:rPr>
        <w:t xml:space="preserve"> </w:t>
      </w:r>
      <w:r w:rsidR="0052743F">
        <w:rPr>
          <w:rFonts w:eastAsia="Batang" w:cs="Times"/>
          <w:noProof/>
          <w:szCs w:val="24"/>
          <w:lang w:val="es-EC"/>
        </w:rPr>
        <w:t xml:space="preserve">se recibió </w:t>
      </w:r>
      <w:r w:rsidR="00C8088D">
        <w:rPr>
          <w:rFonts w:eastAsia="Batang" w:cs="Times"/>
          <w:noProof/>
          <w:szCs w:val="24"/>
          <w:lang w:val="es-EC"/>
        </w:rPr>
        <w:t>la declaración de la v</w:t>
      </w:r>
      <w:r w:rsidR="0052743F">
        <w:rPr>
          <w:rFonts w:eastAsia="Batang" w:cs="Times"/>
          <w:noProof/>
          <w:szCs w:val="24"/>
          <w:lang w:val="es-EC"/>
        </w:rPr>
        <w:t>í</w:t>
      </w:r>
      <w:r w:rsidR="00C8088D">
        <w:rPr>
          <w:rFonts w:eastAsia="Batang" w:cs="Times"/>
          <w:noProof/>
          <w:szCs w:val="24"/>
          <w:lang w:val="es-EC"/>
        </w:rPr>
        <w:t>ctima C.S.S</w:t>
      </w:r>
      <w:r w:rsidR="0052743F">
        <w:rPr>
          <w:rFonts w:eastAsia="Batang" w:cs="Times"/>
          <w:noProof/>
          <w:szCs w:val="24"/>
          <w:lang w:val="es-EC"/>
        </w:rPr>
        <w:t>.;</w:t>
      </w:r>
      <w:r w:rsidR="00C8088D">
        <w:rPr>
          <w:rFonts w:eastAsia="Batang" w:cs="Times"/>
          <w:noProof/>
          <w:szCs w:val="24"/>
          <w:lang w:val="es-EC"/>
        </w:rPr>
        <w:t xml:space="preserve"> L.R.J</w:t>
      </w:r>
      <w:r w:rsidR="0052743F">
        <w:rPr>
          <w:rFonts w:eastAsia="Batang" w:cs="Times"/>
          <w:noProof/>
          <w:szCs w:val="24"/>
          <w:lang w:val="es-EC"/>
        </w:rPr>
        <w:t>.</w:t>
      </w:r>
      <w:r w:rsidR="00C8088D">
        <w:rPr>
          <w:rFonts w:eastAsia="Batang" w:cs="Times"/>
          <w:noProof/>
          <w:szCs w:val="24"/>
          <w:lang w:val="es-EC"/>
        </w:rPr>
        <w:t xml:space="preserve"> presentó </w:t>
      </w:r>
      <w:r w:rsidR="005012DC">
        <w:rPr>
          <w:rFonts w:eastAsia="Batang" w:cs="Times"/>
          <w:noProof/>
          <w:szCs w:val="24"/>
          <w:lang w:val="es-EC"/>
        </w:rPr>
        <w:t xml:space="preserve">un </w:t>
      </w:r>
      <w:r w:rsidR="00C8088D">
        <w:rPr>
          <w:rFonts w:eastAsia="Batang" w:cs="Times"/>
          <w:noProof/>
          <w:szCs w:val="24"/>
          <w:lang w:val="es-EC"/>
        </w:rPr>
        <w:t>certificado médico</w:t>
      </w:r>
      <w:r w:rsidR="005012DC">
        <w:rPr>
          <w:rFonts w:eastAsia="Batang" w:cs="Times"/>
          <w:noProof/>
          <w:szCs w:val="24"/>
          <w:lang w:val="es-EC"/>
        </w:rPr>
        <w:t xml:space="preserve"> </w:t>
      </w:r>
      <w:r w:rsidR="00A9644B">
        <w:rPr>
          <w:rFonts w:eastAsia="Batang" w:cs="Times"/>
          <w:noProof/>
          <w:szCs w:val="24"/>
          <w:lang w:val="es-EC"/>
        </w:rPr>
        <w:t>para justificar su no comparecencia</w:t>
      </w:r>
      <w:r w:rsidR="00C8088D">
        <w:rPr>
          <w:rFonts w:eastAsia="Batang" w:cs="Times"/>
          <w:noProof/>
          <w:szCs w:val="24"/>
          <w:lang w:val="es-EC"/>
        </w:rPr>
        <w:t xml:space="preserve"> y J.F.C no fue </w:t>
      </w:r>
      <w:r w:rsidR="0052743F">
        <w:rPr>
          <w:rFonts w:eastAsia="Batang" w:cs="Times"/>
          <w:noProof/>
          <w:szCs w:val="24"/>
          <w:lang w:val="es-EC"/>
        </w:rPr>
        <w:t>localizada</w:t>
      </w:r>
      <w:r w:rsidR="00C8088D">
        <w:rPr>
          <w:rStyle w:val="FootnoteReference"/>
          <w:rFonts w:eastAsia="Batang"/>
          <w:noProof/>
          <w:lang w:val="es-EC"/>
        </w:rPr>
        <w:footnoteReference w:id="164"/>
      </w:r>
      <w:r w:rsidR="00C32BF3">
        <w:rPr>
          <w:rFonts w:eastAsia="Batang" w:cs="Times"/>
          <w:noProof/>
          <w:szCs w:val="24"/>
          <w:lang w:val="es-EC"/>
        </w:rPr>
        <w:t>.</w:t>
      </w:r>
    </w:p>
    <w:p w14:paraId="30E41AE7" w14:textId="77777777" w:rsidR="00057F7B" w:rsidRPr="00057F7B" w:rsidRDefault="00057F7B" w:rsidP="00B811D7">
      <w:pPr>
        <w:pStyle w:val="ListParagraph"/>
        <w:ind w:left="0"/>
        <w:rPr>
          <w:rFonts w:eastAsia="Batang" w:cs="Times"/>
          <w:noProof/>
          <w:szCs w:val="24"/>
          <w:lang w:val="es-EC"/>
        </w:rPr>
      </w:pPr>
    </w:p>
    <w:p w14:paraId="39E8D441" w14:textId="09573910" w:rsidR="00E33FD7" w:rsidRPr="00E33FD7" w:rsidRDefault="00E33FD7" w:rsidP="00D6683A">
      <w:pPr>
        <w:pStyle w:val="ListParagraph"/>
        <w:numPr>
          <w:ilvl w:val="0"/>
          <w:numId w:val="1"/>
        </w:numPr>
        <w:rPr>
          <w:rFonts w:eastAsia="Batang" w:cs="Times"/>
          <w:noProof/>
          <w:szCs w:val="24"/>
          <w:lang w:val="es-EC"/>
        </w:rPr>
      </w:pPr>
      <w:r w:rsidRPr="00E33FD7">
        <w:rPr>
          <w:rFonts w:eastAsia="Batang" w:cs="Times"/>
          <w:noProof/>
          <w:szCs w:val="24"/>
          <w:lang w:val="es-ES_tradnl"/>
        </w:rPr>
        <w:t xml:space="preserve">Las investigaciones </w:t>
      </w:r>
      <w:r w:rsidR="00C7213B">
        <w:rPr>
          <w:rFonts w:eastAsia="Batang" w:cs="Times"/>
          <w:noProof/>
          <w:szCs w:val="24"/>
          <w:lang w:val="es-ES_tradnl"/>
        </w:rPr>
        <w:t xml:space="preserve">no han esclarecido </w:t>
      </w:r>
      <w:r w:rsidRPr="00E33FD7">
        <w:rPr>
          <w:rFonts w:eastAsia="Batang" w:cs="Times"/>
          <w:noProof/>
          <w:szCs w:val="24"/>
          <w:lang w:val="es-ES_tradnl"/>
        </w:rPr>
        <w:t>las muertes d</w:t>
      </w:r>
      <w:r w:rsidR="00F94410">
        <w:rPr>
          <w:rFonts w:eastAsia="Batang" w:cs="Times"/>
          <w:noProof/>
          <w:szCs w:val="24"/>
          <w:lang w:val="es-ES_tradnl"/>
        </w:rPr>
        <w:t xml:space="preserve">e las 13 presuntas víctimas </w:t>
      </w:r>
      <w:r w:rsidRPr="00E33FD7">
        <w:rPr>
          <w:rFonts w:eastAsia="Batang" w:cs="Times"/>
          <w:noProof/>
          <w:szCs w:val="24"/>
          <w:lang w:val="es-ES_tradnl"/>
        </w:rPr>
        <w:t xml:space="preserve">y nadie </w:t>
      </w:r>
      <w:r w:rsidR="00857662">
        <w:rPr>
          <w:rFonts w:eastAsia="Batang" w:cs="Times"/>
          <w:noProof/>
          <w:szCs w:val="24"/>
          <w:lang w:val="es-ES_tradnl"/>
        </w:rPr>
        <w:t>ha sido</w:t>
      </w:r>
      <w:r w:rsidRPr="00E33FD7">
        <w:rPr>
          <w:rFonts w:eastAsia="Batang" w:cs="Times"/>
          <w:noProof/>
          <w:szCs w:val="24"/>
          <w:lang w:val="es-ES_tradnl"/>
        </w:rPr>
        <w:t xml:space="preserve"> sancionado por los hechos denunciados. </w:t>
      </w:r>
      <w:r w:rsidR="006E25E5">
        <w:rPr>
          <w:rFonts w:eastAsia="Batang" w:cs="Times"/>
          <w:noProof/>
          <w:szCs w:val="24"/>
          <w:lang w:val="es-ES_tradnl"/>
        </w:rPr>
        <w:t xml:space="preserve">Respecto a la violencia </w:t>
      </w:r>
      <w:r w:rsidR="006E25E5" w:rsidRPr="00E33FD7">
        <w:rPr>
          <w:rFonts w:eastAsia="Batang" w:cs="Times"/>
          <w:noProof/>
          <w:szCs w:val="24"/>
          <w:lang w:val="es-ES_tradnl"/>
        </w:rPr>
        <w:t>sexual contra C.SS., L.R.J y L.F.C.</w:t>
      </w:r>
      <w:r w:rsidR="006E25E5">
        <w:rPr>
          <w:rFonts w:eastAsia="Batang" w:cs="Times"/>
          <w:noProof/>
          <w:szCs w:val="24"/>
          <w:lang w:val="es-ES_tradnl"/>
        </w:rPr>
        <w:t xml:space="preserve">, las autoridades públicas jamás realizaron una investigación sobre esos hechos concretos. </w:t>
      </w:r>
    </w:p>
    <w:p w14:paraId="7EB17231" w14:textId="77777777" w:rsidR="0037339C" w:rsidRDefault="0037339C" w:rsidP="00B811D7">
      <w:pPr>
        <w:pStyle w:val="ListParagraph"/>
        <w:ind w:left="0"/>
        <w:rPr>
          <w:rFonts w:eastAsia="Batang" w:cs="Times"/>
          <w:i/>
          <w:noProof/>
          <w:szCs w:val="24"/>
          <w:lang w:val="es-ES_tradnl"/>
        </w:rPr>
      </w:pPr>
    </w:p>
    <w:p w14:paraId="7876C12D" w14:textId="77777777" w:rsidR="00E33FD7" w:rsidRPr="00E33FD7" w:rsidRDefault="00E33FD7" w:rsidP="00B811D7">
      <w:pPr>
        <w:pStyle w:val="ListParagraph"/>
        <w:ind w:left="0"/>
        <w:rPr>
          <w:rFonts w:eastAsia="Batang" w:cs="Times"/>
          <w:noProof/>
          <w:szCs w:val="24"/>
          <w:lang w:val="es-EC"/>
        </w:rPr>
      </w:pPr>
      <w:r w:rsidRPr="00E33FD7">
        <w:rPr>
          <w:rFonts w:eastAsia="Batang" w:cs="Times"/>
          <w:i/>
          <w:noProof/>
          <w:szCs w:val="24"/>
          <w:lang w:val="es-ES_tradnl"/>
        </w:rPr>
        <w:t>Investigación sobre la incursión policial de 8 de mayo de 1995</w:t>
      </w:r>
    </w:p>
    <w:p w14:paraId="7EDDD374" w14:textId="77777777" w:rsidR="00E33FD7" w:rsidRPr="00E33FD7" w:rsidRDefault="00E33FD7" w:rsidP="00B811D7">
      <w:pPr>
        <w:pStyle w:val="ListParagraph"/>
        <w:ind w:left="0"/>
        <w:rPr>
          <w:rFonts w:eastAsia="Batang" w:cs="Times"/>
          <w:b/>
          <w:noProof/>
          <w:szCs w:val="24"/>
        </w:rPr>
      </w:pPr>
    </w:p>
    <w:p w14:paraId="1F060FF0" w14:textId="572D22D3" w:rsidR="00E33FD7" w:rsidRPr="00E33FD7" w:rsidRDefault="00857662" w:rsidP="00D6683A">
      <w:pPr>
        <w:pStyle w:val="ListParagraph"/>
        <w:numPr>
          <w:ilvl w:val="0"/>
          <w:numId w:val="1"/>
        </w:numPr>
        <w:rPr>
          <w:rFonts w:eastAsia="Batang" w:cs="Times"/>
          <w:noProof/>
          <w:szCs w:val="24"/>
        </w:rPr>
      </w:pPr>
      <w:r>
        <w:rPr>
          <w:rFonts w:eastAsia="Batang" w:cs="Times"/>
          <w:noProof/>
          <w:szCs w:val="24"/>
        </w:rPr>
        <w:t>El 25 de septiembre de 2000</w:t>
      </w:r>
      <w:r w:rsidR="00E33FD7" w:rsidRPr="00E33FD7">
        <w:rPr>
          <w:rFonts w:eastAsia="Batang" w:cs="Times"/>
          <w:noProof/>
          <w:szCs w:val="24"/>
        </w:rPr>
        <w:t xml:space="preserve"> por solicitud de la fiscalía, la experta forense Tania Donati Paes Rio presentó un informe pericial sobre las autopsias de las supuestas víctimas</w:t>
      </w:r>
      <w:r w:rsidR="00E33FD7" w:rsidRPr="00E33FD7">
        <w:rPr>
          <w:rFonts w:eastAsia="Batang" w:cs="Times"/>
          <w:noProof/>
          <w:szCs w:val="24"/>
          <w:vertAlign w:val="superscript"/>
        </w:rPr>
        <w:footnoteReference w:id="165"/>
      </w:r>
      <w:r w:rsidR="00E33FD7" w:rsidRPr="00E33FD7">
        <w:rPr>
          <w:rFonts w:eastAsia="Batang" w:cs="Times"/>
          <w:noProof/>
          <w:szCs w:val="24"/>
        </w:rPr>
        <w:t xml:space="preserve">. </w:t>
      </w:r>
    </w:p>
    <w:p w14:paraId="469E3B56" w14:textId="77777777" w:rsidR="00E33FD7" w:rsidRPr="00E33FD7" w:rsidRDefault="00E33FD7" w:rsidP="00B811D7">
      <w:pPr>
        <w:pStyle w:val="ListParagraph"/>
        <w:ind w:left="0"/>
        <w:rPr>
          <w:rFonts w:eastAsia="Batang" w:cs="Times"/>
          <w:noProof/>
          <w:szCs w:val="24"/>
        </w:rPr>
      </w:pPr>
    </w:p>
    <w:p w14:paraId="3F572138" w14:textId="0E69213F"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 xml:space="preserve">La perita señaló que, de acuerdo a la información registrada, tanto en medios de prensa como en los documentos del proceso,  así como de la literatura médica, </w:t>
      </w:r>
      <w:r w:rsidR="00636783">
        <w:rPr>
          <w:rFonts w:eastAsia="Batang" w:cs="Times"/>
          <w:noProof/>
          <w:szCs w:val="24"/>
        </w:rPr>
        <w:t>escenarios</w:t>
      </w:r>
      <w:r w:rsidRPr="00E33FD7">
        <w:rPr>
          <w:rFonts w:eastAsia="Batang" w:cs="Times"/>
          <w:noProof/>
          <w:szCs w:val="24"/>
        </w:rPr>
        <w:t xml:space="preserve"> de intercambio de múltiples </w:t>
      </w:r>
      <w:r w:rsidR="00636783">
        <w:rPr>
          <w:rFonts w:eastAsia="Batang" w:cs="Times"/>
          <w:noProof/>
          <w:szCs w:val="24"/>
        </w:rPr>
        <w:t xml:space="preserve">disparos </w:t>
      </w:r>
      <w:r w:rsidRPr="00E33FD7">
        <w:rPr>
          <w:rFonts w:eastAsia="Batang" w:cs="Times"/>
          <w:noProof/>
          <w:szCs w:val="24"/>
        </w:rPr>
        <w:t>son resultado</w:t>
      </w:r>
      <w:r w:rsidR="00636783">
        <w:rPr>
          <w:rFonts w:eastAsia="Batang" w:cs="Times"/>
          <w:noProof/>
          <w:szCs w:val="24"/>
        </w:rPr>
        <w:t xml:space="preserve"> en mayor medida</w:t>
      </w:r>
      <w:r w:rsidRPr="00E33FD7">
        <w:rPr>
          <w:rFonts w:eastAsia="Batang" w:cs="Times"/>
          <w:noProof/>
          <w:szCs w:val="24"/>
        </w:rPr>
        <w:t xml:space="preserve"> del intento de eliminar al opositor que del simple hecho de intentar neutralizar un ataque</w:t>
      </w:r>
      <w:r w:rsidRPr="00E33FD7">
        <w:rPr>
          <w:rFonts w:eastAsia="Batang" w:cs="Times"/>
          <w:noProof/>
          <w:szCs w:val="24"/>
          <w:vertAlign w:val="superscript"/>
        </w:rPr>
        <w:footnoteReference w:id="166"/>
      </w:r>
      <w:r w:rsidRPr="00E33FD7">
        <w:rPr>
          <w:rFonts w:eastAsia="Batang" w:cs="Times"/>
          <w:noProof/>
          <w:szCs w:val="24"/>
        </w:rPr>
        <w:t>. Además, añadió que el hecho que las heridas de bala en las víctimas con frecuencia impactaron el pecho cerca del corazón y la cabeza, y que seis de los cadáveres murieron de uno o dos disparos, era indicativo de una alta eficiencia letal. Además, siete cadáveres presentaban signos de lesiones causadas por objetos contundentes y fracturas</w:t>
      </w:r>
      <w:r w:rsidRPr="00E33FD7">
        <w:rPr>
          <w:rFonts w:eastAsia="Batang" w:cs="Times"/>
          <w:noProof/>
          <w:szCs w:val="24"/>
          <w:vertAlign w:val="superscript"/>
        </w:rPr>
        <w:footnoteReference w:id="167"/>
      </w:r>
      <w:r w:rsidR="00C32BF3">
        <w:rPr>
          <w:rFonts w:eastAsia="Batang" w:cs="Times"/>
          <w:noProof/>
          <w:szCs w:val="24"/>
        </w:rPr>
        <w:t>.</w:t>
      </w:r>
    </w:p>
    <w:p w14:paraId="0CA2260E" w14:textId="77777777" w:rsidR="00E33FD7" w:rsidRPr="00E33FD7" w:rsidRDefault="00E33FD7" w:rsidP="00B811D7">
      <w:pPr>
        <w:pStyle w:val="ListParagraph"/>
        <w:ind w:left="0"/>
        <w:rPr>
          <w:rFonts w:eastAsia="Batang" w:cs="Times"/>
          <w:noProof/>
          <w:szCs w:val="24"/>
          <w:lang w:val="es-ES"/>
        </w:rPr>
      </w:pPr>
    </w:p>
    <w:p w14:paraId="439AB037" w14:textId="709E0A3F" w:rsidR="00E33FD7" w:rsidRPr="00E33FD7" w:rsidRDefault="00857662" w:rsidP="00D6683A">
      <w:pPr>
        <w:pStyle w:val="ListParagraph"/>
        <w:numPr>
          <w:ilvl w:val="0"/>
          <w:numId w:val="1"/>
        </w:numPr>
        <w:rPr>
          <w:rFonts w:eastAsia="Batang" w:cs="Times"/>
          <w:noProof/>
          <w:szCs w:val="24"/>
        </w:rPr>
      </w:pPr>
      <w:r>
        <w:rPr>
          <w:rFonts w:eastAsia="Batang" w:cs="Times"/>
          <w:noProof/>
          <w:szCs w:val="24"/>
        </w:rPr>
        <w:t>El 2 de octubre de 2000</w:t>
      </w:r>
      <w:r w:rsidR="00E33FD7" w:rsidRPr="00E33FD7">
        <w:rPr>
          <w:rFonts w:eastAsia="Batang" w:cs="Times"/>
          <w:noProof/>
          <w:szCs w:val="24"/>
        </w:rPr>
        <w:t xml:space="preserve"> el fiscal solicitó la realización de diversas diligencias</w:t>
      </w:r>
      <w:r w:rsidR="00E33FD7" w:rsidRPr="00E33FD7">
        <w:rPr>
          <w:rFonts w:eastAsia="Batang" w:cs="Times"/>
          <w:noProof/>
          <w:szCs w:val="24"/>
          <w:vertAlign w:val="superscript"/>
        </w:rPr>
        <w:footnoteReference w:id="168"/>
      </w:r>
      <w:r w:rsidR="00E33FD7" w:rsidRPr="00E33FD7">
        <w:rPr>
          <w:rFonts w:eastAsia="Batang" w:cs="Times"/>
          <w:noProof/>
          <w:szCs w:val="24"/>
        </w:rPr>
        <w:t>. El 10 de agosto de 2000 la investigación policial recibió un nuevo número: IP</w:t>
      </w:r>
      <w:r w:rsidR="00C7213B">
        <w:rPr>
          <w:rFonts w:eastAsia="Batang" w:cs="Times"/>
          <w:noProof/>
          <w:szCs w:val="24"/>
        </w:rPr>
        <w:t xml:space="preserve"> No.</w:t>
      </w:r>
      <w:r w:rsidR="00E33FD7" w:rsidRPr="00E33FD7">
        <w:rPr>
          <w:rFonts w:eastAsia="Batang" w:cs="Times"/>
          <w:noProof/>
          <w:szCs w:val="24"/>
        </w:rPr>
        <w:t xml:space="preserve"> 120/01</w:t>
      </w:r>
      <w:r w:rsidR="00E33FD7" w:rsidRPr="00E33FD7">
        <w:rPr>
          <w:rFonts w:eastAsia="Batang" w:cs="Times"/>
          <w:noProof/>
          <w:szCs w:val="24"/>
          <w:vertAlign w:val="superscript"/>
        </w:rPr>
        <w:footnoteReference w:id="169"/>
      </w:r>
      <w:r w:rsidR="00E33FD7" w:rsidRPr="00E33FD7">
        <w:rPr>
          <w:rFonts w:eastAsia="Batang" w:cs="Times"/>
          <w:noProof/>
          <w:szCs w:val="24"/>
        </w:rPr>
        <w:t xml:space="preserve">. Posteriormente, el 31 de enero de 2003 el Fiscal emitió una orden relacionada con múltiples investigaciones policiales que podrían estar relacionadas con los hechos de la incursión policial de 1995, incluyendo la operación policial llevada a cabo en la </w:t>
      </w:r>
      <w:r w:rsidR="00E33FD7" w:rsidRPr="00E33FD7">
        <w:rPr>
          <w:rFonts w:eastAsia="Batang" w:cs="Times"/>
          <w:iCs/>
          <w:noProof/>
          <w:szCs w:val="24"/>
        </w:rPr>
        <w:t xml:space="preserve">Favela </w:t>
      </w:r>
      <w:r w:rsidR="00E33FD7" w:rsidRPr="00E33FD7">
        <w:rPr>
          <w:rFonts w:eastAsia="Batang" w:cs="Times"/>
          <w:noProof/>
          <w:szCs w:val="24"/>
        </w:rPr>
        <w:t>Nova Brasilia en octubre de 1994</w:t>
      </w:r>
      <w:r w:rsidR="00E33FD7" w:rsidRPr="00E33FD7">
        <w:rPr>
          <w:rFonts w:eastAsia="Batang" w:cs="Times"/>
          <w:noProof/>
          <w:szCs w:val="24"/>
          <w:vertAlign w:val="superscript"/>
        </w:rPr>
        <w:footnoteReference w:id="170"/>
      </w:r>
      <w:r w:rsidR="00E33FD7" w:rsidRPr="00E33FD7">
        <w:rPr>
          <w:rFonts w:eastAsia="Batang" w:cs="Times"/>
          <w:noProof/>
          <w:szCs w:val="24"/>
        </w:rPr>
        <w:t>.</w:t>
      </w:r>
    </w:p>
    <w:p w14:paraId="2067129D" w14:textId="77777777" w:rsidR="00E33FD7" w:rsidRPr="00E33FD7" w:rsidRDefault="00E33FD7" w:rsidP="00B811D7">
      <w:pPr>
        <w:pStyle w:val="ListParagraph"/>
        <w:ind w:left="0"/>
        <w:rPr>
          <w:rFonts w:eastAsia="Batang" w:cs="Times"/>
          <w:noProof/>
          <w:szCs w:val="24"/>
        </w:rPr>
      </w:pPr>
    </w:p>
    <w:p w14:paraId="2D41C257" w14:textId="52F6B72F"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 xml:space="preserve">Entre febrero de 2003 y octubre de 2004 existió un malentendido en el número de identificación de los expedientes. Finalmente, el 30 de noviembre de 2004, </w:t>
      </w:r>
      <w:r w:rsidR="00636783">
        <w:rPr>
          <w:rFonts w:eastAsia="Batang" w:cs="Times"/>
          <w:noProof/>
          <w:szCs w:val="24"/>
        </w:rPr>
        <w:t>superado el malentendido</w:t>
      </w:r>
      <w:r w:rsidR="00857662">
        <w:rPr>
          <w:rFonts w:eastAsia="Batang" w:cs="Times"/>
          <w:noProof/>
          <w:szCs w:val="24"/>
        </w:rPr>
        <w:t>,</w:t>
      </w:r>
      <w:r w:rsidR="00636783">
        <w:rPr>
          <w:rFonts w:eastAsia="Batang" w:cs="Times"/>
          <w:noProof/>
          <w:szCs w:val="24"/>
        </w:rPr>
        <w:t xml:space="preserve"> </w:t>
      </w:r>
      <w:r w:rsidRPr="00E33FD7">
        <w:rPr>
          <w:rFonts w:eastAsia="Batang" w:cs="Times"/>
          <w:noProof/>
          <w:szCs w:val="24"/>
        </w:rPr>
        <w:t xml:space="preserve">el Jefe de la Policía Civil sometió la investigación IP </w:t>
      </w:r>
      <w:r w:rsidR="00D46158">
        <w:rPr>
          <w:rFonts w:eastAsia="Batang" w:cs="Times"/>
          <w:noProof/>
          <w:szCs w:val="24"/>
        </w:rPr>
        <w:t xml:space="preserve">No. </w:t>
      </w:r>
      <w:r w:rsidRPr="00E33FD7">
        <w:rPr>
          <w:rFonts w:eastAsia="Batang" w:cs="Times"/>
          <w:noProof/>
          <w:szCs w:val="24"/>
        </w:rPr>
        <w:t>120/01 a la competencia de la COINPOL</w:t>
      </w:r>
      <w:r w:rsidRPr="00E33FD7">
        <w:rPr>
          <w:rFonts w:eastAsia="Batang" w:cs="Times"/>
          <w:noProof/>
          <w:szCs w:val="24"/>
          <w:vertAlign w:val="superscript"/>
        </w:rPr>
        <w:footnoteReference w:id="171"/>
      </w:r>
      <w:r w:rsidR="00857662">
        <w:rPr>
          <w:rFonts w:eastAsia="Batang" w:cs="Times"/>
          <w:noProof/>
          <w:szCs w:val="24"/>
        </w:rPr>
        <w:t>. El 29 de diciembre de 2004</w:t>
      </w:r>
      <w:r w:rsidRPr="00E33FD7">
        <w:rPr>
          <w:rFonts w:eastAsia="Batang" w:cs="Times"/>
          <w:noProof/>
          <w:szCs w:val="24"/>
        </w:rPr>
        <w:t xml:space="preserve"> esta investigación policial recibió un nuevo número: IP </w:t>
      </w:r>
      <w:r w:rsidR="00C7213B">
        <w:rPr>
          <w:rFonts w:eastAsia="Batang" w:cs="Times"/>
          <w:noProof/>
          <w:szCs w:val="24"/>
        </w:rPr>
        <w:t xml:space="preserve">No. </w:t>
      </w:r>
      <w:r w:rsidRPr="00E33FD7">
        <w:rPr>
          <w:rFonts w:eastAsia="Batang" w:cs="Times"/>
          <w:noProof/>
          <w:szCs w:val="24"/>
        </w:rPr>
        <w:t>217/04</w:t>
      </w:r>
      <w:r w:rsidRPr="00E33FD7">
        <w:rPr>
          <w:rFonts w:eastAsia="Batang" w:cs="Times"/>
          <w:noProof/>
          <w:szCs w:val="24"/>
          <w:vertAlign w:val="superscript"/>
        </w:rPr>
        <w:footnoteReference w:id="172"/>
      </w:r>
      <w:r w:rsidRPr="00E33FD7">
        <w:rPr>
          <w:rFonts w:eastAsia="Batang" w:cs="Times"/>
          <w:noProof/>
          <w:szCs w:val="24"/>
        </w:rPr>
        <w:t xml:space="preserve">. </w:t>
      </w:r>
    </w:p>
    <w:p w14:paraId="4EC94B03" w14:textId="77777777" w:rsidR="00E33FD7" w:rsidRPr="00E33FD7" w:rsidRDefault="00E33FD7" w:rsidP="00B811D7">
      <w:pPr>
        <w:pStyle w:val="ListParagraph"/>
        <w:ind w:left="0"/>
        <w:rPr>
          <w:rFonts w:eastAsia="Batang" w:cs="Times"/>
          <w:noProof/>
          <w:szCs w:val="24"/>
        </w:rPr>
      </w:pPr>
    </w:p>
    <w:p w14:paraId="1B4F8FE7" w14:textId="6768156E" w:rsidR="00E33FD7" w:rsidRPr="00E33FD7" w:rsidRDefault="00857662" w:rsidP="00D6683A">
      <w:pPr>
        <w:pStyle w:val="ListParagraph"/>
        <w:numPr>
          <w:ilvl w:val="0"/>
          <w:numId w:val="1"/>
        </w:numPr>
        <w:rPr>
          <w:rFonts w:eastAsia="Batang" w:cs="Times"/>
          <w:noProof/>
          <w:szCs w:val="24"/>
        </w:rPr>
      </w:pPr>
      <w:r>
        <w:rPr>
          <w:rFonts w:eastAsia="Batang" w:cs="Times"/>
          <w:noProof/>
          <w:szCs w:val="24"/>
        </w:rPr>
        <w:t>El 27 de enero de 2005</w:t>
      </w:r>
      <w:r w:rsidR="00E33FD7" w:rsidRPr="00E33FD7">
        <w:rPr>
          <w:rFonts w:eastAsia="Batang" w:cs="Times"/>
          <w:noProof/>
          <w:szCs w:val="24"/>
        </w:rPr>
        <w:t xml:space="preserve"> el Jefe de Policía de la COINPOL</w:t>
      </w:r>
      <w:r>
        <w:rPr>
          <w:rFonts w:eastAsia="Batang" w:cs="Times"/>
          <w:noProof/>
          <w:szCs w:val="24"/>
        </w:rPr>
        <w:t>,</w:t>
      </w:r>
      <w:r w:rsidR="00E33FD7" w:rsidRPr="00E33FD7">
        <w:rPr>
          <w:rFonts w:eastAsia="Batang" w:cs="Times"/>
          <w:noProof/>
          <w:szCs w:val="24"/>
        </w:rPr>
        <w:t xml:space="preserve"> a cargo de la investigación resumió el avance de la misma y solicitó la búsqueda judicial, relativa a la existencia, o no, de procedimientos civiles presentados contra el estado de Río de Janeiro por parte de los familiares de las víctimas fatales entre 1995 y 2000</w:t>
      </w:r>
      <w:r w:rsidR="00E33FD7" w:rsidRPr="00E33FD7">
        <w:rPr>
          <w:rFonts w:eastAsia="Batang" w:cs="Times"/>
          <w:noProof/>
          <w:szCs w:val="24"/>
          <w:vertAlign w:val="superscript"/>
        </w:rPr>
        <w:footnoteReference w:id="173"/>
      </w:r>
      <w:r w:rsidR="00E33FD7" w:rsidRPr="00E33FD7">
        <w:rPr>
          <w:rFonts w:eastAsia="Batang" w:cs="Times"/>
          <w:noProof/>
          <w:szCs w:val="24"/>
        </w:rPr>
        <w:t>. Esa diligencia fue reiterada el día 13 de febrero de 2006</w:t>
      </w:r>
      <w:r w:rsidR="00E33FD7" w:rsidRPr="00E33FD7">
        <w:rPr>
          <w:rFonts w:eastAsia="Batang" w:cs="Times"/>
          <w:noProof/>
          <w:szCs w:val="24"/>
          <w:vertAlign w:val="superscript"/>
        </w:rPr>
        <w:footnoteReference w:id="174"/>
      </w:r>
      <w:r w:rsidR="00E33FD7" w:rsidRPr="00E33FD7">
        <w:rPr>
          <w:rFonts w:eastAsia="Batang" w:cs="Times"/>
          <w:noProof/>
          <w:szCs w:val="24"/>
        </w:rPr>
        <w:t>.</w:t>
      </w:r>
    </w:p>
    <w:p w14:paraId="56505447" w14:textId="77777777" w:rsidR="00E33FD7" w:rsidRPr="00E33FD7" w:rsidRDefault="00E33FD7" w:rsidP="00B811D7">
      <w:pPr>
        <w:pStyle w:val="ListParagraph"/>
        <w:ind w:left="0"/>
        <w:rPr>
          <w:rFonts w:eastAsia="Batang" w:cs="Times"/>
          <w:noProof/>
          <w:szCs w:val="24"/>
        </w:rPr>
      </w:pPr>
    </w:p>
    <w:p w14:paraId="62BE0CF2" w14:textId="7ADCE6EF"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lang w:val="es-ES"/>
        </w:rPr>
        <w:t>El plazo para completar la investigación policial venció en múltiples y sucesivas ocasiones entre abril de 2006 y junio de 2008, y dicho plazo fue renovado sucesivamente sin avances en las diligencias</w:t>
      </w:r>
      <w:r w:rsidRPr="00E33FD7">
        <w:rPr>
          <w:rFonts w:eastAsia="Batang" w:cs="Times"/>
          <w:noProof/>
          <w:szCs w:val="24"/>
          <w:vertAlign w:val="superscript"/>
          <w:lang w:val="en-US"/>
        </w:rPr>
        <w:footnoteReference w:id="175"/>
      </w:r>
      <w:r w:rsidRPr="00E33FD7">
        <w:rPr>
          <w:rFonts w:eastAsia="Batang" w:cs="Times"/>
          <w:noProof/>
          <w:szCs w:val="24"/>
          <w:lang w:val="es-ES"/>
        </w:rPr>
        <w:t>. Finalmen</w:t>
      </w:r>
      <w:r w:rsidR="00857662">
        <w:rPr>
          <w:rFonts w:eastAsia="Batang" w:cs="Times"/>
          <w:noProof/>
          <w:szCs w:val="24"/>
          <w:lang w:val="es-ES"/>
        </w:rPr>
        <w:t>te, el 23 de septiembre de 2008</w:t>
      </w:r>
      <w:r w:rsidRPr="00E33FD7">
        <w:rPr>
          <w:rFonts w:eastAsia="Batang" w:cs="Times"/>
          <w:noProof/>
          <w:szCs w:val="24"/>
          <w:lang w:val="es-ES"/>
        </w:rPr>
        <w:t xml:space="preserve"> el Jefe de Policía a cargo de esta investigación emitió un informe concluyendo que</w:t>
      </w:r>
      <w:r w:rsidR="00857662">
        <w:rPr>
          <w:rFonts w:eastAsia="Batang" w:cs="Times"/>
          <w:noProof/>
          <w:szCs w:val="24"/>
          <w:lang w:val="es-ES"/>
        </w:rPr>
        <w:t>,</w:t>
      </w:r>
      <w:r w:rsidRPr="00E33FD7">
        <w:rPr>
          <w:rFonts w:eastAsia="Batang" w:cs="Times"/>
          <w:noProof/>
          <w:szCs w:val="24"/>
          <w:lang w:val="es-ES"/>
        </w:rPr>
        <w:t xml:space="preserve"> “habiendo transcurrido casi trece años de investigación, el expediente indica que hubo un enfrentamiento armado del que, debido a las complejidades inherentes a una ‘guerra’, resultaron personas muertas y heridas”</w:t>
      </w:r>
      <w:r w:rsidRPr="00E33FD7">
        <w:rPr>
          <w:rFonts w:eastAsia="Batang" w:cs="Times"/>
          <w:noProof/>
          <w:szCs w:val="24"/>
          <w:vertAlign w:val="superscript"/>
          <w:lang w:val="es-ES"/>
        </w:rPr>
        <w:footnoteReference w:id="176"/>
      </w:r>
      <w:r w:rsidRPr="00E33FD7">
        <w:rPr>
          <w:rFonts w:eastAsia="Batang" w:cs="Times"/>
          <w:noProof/>
          <w:szCs w:val="24"/>
          <w:lang w:val="es-ES"/>
        </w:rPr>
        <w:t xml:space="preserve">. </w:t>
      </w:r>
    </w:p>
    <w:p w14:paraId="300381FF" w14:textId="77777777" w:rsidR="00E33FD7" w:rsidRPr="00E33FD7" w:rsidRDefault="00E33FD7" w:rsidP="00B811D7">
      <w:pPr>
        <w:pStyle w:val="ListParagraph"/>
        <w:ind w:left="0"/>
        <w:rPr>
          <w:rFonts w:eastAsia="Batang" w:cs="Times"/>
          <w:noProof/>
          <w:szCs w:val="24"/>
        </w:rPr>
      </w:pPr>
    </w:p>
    <w:p w14:paraId="119EE490" w14:textId="77777777"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El 2 de octubre de 2008 el expediente fue enviado al Ministerio Público</w:t>
      </w:r>
      <w:r w:rsidRPr="00E33FD7">
        <w:rPr>
          <w:rFonts w:eastAsia="Batang" w:cs="Times"/>
          <w:noProof/>
          <w:szCs w:val="24"/>
          <w:vertAlign w:val="superscript"/>
        </w:rPr>
        <w:footnoteReference w:id="177"/>
      </w:r>
      <w:r w:rsidRPr="00E33FD7">
        <w:rPr>
          <w:rFonts w:eastAsia="Batang" w:cs="Times"/>
          <w:noProof/>
          <w:szCs w:val="24"/>
        </w:rPr>
        <w:t>, que solicitó su archivo el 1 de junio de 2009</w:t>
      </w:r>
      <w:r w:rsidRPr="00E33FD7">
        <w:rPr>
          <w:rFonts w:eastAsia="Batang" w:cs="Times"/>
          <w:noProof/>
          <w:szCs w:val="24"/>
          <w:vertAlign w:val="superscript"/>
        </w:rPr>
        <w:footnoteReference w:id="178"/>
      </w:r>
      <w:r w:rsidRPr="00E33FD7">
        <w:rPr>
          <w:rFonts w:eastAsia="Batang" w:cs="Times"/>
          <w:noProof/>
          <w:szCs w:val="24"/>
        </w:rPr>
        <w:t>. El 18 de junio de 2009 el Juez del 3º Juzgado Penal decidió archivar el proceso</w:t>
      </w:r>
      <w:r w:rsidRPr="00E33FD7">
        <w:rPr>
          <w:rFonts w:eastAsia="Batang" w:cs="Times"/>
          <w:noProof/>
          <w:szCs w:val="24"/>
          <w:vertAlign w:val="superscript"/>
        </w:rPr>
        <w:footnoteReference w:id="179"/>
      </w:r>
      <w:r w:rsidRPr="00E33FD7">
        <w:rPr>
          <w:rFonts w:eastAsia="Batang" w:cs="Times"/>
          <w:noProof/>
          <w:szCs w:val="24"/>
        </w:rPr>
        <w:t>.</w:t>
      </w:r>
    </w:p>
    <w:p w14:paraId="17B32262" w14:textId="77777777" w:rsidR="00E33FD7" w:rsidRPr="00E33FD7" w:rsidRDefault="00E33FD7" w:rsidP="00B811D7">
      <w:pPr>
        <w:pStyle w:val="ListParagraph"/>
        <w:ind w:left="0"/>
        <w:rPr>
          <w:rFonts w:eastAsia="Batang" w:cs="Times"/>
          <w:noProof/>
          <w:szCs w:val="24"/>
        </w:rPr>
      </w:pPr>
    </w:p>
    <w:p w14:paraId="4E3ADAAC" w14:textId="77777777"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El 31 de octubre de 2012 el Ministerio Público presentó un informe sobre la posibilidad de desarchivar la investigación, indicando que habían existido fallas en la conducción del mismo</w:t>
      </w:r>
      <w:r w:rsidRPr="00E33FD7">
        <w:rPr>
          <w:rFonts w:eastAsia="Batang" w:cs="Times"/>
          <w:noProof/>
          <w:szCs w:val="24"/>
          <w:vertAlign w:val="superscript"/>
        </w:rPr>
        <w:footnoteReference w:id="180"/>
      </w:r>
      <w:r w:rsidRPr="00E33FD7">
        <w:rPr>
          <w:rFonts w:eastAsia="Batang" w:cs="Times"/>
          <w:noProof/>
          <w:szCs w:val="24"/>
        </w:rPr>
        <w:t>. El 11 de diciembre de 2012 el Juez del 3º Juzgado Penal resolvió que no era posible desarchivarlo</w:t>
      </w:r>
      <w:r w:rsidRPr="00E33FD7">
        <w:rPr>
          <w:rFonts w:eastAsia="Batang" w:cs="Times"/>
          <w:noProof/>
          <w:szCs w:val="24"/>
          <w:vertAlign w:val="superscript"/>
        </w:rPr>
        <w:footnoteReference w:id="181"/>
      </w:r>
      <w:r w:rsidRPr="00E33FD7">
        <w:rPr>
          <w:rFonts w:eastAsia="Batang" w:cs="Times"/>
          <w:noProof/>
          <w:szCs w:val="24"/>
        </w:rPr>
        <w:t>. No obstante, el 10 de enero de 2013 el Procurador General de Justicia dio competencia al Ministerio Público para investigar</w:t>
      </w:r>
      <w:r w:rsidRPr="00E33FD7">
        <w:rPr>
          <w:rFonts w:eastAsia="Batang" w:cs="Times"/>
          <w:noProof/>
          <w:szCs w:val="24"/>
          <w:vertAlign w:val="superscript"/>
        </w:rPr>
        <w:footnoteReference w:id="182"/>
      </w:r>
      <w:r w:rsidRPr="00E33FD7">
        <w:rPr>
          <w:rFonts w:eastAsia="Batang" w:cs="Times"/>
          <w:noProof/>
          <w:szCs w:val="24"/>
        </w:rPr>
        <w:t>. El 9 de julio de 2013 la División de Homicidios abrió una nueva investigación policial</w:t>
      </w:r>
      <w:r w:rsidRPr="00E33FD7">
        <w:rPr>
          <w:rFonts w:eastAsia="Batang" w:cs="Times"/>
          <w:noProof/>
          <w:szCs w:val="24"/>
          <w:vertAlign w:val="superscript"/>
        </w:rPr>
        <w:footnoteReference w:id="183"/>
      </w:r>
      <w:r w:rsidRPr="00E33FD7">
        <w:rPr>
          <w:rFonts w:eastAsia="Batang" w:cs="Times"/>
          <w:noProof/>
          <w:szCs w:val="24"/>
        </w:rPr>
        <w:t>.</w:t>
      </w:r>
    </w:p>
    <w:p w14:paraId="42E3E6DB" w14:textId="77777777" w:rsidR="00E33FD7" w:rsidRPr="00E33FD7" w:rsidRDefault="00E33FD7" w:rsidP="00B811D7">
      <w:pPr>
        <w:pStyle w:val="ListParagraph"/>
        <w:ind w:left="0"/>
        <w:rPr>
          <w:rFonts w:eastAsia="Batang" w:cs="Times"/>
          <w:noProof/>
          <w:szCs w:val="24"/>
        </w:rPr>
      </w:pPr>
    </w:p>
    <w:p w14:paraId="3C1C2864" w14:textId="77777777"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Como parte de la investigación policial, el 11 de julio de 2013 se solicitó a la División de Fiscalización de Armas y Explosivos (DFAE) el envío del historial de armas</w:t>
      </w:r>
      <w:r w:rsidRPr="00E33FD7">
        <w:rPr>
          <w:rFonts w:eastAsia="Batang" w:cs="Times"/>
          <w:noProof/>
          <w:szCs w:val="24"/>
          <w:vertAlign w:val="superscript"/>
        </w:rPr>
        <w:footnoteReference w:id="184"/>
      </w:r>
      <w:r w:rsidRPr="00E33FD7">
        <w:rPr>
          <w:rFonts w:eastAsia="Batang" w:cs="Times"/>
          <w:noProof/>
          <w:szCs w:val="24"/>
        </w:rPr>
        <w:t>, el 1 de agosto de 2013 fueron enviados tres historiales</w:t>
      </w:r>
      <w:r w:rsidRPr="00E33FD7">
        <w:rPr>
          <w:rFonts w:eastAsia="Batang" w:cs="Times"/>
          <w:noProof/>
          <w:szCs w:val="24"/>
          <w:vertAlign w:val="superscript"/>
        </w:rPr>
        <w:footnoteReference w:id="185"/>
      </w:r>
      <w:r w:rsidRPr="00E33FD7">
        <w:rPr>
          <w:rFonts w:eastAsia="Batang" w:cs="Times"/>
          <w:noProof/>
          <w:szCs w:val="24"/>
        </w:rPr>
        <w:t xml:space="preserve"> y los días 18, 19 y 20 de noviembre rindieron sus declaraciones diversos testigos de los hechos del 8 de mayo de 1995</w:t>
      </w:r>
      <w:r w:rsidRPr="00E33FD7">
        <w:rPr>
          <w:rFonts w:eastAsia="Batang" w:cs="Times"/>
          <w:noProof/>
          <w:szCs w:val="24"/>
          <w:vertAlign w:val="superscript"/>
        </w:rPr>
        <w:footnoteReference w:id="186"/>
      </w:r>
      <w:r w:rsidRPr="00E33FD7">
        <w:rPr>
          <w:rFonts w:eastAsia="Batang" w:cs="Times"/>
          <w:noProof/>
          <w:szCs w:val="24"/>
        </w:rPr>
        <w:t>.</w:t>
      </w:r>
    </w:p>
    <w:p w14:paraId="1F464D16" w14:textId="77777777" w:rsidR="00E33FD7" w:rsidRPr="00E33FD7" w:rsidRDefault="00E33FD7" w:rsidP="00B811D7">
      <w:pPr>
        <w:pStyle w:val="ListParagraph"/>
        <w:ind w:left="0"/>
        <w:rPr>
          <w:rFonts w:eastAsia="Batang" w:cs="Times"/>
          <w:noProof/>
          <w:szCs w:val="24"/>
        </w:rPr>
      </w:pPr>
    </w:p>
    <w:p w14:paraId="670806C7" w14:textId="77777777"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rPr>
        <w:t xml:space="preserve">El 21 de octubre de 2014 el Ministerio Público presentó el informe de las diligencias de análisis </w:t>
      </w:r>
      <w:r w:rsidR="00636783">
        <w:rPr>
          <w:rFonts w:eastAsia="Batang" w:cs="Times"/>
          <w:noProof/>
          <w:szCs w:val="24"/>
        </w:rPr>
        <w:t>de</w:t>
      </w:r>
      <w:r w:rsidRPr="00E33FD7">
        <w:rPr>
          <w:rFonts w:eastAsia="Batang" w:cs="Times"/>
          <w:noProof/>
          <w:szCs w:val="24"/>
        </w:rPr>
        <w:t xml:space="preserve"> l</w:t>
      </w:r>
      <w:r w:rsidR="00636783">
        <w:rPr>
          <w:rFonts w:eastAsia="Batang" w:cs="Times"/>
          <w:noProof/>
          <w:szCs w:val="24"/>
        </w:rPr>
        <w:t>a</w:t>
      </w:r>
      <w:r w:rsidRPr="00E33FD7">
        <w:rPr>
          <w:rFonts w:eastAsia="Batang" w:cs="Times"/>
          <w:noProof/>
          <w:szCs w:val="24"/>
        </w:rPr>
        <w:t>s arma</w:t>
      </w:r>
      <w:r w:rsidR="00636783">
        <w:rPr>
          <w:rFonts w:eastAsia="Batang" w:cs="Times"/>
          <w:noProof/>
          <w:szCs w:val="24"/>
        </w:rPr>
        <w:t>s</w:t>
      </w:r>
      <w:r w:rsidRPr="00E33FD7">
        <w:rPr>
          <w:rFonts w:eastAsia="Batang" w:cs="Times"/>
          <w:noProof/>
          <w:szCs w:val="24"/>
          <w:vertAlign w:val="superscript"/>
        </w:rPr>
        <w:footnoteReference w:id="187"/>
      </w:r>
      <w:r w:rsidRPr="00E33FD7">
        <w:rPr>
          <w:rFonts w:eastAsia="Batang" w:cs="Times"/>
          <w:noProof/>
          <w:szCs w:val="24"/>
        </w:rPr>
        <w:t>. Entre noviembre de 2014 y mayo de 2015 se realizaron diligencias relativas a las armas empleadas en la incursión policial</w:t>
      </w:r>
      <w:r w:rsidRPr="00E33FD7">
        <w:rPr>
          <w:rFonts w:eastAsia="Batang" w:cs="Times"/>
          <w:noProof/>
          <w:szCs w:val="24"/>
          <w:vertAlign w:val="superscript"/>
        </w:rPr>
        <w:footnoteReference w:id="188"/>
      </w:r>
      <w:r w:rsidRPr="00E33FD7">
        <w:rPr>
          <w:rFonts w:eastAsia="Batang" w:cs="Times"/>
          <w:noProof/>
          <w:szCs w:val="24"/>
        </w:rPr>
        <w:t>. Finalmente, el 7 de mayo de 2015 fue emitida la decisión del Tribunal de Justicia del Estado de Río de Janeiro determinando el archivo de la acción penal y la invalidez de las pruebas producidas después del desarchivo del expediente hecho por el Ministerio Público, por estar en contravención de lo decidido por el Poder Judicial. Además, el Tribunal de Justicia consideró que los acusados estarían sufriendo una “tortura psicológica” derivada de la “perpetuación de la investigación” por 19 años</w:t>
      </w:r>
      <w:r w:rsidRPr="00E33FD7">
        <w:rPr>
          <w:rFonts w:eastAsia="Batang" w:cs="Times"/>
          <w:noProof/>
          <w:szCs w:val="24"/>
          <w:vertAlign w:val="superscript"/>
        </w:rPr>
        <w:footnoteReference w:id="189"/>
      </w:r>
      <w:r w:rsidRPr="00E33FD7">
        <w:rPr>
          <w:rFonts w:eastAsia="Batang" w:cs="Times"/>
          <w:noProof/>
          <w:szCs w:val="24"/>
        </w:rPr>
        <w:t>.</w:t>
      </w:r>
    </w:p>
    <w:p w14:paraId="39F8EC91" w14:textId="77777777" w:rsidR="00E33FD7" w:rsidRPr="00E33FD7" w:rsidRDefault="00E33FD7" w:rsidP="00B811D7">
      <w:pPr>
        <w:pStyle w:val="ListParagraph"/>
        <w:ind w:left="0"/>
        <w:rPr>
          <w:rFonts w:eastAsia="Batang" w:cs="Times"/>
          <w:noProof/>
          <w:szCs w:val="24"/>
        </w:rPr>
      </w:pPr>
    </w:p>
    <w:p w14:paraId="1D983C36" w14:textId="77777777" w:rsidR="00E33FD7" w:rsidRPr="00E33FD7" w:rsidRDefault="00E33FD7" w:rsidP="00D6683A">
      <w:pPr>
        <w:pStyle w:val="ListParagraph"/>
        <w:numPr>
          <w:ilvl w:val="0"/>
          <w:numId w:val="1"/>
        </w:numPr>
        <w:rPr>
          <w:rFonts w:eastAsia="Batang" w:cs="Times"/>
          <w:noProof/>
          <w:szCs w:val="24"/>
        </w:rPr>
      </w:pPr>
      <w:r w:rsidRPr="00E33FD7">
        <w:rPr>
          <w:rFonts w:eastAsia="Batang" w:cs="Times"/>
          <w:noProof/>
          <w:szCs w:val="24"/>
          <w:lang w:val="es-ES"/>
        </w:rPr>
        <w:t xml:space="preserve">La investigación sobre las 13 muertes en la incursión policial de 8 de mayo de 1995 continua inconclusa hasta la fecha. </w:t>
      </w:r>
    </w:p>
    <w:p w14:paraId="4054E948" w14:textId="77777777" w:rsidR="00D11760" w:rsidRDefault="00D11760" w:rsidP="00B811D7">
      <w:pPr>
        <w:pStyle w:val="ListParagraph"/>
        <w:ind w:left="0"/>
        <w:rPr>
          <w:rFonts w:eastAsia="Batang" w:cs="Times"/>
          <w:i/>
          <w:noProof/>
          <w:szCs w:val="24"/>
          <w:lang w:val="es-ES"/>
        </w:rPr>
      </w:pPr>
    </w:p>
    <w:p w14:paraId="14864F4B" w14:textId="77777777" w:rsidR="00E33FD7" w:rsidRPr="00E33FD7" w:rsidRDefault="00E33FD7" w:rsidP="00B811D7">
      <w:pPr>
        <w:pStyle w:val="ListParagraph"/>
        <w:ind w:left="0"/>
        <w:rPr>
          <w:rFonts w:eastAsia="Batang" w:cs="Times"/>
          <w:noProof/>
          <w:szCs w:val="24"/>
          <w:lang w:val="es-ES"/>
        </w:rPr>
      </w:pPr>
      <w:r w:rsidRPr="00E33FD7">
        <w:rPr>
          <w:rFonts w:eastAsia="Batang" w:cs="Times"/>
          <w:i/>
          <w:noProof/>
          <w:szCs w:val="24"/>
          <w:lang w:val="es-ES"/>
        </w:rPr>
        <w:t xml:space="preserve">Acción de reparación presentada por Mônica Santos de Souza Rodrigues y Evelyn Santos de Souza Rodrigues en contra del estado de Río de Janeiro </w:t>
      </w:r>
    </w:p>
    <w:p w14:paraId="7F9CA571" w14:textId="77777777" w:rsidR="00E33FD7" w:rsidRPr="00E33FD7" w:rsidRDefault="00E33FD7" w:rsidP="00B811D7">
      <w:pPr>
        <w:pStyle w:val="ListParagraph"/>
        <w:ind w:left="0"/>
        <w:rPr>
          <w:rFonts w:eastAsia="Batang" w:cs="Times"/>
          <w:noProof/>
          <w:szCs w:val="24"/>
          <w:lang w:val="es-ES"/>
        </w:rPr>
      </w:pPr>
    </w:p>
    <w:p w14:paraId="3783DEE8" w14:textId="1FEC01CA" w:rsidR="00E33FD7" w:rsidRDefault="00E33FD7" w:rsidP="00D6683A">
      <w:pPr>
        <w:pStyle w:val="ListParagraph"/>
        <w:numPr>
          <w:ilvl w:val="0"/>
          <w:numId w:val="1"/>
        </w:numPr>
        <w:rPr>
          <w:rFonts w:eastAsia="Batang" w:cs="Times"/>
          <w:noProof/>
          <w:szCs w:val="24"/>
          <w:lang w:val="es-ES"/>
        </w:rPr>
      </w:pPr>
      <w:r w:rsidRPr="00E33FD7">
        <w:rPr>
          <w:rFonts w:eastAsia="Batang" w:cs="Times"/>
          <w:noProof/>
          <w:szCs w:val="24"/>
          <w:lang w:val="es-ES"/>
        </w:rPr>
        <w:t xml:space="preserve">El 15 de julio de 2002 Mônica Santos de Souza Rodrigues y Evelyn Santos de Souza Rodrigues –compañera permanente e hija, respectivamente, de Jacques Douglas Melo Rodrigues– iniciaron un procedimiento </w:t>
      </w:r>
      <w:r w:rsidR="006E25E5">
        <w:rPr>
          <w:rFonts w:eastAsia="Batang" w:cs="Times"/>
          <w:noProof/>
          <w:szCs w:val="24"/>
          <w:lang w:val="es-ES"/>
        </w:rPr>
        <w:t xml:space="preserve">civil </w:t>
      </w:r>
      <w:r w:rsidRPr="00E33FD7">
        <w:rPr>
          <w:rFonts w:eastAsia="Batang" w:cs="Times"/>
          <w:noProof/>
          <w:szCs w:val="24"/>
          <w:lang w:val="es-ES"/>
        </w:rPr>
        <w:t>contra el estado de Río de Janeiro, buscando el reconocimiento de la responsabilidad estatal por su muerte</w:t>
      </w:r>
      <w:r w:rsidR="006E25E5">
        <w:rPr>
          <w:rFonts w:eastAsia="Batang" w:cs="Times"/>
          <w:noProof/>
          <w:szCs w:val="24"/>
          <w:lang w:val="es-ES"/>
        </w:rPr>
        <w:t xml:space="preserve"> y una indemnización compensatoria</w:t>
      </w:r>
      <w:r w:rsidRPr="00E33FD7">
        <w:rPr>
          <w:rFonts w:eastAsia="Batang" w:cs="Times"/>
          <w:noProof/>
          <w:szCs w:val="24"/>
          <w:vertAlign w:val="superscript"/>
          <w:lang w:val="es-ES"/>
        </w:rPr>
        <w:footnoteReference w:id="190"/>
      </w:r>
      <w:r w:rsidRPr="00E33FD7">
        <w:rPr>
          <w:rFonts w:eastAsia="Batang" w:cs="Times"/>
          <w:noProof/>
          <w:szCs w:val="24"/>
          <w:lang w:val="es-ES"/>
        </w:rPr>
        <w:t>. El 27 de septiembre de 2004 se declaró la prescripción de la pretensión de Mônica Santos de Souza Rodrigues</w:t>
      </w:r>
      <w:r w:rsidRPr="00E33FD7">
        <w:rPr>
          <w:rFonts w:eastAsia="Batang" w:cs="Times"/>
          <w:noProof/>
          <w:szCs w:val="24"/>
          <w:vertAlign w:val="superscript"/>
          <w:lang w:val="es-ES"/>
        </w:rPr>
        <w:footnoteReference w:id="191"/>
      </w:r>
      <w:r w:rsidRPr="00E33FD7">
        <w:rPr>
          <w:rFonts w:eastAsia="Batang" w:cs="Times"/>
          <w:noProof/>
          <w:szCs w:val="24"/>
          <w:lang w:val="es-ES"/>
        </w:rPr>
        <w:t>. El 23 de febrero de 2005 el pedido de Evelyn Santos de Souza Rodrigues fue juzgado improcedente, bajo el argumento de que no se había demostrado que la muerte de Jacques Douglas Melo Rodrigues fuera ocasionada por la acción de un agente público</w:t>
      </w:r>
      <w:r w:rsidRPr="00E33FD7">
        <w:rPr>
          <w:rFonts w:eastAsia="Batang" w:cs="Times"/>
          <w:noProof/>
          <w:szCs w:val="24"/>
          <w:vertAlign w:val="superscript"/>
          <w:lang w:val="es-ES"/>
        </w:rPr>
        <w:footnoteReference w:id="192"/>
      </w:r>
      <w:r w:rsidRPr="00E33FD7">
        <w:rPr>
          <w:rFonts w:eastAsia="Batang" w:cs="Times"/>
          <w:noProof/>
          <w:szCs w:val="24"/>
          <w:lang w:val="es-ES"/>
        </w:rPr>
        <w:t>.</w:t>
      </w:r>
    </w:p>
    <w:p w14:paraId="77C9A1F2" w14:textId="77777777" w:rsidR="003501C7" w:rsidRDefault="003501C7" w:rsidP="00B811D7">
      <w:pPr>
        <w:pStyle w:val="ListParagraph"/>
        <w:ind w:left="0"/>
        <w:rPr>
          <w:rFonts w:eastAsia="Batang" w:cs="Times"/>
          <w:noProof/>
          <w:szCs w:val="24"/>
          <w:lang w:val="es-ES"/>
        </w:rPr>
      </w:pPr>
    </w:p>
    <w:p w14:paraId="1D7E0AC0" w14:textId="77777777" w:rsidR="00B811D7" w:rsidRPr="00CA30BB" w:rsidRDefault="00B811D7" w:rsidP="00547D83">
      <w:pPr>
        <w:pStyle w:val="TOC1"/>
      </w:pPr>
      <w:bookmarkStart w:id="391" w:name="_Toc469404506"/>
      <w:bookmarkStart w:id="392" w:name="_Toc472608949"/>
      <w:bookmarkStart w:id="393" w:name="_Toc460432518"/>
      <w:bookmarkStart w:id="394" w:name="_Toc464813972"/>
      <w:bookmarkStart w:id="395" w:name="_Toc429519511"/>
      <w:bookmarkStart w:id="396" w:name="_Toc430339016"/>
      <w:bookmarkStart w:id="397" w:name="_Toc451267358"/>
      <w:r>
        <w:t>VII</w:t>
      </w:r>
      <w:bookmarkEnd w:id="391"/>
      <w:bookmarkEnd w:id="392"/>
    </w:p>
    <w:p w14:paraId="076F2B1D" w14:textId="77777777" w:rsidR="00B811D7" w:rsidRDefault="00B811D7" w:rsidP="00547D83">
      <w:pPr>
        <w:pStyle w:val="TOC1"/>
      </w:pPr>
      <w:bookmarkStart w:id="398" w:name="_Toc469404507"/>
      <w:bookmarkStart w:id="399" w:name="_Toc472608950"/>
      <w:r w:rsidRPr="00CA30BB">
        <w:t>FONDO</w:t>
      </w:r>
      <w:bookmarkEnd w:id="398"/>
      <w:bookmarkEnd w:id="399"/>
    </w:p>
    <w:p w14:paraId="4ED5B653" w14:textId="77777777" w:rsidR="00B811D7" w:rsidRDefault="00B811D7" w:rsidP="00B811D7">
      <w:pPr>
        <w:jc w:val="center"/>
        <w:rPr>
          <w:b/>
          <w:szCs w:val="20"/>
        </w:rPr>
      </w:pPr>
    </w:p>
    <w:p w14:paraId="77C0703B" w14:textId="77777777" w:rsidR="00B811D7" w:rsidRPr="00CA30BB" w:rsidRDefault="00B811D7" w:rsidP="00547D83">
      <w:pPr>
        <w:pStyle w:val="TOC1"/>
      </w:pPr>
      <w:bookmarkStart w:id="400" w:name="_Toc469404508"/>
      <w:bookmarkStart w:id="401" w:name="_Toc472608951"/>
      <w:r>
        <w:t>VII-1</w:t>
      </w:r>
      <w:bookmarkEnd w:id="400"/>
      <w:bookmarkEnd w:id="401"/>
    </w:p>
    <w:p w14:paraId="2C9E7EB9" w14:textId="77777777" w:rsidR="00B811D7" w:rsidRPr="00053FAF" w:rsidRDefault="00B811D7" w:rsidP="00547D83">
      <w:pPr>
        <w:pStyle w:val="TOC1"/>
        <w:rPr>
          <w:lang w:val="es-ES"/>
        </w:rPr>
      </w:pPr>
      <w:bookmarkStart w:id="402" w:name="_Toc464813973"/>
      <w:bookmarkStart w:id="403" w:name="_Toc469404509"/>
      <w:bookmarkStart w:id="404" w:name="_Toc472608952"/>
      <w:r w:rsidRPr="00053FAF">
        <w:t>DERECHOS A LAS GARANTÍAS JUDICIALES</w:t>
      </w:r>
      <w:r w:rsidRPr="00053FAF">
        <w:rPr>
          <w:vertAlign w:val="superscript"/>
        </w:rPr>
        <w:footnoteReference w:id="193"/>
      </w:r>
      <w:r w:rsidRPr="00053FAF">
        <w:t xml:space="preserve"> Y A LA PROTECCIÓN JUDICIAL</w:t>
      </w:r>
      <w:r w:rsidRPr="00053FAF">
        <w:rPr>
          <w:vertAlign w:val="superscript"/>
        </w:rPr>
        <w:footnoteReference w:id="194"/>
      </w:r>
      <w:bookmarkEnd w:id="402"/>
      <w:bookmarkEnd w:id="403"/>
      <w:bookmarkEnd w:id="404"/>
    </w:p>
    <w:p w14:paraId="57703946" w14:textId="77777777" w:rsidR="00B811D7" w:rsidRDefault="00B811D7" w:rsidP="00B811D7">
      <w:pPr>
        <w:pStyle w:val="ListParagraph"/>
        <w:autoSpaceDE w:val="0"/>
        <w:autoSpaceDN w:val="0"/>
        <w:adjustRightInd w:val="0"/>
        <w:ind w:left="90"/>
        <w:contextualSpacing w:val="0"/>
        <w:rPr>
          <w:rFonts w:cs="Arial"/>
          <w:szCs w:val="20"/>
        </w:rPr>
      </w:pPr>
    </w:p>
    <w:p w14:paraId="075229DF" w14:textId="77777777" w:rsidR="00B811D7" w:rsidRPr="00FF5B4D" w:rsidRDefault="00B811D7" w:rsidP="00D6683A">
      <w:pPr>
        <w:pStyle w:val="ListParagraph"/>
        <w:numPr>
          <w:ilvl w:val="0"/>
          <w:numId w:val="1"/>
        </w:numPr>
        <w:autoSpaceDE w:val="0"/>
        <w:autoSpaceDN w:val="0"/>
        <w:adjustRightInd w:val="0"/>
        <w:contextualSpacing w:val="0"/>
        <w:rPr>
          <w:rFonts w:cs="Arial"/>
          <w:szCs w:val="20"/>
        </w:rPr>
      </w:pPr>
      <w:r w:rsidRPr="00E90FA0">
        <w:rPr>
          <w:rFonts w:cs="Arial"/>
          <w:noProof/>
          <w:szCs w:val="20"/>
          <w:lang w:val="es-CO"/>
        </w:rPr>
        <w:lastRenderedPageBreak/>
        <w:t xml:space="preserve">En este capítulo la Corte </w:t>
      </w:r>
      <w:r w:rsidRPr="00E90FA0">
        <w:rPr>
          <w:rFonts w:cs="Arial"/>
          <w:noProof/>
          <w:szCs w:val="20"/>
          <w:lang w:val="es-ES_tradnl"/>
        </w:rPr>
        <w:t xml:space="preserve">desarrollará las consideraciones de derecho pertinentes relacionadas con las alegadas vulneraciones a los derechos a las garantías judiciales y a la protección judicial. Para este efecto, se realizará un </w:t>
      </w:r>
      <w:r w:rsidRPr="00FF5B4D">
        <w:rPr>
          <w:rFonts w:cs="Arial"/>
          <w:noProof/>
          <w:szCs w:val="20"/>
          <w:lang w:val="es-ES_tradnl"/>
        </w:rPr>
        <w:t xml:space="preserve">análisis en el siguiente orden: a) la alegada violación a las garantías judiciales y protección judicial de los familiares de las víctimas </w:t>
      </w:r>
      <w:r w:rsidRPr="00FF5B4D">
        <w:rPr>
          <w:spacing w:val="-3"/>
          <w:szCs w:val="20"/>
          <w:lang w:val="es-ES"/>
        </w:rPr>
        <w:t xml:space="preserve">muertas en </w:t>
      </w:r>
      <w:r w:rsidRPr="00FF5B4D">
        <w:rPr>
          <w:rFonts w:cs="Arial"/>
          <w:noProof/>
          <w:szCs w:val="20"/>
          <w:lang w:val="es-ES_tradnl"/>
        </w:rPr>
        <w:t>la</w:t>
      </w:r>
      <w:r w:rsidR="00EC76CE">
        <w:rPr>
          <w:rFonts w:cs="Arial"/>
          <w:noProof/>
          <w:szCs w:val="20"/>
          <w:lang w:val="es-ES_tradnl"/>
        </w:rPr>
        <w:t>s</w:t>
      </w:r>
      <w:r w:rsidRPr="00FF5B4D">
        <w:rPr>
          <w:rFonts w:cs="Arial"/>
          <w:noProof/>
          <w:szCs w:val="20"/>
          <w:lang w:val="es-ES_tradnl"/>
        </w:rPr>
        <w:t xml:space="preserve"> redada</w:t>
      </w:r>
      <w:r w:rsidR="00EC76CE">
        <w:rPr>
          <w:rFonts w:cs="Arial"/>
          <w:noProof/>
          <w:szCs w:val="20"/>
          <w:lang w:val="es-ES_tradnl"/>
        </w:rPr>
        <w:t>s</w:t>
      </w:r>
      <w:r w:rsidRPr="00FF5B4D">
        <w:rPr>
          <w:rFonts w:cs="Arial"/>
          <w:noProof/>
          <w:szCs w:val="20"/>
          <w:lang w:val="es-ES_tradnl"/>
        </w:rPr>
        <w:t xml:space="preserve"> de 1994</w:t>
      </w:r>
      <w:r w:rsidR="00EC76CE">
        <w:rPr>
          <w:rFonts w:cs="Arial"/>
          <w:noProof/>
          <w:szCs w:val="20"/>
          <w:lang w:val="es-ES_tradnl"/>
        </w:rPr>
        <w:t xml:space="preserve"> y </w:t>
      </w:r>
      <w:r w:rsidRPr="00FF5B4D">
        <w:rPr>
          <w:rFonts w:cs="Arial"/>
          <w:noProof/>
          <w:szCs w:val="20"/>
          <w:lang w:val="es-ES_tradnl"/>
        </w:rPr>
        <w:t>1995</w:t>
      </w:r>
      <w:r w:rsidR="00D824D4">
        <w:rPr>
          <w:rFonts w:cs="Arial"/>
          <w:noProof/>
          <w:szCs w:val="20"/>
          <w:lang w:val="es-ES_tradnl"/>
        </w:rPr>
        <w:t>, y b</w:t>
      </w:r>
      <w:r w:rsidR="00FF5B4D" w:rsidRPr="00FF5B4D">
        <w:rPr>
          <w:rFonts w:cs="Arial"/>
          <w:noProof/>
          <w:szCs w:val="20"/>
          <w:lang w:val="es-ES_tradnl"/>
        </w:rPr>
        <w:t xml:space="preserve">) la debida diligencia y protección judicial en los casos de violencia sexual contra </w:t>
      </w:r>
      <w:r w:rsidR="00FF5B4D" w:rsidRPr="00FF5B4D">
        <w:rPr>
          <w:rFonts w:eastAsiaTheme="minorEastAsia"/>
          <w:szCs w:val="20"/>
          <w:lang w:val="es-ES" w:eastAsia="zh-CN"/>
        </w:rPr>
        <w:t>L.R.J., C.S.S. y J.F.C.</w:t>
      </w:r>
      <w:r w:rsidRPr="00FF5B4D">
        <w:rPr>
          <w:rFonts w:cs="Arial"/>
          <w:noProof/>
          <w:szCs w:val="20"/>
          <w:lang w:val="es-ES_tradnl"/>
        </w:rPr>
        <w:t xml:space="preserve">. </w:t>
      </w:r>
    </w:p>
    <w:p w14:paraId="761CF1A7" w14:textId="77777777" w:rsidR="00B811D7" w:rsidRPr="00A62E6E" w:rsidRDefault="00B811D7" w:rsidP="00B811D7">
      <w:pPr>
        <w:shd w:val="clear" w:color="auto" w:fill="FFFFFF"/>
        <w:rPr>
          <w:rFonts w:eastAsia="Times New Roman" w:cs="Courier New"/>
          <w:color w:val="212121"/>
          <w:szCs w:val="20"/>
          <w:lang w:eastAsia="es-CR"/>
        </w:rPr>
      </w:pPr>
    </w:p>
    <w:p w14:paraId="4F6F82DC" w14:textId="77777777" w:rsidR="00B811D7" w:rsidRPr="00A62E6E" w:rsidRDefault="00B811D7" w:rsidP="002A031A">
      <w:pPr>
        <w:pStyle w:val="TOC2"/>
        <w:numPr>
          <w:ilvl w:val="0"/>
          <w:numId w:val="35"/>
        </w:numPr>
        <w:ind w:hanging="720"/>
      </w:pPr>
      <w:bookmarkStart w:id="405" w:name="_Toc469404510"/>
      <w:bookmarkStart w:id="406" w:name="_Toc472608953"/>
      <w:r w:rsidRPr="00A62E6E">
        <w:t>Alegatos de las partes y de la Comisión</w:t>
      </w:r>
      <w:bookmarkEnd w:id="405"/>
      <w:bookmarkEnd w:id="406"/>
    </w:p>
    <w:p w14:paraId="03FC210B" w14:textId="77777777" w:rsidR="00B811D7" w:rsidRPr="00CA30BB" w:rsidRDefault="00B811D7" w:rsidP="00B811D7">
      <w:pPr>
        <w:pStyle w:val="ListParagraph"/>
        <w:shd w:val="clear" w:color="auto" w:fill="FFFFFF"/>
        <w:rPr>
          <w:rFonts w:eastAsia="Times New Roman" w:cs="Courier New"/>
          <w:b/>
          <w:color w:val="212121"/>
          <w:szCs w:val="20"/>
          <w:lang w:eastAsia="es-CR"/>
        </w:rPr>
      </w:pPr>
    </w:p>
    <w:p w14:paraId="7A8C64C8" w14:textId="34A49BE6" w:rsidR="00B811D7" w:rsidRPr="00A62E6E"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A62E6E">
        <w:rPr>
          <w:rFonts w:eastAsia="Times New Roman" w:cs="Courier New"/>
          <w:color w:val="212121"/>
          <w:szCs w:val="20"/>
          <w:lang w:val="es-ES" w:eastAsia="es-CR"/>
        </w:rPr>
        <w:t xml:space="preserve">La </w:t>
      </w:r>
      <w:r w:rsidRPr="00A62E6E">
        <w:rPr>
          <w:rFonts w:eastAsia="Times New Roman" w:cs="Courier New"/>
          <w:b/>
          <w:i/>
          <w:color w:val="212121"/>
          <w:szCs w:val="20"/>
          <w:lang w:val="es-ES" w:eastAsia="es-CR"/>
        </w:rPr>
        <w:t>Comisión</w:t>
      </w:r>
      <w:r w:rsidRPr="00A62E6E">
        <w:rPr>
          <w:rFonts w:eastAsia="Times New Roman" w:cs="Courier New"/>
          <w:color w:val="212121"/>
          <w:szCs w:val="20"/>
          <w:lang w:val="es-ES" w:eastAsia="es-CR"/>
        </w:rPr>
        <w:t xml:space="preserve"> indicó que era inaceptable el tiempo transcurrido sin ninguna determinación preliminar sobre la legalidad del uso de la fuerza letal por parte de la policía que dio como resultado la muerte de 26 víctimas; de acuerdo con la Comisión ese tiempo transcurrido bastaría para declarar que el Estado es responsable por las violaciones a los artículos 8.1 y 25.1, en relación con el artículo 1.1 de la Convención. </w:t>
      </w:r>
    </w:p>
    <w:p w14:paraId="770338ED" w14:textId="77777777" w:rsidR="00B811D7" w:rsidRDefault="00B811D7" w:rsidP="00B811D7">
      <w:pPr>
        <w:pStyle w:val="ListParagraph"/>
        <w:shd w:val="clear" w:color="auto" w:fill="FFFFFF"/>
        <w:ind w:left="0"/>
        <w:rPr>
          <w:rFonts w:eastAsia="Times New Roman" w:cs="Courier New"/>
          <w:b/>
          <w:color w:val="212121"/>
          <w:szCs w:val="20"/>
          <w:lang w:val="es-ES" w:eastAsia="es-CR"/>
        </w:rPr>
      </w:pPr>
    </w:p>
    <w:p w14:paraId="51ABC812" w14:textId="7FE2ACAC" w:rsidR="00B811D7" w:rsidRPr="00F829E6"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F829E6">
        <w:rPr>
          <w:rFonts w:eastAsia="Times New Roman" w:cs="Courier New"/>
          <w:color w:val="212121"/>
          <w:szCs w:val="20"/>
          <w:lang w:eastAsia="es-CR"/>
        </w:rPr>
        <w:t xml:space="preserve">La Comisión resaltó que las investigaciones policiales fueron realizadas por las mismas divisiones de la Policía Civil que habían realizado los operativos, y además fueron iniciadas a través de “autos de resistencia” registrados por los policías que habían participado en las incursiones, en </w:t>
      </w:r>
      <w:r>
        <w:rPr>
          <w:rFonts w:eastAsia="Times New Roman" w:cs="Courier New"/>
          <w:color w:val="212121"/>
          <w:szCs w:val="20"/>
          <w:lang w:eastAsia="es-CR"/>
        </w:rPr>
        <w:t>seguimiento a l</w:t>
      </w:r>
      <w:r w:rsidRPr="00F829E6">
        <w:rPr>
          <w:rFonts w:eastAsia="Times New Roman" w:cs="Courier New"/>
          <w:color w:val="212121"/>
          <w:szCs w:val="20"/>
          <w:lang w:eastAsia="es-CR"/>
        </w:rPr>
        <w:t>a práctica de registrar todas las muertes causadas por la policía como legítimas</w:t>
      </w:r>
      <w:r>
        <w:rPr>
          <w:rFonts w:eastAsia="Times New Roman" w:cs="Courier New"/>
          <w:color w:val="212121"/>
          <w:szCs w:val="20"/>
          <w:lang w:eastAsia="es-CR"/>
        </w:rPr>
        <w:t>,</w:t>
      </w:r>
      <w:r w:rsidRPr="00F829E6">
        <w:rPr>
          <w:rFonts w:eastAsia="Times New Roman" w:cs="Courier New"/>
          <w:color w:val="212121"/>
          <w:szCs w:val="20"/>
          <w:lang w:eastAsia="es-CR"/>
        </w:rPr>
        <w:t xml:space="preserve"> y frecuentemente utilizadas para transferir la responsabilidad de la policía a las víctimas.</w:t>
      </w:r>
      <w:r w:rsidRPr="00F829E6">
        <w:rPr>
          <w:rFonts w:eastAsia="Times New Roman" w:cs="Courier New"/>
          <w:b/>
          <w:color w:val="212121"/>
          <w:szCs w:val="20"/>
          <w:lang w:val="es-ES" w:eastAsia="es-CR"/>
        </w:rPr>
        <w:t xml:space="preserve"> </w:t>
      </w:r>
      <w:r w:rsidRPr="00F829E6">
        <w:rPr>
          <w:rFonts w:eastAsia="Times New Roman" w:cs="Courier New"/>
          <w:color w:val="212121"/>
          <w:szCs w:val="20"/>
          <w:lang w:eastAsia="es-CR"/>
        </w:rPr>
        <w:t>Por lo tanto, la Comisión consideró que debido a la falta de independencia de las autoridades encargadas de las investigaciones, y en virtud de la naturaleza</w:t>
      </w:r>
      <w:r w:rsidR="00636741">
        <w:rPr>
          <w:rFonts w:eastAsia="Times New Roman" w:cs="Courier New"/>
          <w:color w:val="212121"/>
          <w:szCs w:val="20"/>
          <w:lang w:eastAsia="es-CR"/>
        </w:rPr>
        <w:t xml:space="preserve"> sesgada de las </w:t>
      </w:r>
      <w:r w:rsidR="00582327">
        <w:rPr>
          <w:rFonts w:eastAsia="Times New Roman" w:cs="Courier New"/>
          <w:color w:val="212121"/>
          <w:szCs w:val="20"/>
          <w:lang w:eastAsia="es-CR"/>
        </w:rPr>
        <w:t xml:space="preserve">investigaciones </w:t>
      </w:r>
      <w:r w:rsidR="00636741">
        <w:rPr>
          <w:rFonts w:eastAsia="Times New Roman" w:cs="Courier New"/>
          <w:color w:val="212121"/>
          <w:szCs w:val="20"/>
          <w:lang w:eastAsia="es-CR"/>
        </w:rPr>
        <w:t>policiales</w:t>
      </w:r>
      <w:r w:rsidRPr="00F829E6">
        <w:rPr>
          <w:rFonts w:eastAsia="Times New Roman" w:cs="Courier New"/>
          <w:color w:val="212121"/>
          <w:szCs w:val="20"/>
          <w:lang w:eastAsia="es-CR"/>
        </w:rPr>
        <w:t xml:space="preserve">, se violaron los artículos 8.1 y 25.1 en relación con el artículo 1.1 de la Convención Americana. </w:t>
      </w:r>
    </w:p>
    <w:p w14:paraId="46272AA3" w14:textId="77777777" w:rsidR="00B811D7" w:rsidRPr="00F829E6" w:rsidRDefault="00B811D7" w:rsidP="00B811D7">
      <w:pPr>
        <w:pStyle w:val="ListParagraph"/>
        <w:rPr>
          <w:rFonts w:eastAsia="Times New Roman" w:cs="Courier New"/>
          <w:b/>
          <w:color w:val="212121"/>
          <w:szCs w:val="20"/>
          <w:lang w:val="es-ES" w:eastAsia="es-CR"/>
        </w:rPr>
      </w:pPr>
    </w:p>
    <w:p w14:paraId="679B8FB8" w14:textId="50A45F87" w:rsidR="00B811D7" w:rsidRPr="00F22AE1"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F829E6">
        <w:rPr>
          <w:szCs w:val="20"/>
        </w:rPr>
        <w:t xml:space="preserve">La </w:t>
      </w:r>
      <w:r w:rsidRPr="00F829E6">
        <w:rPr>
          <w:rFonts w:eastAsia="Times New Roman" w:cs="Courier New"/>
          <w:color w:val="212121"/>
          <w:szCs w:val="20"/>
          <w:lang w:eastAsia="es-CR"/>
        </w:rPr>
        <w:t xml:space="preserve">Comisión </w:t>
      </w:r>
      <w:r w:rsidRPr="00F829E6">
        <w:rPr>
          <w:szCs w:val="20"/>
        </w:rPr>
        <w:t xml:space="preserve">recordó que, a pesar </w:t>
      </w:r>
      <w:r>
        <w:rPr>
          <w:szCs w:val="20"/>
        </w:rPr>
        <w:t xml:space="preserve">de </w:t>
      </w:r>
      <w:r w:rsidRPr="00F829E6">
        <w:rPr>
          <w:szCs w:val="20"/>
        </w:rPr>
        <w:t>que Brasil ratificó la Convención de</w:t>
      </w:r>
      <w:r w:rsidR="00582327">
        <w:rPr>
          <w:szCs w:val="20"/>
        </w:rPr>
        <w:t xml:space="preserve"> Belém </w:t>
      </w:r>
      <w:r w:rsidRPr="00F829E6">
        <w:rPr>
          <w:szCs w:val="20"/>
        </w:rPr>
        <w:t>do Pará con posterioridad a los hechos</w:t>
      </w:r>
      <w:r>
        <w:rPr>
          <w:szCs w:val="20"/>
        </w:rPr>
        <w:t xml:space="preserve"> del caso</w:t>
      </w:r>
      <w:r w:rsidRPr="00F829E6">
        <w:rPr>
          <w:szCs w:val="20"/>
        </w:rPr>
        <w:t>, la obligación de investigar los actos de violenci</w:t>
      </w:r>
      <w:r>
        <w:rPr>
          <w:szCs w:val="20"/>
        </w:rPr>
        <w:t>a contra las mujeres, consagrada</w:t>
      </w:r>
      <w:r w:rsidRPr="00F829E6">
        <w:rPr>
          <w:szCs w:val="20"/>
        </w:rPr>
        <w:t xml:space="preserve"> en el artículo 7</w:t>
      </w:r>
      <w:r>
        <w:rPr>
          <w:szCs w:val="20"/>
        </w:rPr>
        <w:t xml:space="preserve"> de dicha Convención,</w:t>
      </w:r>
      <w:r w:rsidRPr="00F829E6">
        <w:rPr>
          <w:szCs w:val="20"/>
        </w:rPr>
        <w:t xml:space="preserve"> es de naturaleza continua, es decir, que se mantiene en vigor hasta que los hechos sean adecuadamente clarificados, y en su caso, los culpables debidamente castigados. Por lo que </w:t>
      </w:r>
      <w:r>
        <w:rPr>
          <w:szCs w:val="20"/>
        </w:rPr>
        <w:t>a la luz de esa naturaleza conti</w:t>
      </w:r>
      <w:r w:rsidRPr="00F829E6">
        <w:rPr>
          <w:szCs w:val="20"/>
        </w:rPr>
        <w:t xml:space="preserve">nua, la obligación se aplica incluso cuando los hechos denunciados ocurrieron antes de la fecha en la que el Estado en cuestión depositó su instrumento de ratificación. </w:t>
      </w:r>
      <w:r>
        <w:rPr>
          <w:szCs w:val="20"/>
        </w:rPr>
        <w:t>En razón de lo anterior, l</w:t>
      </w:r>
      <w:r w:rsidRPr="00F829E6">
        <w:rPr>
          <w:szCs w:val="20"/>
        </w:rPr>
        <w:t xml:space="preserve">a </w:t>
      </w:r>
      <w:r w:rsidRPr="00F829E6">
        <w:rPr>
          <w:rFonts w:eastAsia="Times New Roman" w:cs="Courier New"/>
          <w:color w:val="212121"/>
          <w:szCs w:val="20"/>
          <w:lang w:eastAsia="es-CR"/>
        </w:rPr>
        <w:t xml:space="preserve">Comisión </w:t>
      </w:r>
      <w:r w:rsidR="00582327">
        <w:rPr>
          <w:szCs w:val="20"/>
        </w:rPr>
        <w:t>consideró</w:t>
      </w:r>
      <w:r w:rsidR="00582327" w:rsidRPr="00F829E6">
        <w:rPr>
          <w:szCs w:val="20"/>
        </w:rPr>
        <w:t xml:space="preserve"> </w:t>
      </w:r>
      <w:r w:rsidRPr="00F829E6">
        <w:rPr>
          <w:szCs w:val="20"/>
        </w:rPr>
        <w:t>culpable al Estado de la violación de los artículos 8.1 y 25.1 de la Convención Americana, en relación al artículo 1.1 del mismo instrumento, y en relación con el artículo 7 d</w:t>
      </w:r>
      <w:r>
        <w:rPr>
          <w:szCs w:val="20"/>
        </w:rPr>
        <w:t>e la Convención de Belém do Pará,</w:t>
      </w:r>
      <w:r w:rsidRPr="00F829E6">
        <w:rPr>
          <w:szCs w:val="20"/>
        </w:rPr>
        <w:t xml:space="preserve"> en detrimento de L.R.J. C.S.S., y J.F.C.</w:t>
      </w:r>
      <w:r>
        <w:rPr>
          <w:szCs w:val="20"/>
        </w:rPr>
        <w:t>.</w:t>
      </w:r>
      <w:r w:rsidRPr="00F829E6">
        <w:rPr>
          <w:b/>
          <w:szCs w:val="20"/>
        </w:rPr>
        <w:t xml:space="preserve"> </w:t>
      </w:r>
    </w:p>
    <w:p w14:paraId="55E5843F" w14:textId="77777777" w:rsidR="00B811D7" w:rsidRPr="000F164F" w:rsidRDefault="00B811D7" w:rsidP="00B811D7">
      <w:pPr>
        <w:rPr>
          <w:rFonts w:eastAsia="Times New Roman" w:cs="Courier New"/>
          <w:b/>
          <w:color w:val="212121"/>
          <w:szCs w:val="20"/>
          <w:lang w:val="es-ES" w:eastAsia="es-CR"/>
        </w:rPr>
      </w:pPr>
    </w:p>
    <w:p w14:paraId="610F4F22" w14:textId="382C5CDC" w:rsidR="00B811D7" w:rsidRPr="004E3889"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F829E6">
        <w:rPr>
          <w:szCs w:val="20"/>
          <w:lang w:val="es-ES"/>
        </w:rPr>
        <w:t xml:space="preserve">Los </w:t>
      </w:r>
      <w:r w:rsidRPr="00F829E6">
        <w:rPr>
          <w:b/>
          <w:i/>
          <w:szCs w:val="20"/>
          <w:lang w:val="es-ES"/>
        </w:rPr>
        <w:t>representantes</w:t>
      </w:r>
      <w:r w:rsidRPr="00F829E6">
        <w:rPr>
          <w:szCs w:val="20"/>
          <w:lang w:val="es-ES"/>
        </w:rPr>
        <w:t xml:space="preserve"> señalaron que las autoridades investiga</w:t>
      </w:r>
      <w:r w:rsidR="00636741">
        <w:rPr>
          <w:szCs w:val="20"/>
          <w:lang w:val="es-ES"/>
        </w:rPr>
        <w:t>dora</w:t>
      </w:r>
      <w:r w:rsidRPr="00F829E6">
        <w:rPr>
          <w:szCs w:val="20"/>
          <w:lang w:val="es-ES"/>
        </w:rPr>
        <w:t>s no fueron independientes e imparciales, y no actuaron con la debida diligencia</w:t>
      </w:r>
      <w:r>
        <w:rPr>
          <w:szCs w:val="20"/>
          <w:lang w:val="es-ES"/>
        </w:rPr>
        <w:t>,</w:t>
      </w:r>
      <w:r w:rsidRPr="00F829E6">
        <w:rPr>
          <w:szCs w:val="20"/>
          <w:lang w:val="es-ES"/>
        </w:rPr>
        <w:t xml:space="preserve"> ni en un plazo razonable, obstruyendo el acceso a la justicia de las víctimas. </w:t>
      </w:r>
      <w:r w:rsidR="00636741">
        <w:rPr>
          <w:szCs w:val="20"/>
          <w:lang w:val="es-ES"/>
        </w:rPr>
        <w:t xml:space="preserve">No </w:t>
      </w:r>
      <w:r w:rsidRPr="00F829E6">
        <w:rPr>
          <w:szCs w:val="20"/>
          <w:lang w:val="es-ES"/>
        </w:rPr>
        <w:t>fueron diligentes en su actuación debido a los largos períodos de inactividad en los procedimientos investigativos</w:t>
      </w:r>
      <w:r>
        <w:rPr>
          <w:szCs w:val="20"/>
          <w:lang w:val="es-ES"/>
        </w:rPr>
        <w:t>,</w:t>
      </w:r>
      <w:r w:rsidRPr="00F829E6">
        <w:rPr>
          <w:szCs w:val="20"/>
          <w:lang w:val="es-ES"/>
        </w:rPr>
        <w:t xml:space="preserve"> las excesivas prórrogas de plazo solicitadas y concedidas en la fase de investigación y los incumplimientos de las diligencias ordenadas por tales autoridades.</w:t>
      </w:r>
    </w:p>
    <w:p w14:paraId="235BBAEC" w14:textId="77777777" w:rsidR="00B811D7" w:rsidRPr="004E3889" w:rsidRDefault="00B811D7" w:rsidP="00B811D7">
      <w:pPr>
        <w:pStyle w:val="ListParagraph"/>
        <w:rPr>
          <w:rFonts w:eastAsia="Times New Roman" w:cs="Courier New"/>
          <w:b/>
          <w:color w:val="212121"/>
          <w:szCs w:val="20"/>
          <w:lang w:val="es-ES" w:eastAsia="es-CR"/>
        </w:rPr>
      </w:pPr>
    </w:p>
    <w:p w14:paraId="111EB4F9" w14:textId="18F334C6" w:rsidR="00B811D7" w:rsidRPr="004E3889"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4E3889">
        <w:rPr>
          <w:szCs w:val="20"/>
          <w:lang w:val="es-ES"/>
        </w:rPr>
        <w:t>Los representantes también mencionaron que la investigación de los hechos del pres</w:t>
      </w:r>
      <w:r>
        <w:rPr>
          <w:szCs w:val="20"/>
          <w:lang w:val="es-ES"/>
        </w:rPr>
        <w:t>ente caso fue perjudicada por su</w:t>
      </w:r>
      <w:r w:rsidRPr="004E3889">
        <w:rPr>
          <w:szCs w:val="20"/>
          <w:lang w:val="es-ES"/>
        </w:rPr>
        <w:t xml:space="preserve"> registro como “autos de resistencia”. En efecto, el concepto de “autos de resistencia” implica que las víctimas sean tratadas como “opositores”, lo que resulta en el establecimiento de una única línea investigativa, direccionada a buscar sus eventuales antecedentes delictivos y a probar su culpabilidad por algún </w:t>
      </w:r>
      <w:r>
        <w:rPr>
          <w:szCs w:val="20"/>
          <w:lang w:val="es-ES"/>
        </w:rPr>
        <w:t xml:space="preserve">delito </w:t>
      </w:r>
      <w:r w:rsidRPr="004E3889">
        <w:rPr>
          <w:szCs w:val="20"/>
          <w:lang w:val="es-ES"/>
        </w:rPr>
        <w:t>que haya ocurrido en el marco de los hechos investigados.</w:t>
      </w:r>
    </w:p>
    <w:p w14:paraId="621161A3" w14:textId="77777777" w:rsidR="00B811D7" w:rsidRPr="004E3889" w:rsidRDefault="00B811D7" w:rsidP="00B811D7">
      <w:pPr>
        <w:pStyle w:val="ListParagraph"/>
        <w:rPr>
          <w:rFonts w:eastAsia="Times New Roman" w:cs="Courier New"/>
          <w:b/>
          <w:color w:val="212121"/>
          <w:szCs w:val="20"/>
          <w:lang w:val="es-ES" w:eastAsia="es-CR"/>
        </w:rPr>
      </w:pPr>
    </w:p>
    <w:p w14:paraId="4FDB985C" w14:textId="5B213013" w:rsidR="00B811D7" w:rsidRPr="00A95881"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4E3889">
        <w:rPr>
          <w:szCs w:val="20"/>
          <w:lang w:val="es-ES"/>
        </w:rPr>
        <w:t>Adicionalmente, argumentaron que hubo falta de diligencia en el marco de la reapertura de las investigaciones de</w:t>
      </w:r>
      <w:r>
        <w:rPr>
          <w:szCs w:val="20"/>
          <w:lang w:val="es-ES"/>
        </w:rPr>
        <w:t>l presente caso en el año de 201</w:t>
      </w:r>
      <w:r w:rsidRPr="004E3889">
        <w:rPr>
          <w:szCs w:val="20"/>
          <w:lang w:val="es-ES"/>
        </w:rPr>
        <w:t xml:space="preserve">3; y que no se </w:t>
      </w:r>
      <w:r w:rsidRPr="004E3889">
        <w:rPr>
          <w:szCs w:val="20"/>
          <w:lang w:val="es-ES"/>
        </w:rPr>
        <w:lastRenderedPageBreak/>
        <w:t xml:space="preserve">realizaron los exámenes balísticos </w:t>
      </w:r>
      <w:r w:rsidR="00636741">
        <w:rPr>
          <w:szCs w:val="20"/>
          <w:lang w:val="es-ES"/>
        </w:rPr>
        <w:t>de</w:t>
      </w:r>
      <w:r w:rsidRPr="004E3889">
        <w:rPr>
          <w:szCs w:val="20"/>
          <w:lang w:val="es-ES"/>
        </w:rPr>
        <w:t xml:space="preserve"> </w:t>
      </w:r>
      <w:r>
        <w:rPr>
          <w:szCs w:val="20"/>
          <w:lang w:val="es-ES"/>
        </w:rPr>
        <w:t>las</w:t>
      </w:r>
      <w:r w:rsidRPr="004E3889">
        <w:rPr>
          <w:szCs w:val="20"/>
          <w:lang w:val="es-ES"/>
        </w:rPr>
        <w:t xml:space="preserve"> arma</w:t>
      </w:r>
      <w:r>
        <w:rPr>
          <w:szCs w:val="20"/>
          <w:lang w:val="es-ES"/>
        </w:rPr>
        <w:t>s</w:t>
      </w:r>
      <w:r w:rsidRPr="004E3889">
        <w:rPr>
          <w:szCs w:val="20"/>
          <w:lang w:val="es-ES"/>
        </w:rPr>
        <w:t xml:space="preserve"> correcta</w:t>
      </w:r>
      <w:r>
        <w:rPr>
          <w:szCs w:val="20"/>
          <w:lang w:val="es-ES"/>
        </w:rPr>
        <w:t>s</w:t>
      </w:r>
      <w:r w:rsidRPr="004E3889">
        <w:rPr>
          <w:szCs w:val="20"/>
          <w:lang w:val="es-ES"/>
        </w:rPr>
        <w:t>.</w:t>
      </w:r>
      <w:r>
        <w:rPr>
          <w:rFonts w:eastAsia="Times New Roman" w:cs="Courier New"/>
          <w:b/>
          <w:color w:val="212121"/>
          <w:szCs w:val="20"/>
          <w:lang w:val="es-ES" w:eastAsia="es-CR"/>
        </w:rPr>
        <w:t xml:space="preserve"> </w:t>
      </w:r>
      <w:r w:rsidRPr="00A95881">
        <w:rPr>
          <w:szCs w:val="20"/>
          <w:lang w:val="es-ES"/>
        </w:rPr>
        <w:t xml:space="preserve">En relación con la acción de reparación </w:t>
      </w:r>
      <w:r>
        <w:rPr>
          <w:szCs w:val="20"/>
          <w:lang w:val="es-ES"/>
        </w:rPr>
        <w:t xml:space="preserve">presentada </w:t>
      </w:r>
      <w:r w:rsidRPr="00A95881">
        <w:rPr>
          <w:szCs w:val="20"/>
          <w:lang w:val="es-ES"/>
        </w:rPr>
        <w:t xml:space="preserve">por </w:t>
      </w:r>
      <w:proofErr w:type="spellStart"/>
      <w:r w:rsidRPr="00A95881">
        <w:rPr>
          <w:szCs w:val="20"/>
          <w:lang w:val="es-ES"/>
        </w:rPr>
        <w:t>Mônica</w:t>
      </w:r>
      <w:proofErr w:type="spellEnd"/>
      <w:r w:rsidRPr="00A95881">
        <w:rPr>
          <w:szCs w:val="20"/>
          <w:lang w:val="es-ES"/>
        </w:rPr>
        <w:t xml:space="preserve"> Santos de Souza </w:t>
      </w:r>
      <w:proofErr w:type="spellStart"/>
      <w:r w:rsidRPr="00A95881">
        <w:rPr>
          <w:szCs w:val="20"/>
          <w:lang w:val="es-ES"/>
        </w:rPr>
        <w:t>Rodrigues</w:t>
      </w:r>
      <w:proofErr w:type="spellEnd"/>
      <w:r w:rsidRPr="00A95881">
        <w:rPr>
          <w:szCs w:val="20"/>
          <w:lang w:val="es-ES"/>
        </w:rPr>
        <w:t xml:space="preserve"> y Evelyn Santos de Souza </w:t>
      </w:r>
      <w:proofErr w:type="spellStart"/>
      <w:r w:rsidRPr="00A95881">
        <w:rPr>
          <w:szCs w:val="20"/>
          <w:lang w:val="es-ES"/>
        </w:rPr>
        <w:t>Rodrigues</w:t>
      </w:r>
      <w:proofErr w:type="spellEnd"/>
      <w:r w:rsidRPr="00A95881">
        <w:rPr>
          <w:szCs w:val="20"/>
          <w:lang w:val="es-ES"/>
        </w:rPr>
        <w:t xml:space="preserve">, los representantes señalaron que hubo una falta de recursos adecuados y efectivos para proteger y garantizar </w:t>
      </w:r>
      <w:r w:rsidR="00636741">
        <w:rPr>
          <w:szCs w:val="20"/>
          <w:lang w:val="es-ES"/>
        </w:rPr>
        <w:t>los</w:t>
      </w:r>
      <w:r w:rsidRPr="00A95881">
        <w:rPr>
          <w:szCs w:val="20"/>
          <w:lang w:val="es-ES"/>
        </w:rPr>
        <w:t xml:space="preserve"> derecho</w:t>
      </w:r>
      <w:r w:rsidR="00636741">
        <w:rPr>
          <w:szCs w:val="20"/>
          <w:lang w:val="es-ES"/>
        </w:rPr>
        <w:t>s</w:t>
      </w:r>
      <w:r w:rsidRPr="00A95881">
        <w:rPr>
          <w:szCs w:val="20"/>
          <w:lang w:val="es-ES"/>
        </w:rPr>
        <w:t xml:space="preserve"> de</w:t>
      </w:r>
      <w:r>
        <w:rPr>
          <w:szCs w:val="20"/>
          <w:lang w:val="es-ES"/>
        </w:rPr>
        <w:t xml:space="preserve"> las víctimas del presente caso</w:t>
      </w:r>
      <w:r w:rsidRPr="00A95881">
        <w:rPr>
          <w:szCs w:val="20"/>
          <w:lang w:val="es-ES"/>
        </w:rPr>
        <w:t>.</w:t>
      </w:r>
    </w:p>
    <w:p w14:paraId="61F4A6D2" w14:textId="77777777" w:rsidR="00B811D7" w:rsidRPr="00C81E7D" w:rsidRDefault="00B811D7" w:rsidP="00C81E7D">
      <w:pPr>
        <w:rPr>
          <w:rFonts w:eastAsia="Times New Roman" w:cs="Courier New"/>
          <w:b/>
          <w:color w:val="212121"/>
          <w:szCs w:val="20"/>
          <w:lang w:val="es-ES" w:eastAsia="es-CR"/>
        </w:rPr>
      </w:pPr>
    </w:p>
    <w:p w14:paraId="01B0BD21" w14:textId="233E3B9F" w:rsidR="00B811D7" w:rsidRPr="004E3889"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4E3889">
        <w:rPr>
          <w:szCs w:val="20"/>
          <w:lang w:val="es-ES"/>
        </w:rPr>
        <w:t xml:space="preserve">Los representantes solicitaron a la Corte que declare que el Estado es responsable por violar los derechos a las garantías judiciales y a la protección judicial, protegidos en los artículos 8 </w:t>
      </w:r>
      <w:r>
        <w:rPr>
          <w:szCs w:val="20"/>
          <w:lang w:val="es-ES"/>
        </w:rPr>
        <w:t xml:space="preserve">y 25 </w:t>
      </w:r>
      <w:r w:rsidRPr="004E3889">
        <w:rPr>
          <w:szCs w:val="20"/>
          <w:lang w:val="es-ES"/>
        </w:rPr>
        <w:t>de la Convención Amer</w:t>
      </w:r>
      <w:r>
        <w:rPr>
          <w:szCs w:val="20"/>
          <w:lang w:val="es-ES"/>
        </w:rPr>
        <w:t>icana, en relación con los artículos</w:t>
      </w:r>
      <w:r w:rsidRPr="004E3889">
        <w:rPr>
          <w:szCs w:val="20"/>
          <w:lang w:val="es-ES"/>
        </w:rPr>
        <w:t xml:space="preserve"> 1.1 y 2 del mismo instrumento, en perjuicio de los familiares de las víctimas fallecidas en consecuencia de los hechos del presente caso.</w:t>
      </w:r>
    </w:p>
    <w:p w14:paraId="7454519C" w14:textId="77777777" w:rsidR="00B811D7" w:rsidRPr="004E3889" w:rsidRDefault="00B811D7" w:rsidP="00B811D7">
      <w:pPr>
        <w:pStyle w:val="ListParagraph"/>
        <w:rPr>
          <w:rFonts w:eastAsia="Times New Roman" w:cs="Courier New"/>
          <w:b/>
          <w:color w:val="212121"/>
          <w:szCs w:val="20"/>
          <w:lang w:val="es-ES" w:eastAsia="es-CR"/>
        </w:rPr>
      </w:pPr>
    </w:p>
    <w:p w14:paraId="61CBB779" w14:textId="06576DC2" w:rsidR="00B811D7" w:rsidRPr="004E3889"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4E3889">
        <w:rPr>
          <w:rFonts w:eastAsiaTheme="minorEastAsia"/>
          <w:szCs w:val="20"/>
          <w:lang w:val="es-ES" w:eastAsia="zh-CN"/>
        </w:rPr>
        <w:t xml:space="preserve">Respecto a la situación de L.R.J., C.S.S. y J.F.C., los representantes mencionaron que fueron examinadas </w:t>
      </w:r>
      <w:r w:rsidR="00C81E7D">
        <w:rPr>
          <w:rFonts w:eastAsiaTheme="minorEastAsia"/>
          <w:szCs w:val="20"/>
          <w:lang w:val="es-ES" w:eastAsia="zh-CN"/>
        </w:rPr>
        <w:t xml:space="preserve">hasta </w:t>
      </w:r>
      <w:r w:rsidR="006E5F88">
        <w:rPr>
          <w:rFonts w:eastAsiaTheme="minorEastAsia"/>
          <w:szCs w:val="20"/>
          <w:lang w:val="es-ES" w:eastAsia="zh-CN"/>
        </w:rPr>
        <w:t xml:space="preserve">prácticamente </w:t>
      </w:r>
      <w:r w:rsidR="00C81E7D">
        <w:rPr>
          <w:rFonts w:eastAsiaTheme="minorEastAsia"/>
          <w:szCs w:val="20"/>
          <w:lang w:val="es-ES" w:eastAsia="zh-CN"/>
        </w:rPr>
        <w:t>un mes</w:t>
      </w:r>
      <w:r w:rsidRPr="004E3889">
        <w:rPr>
          <w:rFonts w:eastAsiaTheme="minorEastAsia"/>
          <w:szCs w:val="20"/>
          <w:lang w:val="es-ES" w:eastAsia="zh-CN"/>
        </w:rPr>
        <w:t xml:space="preserve"> después de los hechos </w:t>
      </w:r>
      <w:r>
        <w:rPr>
          <w:rFonts w:eastAsiaTheme="minorEastAsia"/>
          <w:szCs w:val="20"/>
          <w:lang w:val="es-ES" w:eastAsia="zh-CN"/>
        </w:rPr>
        <w:t xml:space="preserve">violatorios; y que </w:t>
      </w:r>
      <w:r w:rsidRPr="004E3889">
        <w:rPr>
          <w:rFonts w:eastAsiaTheme="minorEastAsia"/>
          <w:szCs w:val="20"/>
          <w:lang w:val="es-ES" w:eastAsia="zh-CN"/>
        </w:rPr>
        <w:t>por más de 20 años no se realizó ninguna diligencia para investigar</w:t>
      </w:r>
      <w:r w:rsidR="006E5F88">
        <w:rPr>
          <w:rFonts w:eastAsiaTheme="minorEastAsia"/>
          <w:szCs w:val="20"/>
          <w:lang w:val="es-ES" w:eastAsia="zh-CN"/>
        </w:rPr>
        <w:t xml:space="preserve">, </w:t>
      </w:r>
      <w:r w:rsidR="006E5F88" w:rsidRPr="004E3889">
        <w:rPr>
          <w:rFonts w:eastAsiaTheme="minorEastAsia"/>
          <w:szCs w:val="20"/>
          <w:lang w:val="es-ES" w:eastAsia="zh-CN"/>
        </w:rPr>
        <w:t xml:space="preserve">juzgar y </w:t>
      </w:r>
      <w:r w:rsidR="006E5F88">
        <w:rPr>
          <w:rFonts w:eastAsiaTheme="minorEastAsia"/>
          <w:szCs w:val="20"/>
          <w:lang w:val="es-ES" w:eastAsia="zh-CN"/>
        </w:rPr>
        <w:t xml:space="preserve">sancionar a </w:t>
      </w:r>
      <w:r w:rsidR="006E5F88" w:rsidRPr="004E3889">
        <w:rPr>
          <w:rFonts w:eastAsiaTheme="minorEastAsia"/>
          <w:szCs w:val="20"/>
          <w:lang w:val="es-ES" w:eastAsia="zh-CN"/>
        </w:rPr>
        <w:t>los responsables</w:t>
      </w:r>
      <w:r w:rsidRPr="004E3889">
        <w:rPr>
          <w:rFonts w:eastAsiaTheme="minorEastAsia"/>
          <w:szCs w:val="20"/>
          <w:lang w:val="es-ES" w:eastAsia="zh-CN"/>
        </w:rPr>
        <w:t xml:space="preserve"> </w:t>
      </w:r>
      <w:r w:rsidR="006E5F88">
        <w:rPr>
          <w:rFonts w:eastAsiaTheme="minorEastAsia"/>
          <w:szCs w:val="20"/>
          <w:lang w:val="es-ES" w:eastAsia="zh-CN"/>
        </w:rPr>
        <w:t xml:space="preserve">de </w:t>
      </w:r>
      <w:r w:rsidRPr="004E3889">
        <w:rPr>
          <w:rFonts w:eastAsiaTheme="minorEastAsia"/>
          <w:szCs w:val="20"/>
          <w:lang w:val="es-ES" w:eastAsia="zh-CN"/>
        </w:rPr>
        <w:t>los actos de violencia sexual cometidos contra ellas.</w:t>
      </w:r>
    </w:p>
    <w:p w14:paraId="5F4A79CB" w14:textId="77777777" w:rsidR="00B811D7" w:rsidRPr="004E3889" w:rsidRDefault="00B811D7" w:rsidP="00B811D7">
      <w:pPr>
        <w:pStyle w:val="ListParagraph"/>
        <w:rPr>
          <w:rFonts w:eastAsia="Times New Roman" w:cs="Courier New"/>
          <w:b/>
          <w:color w:val="212121"/>
          <w:szCs w:val="20"/>
          <w:lang w:val="es-ES" w:eastAsia="es-CR"/>
        </w:rPr>
      </w:pPr>
    </w:p>
    <w:p w14:paraId="472F3C9C" w14:textId="631A5CA1" w:rsidR="00B811D7"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4E3889">
        <w:rPr>
          <w:rFonts w:eastAsiaTheme="minorEastAsia"/>
          <w:szCs w:val="20"/>
          <w:lang w:val="es-ES" w:eastAsia="zh-CN"/>
        </w:rPr>
        <w:t>Los representantes solicitaron a la Corte que declare que el Estado es responsable por violar los derechos a la protección judicial, a las garantías judici</w:t>
      </w:r>
      <w:r>
        <w:rPr>
          <w:rFonts w:eastAsiaTheme="minorEastAsia"/>
          <w:szCs w:val="20"/>
          <w:lang w:val="es-ES" w:eastAsia="zh-CN"/>
        </w:rPr>
        <w:t xml:space="preserve">ales y a la integridad personal, contenidos en los artículos </w:t>
      </w:r>
      <w:r w:rsidRPr="004E3889">
        <w:rPr>
          <w:rFonts w:eastAsiaTheme="minorEastAsia"/>
          <w:szCs w:val="20"/>
          <w:lang w:val="es-ES" w:eastAsia="zh-CN"/>
        </w:rPr>
        <w:t xml:space="preserve">25, 8 y 5 de la Convención Americana, en relación con los </w:t>
      </w:r>
      <w:r>
        <w:rPr>
          <w:rFonts w:eastAsiaTheme="minorEastAsia"/>
          <w:szCs w:val="20"/>
          <w:lang w:val="es-ES" w:eastAsia="zh-CN"/>
        </w:rPr>
        <w:t>artículos</w:t>
      </w:r>
      <w:r w:rsidRPr="004E3889">
        <w:rPr>
          <w:rFonts w:eastAsiaTheme="minorEastAsia"/>
          <w:szCs w:val="20"/>
          <w:lang w:val="es-ES" w:eastAsia="zh-CN"/>
        </w:rPr>
        <w:t xml:space="preserve"> 1.1 y 2 del mismo instrumento; </w:t>
      </w:r>
      <w:r>
        <w:rPr>
          <w:rFonts w:eastAsiaTheme="minorEastAsia"/>
          <w:szCs w:val="20"/>
          <w:lang w:val="es-ES" w:eastAsia="zh-CN"/>
        </w:rPr>
        <w:t>1, 6 y 8 de la CIPST,</w:t>
      </w:r>
      <w:r w:rsidRPr="004E3889">
        <w:rPr>
          <w:rFonts w:eastAsiaTheme="minorEastAsia"/>
          <w:szCs w:val="20"/>
          <w:lang w:val="es-ES" w:eastAsia="zh-CN"/>
        </w:rPr>
        <w:t xml:space="preserve"> </w:t>
      </w:r>
      <w:r>
        <w:rPr>
          <w:rFonts w:eastAsiaTheme="minorEastAsia"/>
          <w:szCs w:val="20"/>
          <w:lang w:val="es-ES" w:eastAsia="zh-CN"/>
        </w:rPr>
        <w:t xml:space="preserve">y </w:t>
      </w:r>
      <w:r w:rsidRPr="004E3889">
        <w:rPr>
          <w:rFonts w:eastAsiaTheme="minorEastAsia"/>
          <w:szCs w:val="20"/>
          <w:lang w:val="es-ES" w:eastAsia="zh-CN"/>
        </w:rPr>
        <w:t>7 de</w:t>
      </w:r>
      <w:r>
        <w:rPr>
          <w:rFonts w:eastAsiaTheme="minorEastAsia"/>
          <w:szCs w:val="20"/>
          <w:lang w:val="es-ES" w:eastAsia="zh-CN"/>
        </w:rPr>
        <w:t xml:space="preserve"> la Convención de Belém do Pará</w:t>
      </w:r>
      <w:r w:rsidRPr="004E3889">
        <w:rPr>
          <w:rFonts w:eastAsiaTheme="minorEastAsia"/>
          <w:szCs w:val="20"/>
          <w:lang w:val="es-ES" w:eastAsia="zh-CN"/>
        </w:rPr>
        <w:t>, en perjuicio de L.R.J., C.S.S. y J.F.C., en razón de la impunidad por los hechos sufridos por ellas, y las afectaciones a su integridad personal por la frustración y angustia que esto les genera hasta hoy. Adicionalmente, solicitaron que tal responsabilidad sea calificada como agravada, en</w:t>
      </w:r>
      <w:r>
        <w:rPr>
          <w:rFonts w:eastAsiaTheme="minorEastAsia"/>
          <w:szCs w:val="20"/>
          <w:lang w:val="es-ES" w:eastAsia="zh-CN"/>
        </w:rPr>
        <w:t xml:space="preserve"> razón de los derechos del niño, establecidos en el artículo</w:t>
      </w:r>
      <w:r w:rsidRPr="004E3889">
        <w:rPr>
          <w:rFonts w:eastAsiaTheme="minorEastAsia"/>
          <w:szCs w:val="20"/>
          <w:lang w:val="es-ES" w:eastAsia="zh-CN"/>
        </w:rPr>
        <w:t xml:space="preserve"> 19 de la Convención Americana, en relación con el </w:t>
      </w:r>
      <w:r>
        <w:rPr>
          <w:rFonts w:eastAsiaTheme="minorEastAsia"/>
          <w:szCs w:val="20"/>
          <w:lang w:val="es-ES" w:eastAsia="zh-CN"/>
        </w:rPr>
        <w:t>artículo</w:t>
      </w:r>
      <w:r w:rsidRPr="004E3889">
        <w:rPr>
          <w:rFonts w:eastAsiaTheme="minorEastAsia"/>
          <w:szCs w:val="20"/>
          <w:lang w:val="es-ES" w:eastAsia="zh-CN"/>
        </w:rPr>
        <w:t xml:space="preserve"> 1.1 del mismo instrumento</w:t>
      </w:r>
      <w:r>
        <w:rPr>
          <w:rFonts w:eastAsiaTheme="minorEastAsia"/>
          <w:szCs w:val="20"/>
          <w:lang w:val="es-ES" w:eastAsia="zh-CN"/>
        </w:rPr>
        <w:t>, en lo que respecta a</w:t>
      </w:r>
      <w:r w:rsidRPr="004E3889">
        <w:rPr>
          <w:rFonts w:eastAsiaTheme="minorEastAsia"/>
          <w:szCs w:val="20"/>
          <w:lang w:val="es-ES" w:eastAsia="zh-CN"/>
        </w:rPr>
        <w:t xml:space="preserve"> C.S.S., que tenía 15 años en la época de los hechos del presente caso, y de J.F.C., que tenía 16 años.</w:t>
      </w:r>
    </w:p>
    <w:p w14:paraId="7A34FAAB" w14:textId="77777777" w:rsidR="00B811D7" w:rsidRPr="000F164F" w:rsidRDefault="00B811D7" w:rsidP="00B811D7">
      <w:pPr>
        <w:pStyle w:val="ListParagraph"/>
        <w:rPr>
          <w:rFonts w:eastAsia="Times New Roman" w:cs="Courier New"/>
          <w:b/>
          <w:color w:val="212121"/>
          <w:szCs w:val="20"/>
          <w:lang w:val="es-ES" w:eastAsia="es-CR"/>
        </w:rPr>
      </w:pPr>
    </w:p>
    <w:p w14:paraId="5D8175B2" w14:textId="5F286BD7" w:rsidR="00B811D7" w:rsidRPr="00053FAF" w:rsidRDefault="00B811D7" w:rsidP="00D6683A">
      <w:pPr>
        <w:pStyle w:val="ListParagraph"/>
        <w:numPr>
          <w:ilvl w:val="0"/>
          <w:numId w:val="1"/>
        </w:numPr>
        <w:shd w:val="clear" w:color="auto" w:fill="FFFFFF"/>
        <w:rPr>
          <w:rFonts w:eastAsia="Times New Roman" w:cs="Courier New"/>
          <w:b/>
          <w:color w:val="212121"/>
          <w:szCs w:val="20"/>
          <w:lang w:val="es-ES" w:eastAsia="es-CR"/>
        </w:rPr>
      </w:pPr>
      <w:r w:rsidRPr="000F164F">
        <w:rPr>
          <w:szCs w:val="20"/>
        </w:rPr>
        <w:t xml:space="preserve">El </w:t>
      </w:r>
      <w:r w:rsidRPr="000F164F">
        <w:rPr>
          <w:b/>
          <w:i/>
          <w:szCs w:val="20"/>
        </w:rPr>
        <w:t>Estado</w:t>
      </w:r>
      <w:r w:rsidRPr="000F164F">
        <w:rPr>
          <w:szCs w:val="20"/>
        </w:rPr>
        <w:t xml:space="preserve"> no se refirió específicamente a la</w:t>
      </w:r>
      <w:r w:rsidR="006E5F88">
        <w:rPr>
          <w:szCs w:val="20"/>
        </w:rPr>
        <w:t>s</w:t>
      </w:r>
      <w:r>
        <w:rPr>
          <w:szCs w:val="20"/>
        </w:rPr>
        <w:t xml:space="preserve"> alegada</w:t>
      </w:r>
      <w:r w:rsidR="006E5F88">
        <w:rPr>
          <w:szCs w:val="20"/>
        </w:rPr>
        <w:t>s</w:t>
      </w:r>
      <w:r w:rsidRPr="000F164F">
        <w:rPr>
          <w:szCs w:val="20"/>
        </w:rPr>
        <w:t xml:space="preserve"> violaci</w:t>
      </w:r>
      <w:r w:rsidR="006E5F88">
        <w:rPr>
          <w:szCs w:val="20"/>
        </w:rPr>
        <w:t>ones</w:t>
      </w:r>
      <w:r w:rsidRPr="000F164F">
        <w:rPr>
          <w:szCs w:val="20"/>
        </w:rPr>
        <w:t xml:space="preserve"> de los artículos 8 y 25 de la Convención. Sin embargo realizó </w:t>
      </w:r>
      <w:r>
        <w:rPr>
          <w:szCs w:val="20"/>
        </w:rPr>
        <w:t xml:space="preserve">algunas </w:t>
      </w:r>
      <w:r w:rsidRPr="000F164F">
        <w:rPr>
          <w:szCs w:val="20"/>
        </w:rPr>
        <w:t>consideraciones relativas a las garantías judiciales y la protección judicial, como parte de sus alegatos referentes al derecho a la integridad personal.</w:t>
      </w:r>
      <w:r>
        <w:rPr>
          <w:rFonts w:eastAsia="Times New Roman" w:cs="Courier New"/>
          <w:b/>
          <w:color w:val="212121"/>
          <w:szCs w:val="20"/>
          <w:lang w:val="es-ES" w:eastAsia="es-CR"/>
        </w:rPr>
        <w:t xml:space="preserve"> </w:t>
      </w:r>
      <w:r w:rsidRPr="00053FAF">
        <w:rPr>
          <w:rFonts w:eastAsia="Times New Roman" w:cs="Courier New"/>
          <w:color w:val="212121"/>
          <w:szCs w:val="20"/>
          <w:lang w:val="es-ES" w:eastAsia="es-CR"/>
        </w:rPr>
        <w:t>Al respecto, e</w:t>
      </w:r>
      <w:r w:rsidRPr="00053FAF">
        <w:rPr>
          <w:szCs w:val="20"/>
        </w:rPr>
        <w:t>l Estado consideró que una violación del artículo 25 de la Convención no puede ser simultánea a la violación del artículo 8 del mismo instrumento, pues protegen derechos diferentes</w:t>
      </w:r>
      <w:r w:rsidR="00AF231F" w:rsidRPr="00AF231F">
        <w:rPr>
          <w:szCs w:val="20"/>
        </w:rPr>
        <w:t>,</w:t>
      </w:r>
      <w:r w:rsidR="00AF231F">
        <w:rPr>
          <w:szCs w:val="20"/>
        </w:rPr>
        <w:t xml:space="preserve"> y </w:t>
      </w:r>
      <w:r w:rsidRPr="00053FAF">
        <w:rPr>
          <w:szCs w:val="20"/>
        </w:rPr>
        <w:t>los representantes pretenden que el Estado sea simultáneamente declarado responsable por la violación de</w:t>
      </w:r>
      <w:r w:rsidR="00AF231F">
        <w:rPr>
          <w:szCs w:val="20"/>
        </w:rPr>
        <w:t xml:space="preserve"> ambos </w:t>
      </w:r>
      <w:r w:rsidRPr="00053FAF">
        <w:rPr>
          <w:szCs w:val="20"/>
        </w:rPr>
        <w:t>artículo</w:t>
      </w:r>
      <w:r w:rsidR="00AF231F">
        <w:rPr>
          <w:szCs w:val="20"/>
        </w:rPr>
        <w:t>s</w:t>
      </w:r>
      <w:r w:rsidRPr="00053FAF">
        <w:rPr>
          <w:szCs w:val="20"/>
        </w:rPr>
        <w:t xml:space="preserve"> de la Convención en virtud de un mismo hecho</w:t>
      </w:r>
      <w:r>
        <w:rPr>
          <w:szCs w:val="20"/>
        </w:rPr>
        <w:t>.</w:t>
      </w:r>
      <w:r w:rsidRPr="00053FAF">
        <w:rPr>
          <w:szCs w:val="20"/>
        </w:rPr>
        <w:t xml:space="preserve"> </w:t>
      </w:r>
    </w:p>
    <w:p w14:paraId="4A8D0601" w14:textId="77777777" w:rsidR="00B811D7" w:rsidRPr="000F164F" w:rsidRDefault="00B811D7" w:rsidP="00B811D7">
      <w:pPr>
        <w:pStyle w:val="ListParagraph"/>
        <w:shd w:val="clear" w:color="auto" w:fill="FFFFFF"/>
        <w:ind w:left="0"/>
        <w:rPr>
          <w:rFonts w:eastAsia="Times New Roman" w:cs="Courier New"/>
          <w:b/>
          <w:color w:val="212121"/>
          <w:szCs w:val="20"/>
          <w:lang w:val="es-ES" w:eastAsia="es-CR"/>
        </w:rPr>
      </w:pPr>
    </w:p>
    <w:p w14:paraId="1F2C3420" w14:textId="77777777" w:rsidR="00B811D7" w:rsidRPr="00B811D7" w:rsidRDefault="00B811D7" w:rsidP="002A031A">
      <w:pPr>
        <w:pStyle w:val="TOC2"/>
        <w:numPr>
          <w:ilvl w:val="0"/>
          <w:numId w:val="35"/>
        </w:numPr>
        <w:ind w:hanging="720"/>
        <w:rPr>
          <w:rFonts w:cs="Arial"/>
          <w:lang w:val="es-ES_tradnl"/>
        </w:rPr>
      </w:pPr>
      <w:bookmarkStart w:id="407" w:name="_Toc464813975"/>
      <w:bookmarkStart w:id="408" w:name="_Toc469404511"/>
      <w:bookmarkStart w:id="409" w:name="_Toc472608954"/>
      <w:bookmarkStart w:id="410" w:name="_Ref319671385"/>
      <w:bookmarkEnd w:id="393"/>
      <w:bookmarkEnd w:id="394"/>
      <w:bookmarkEnd w:id="395"/>
      <w:bookmarkEnd w:id="396"/>
      <w:bookmarkEnd w:id="397"/>
      <w:r w:rsidRPr="00B811D7">
        <w:t>Consideraciones de la Corte</w:t>
      </w:r>
      <w:bookmarkEnd w:id="407"/>
      <w:bookmarkEnd w:id="408"/>
      <w:bookmarkEnd w:id="409"/>
    </w:p>
    <w:p w14:paraId="7DD86858" w14:textId="77777777" w:rsidR="00B811D7" w:rsidRPr="00E90FA0" w:rsidRDefault="00B811D7" w:rsidP="00B811D7">
      <w:pPr>
        <w:rPr>
          <w:szCs w:val="20"/>
        </w:rPr>
      </w:pPr>
    </w:p>
    <w:p w14:paraId="7227E510" w14:textId="440DB841" w:rsidR="00B811D7" w:rsidRDefault="00B811D7" w:rsidP="00D6683A">
      <w:pPr>
        <w:pStyle w:val="ListParagraph"/>
        <w:numPr>
          <w:ilvl w:val="0"/>
          <w:numId w:val="1"/>
        </w:numPr>
        <w:rPr>
          <w:b/>
          <w:szCs w:val="20"/>
        </w:rPr>
      </w:pPr>
      <w:r>
        <w:rPr>
          <w:rFonts w:cs="Arial"/>
          <w:iCs/>
          <w:szCs w:val="20"/>
        </w:rPr>
        <w:t>L</w:t>
      </w:r>
      <w:r w:rsidRPr="00C60C6A">
        <w:rPr>
          <w:rFonts w:cs="Arial"/>
          <w:iCs/>
          <w:szCs w:val="20"/>
        </w:rPr>
        <w:t xml:space="preserve">a Corte </w:t>
      </w:r>
      <w:r>
        <w:rPr>
          <w:rFonts w:cs="Arial"/>
          <w:iCs/>
          <w:szCs w:val="20"/>
        </w:rPr>
        <w:t>reitera</w:t>
      </w:r>
      <w:r w:rsidRPr="00C60C6A">
        <w:rPr>
          <w:rFonts w:cs="Arial"/>
          <w:iCs/>
          <w:szCs w:val="20"/>
        </w:rPr>
        <w:t xml:space="preserve"> que su </w:t>
      </w:r>
      <w:r w:rsidRPr="00C60C6A">
        <w:rPr>
          <w:noProof/>
          <w:szCs w:val="20"/>
          <w:lang w:eastAsia="es-ES"/>
        </w:rPr>
        <w:t xml:space="preserve">competencia contenciosa en el presente caso se limita a las actuaciones judiciales </w:t>
      </w:r>
      <w:r w:rsidR="00636741">
        <w:rPr>
          <w:noProof/>
          <w:szCs w:val="20"/>
          <w:lang w:eastAsia="es-ES"/>
        </w:rPr>
        <w:t xml:space="preserve">que tuvieron lugar </w:t>
      </w:r>
      <w:r w:rsidRPr="00C60C6A">
        <w:rPr>
          <w:noProof/>
          <w:szCs w:val="20"/>
          <w:lang w:eastAsia="es-ES"/>
        </w:rPr>
        <w:t xml:space="preserve">después del </w:t>
      </w:r>
      <w:r w:rsidR="001F560A">
        <w:rPr>
          <w:noProof/>
          <w:szCs w:val="20"/>
          <w:lang w:eastAsia="es-ES"/>
        </w:rPr>
        <w:t xml:space="preserve">10 de </w:t>
      </w:r>
      <w:r w:rsidRPr="00C60C6A">
        <w:rPr>
          <w:noProof/>
          <w:szCs w:val="20"/>
          <w:lang w:eastAsia="es-ES"/>
        </w:rPr>
        <w:t>diciembre de 1998</w:t>
      </w:r>
      <w:r w:rsidR="00636741">
        <w:rPr>
          <w:noProof/>
          <w:szCs w:val="20"/>
          <w:lang w:eastAsia="es-ES"/>
        </w:rPr>
        <w:t xml:space="preserve">, fecha a partir de la cual </w:t>
      </w:r>
      <w:r w:rsidR="006E5F88">
        <w:rPr>
          <w:noProof/>
          <w:szCs w:val="20"/>
          <w:lang w:eastAsia="es-ES"/>
        </w:rPr>
        <w:t xml:space="preserve">el Estado </w:t>
      </w:r>
      <w:r w:rsidR="00636741">
        <w:rPr>
          <w:noProof/>
          <w:szCs w:val="20"/>
          <w:lang w:eastAsia="es-ES"/>
        </w:rPr>
        <w:t>reconoció la competencia de  este Tribunal</w:t>
      </w:r>
      <w:r w:rsidRPr="00C60C6A">
        <w:rPr>
          <w:noProof/>
          <w:szCs w:val="20"/>
          <w:lang w:eastAsia="es-ES"/>
        </w:rPr>
        <w:t xml:space="preserve">. En ese sentido, </w:t>
      </w:r>
      <w:r w:rsidR="00D64CC0" w:rsidRPr="00566529">
        <w:rPr>
          <w:noProof/>
          <w:szCs w:val="20"/>
          <w:lang w:eastAsia="es-ES"/>
        </w:rPr>
        <w:t>para efectos de determinar la resp</w:t>
      </w:r>
      <w:r w:rsidR="00566529">
        <w:rPr>
          <w:noProof/>
          <w:szCs w:val="20"/>
          <w:lang w:eastAsia="es-ES"/>
        </w:rPr>
        <w:t xml:space="preserve">onsabilidad estatal en el caso, </w:t>
      </w:r>
      <w:r w:rsidRPr="00C60C6A">
        <w:rPr>
          <w:noProof/>
          <w:szCs w:val="20"/>
          <w:lang w:eastAsia="es-ES"/>
        </w:rPr>
        <w:t>la Corte analizará únicamente las actuaciones realizadas a partir de</w:t>
      </w:r>
      <w:r>
        <w:rPr>
          <w:noProof/>
          <w:szCs w:val="20"/>
          <w:lang w:eastAsia="es-ES"/>
        </w:rPr>
        <w:t xml:space="preserve"> la referida fecha</w:t>
      </w:r>
      <w:r w:rsidRPr="00C60C6A">
        <w:rPr>
          <w:noProof/>
          <w:szCs w:val="20"/>
          <w:lang w:eastAsia="es-ES"/>
        </w:rPr>
        <w:t>.</w:t>
      </w:r>
      <w:r w:rsidRPr="00C60C6A">
        <w:rPr>
          <w:b/>
          <w:noProof/>
          <w:szCs w:val="20"/>
          <w:lang w:eastAsia="es-ES"/>
        </w:rPr>
        <w:t xml:space="preserve"> </w:t>
      </w:r>
    </w:p>
    <w:p w14:paraId="7F8B82A1" w14:textId="77777777" w:rsidR="00B811D7" w:rsidRPr="00D15EEA" w:rsidRDefault="00B811D7" w:rsidP="00B811D7">
      <w:pPr>
        <w:contextualSpacing/>
        <w:rPr>
          <w:szCs w:val="20"/>
        </w:rPr>
      </w:pPr>
    </w:p>
    <w:p w14:paraId="261F6961" w14:textId="74B8B485" w:rsidR="00B811D7" w:rsidRPr="00B524F5" w:rsidRDefault="00B811D7" w:rsidP="00D6683A">
      <w:pPr>
        <w:numPr>
          <w:ilvl w:val="0"/>
          <w:numId w:val="1"/>
        </w:numPr>
        <w:contextualSpacing/>
        <w:rPr>
          <w:szCs w:val="20"/>
        </w:rPr>
      </w:pPr>
      <w:r>
        <w:rPr>
          <w:spacing w:val="-3"/>
          <w:szCs w:val="20"/>
          <w:lang w:val="es-ES"/>
        </w:rPr>
        <w:t xml:space="preserve">Antes de examinar las investigaciones relacionadas a las redadas ocurridas el 18 de octubre de 1994 y 8 de mayo de 1995, la Corte se pronunciará sobre: i) los </w:t>
      </w:r>
      <w:r w:rsidRPr="00D93700">
        <w:rPr>
          <w:spacing w:val="-3"/>
          <w:szCs w:val="20"/>
          <w:lang w:val="es-ES"/>
        </w:rPr>
        <w:t xml:space="preserve">estándares relativos a debida diligencia y plazo razonable en casos de </w:t>
      </w:r>
      <w:r w:rsidR="00595ABC">
        <w:rPr>
          <w:spacing w:val="-3"/>
          <w:szCs w:val="20"/>
          <w:lang w:val="es-ES"/>
        </w:rPr>
        <w:t xml:space="preserve">alegadas </w:t>
      </w:r>
      <w:r w:rsidRPr="00D93700">
        <w:rPr>
          <w:spacing w:val="-3"/>
          <w:szCs w:val="20"/>
          <w:lang w:val="es-ES"/>
        </w:rPr>
        <w:t>ejecuciones</w:t>
      </w:r>
      <w:r w:rsidR="00595ABC">
        <w:rPr>
          <w:spacing w:val="-3"/>
          <w:szCs w:val="20"/>
          <w:lang w:val="es-ES"/>
        </w:rPr>
        <w:t xml:space="preserve">; ii) la independencia de los órganos investigativos en casos de muerte </w:t>
      </w:r>
      <w:r w:rsidR="005B4B6B">
        <w:rPr>
          <w:spacing w:val="-3"/>
          <w:szCs w:val="20"/>
          <w:lang w:val="es-ES"/>
        </w:rPr>
        <w:t xml:space="preserve">derivada </w:t>
      </w:r>
      <w:r w:rsidR="00595ABC">
        <w:rPr>
          <w:spacing w:val="-3"/>
          <w:szCs w:val="20"/>
          <w:lang w:val="es-ES"/>
        </w:rPr>
        <w:t>de intervención policial</w:t>
      </w:r>
      <w:r>
        <w:rPr>
          <w:spacing w:val="-3"/>
          <w:szCs w:val="20"/>
          <w:lang w:val="es-ES"/>
        </w:rPr>
        <w:t>, y i</w:t>
      </w:r>
      <w:r w:rsidR="007745B2">
        <w:rPr>
          <w:spacing w:val="-3"/>
          <w:szCs w:val="20"/>
          <w:lang w:val="es-ES"/>
        </w:rPr>
        <w:t>i</w:t>
      </w:r>
      <w:r>
        <w:rPr>
          <w:spacing w:val="-3"/>
          <w:szCs w:val="20"/>
          <w:lang w:val="es-ES"/>
        </w:rPr>
        <w:t xml:space="preserve">i) los efectos de los “autos de resistencia al arresto” en las investigaciones. </w:t>
      </w:r>
      <w:r w:rsidR="00595ABC">
        <w:rPr>
          <w:spacing w:val="-3"/>
          <w:szCs w:val="20"/>
          <w:lang w:val="es-ES"/>
        </w:rPr>
        <w:t>A continuación</w:t>
      </w:r>
      <w:r>
        <w:rPr>
          <w:spacing w:val="-3"/>
          <w:szCs w:val="20"/>
          <w:lang w:val="es-ES"/>
        </w:rPr>
        <w:t>, realizará</w:t>
      </w:r>
      <w:r w:rsidR="007745B2">
        <w:rPr>
          <w:spacing w:val="-3"/>
          <w:szCs w:val="20"/>
          <w:lang w:val="es-ES"/>
        </w:rPr>
        <w:t xml:space="preserve"> un análisis concreto sobre: iv</w:t>
      </w:r>
      <w:r>
        <w:rPr>
          <w:spacing w:val="-3"/>
          <w:szCs w:val="20"/>
          <w:lang w:val="es-ES"/>
        </w:rPr>
        <w:t>)</w:t>
      </w:r>
      <w:r w:rsidRPr="00D93700">
        <w:rPr>
          <w:spacing w:val="-3"/>
          <w:szCs w:val="20"/>
          <w:lang w:val="es-ES"/>
        </w:rPr>
        <w:t xml:space="preserve"> </w:t>
      </w:r>
      <w:r>
        <w:rPr>
          <w:spacing w:val="-3"/>
          <w:szCs w:val="20"/>
          <w:lang w:val="es-ES"/>
        </w:rPr>
        <w:t>la debida diligencia y el plazo razonable en las investigaciones relacionadas con la</w:t>
      </w:r>
      <w:r w:rsidR="00B67941">
        <w:rPr>
          <w:spacing w:val="-3"/>
          <w:szCs w:val="20"/>
          <w:lang w:val="es-ES"/>
        </w:rPr>
        <w:t>s</w:t>
      </w:r>
      <w:r>
        <w:rPr>
          <w:spacing w:val="-3"/>
          <w:szCs w:val="20"/>
          <w:lang w:val="es-ES"/>
        </w:rPr>
        <w:t xml:space="preserve"> redada</w:t>
      </w:r>
      <w:r w:rsidR="00B67941">
        <w:rPr>
          <w:spacing w:val="-3"/>
          <w:szCs w:val="20"/>
          <w:lang w:val="es-ES"/>
        </w:rPr>
        <w:t>s</w:t>
      </w:r>
      <w:r>
        <w:rPr>
          <w:spacing w:val="-3"/>
          <w:szCs w:val="20"/>
          <w:lang w:val="es-ES"/>
        </w:rPr>
        <w:t xml:space="preserve"> de 1994</w:t>
      </w:r>
      <w:r w:rsidR="00B67941">
        <w:rPr>
          <w:spacing w:val="-3"/>
          <w:szCs w:val="20"/>
          <w:lang w:val="es-ES"/>
        </w:rPr>
        <w:t xml:space="preserve"> y 1995, y</w:t>
      </w:r>
      <w:r w:rsidR="007745B2">
        <w:rPr>
          <w:spacing w:val="-3"/>
          <w:szCs w:val="20"/>
          <w:lang w:val="es-ES"/>
        </w:rPr>
        <w:t xml:space="preserve"> </w:t>
      </w:r>
      <w:r>
        <w:rPr>
          <w:spacing w:val="-3"/>
          <w:szCs w:val="20"/>
          <w:lang w:val="es-ES"/>
        </w:rPr>
        <w:t>v) la efectividad de los rec</w:t>
      </w:r>
      <w:r w:rsidRPr="00850EED">
        <w:rPr>
          <w:spacing w:val="-3"/>
          <w:szCs w:val="20"/>
          <w:lang w:val="es-ES"/>
        </w:rPr>
        <w:t xml:space="preserve">ursos para la protección de los derechos de los familiares de las </w:t>
      </w:r>
      <w:r w:rsidR="00EC4849">
        <w:rPr>
          <w:spacing w:val="-3"/>
          <w:szCs w:val="20"/>
          <w:lang w:val="es-ES"/>
        </w:rPr>
        <w:t>víctimas muertas</w:t>
      </w:r>
      <w:r w:rsidRPr="00850EED">
        <w:rPr>
          <w:spacing w:val="-3"/>
          <w:szCs w:val="20"/>
          <w:lang w:val="es-ES"/>
        </w:rPr>
        <w:t xml:space="preserve"> en la</w:t>
      </w:r>
      <w:r w:rsidR="00B67941">
        <w:rPr>
          <w:spacing w:val="-3"/>
          <w:szCs w:val="20"/>
          <w:lang w:val="es-ES"/>
        </w:rPr>
        <w:t>s</w:t>
      </w:r>
      <w:r w:rsidRPr="00850EED">
        <w:rPr>
          <w:spacing w:val="-3"/>
          <w:szCs w:val="20"/>
          <w:lang w:val="es-ES"/>
        </w:rPr>
        <w:t xml:space="preserve"> </w:t>
      </w:r>
      <w:r w:rsidRPr="00850EED">
        <w:rPr>
          <w:spacing w:val="-3"/>
          <w:szCs w:val="20"/>
          <w:lang w:val="es-ES"/>
        </w:rPr>
        <w:lastRenderedPageBreak/>
        <w:t>redada</w:t>
      </w:r>
      <w:r w:rsidR="00B67941">
        <w:rPr>
          <w:spacing w:val="-3"/>
          <w:szCs w:val="20"/>
          <w:lang w:val="es-ES"/>
        </w:rPr>
        <w:t>s</w:t>
      </w:r>
      <w:r w:rsidRPr="00850EED">
        <w:rPr>
          <w:spacing w:val="-3"/>
          <w:szCs w:val="20"/>
          <w:lang w:val="es-ES"/>
        </w:rPr>
        <w:t xml:space="preserve"> de 1994</w:t>
      </w:r>
      <w:r w:rsidR="00B67941">
        <w:rPr>
          <w:spacing w:val="-3"/>
          <w:szCs w:val="20"/>
          <w:lang w:val="es-ES"/>
        </w:rPr>
        <w:t xml:space="preserve"> y 1995</w:t>
      </w:r>
      <w:r w:rsidRPr="00850EED">
        <w:rPr>
          <w:spacing w:val="-3"/>
          <w:szCs w:val="20"/>
          <w:lang w:val="es-ES"/>
        </w:rPr>
        <w:t>.</w:t>
      </w:r>
      <w:r w:rsidR="00595ABC">
        <w:rPr>
          <w:spacing w:val="-3"/>
          <w:szCs w:val="20"/>
          <w:lang w:val="es-ES"/>
        </w:rPr>
        <w:t xml:space="preserve"> Posteriormente, la</w:t>
      </w:r>
      <w:r w:rsidR="007745B2">
        <w:rPr>
          <w:spacing w:val="-3"/>
          <w:szCs w:val="20"/>
          <w:lang w:val="es-ES"/>
        </w:rPr>
        <w:t xml:space="preserve"> Corte se pronunciará sobre vi</w:t>
      </w:r>
      <w:r w:rsidR="00595ABC">
        <w:rPr>
          <w:spacing w:val="-3"/>
          <w:szCs w:val="20"/>
          <w:lang w:val="es-ES"/>
        </w:rPr>
        <w:t>) los estándares relativos a la debida diligencia en</w:t>
      </w:r>
      <w:r w:rsidR="007745B2">
        <w:rPr>
          <w:spacing w:val="-3"/>
          <w:szCs w:val="20"/>
          <w:lang w:val="es-ES"/>
        </w:rPr>
        <w:t xml:space="preserve"> casos de violación sexual, y vii</w:t>
      </w:r>
      <w:r w:rsidR="00595ABC">
        <w:rPr>
          <w:spacing w:val="-3"/>
          <w:szCs w:val="20"/>
          <w:lang w:val="es-ES"/>
        </w:rPr>
        <w:t xml:space="preserve">) realizará un análisis sobre la respuesta estatal en relación con las violaciones sexuales </w:t>
      </w:r>
      <w:r w:rsidR="00595ABC" w:rsidRPr="00850EED">
        <w:rPr>
          <w:spacing w:val="-3"/>
          <w:szCs w:val="20"/>
          <w:lang w:val="es-ES"/>
        </w:rPr>
        <w:t xml:space="preserve">de </w:t>
      </w:r>
      <w:r w:rsidR="00595ABC" w:rsidRPr="00850EED">
        <w:rPr>
          <w:rFonts w:eastAsiaTheme="minorEastAsia"/>
          <w:szCs w:val="20"/>
          <w:lang w:val="es-ES" w:eastAsia="zh-CN"/>
        </w:rPr>
        <w:t>L.R.J., C.S.S. y J.F.C.</w:t>
      </w:r>
    </w:p>
    <w:p w14:paraId="6D2AB754" w14:textId="77777777" w:rsidR="007C1DF3" w:rsidRPr="00053FAF" w:rsidRDefault="007C1DF3" w:rsidP="00B811D7">
      <w:pPr>
        <w:contextualSpacing/>
        <w:rPr>
          <w:spacing w:val="-3"/>
          <w:szCs w:val="20"/>
        </w:rPr>
      </w:pPr>
    </w:p>
    <w:p w14:paraId="77626149" w14:textId="00857471" w:rsidR="00B811D7" w:rsidRPr="00B811D7" w:rsidRDefault="00B811D7" w:rsidP="00123780">
      <w:pPr>
        <w:pStyle w:val="TOC2"/>
      </w:pPr>
      <w:bookmarkStart w:id="411" w:name="_Toc469404512"/>
      <w:bookmarkStart w:id="412" w:name="_Toc472608955"/>
      <w:r w:rsidRPr="00B811D7">
        <w:t>B.1</w:t>
      </w:r>
      <w:r w:rsidR="00CE18D4">
        <w:t>.</w:t>
      </w:r>
      <w:r w:rsidR="002A031A">
        <w:tab/>
      </w:r>
      <w:r w:rsidRPr="00B811D7">
        <w:t>Estándares relativos a debida diligencia y plazo razonable en casos de</w:t>
      </w:r>
      <w:r w:rsidR="00FC00B9">
        <w:t xml:space="preserve"> alegadas </w:t>
      </w:r>
      <w:r w:rsidRPr="00B811D7">
        <w:t xml:space="preserve"> ejecuciones</w:t>
      </w:r>
      <w:bookmarkEnd w:id="411"/>
      <w:r w:rsidR="00FC00B9">
        <w:t xml:space="preserve"> extrajudiciales</w:t>
      </w:r>
      <w:bookmarkEnd w:id="412"/>
    </w:p>
    <w:p w14:paraId="143B1AB1" w14:textId="77777777" w:rsidR="00B811D7" w:rsidRDefault="00B811D7" w:rsidP="00B811D7">
      <w:pPr>
        <w:contextualSpacing/>
        <w:rPr>
          <w:szCs w:val="20"/>
        </w:rPr>
      </w:pPr>
    </w:p>
    <w:p w14:paraId="3A7BC4CE" w14:textId="77777777" w:rsidR="00B811D7" w:rsidRPr="005A0FFF" w:rsidRDefault="00B811D7" w:rsidP="00D6683A">
      <w:pPr>
        <w:numPr>
          <w:ilvl w:val="0"/>
          <w:numId w:val="1"/>
        </w:numPr>
        <w:contextualSpacing/>
        <w:rPr>
          <w:szCs w:val="20"/>
        </w:rPr>
      </w:pPr>
      <w:r w:rsidRPr="005E6212">
        <w:rPr>
          <w:szCs w:val="20"/>
          <w:lang w:val="es-ES"/>
        </w:rPr>
        <w:t>La Corte ha expresado de manera reiterada que los Estados Partes están obligados a suministrar recursos judiciales efectivos a las víctimas de violaciones de los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Pr>
          <w:rStyle w:val="FootnoteReference"/>
          <w:lang w:val="es-ES"/>
        </w:rPr>
        <w:footnoteReference w:id="195"/>
      </w:r>
      <w:r w:rsidRPr="005E6212">
        <w:rPr>
          <w:szCs w:val="20"/>
          <w:lang w:val="es-ES"/>
        </w:rPr>
        <w:t>.</w:t>
      </w:r>
    </w:p>
    <w:p w14:paraId="3939D7C5" w14:textId="77777777" w:rsidR="00B811D7" w:rsidRDefault="00B811D7" w:rsidP="00B811D7">
      <w:pPr>
        <w:pStyle w:val="ListParagraph"/>
        <w:rPr>
          <w:szCs w:val="20"/>
        </w:rPr>
      </w:pPr>
    </w:p>
    <w:p w14:paraId="7B177E99" w14:textId="77777777" w:rsidR="008E003D" w:rsidRDefault="00B811D7" w:rsidP="008E003D">
      <w:pPr>
        <w:numPr>
          <w:ilvl w:val="0"/>
          <w:numId w:val="1"/>
        </w:numPr>
        <w:contextualSpacing/>
        <w:rPr>
          <w:szCs w:val="20"/>
        </w:rPr>
      </w:pPr>
      <w:r w:rsidRPr="00761EFF">
        <w:rPr>
          <w:rFonts w:eastAsia="Verdana" w:cs="Verdana"/>
          <w:spacing w:val="-1"/>
          <w:szCs w:val="20"/>
          <w:lang w:val="es-ES"/>
        </w:rPr>
        <w:t>E</w:t>
      </w:r>
      <w:r w:rsidRPr="00761EFF">
        <w:rPr>
          <w:rFonts w:eastAsia="Verdana" w:cs="Verdana"/>
          <w:szCs w:val="20"/>
          <w:lang w:val="es-ES"/>
        </w:rPr>
        <w:t>s</w:t>
      </w:r>
      <w:r w:rsidRPr="00761EFF">
        <w:rPr>
          <w:rFonts w:eastAsia="Verdana" w:cs="Verdana"/>
          <w:spacing w:val="2"/>
          <w:szCs w:val="20"/>
          <w:lang w:val="es-ES"/>
        </w:rPr>
        <w:t>t</w:t>
      </w:r>
      <w:r w:rsidRPr="00761EFF">
        <w:rPr>
          <w:rFonts w:eastAsia="Verdana" w:cs="Verdana"/>
          <w:szCs w:val="20"/>
          <w:lang w:val="es-ES"/>
        </w:rPr>
        <w:t>e</w:t>
      </w:r>
      <w:r w:rsidRPr="00761EFF">
        <w:rPr>
          <w:rFonts w:eastAsia="Verdana" w:cs="Verdana"/>
          <w:spacing w:val="6"/>
          <w:szCs w:val="20"/>
          <w:lang w:val="es-ES"/>
        </w:rPr>
        <w:t xml:space="preserve"> </w:t>
      </w:r>
      <w:r w:rsidRPr="00761EFF">
        <w:rPr>
          <w:rFonts w:eastAsia="Verdana" w:cs="Verdana"/>
          <w:spacing w:val="3"/>
          <w:szCs w:val="20"/>
          <w:lang w:val="es-ES"/>
        </w:rPr>
        <w:t>d</w:t>
      </w:r>
      <w:r w:rsidRPr="00761EFF">
        <w:rPr>
          <w:rFonts w:eastAsia="Verdana" w:cs="Verdana"/>
          <w:spacing w:val="-1"/>
          <w:szCs w:val="20"/>
          <w:lang w:val="es-ES"/>
        </w:rPr>
        <w:t>e</w:t>
      </w:r>
      <w:r w:rsidRPr="00761EFF">
        <w:rPr>
          <w:rFonts w:eastAsia="Verdana" w:cs="Verdana"/>
          <w:spacing w:val="1"/>
          <w:szCs w:val="20"/>
          <w:lang w:val="es-ES"/>
        </w:rPr>
        <w:t>be</w:t>
      </w:r>
      <w:r w:rsidRPr="00761EFF">
        <w:rPr>
          <w:rFonts w:eastAsia="Verdana" w:cs="Verdana"/>
          <w:szCs w:val="20"/>
          <w:lang w:val="es-ES"/>
        </w:rPr>
        <w:t>r</w:t>
      </w:r>
      <w:r w:rsidRPr="00761EFF">
        <w:rPr>
          <w:rFonts w:eastAsia="Verdana" w:cs="Verdana"/>
          <w:spacing w:val="4"/>
          <w:szCs w:val="20"/>
          <w:lang w:val="es-ES"/>
        </w:rPr>
        <w:t xml:space="preserve"> </w:t>
      </w:r>
      <w:r w:rsidRPr="00761EFF">
        <w:rPr>
          <w:rFonts w:eastAsia="Verdana" w:cs="Verdana"/>
          <w:spacing w:val="3"/>
          <w:szCs w:val="20"/>
          <w:lang w:val="es-ES"/>
        </w:rPr>
        <w:t>d</w:t>
      </w:r>
      <w:r w:rsidRPr="00761EFF">
        <w:rPr>
          <w:rFonts w:eastAsia="Verdana" w:cs="Verdana"/>
          <w:szCs w:val="20"/>
          <w:lang w:val="es-ES"/>
        </w:rPr>
        <w:t>e</w:t>
      </w:r>
      <w:r w:rsidRPr="00761EFF">
        <w:rPr>
          <w:rFonts w:eastAsia="Verdana" w:cs="Verdana"/>
          <w:spacing w:val="8"/>
          <w:szCs w:val="20"/>
          <w:lang w:val="es-ES"/>
        </w:rPr>
        <w:t xml:space="preserve"> </w:t>
      </w:r>
      <w:r w:rsidRPr="00761EFF">
        <w:rPr>
          <w:rFonts w:eastAsia="Verdana" w:cs="Verdana"/>
          <w:szCs w:val="20"/>
          <w:lang w:val="es-ES"/>
        </w:rPr>
        <w:t>“g</w:t>
      </w:r>
      <w:r w:rsidRPr="00761EFF">
        <w:rPr>
          <w:rFonts w:eastAsia="Verdana" w:cs="Verdana"/>
          <w:spacing w:val="3"/>
          <w:szCs w:val="20"/>
          <w:lang w:val="es-ES"/>
        </w:rPr>
        <w:t>a</w:t>
      </w:r>
      <w:r w:rsidRPr="00761EFF">
        <w:rPr>
          <w:rFonts w:eastAsia="Verdana" w:cs="Verdana"/>
          <w:spacing w:val="-1"/>
          <w:szCs w:val="20"/>
          <w:lang w:val="es-ES"/>
        </w:rPr>
        <w:t>r</w:t>
      </w:r>
      <w:r w:rsidRPr="00761EFF">
        <w:rPr>
          <w:rFonts w:eastAsia="Verdana" w:cs="Verdana"/>
          <w:szCs w:val="20"/>
          <w:lang w:val="es-ES"/>
        </w:rPr>
        <w:t>a</w:t>
      </w:r>
      <w:r w:rsidRPr="00761EFF">
        <w:rPr>
          <w:rFonts w:eastAsia="Verdana" w:cs="Verdana"/>
          <w:spacing w:val="1"/>
          <w:szCs w:val="20"/>
          <w:lang w:val="es-ES"/>
        </w:rPr>
        <w:t>nt</w:t>
      </w:r>
      <w:r w:rsidRPr="00761EFF">
        <w:rPr>
          <w:rFonts w:eastAsia="Verdana" w:cs="Verdana"/>
          <w:spacing w:val="3"/>
          <w:szCs w:val="20"/>
          <w:lang w:val="es-ES"/>
        </w:rPr>
        <w:t>i</w:t>
      </w:r>
      <w:r w:rsidRPr="00761EFF">
        <w:rPr>
          <w:rFonts w:eastAsia="Verdana" w:cs="Verdana"/>
          <w:spacing w:val="-1"/>
          <w:szCs w:val="20"/>
          <w:lang w:val="es-ES"/>
        </w:rPr>
        <w:t>z</w:t>
      </w:r>
      <w:r w:rsidRPr="00761EFF">
        <w:rPr>
          <w:rFonts w:eastAsia="Verdana" w:cs="Verdana"/>
          <w:szCs w:val="20"/>
          <w:lang w:val="es-ES"/>
        </w:rPr>
        <w:t>a</w:t>
      </w:r>
      <w:r w:rsidRPr="00761EFF">
        <w:rPr>
          <w:rFonts w:eastAsia="Verdana" w:cs="Verdana"/>
          <w:spacing w:val="-1"/>
          <w:szCs w:val="20"/>
          <w:lang w:val="es-ES"/>
        </w:rPr>
        <w:t>r</w:t>
      </w:r>
      <w:r w:rsidRPr="00761EFF">
        <w:rPr>
          <w:rFonts w:eastAsia="Verdana" w:cs="Verdana"/>
          <w:szCs w:val="20"/>
          <w:lang w:val="es-ES"/>
        </w:rPr>
        <w:t>”</w:t>
      </w:r>
      <w:r w:rsidRPr="00761EFF">
        <w:rPr>
          <w:rFonts w:eastAsia="Verdana" w:cs="Verdana"/>
          <w:spacing w:val="-1"/>
          <w:szCs w:val="20"/>
          <w:lang w:val="es-ES"/>
        </w:rPr>
        <w:t xml:space="preserve"> </w:t>
      </w:r>
      <w:r w:rsidRPr="00761EFF">
        <w:rPr>
          <w:rFonts w:eastAsia="Verdana" w:cs="Verdana"/>
          <w:spacing w:val="3"/>
          <w:szCs w:val="20"/>
          <w:lang w:val="es-ES"/>
        </w:rPr>
        <w:t>l</w:t>
      </w:r>
      <w:r w:rsidRPr="00761EFF">
        <w:rPr>
          <w:rFonts w:eastAsia="Verdana" w:cs="Verdana"/>
          <w:spacing w:val="-1"/>
          <w:szCs w:val="20"/>
          <w:lang w:val="es-ES"/>
        </w:rPr>
        <w:t>o</w:t>
      </w:r>
      <w:r w:rsidRPr="00761EFF">
        <w:rPr>
          <w:rFonts w:eastAsia="Verdana" w:cs="Verdana"/>
          <w:szCs w:val="20"/>
          <w:lang w:val="es-ES"/>
        </w:rPr>
        <w:t>s</w:t>
      </w:r>
      <w:r w:rsidRPr="00761EFF">
        <w:rPr>
          <w:rFonts w:eastAsia="Verdana" w:cs="Verdana"/>
          <w:spacing w:val="10"/>
          <w:szCs w:val="20"/>
          <w:lang w:val="es-ES"/>
        </w:rPr>
        <w:t xml:space="preserve"> </w:t>
      </w:r>
      <w:r w:rsidRPr="00761EFF">
        <w:rPr>
          <w:rFonts w:eastAsia="Verdana" w:cs="Verdana"/>
          <w:spacing w:val="1"/>
          <w:szCs w:val="20"/>
          <w:lang w:val="es-ES"/>
        </w:rPr>
        <w:t>de</w:t>
      </w:r>
      <w:r w:rsidRPr="00761EFF">
        <w:rPr>
          <w:rFonts w:eastAsia="Verdana" w:cs="Verdana"/>
          <w:spacing w:val="-1"/>
          <w:szCs w:val="20"/>
          <w:lang w:val="es-ES"/>
        </w:rPr>
        <w:t>r</w:t>
      </w:r>
      <w:r w:rsidRPr="00761EFF">
        <w:rPr>
          <w:rFonts w:eastAsia="Verdana" w:cs="Verdana"/>
          <w:spacing w:val="1"/>
          <w:szCs w:val="20"/>
          <w:lang w:val="es-ES"/>
        </w:rPr>
        <w:t>e</w:t>
      </w:r>
      <w:r w:rsidRPr="00761EFF">
        <w:rPr>
          <w:rFonts w:eastAsia="Verdana" w:cs="Verdana"/>
          <w:szCs w:val="20"/>
          <w:lang w:val="es-ES"/>
        </w:rPr>
        <w:t>ch</w:t>
      </w:r>
      <w:r w:rsidRPr="00761EFF">
        <w:rPr>
          <w:rFonts w:eastAsia="Verdana" w:cs="Verdana"/>
          <w:spacing w:val="2"/>
          <w:szCs w:val="20"/>
          <w:lang w:val="es-ES"/>
        </w:rPr>
        <w:t>o</w:t>
      </w:r>
      <w:r w:rsidRPr="00761EFF">
        <w:rPr>
          <w:rFonts w:eastAsia="Verdana" w:cs="Verdana"/>
          <w:szCs w:val="20"/>
          <w:lang w:val="es-ES"/>
        </w:rPr>
        <w:t>s</w:t>
      </w:r>
      <w:r w:rsidRPr="00761EFF">
        <w:rPr>
          <w:rFonts w:eastAsia="Verdana" w:cs="Verdana"/>
          <w:spacing w:val="1"/>
          <w:szCs w:val="20"/>
          <w:lang w:val="es-ES"/>
        </w:rPr>
        <w:t xml:space="preserve"> </w:t>
      </w:r>
      <w:r w:rsidRPr="00761EFF">
        <w:rPr>
          <w:rFonts w:eastAsia="Verdana" w:cs="Verdana"/>
          <w:spacing w:val="3"/>
          <w:szCs w:val="20"/>
          <w:lang w:val="es-ES"/>
        </w:rPr>
        <w:t>i</w:t>
      </w:r>
      <w:r w:rsidRPr="00761EFF">
        <w:rPr>
          <w:rFonts w:eastAsia="Verdana" w:cs="Verdana"/>
          <w:szCs w:val="20"/>
          <w:lang w:val="es-ES"/>
        </w:rPr>
        <w:t>m</w:t>
      </w:r>
      <w:r w:rsidRPr="00761EFF">
        <w:rPr>
          <w:rFonts w:eastAsia="Verdana" w:cs="Verdana"/>
          <w:spacing w:val="1"/>
          <w:szCs w:val="20"/>
          <w:lang w:val="es-ES"/>
        </w:rPr>
        <w:t>p</w:t>
      </w:r>
      <w:r w:rsidRPr="00761EFF">
        <w:rPr>
          <w:rFonts w:eastAsia="Verdana" w:cs="Verdana"/>
          <w:szCs w:val="20"/>
          <w:lang w:val="es-ES"/>
        </w:rPr>
        <w:t>l</w:t>
      </w:r>
      <w:r w:rsidRPr="00761EFF">
        <w:rPr>
          <w:rFonts w:eastAsia="Verdana" w:cs="Verdana"/>
          <w:spacing w:val="3"/>
          <w:szCs w:val="20"/>
          <w:lang w:val="es-ES"/>
        </w:rPr>
        <w:t>i</w:t>
      </w:r>
      <w:r w:rsidRPr="00761EFF">
        <w:rPr>
          <w:rFonts w:eastAsia="Verdana" w:cs="Verdana"/>
          <w:szCs w:val="20"/>
          <w:lang w:val="es-ES"/>
        </w:rPr>
        <w:t>ca</w:t>
      </w:r>
      <w:r w:rsidRPr="00761EFF">
        <w:rPr>
          <w:rFonts w:eastAsia="Verdana" w:cs="Verdana"/>
          <w:spacing w:val="1"/>
          <w:szCs w:val="20"/>
          <w:lang w:val="es-ES"/>
        </w:rPr>
        <w:t xml:space="preserve"> </w:t>
      </w:r>
      <w:r w:rsidRPr="00761EFF">
        <w:rPr>
          <w:rFonts w:eastAsia="Verdana" w:cs="Verdana"/>
          <w:spacing w:val="3"/>
          <w:szCs w:val="20"/>
          <w:lang w:val="es-ES"/>
        </w:rPr>
        <w:t>l</w:t>
      </w:r>
      <w:r w:rsidRPr="00761EFF">
        <w:rPr>
          <w:rFonts w:eastAsia="Verdana" w:cs="Verdana"/>
          <w:szCs w:val="20"/>
          <w:lang w:val="es-ES"/>
        </w:rPr>
        <w:t>a</w:t>
      </w:r>
      <w:r w:rsidRPr="00761EFF">
        <w:rPr>
          <w:rFonts w:eastAsia="Verdana" w:cs="Verdana"/>
          <w:spacing w:val="9"/>
          <w:szCs w:val="20"/>
          <w:lang w:val="es-ES"/>
        </w:rPr>
        <w:t xml:space="preserve"> </w:t>
      </w:r>
      <w:r w:rsidRPr="00761EFF">
        <w:rPr>
          <w:rFonts w:eastAsia="Verdana" w:cs="Verdana"/>
          <w:spacing w:val="-1"/>
          <w:szCs w:val="20"/>
          <w:lang w:val="es-ES"/>
        </w:rPr>
        <w:t>o</w:t>
      </w:r>
      <w:r w:rsidRPr="00761EFF">
        <w:rPr>
          <w:rFonts w:eastAsia="Verdana" w:cs="Verdana"/>
          <w:spacing w:val="1"/>
          <w:szCs w:val="20"/>
          <w:lang w:val="es-ES"/>
        </w:rPr>
        <w:t>b</w:t>
      </w:r>
      <w:r w:rsidRPr="00761EFF">
        <w:rPr>
          <w:rFonts w:eastAsia="Verdana" w:cs="Verdana"/>
          <w:szCs w:val="20"/>
          <w:lang w:val="es-ES"/>
        </w:rPr>
        <w:t>l</w:t>
      </w:r>
      <w:r w:rsidRPr="00761EFF">
        <w:rPr>
          <w:rFonts w:eastAsia="Verdana" w:cs="Verdana"/>
          <w:spacing w:val="3"/>
          <w:szCs w:val="20"/>
          <w:lang w:val="es-ES"/>
        </w:rPr>
        <w:t>i</w:t>
      </w:r>
      <w:r w:rsidRPr="00761EFF">
        <w:rPr>
          <w:rFonts w:eastAsia="Verdana" w:cs="Verdana"/>
          <w:spacing w:val="1"/>
          <w:szCs w:val="20"/>
          <w:lang w:val="es-ES"/>
        </w:rPr>
        <w:t>g</w:t>
      </w:r>
      <w:r w:rsidRPr="00761EFF">
        <w:rPr>
          <w:rFonts w:eastAsia="Verdana" w:cs="Verdana"/>
          <w:szCs w:val="20"/>
          <w:lang w:val="es-ES"/>
        </w:rPr>
        <w:t>a</w:t>
      </w:r>
      <w:r w:rsidRPr="00761EFF">
        <w:rPr>
          <w:rFonts w:eastAsia="Verdana" w:cs="Verdana"/>
          <w:spacing w:val="-3"/>
          <w:szCs w:val="20"/>
          <w:lang w:val="es-ES"/>
        </w:rPr>
        <w:t>c</w:t>
      </w:r>
      <w:r w:rsidRPr="00761EFF">
        <w:rPr>
          <w:rFonts w:eastAsia="Verdana" w:cs="Verdana"/>
          <w:spacing w:val="3"/>
          <w:szCs w:val="20"/>
          <w:lang w:val="es-ES"/>
        </w:rPr>
        <w:t>i</w:t>
      </w:r>
      <w:r w:rsidRPr="00761EFF">
        <w:rPr>
          <w:rFonts w:eastAsia="Verdana" w:cs="Verdana"/>
          <w:spacing w:val="-1"/>
          <w:szCs w:val="20"/>
          <w:lang w:val="es-ES"/>
        </w:rPr>
        <w:t>ó</w:t>
      </w:r>
      <w:r w:rsidRPr="00761EFF">
        <w:rPr>
          <w:rFonts w:eastAsia="Verdana" w:cs="Verdana"/>
          <w:szCs w:val="20"/>
          <w:lang w:val="es-ES"/>
        </w:rPr>
        <w:t>n</w:t>
      </w:r>
      <w:r w:rsidRPr="00761EFF">
        <w:rPr>
          <w:rFonts w:eastAsia="Verdana" w:cs="Verdana"/>
          <w:spacing w:val="2"/>
          <w:szCs w:val="20"/>
          <w:lang w:val="es-ES"/>
        </w:rPr>
        <w:t xml:space="preserve"> </w:t>
      </w:r>
      <w:r w:rsidRPr="00761EFF">
        <w:rPr>
          <w:rFonts w:eastAsia="Verdana" w:cs="Verdana"/>
          <w:spacing w:val="1"/>
          <w:szCs w:val="20"/>
          <w:lang w:val="es-ES"/>
        </w:rPr>
        <w:t>p</w:t>
      </w:r>
      <w:r w:rsidRPr="00761EFF">
        <w:rPr>
          <w:rFonts w:eastAsia="Verdana" w:cs="Verdana"/>
          <w:spacing w:val="-1"/>
          <w:szCs w:val="20"/>
          <w:lang w:val="es-ES"/>
        </w:rPr>
        <w:t>o</w:t>
      </w:r>
      <w:r w:rsidRPr="00761EFF">
        <w:rPr>
          <w:rFonts w:eastAsia="Verdana" w:cs="Verdana"/>
          <w:szCs w:val="20"/>
          <w:lang w:val="es-ES"/>
        </w:rPr>
        <w:t>s</w:t>
      </w:r>
      <w:r w:rsidRPr="00761EFF">
        <w:rPr>
          <w:rFonts w:eastAsia="Verdana" w:cs="Verdana"/>
          <w:spacing w:val="2"/>
          <w:szCs w:val="20"/>
          <w:lang w:val="es-ES"/>
        </w:rPr>
        <w:t>i</w:t>
      </w:r>
      <w:r w:rsidRPr="00761EFF">
        <w:rPr>
          <w:rFonts w:eastAsia="Verdana" w:cs="Verdana"/>
          <w:spacing w:val="1"/>
          <w:szCs w:val="20"/>
          <w:lang w:val="es-ES"/>
        </w:rPr>
        <w:t>t</w:t>
      </w:r>
      <w:r w:rsidRPr="00761EFF">
        <w:rPr>
          <w:rFonts w:eastAsia="Verdana" w:cs="Verdana"/>
          <w:spacing w:val="3"/>
          <w:szCs w:val="20"/>
          <w:lang w:val="es-ES"/>
        </w:rPr>
        <w:t>i</w:t>
      </w:r>
      <w:r w:rsidRPr="00761EFF">
        <w:rPr>
          <w:rFonts w:eastAsia="Verdana" w:cs="Verdana"/>
          <w:szCs w:val="20"/>
          <w:lang w:val="es-ES"/>
        </w:rPr>
        <w:t>va</w:t>
      </w:r>
      <w:r w:rsidRPr="00761EFF">
        <w:rPr>
          <w:rFonts w:eastAsia="Verdana" w:cs="Verdana"/>
          <w:spacing w:val="3"/>
          <w:szCs w:val="20"/>
          <w:lang w:val="es-ES"/>
        </w:rPr>
        <w:t xml:space="preserve"> </w:t>
      </w:r>
      <w:r w:rsidRPr="00761EFF">
        <w:rPr>
          <w:rFonts w:eastAsia="Verdana" w:cs="Verdana"/>
          <w:spacing w:val="-2"/>
          <w:szCs w:val="20"/>
          <w:lang w:val="es-ES"/>
        </w:rPr>
        <w:t>d</w:t>
      </w:r>
      <w:r w:rsidRPr="00761EFF">
        <w:rPr>
          <w:rFonts w:eastAsia="Verdana" w:cs="Verdana"/>
          <w:szCs w:val="20"/>
          <w:lang w:val="es-ES"/>
        </w:rPr>
        <w:t>e</w:t>
      </w:r>
      <w:r w:rsidRPr="00761EFF">
        <w:rPr>
          <w:rFonts w:eastAsia="Verdana" w:cs="Verdana"/>
          <w:spacing w:val="8"/>
          <w:szCs w:val="20"/>
          <w:lang w:val="es-ES"/>
        </w:rPr>
        <w:t xml:space="preserve"> </w:t>
      </w:r>
      <w:r w:rsidRPr="00761EFF">
        <w:rPr>
          <w:rFonts w:eastAsia="Verdana" w:cs="Verdana"/>
          <w:szCs w:val="20"/>
          <w:lang w:val="es-ES"/>
        </w:rPr>
        <w:t>a</w:t>
      </w:r>
      <w:r w:rsidRPr="00761EFF">
        <w:rPr>
          <w:rFonts w:eastAsia="Verdana" w:cs="Verdana"/>
          <w:spacing w:val="3"/>
          <w:szCs w:val="20"/>
          <w:lang w:val="es-ES"/>
        </w:rPr>
        <w:t>d</w:t>
      </w:r>
      <w:r w:rsidRPr="00761EFF">
        <w:rPr>
          <w:rFonts w:eastAsia="Verdana" w:cs="Verdana"/>
          <w:spacing w:val="-1"/>
          <w:szCs w:val="20"/>
          <w:lang w:val="es-ES"/>
        </w:rPr>
        <w:t>o</w:t>
      </w:r>
      <w:r w:rsidRPr="00761EFF">
        <w:rPr>
          <w:rFonts w:eastAsia="Verdana" w:cs="Verdana"/>
          <w:spacing w:val="1"/>
          <w:szCs w:val="20"/>
          <w:lang w:val="es-ES"/>
        </w:rPr>
        <w:t>p</w:t>
      </w:r>
      <w:r w:rsidRPr="00761EFF">
        <w:rPr>
          <w:rFonts w:eastAsia="Verdana" w:cs="Verdana"/>
          <w:szCs w:val="20"/>
          <w:lang w:val="es-ES"/>
        </w:rPr>
        <w:t>c</w:t>
      </w:r>
      <w:r w:rsidRPr="00761EFF">
        <w:rPr>
          <w:rFonts w:eastAsia="Verdana" w:cs="Verdana"/>
          <w:spacing w:val="2"/>
          <w:szCs w:val="20"/>
          <w:lang w:val="es-ES"/>
        </w:rPr>
        <w:t>i</w:t>
      </w:r>
      <w:r w:rsidRPr="00761EFF">
        <w:rPr>
          <w:rFonts w:eastAsia="Verdana" w:cs="Verdana"/>
          <w:spacing w:val="-1"/>
          <w:szCs w:val="20"/>
          <w:lang w:val="es-ES"/>
        </w:rPr>
        <w:t>ó</w:t>
      </w:r>
      <w:r w:rsidRPr="00761EFF">
        <w:rPr>
          <w:rFonts w:eastAsia="Verdana" w:cs="Verdana"/>
          <w:spacing w:val="1"/>
          <w:szCs w:val="20"/>
          <w:lang w:val="es-ES"/>
        </w:rPr>
        <w:t>n</w:t>
      </w:r>
      <w:r w:rsidRPr="00761EFF">
        <w:rPr>
          <w:rFonts w:eastAsia="Verdana" w:cs="Verdana"/>
          <w:szCs w:val="20"/>
          <w:lang w:val="es-ES"/>
        </w:rPr>
        <w:t xml:space="preserve">, </w:t>
      </w:r>
      <w:r w:rsidRPr="00761EFF">
        <w:rPr>
          <w:rFonts w:eastAsia="Verdana" w:cs="Verdana"/>
          <w:spacing w:val="1"/>
          <w:szCs w:val="20"/>
          <w:lang w:val="es-ES"/>
        </w:rPr>
        <w:t>po</w:t>
      </w:r>
      <w:r w:rsidRPr="00761EFF">
        <w:rPr>
          <w:rFonts w:eastAsia="Verdana" w:cs="Verdana"/>
          <w:szCs w:val="20"/>
          <w:lang w:val="es-ES"/>
        </w:rPr>
        <w:t>r</w:t>
      </w:r>
      <w:r w:rsidRPr="00761EFF">
        <w:rPr>
          <w:rFonts w:eastAsia="Verdana" w:cs="Verdana"/>
          <w:spacing w:val="7"/>
          <w:szCs w:val="20"/>
          <w:lang w:val="es-ES"/>
        </w:rPr>
        <w:t xml:space="preserve"> </w:t>
      </w:r>
      <w:r w:rsidRPr="00761EFF">
        <w:rPr>
          <w:rFonts w:eastAsia="Verdana" w:cs="Verdana"/>
          <w:spacing w:val="1"/>
          <w:szCs w:val="20"/>
          <w:lang w:val="es-ES"/>
        </w:rPr>
        <w:t>p</w:t>
      </w:r>
      <w:r w:rsidRPr="00761EFF">
        <w:rPr>
          <w:rFonts w:eastAsia="Verdana" w:cs="Verdana"/>
          <w:spacing w:val="2"/>
          <w:szCs w:val="20"/>
          <w:lang w:val="es-ES"/>
        </w:rPr>
        <w:t>a</w:t>
      </w:r>
      <w:r w:rsidRPr="00761EFF">
        <w:rPr>
          <w:rFonts w:eastAsia="Verdana" w:cs="Verdana"/>
          <w:spacing w:val="-1"/>
          <w:szCs w:val="20"/>
          <w:lang w:val="es-ES"/>
        </w:rPr>
        <w:t>r</w:t>
      </w:r>
      <w:r w:rsidRPr="00761EFF">
        <w:rPr>
          <w:rFonts w:eastAsia="Verdana" w:cs="Verdana"/>
          <w:spacing w:val="1"/>
          <w:szCs w:val="20"/>
          <w:lang w:val="es-ES"/>
        </w:rPr>
        <w:t>t</w:t>
      </w:r>
      <w:r w:rsidRPr="00761EFF">
        <w:rPr>
          <w:rFonts w:eastAsia="Verdana" w:cs="Verdana"/>
          <w:szCs w:val="20"/>
          <w:lang w:val="es-ES"/>
        </w:rPr>
        <w:t xml:space="preserve">e </w:t>
      </w:r>
      <w:r w:rsidRPr="00761EFF">
        <w:rPr>
          <w:rFonts w:eastAsia="Verdana" w:cs="Verdana"/>
          <w:spacing w:val="1"/>
          <w:szCs w:val="20"/>
          <w:lang w:val="es-ES"/>
        </w:rPr>
        <w:t>d</w:t>
      </w:r>
      <w:r w:rsidRPr="00761EFF">
        <w:rPr>
          <w:rFonts w:eastAsia="Verdana" w:cs="Verdana"/>
          <w:spacing w:val="-1"/>
          <w:szCs w:val="20"/>
          <w:lang w:val="es-ES"/>
        </w:rPr>
        <w:t>e</w:t>
      </w:r>
      <w:r w:rsidRPr="00761EFF">
        <w:rPr>
          <w:rFonts w:eastAsia="Verdana" w:cs="Verdana"/>
          <w:szCs w:val="20"/>
          <w:lang w:val="es-ES"/>
        </w:rPr>
        <w:t>l</w:t>
      </w:r>
      <w:r w:rsidRPr="00761EFF">
        <w:rPr>
          <w:rFonts w:eastAsia="Verdana" w:cs="Verdana"/>
          <w:spacing w:val="13"/>
          <w:szCs w:val="20"/>
          <w:lang w:val="es-ES"/>
        </w:rPr>
        <w:t xml:space="preserve"> </w:t>
      </w:r>
      <w:r w:rsidRPr="00761EFF">
        <w:rPr>
          <w:rFonts w:eastAsia="Verdana" w:cs="Verdana"/>
          <w:spacing w:val="-1"/>
          <w:szCs w:val="20"/>
          <w:lang w:val="es-ES"/>
        </w:rPr>
        <w:t>E</w:t>
      </w:r>
      <w:r w:rsidRPr="00761EFF">
        <w:rPr>
          <w:rFonts w:eastAsia="Verdana" w:cs="Verdana"/>
          <w:szCs w:val="20"/>
          <w:lang w:val="es-ES"/>
        </w:rPr>
        <w:t>sta</w:t>
      </w:r>
      <w:r w:rsidRPr="00761EFF">
        <w:rPr>
          <w:rFonts w:eastAsia="Verdana" w:cs="Verdana"/>
          <w:spacing w:val="1"/>
          <w:szCs w:val="20"/>
          <w:lang w:val="es-ES"/>
        </w:rPr>
        <w:t>d</w:t>
      </w:r>
      <w:r w:rsidRPr="00761EFF">
        <w:rPr>
          <w:rFonts w:eastAsia="Verdana" w:cs="Verdana"/>
          <w:spacing w:val="-1"/>
          <w:szCs w:val="20"/>
          <w:lang w:val="es-ES"/>
        </w:rPr>
        <w:t>o</w:t>
      </w:r>
      <w:r w:rsidRPr="00761EFF">
        <w:rPr>
          <w:rFonts w:eastAsia="Verdana" w:cs="Verdana"/>
          <w:szCs w:val="20"/>
          <w:lang w:val="es-ES"/>
        </w:rPr>
        <w:t>,</w:t>
      </w:r>
      <w:r w:rsidRPr="00761EFF">
        <w:rPr>
          <w:rFonts w:eastAsia="Verdana" w:cs="Verdana"/>
          <w:spacing w:val="6"/>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10"/>
          <w:szCs w:val="20"/>
          <w:lang w:val="es-ES"/>
        </w:rPr>
        <w:t xml:space="preserve"> </w:t>
      </w:r>
      <w:r w:rsidRPr="00761EFF">
        <w:rPr>
          <w:rFonts w:eastAsia="Verdana" w:cs="Verdana"/>
          <w:spacing w:val="1"/>
          <w:szCs w:val="20"/>
          <w:lang w:val="es-ES"/>
        </w:rPr>
        <w:t>un</w:t>
      </w:r>
      <w:r w:rsidRPr="00761EFF">
        <w:rPr>
          <w:rFonts w:eastAsia="Verdana" w:cs="Verdana"/>
          <w:szCs w:val="20"/>
          <w:lang w:val="es-ES"/>
        </w:rPr>
        <w:t>a</w:t>
      </w:r>
      <w:r w:rsidRPr="00761EFF">
        <w:rPr>
          <w:rFonts w:eastAsia="Verdana" w:cs="Verdana"/>
          <w:spacing w:val="11"/>
          <w:szCs w:val="20"/>
          <w:lang w:val="es-ES"/>
        </w:rPr>
        <w:t xml:space="preserve"> </w:t>
      </w:r>
      <w:r w:rsidRPr="00761EFF">
        <w:rPr>
          <w:rFonts w:eastAsia="Verdana" w:cs="Verdana"/>
          <w:szCs w:val="20"/>
          <w:lang w:val="es-ES"/>
        </w:rPr>
        <w:t>s</w:t>
      </w:r>
      <w:r w:rsidRPr="00761EFF">
        <w:rPr>
          <w:rFonts w:eastAsia="Verdana" w:cs="Verdana"/>
          <w:spacing w:val="-2"/>
          <w:szCs w:val="20"/>
          <w:lang w:val="es-ES"/>
        </w:rPr>
        <w:t>e</w:t>
      </w:r>
      <w:r w:rsidRPr="00761EFF">
        <w:rPr>
          <w:rFonts w:eastAsia="Verdana" w:cs="Verdana"/>
          <w:spacing w:val="-1"/>
          <w:szCs w:val="20"/>
          <w:lang w:val="es-ES"/>
        </w:rPr>
        <w:t>r</w:t>
      </w:r>
      <w:r w:rsidRPr="00761EFF">
        <w:rPr>
          <w:rFonts w:eastAsia="Verdana" w:cs="Verdana"/>
          <w:spacing w:val="3"/>
          <w:szCs w:val="20"/>
          <w:lang w:val="es-ES"/>
        </w:rPr>
        <w:t>i</w:t>
      </w:r>
      <w:r w:rsidRPr="00761EFF">
        <w:rPr>
          <w:rFonts w:eastAsia="Verdana" w:cs="Verdana"/>
          <w:szCs w:val="20"/>
          <w:lang w:val="es-ES"/>
        </w:rPr>
        <w:t>e</w:t>
      </w:r>
      <w:r w:rsidRPr="00761EFF">
        <w:rPr>
          <w:rFonts w:eastAsia="Verdana" w:cs="Verdana"/>
          <w:spacing w:val="8"/>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10"/>
          <w:szCs w:val="20"/>
          <w:lang w:val="es-ES"/>
        </w:rPr>
        <w:t xml:space="preserve"> </w:t>
      </w:r>
      <w:r w:rsidRPr="00761EFF">
        <w:rPr>
          <w:rFonts w:eastAsia="Verdana" w:cs="Verdana"/>
          <w:szCs w:val="20"/>
          <w:lang w:val="es-ES"/>
        </w:rPr>
        <w:t>c</w:t>
      </w:r>
      <w:r w:rsidRPr="00761EFF">
        <w:rPr>
          <w:rFonts w:eastAsia="Verdana" w:cs="Verdana"/>
          <w:spacing w:val="-2"/>
          <w:szCs w:val="20"/>
          <w:lang w:val="es-ES"/>
        </w:rPr>
        <w:t>o</w:t>
      </w:r>
      <w:r w:rsidRPr="00761EFF">
        <w:rPr>
          <w:rFonts w:eastAsia="Verdana" w:cs="Verdana"/>
          <w:spacing w:val="1"/>
          <w:szCs w:val="20"/>
          <w:lang w:val="es-ES"/>
        </w:rPr>
        <w:t>ndu</w:t>
      </w:r>
      <w:r w:rsidRPr="00761EFF">
        <w:rPr>
          <w:rFonts w:eastAsia="Verdana" w:cs="Verdana"/>
          <w:szCs w:val="20"/>
          <w:lang w:val="es-ES"/>
        </w:rPr>
        <w:t>cta</w:t>
      </w:r>
      <w:r w:rsidRPr="00761EFF">
        <w:rPr>
          <w:rFonts w:eastAsia="Verdana" w:cs="Verdana"/>
          <w:spacing w:val="2"/>
          <w:szCs w:val="20"/>
          <w:lang w:val="es-ES"/>
        </w:rPr>
        <w:t>s</w:t>
      </w:r>
      <w:r w:rsidRPr="00761EFF">
        <w:rPr>
          <w:rFonts w:eastAsia="Verdana" w:cs="Verdana"/>
          <w:szCs w:val="20"/>
          <w:lang w:val="es-ES"/>
        </w:rPr>
        <w:t>,</w:t>
      </w:r>
      <w:r w:rsidRPr="00761EFF">
        <w:rPr>
          <w:rFonts w:eastAsia="Verdana" w:cs="Verdana"/>
          <w:spacing w:val="3"/>
          <w:szCs w:val="20"/>
          <w:lang w:val="es-ES"/>
        </w:rPr>
        <w:t xml:space="preserve"> </w:t>
      </w:r>
      <w:r w:rsidRPr="00761EFF">
        <w:rPr>
          <w:rFonts w:eastAsia="Verdana" w:cs="Verdana"/>
          <w:spacing w:val="1"/>
          <w:szCs w:val="20"/>
          <w:lang w:val="es-ES"/>
        </w:rPr>
        <w:t>d</w:t>
      </w:r>
      <w:r w:rsidRPr="00761EFF">
        <w:rPr>
          <w:rFonts w:eastAsia="Verdana" w:cs="Verdana"/>
          <w:spacing w:val="-1"/>
          <w:szCs w:val="20"/>
          <w:lang w:val="es-ES"/>
        </w:rPr>
        <w:t>e</w:t>
      </w:r>
      <w:r w:rsidRPr="00761EFF">
        <w:rPr>
          <w:rFonts w:eastAsia="Verdana" w:cs="Verdana"/>
          <w:spacing w:val="3"/>
          <w:szCs w:val="20"/>
          <w:lang w:val="es-ES"/>
        </w:rPr>
        <w:t>p</w:t>
      </w:r>
      <w:r w:rsidRPr="00761EFF">
        <w:rPr>
          <w:rFonts w:eastAsia="Verdana" w:cs="Verdana"/>
          <w:spacing w:val="-1"/>
          <w:szCs w:val="20"/>
          <w:lang w:val="es-ES"/>
        </w:rPr>
        <w:t>e</w:t>
      </w:r>
      <w:r w:rsidRPr="00761EFF">
        <w:rPr>
          <w:rFonts w:eastAsia="Verdana" w:cs="Verdana"/>
          <w:spacing w:val="1"/>
          <w:szCs w:val="20"/>
          <w:lang w:val="es-ES"/>
        </w:rPr>
        <w:t>nd</w:t>
      </w:r>
      <w:r w:rsidRPr="00761EFF">
        <w:rPr>
          <w:rFonts w:eastAsia="Verdana" w:cs="Verdana"/>
          <w:spacing w:val="3"/>
          <w:szCs w:val="20"/>
          <w:lang w:val="es-ES"/>
        </w:rPr>
        <w:t>i</w:t>
      </w:r>
      <w:r w:rsidRPr="00761EFF">
        <w:rPr>
          <w:rFonts w:eastAsia="Verdana" w:cs="Verdana"/>
          <w:spacing w:val="-1"/>
          <w:szCs w:val="20"/>
          <w:lang w:val="es-ES"/>
        </w:rPr>
        <w:t>e</w:t>
      </w:r>
      <w:r w:rsidRPr="00761EFF">
        <w:rPr>
          <w:rFonts w:eastAsia="Verdana" w:cs="Verdana"/>
          <w:spacing w:val="1"/>
          <w:szCs w:val="20"/>
          <w:lang w:val="es-ES"/>
        </w:rPr>
        <w:t>nd</w:t>
      </w:r>
      <w:r w:rsidRPr="00761EFF">
        <w:rPr>
          <w:rFonts w:eastAsia="Verdana" w:cs="Verdana"/>
          <w:szCs w:val="20"/>
          <w:lang w:val="es-ES"/>
        </w:rPr>
        <w:t xml:space="preserve">o </w:t>
      </w:r>
      <w:r w:rsidRPr="00761EFF">
        <w:rPr>
          <w:rFonts w:eastAsia="Verdana" w:cs="Verdana"/>
          <w:spacing w:val="1"/>
          <w:szCs w:val="20"/>
          <w:lang w:val="es-ES"/>
        </w:rPr>
        <w:t>d</w:t>
      </w:r>
      <w:r w:rsidRPr="00761EFF">
        <w:rPr>
          <w:rFonts w:eastAsia="Verdana" w:cs="Verdana"/>
          <w:spacing w:val="-1"/>
          <w:szCs w:val="20"/>
          <w:lang w:val="es-ES"/>
        </w:rPr>
        <w:t>e</w:t>
      </w:r>
      <w:r w:rsidRPr="00761EFF">
        <w:rPr>
          <w:rFonts w:eastAsia="Verdana" w:cs="Verdana"/>
          <w:szCs w:val="20"/>
          <w:lang w:val="es-ES"/>
        </w:rPr>
        <w:t>l</w:t>
      </w:r>
      <w:r w:rsidRPr="00761EFF">
        <w:rPr>
          <w:rFonts w:eastAsia="Verdana" w:cs="Verdana"/>
          <w:spacing w:val="11"/>
          <w:szCs w:val="20"/>
          <w:lang w:val="es-ES"/>
        </w:rPr>
        <w:t xml:space="preserve"> </w:t>
      </w:r>
      <w:r w:rsidRPr="00761EFF">
        <w:rPr>
          <w:rFonts w:eastAsia="Verdana" w:cs="Verdana"/>
          <w:spacing w:val="1"/>
          <w:szCs w:val="20"/>
          <w:lang w:val="es-ES"/>
        </w:rPr>
        <w:t>d</w:t>
      </w:r>
      <w:r w:rsidRPr="00761EFF">
        <w:rPr>
          <w:rFonts w:eastAsia="Verdana" w:cs="Verdana"/>
          <w:spacing w:val="-1"/>
          <w:szCs w:val="20"/>
          <w:lang w:val="es-ES"/>
        </w:rPr>
        <w:t>ere</w:t>
      </w:r>
      <w:r w:rsidRPr="00761EFF">
        <w:rPr>
          <w:rFonts w:eastAsia="Verdana" w:cs="Verdana"/>
          <w:szCs w:val="20"/>
          <w:lang w:val="es-ES"/>
        </w:rPr>
        <w:t>c</w:t>
      </w:r>
      <w:r w:rsidRPr="00761EFF">
        <w:rPr>
          <w:rFonts w:eastAsia="Verdana" w:cs="Verdana"/>
          <w:spacing w:val="3"/>
          <w:szCs w:val="20"/>
          <w:lang w:val="es-ES"/>
        </w:rPr>
        <w:t>h</w:t>
      </w:r>
      <w:r w:rsidRPr="00761EFF">
        <w:rPr>
          <w:rFonts w:eastAsia="Verdana" w:cs="Verdana"/>
          <w:szCs w:val="20"/>
          <w:lang w:val="es-ES"/>
        </w:rPr>
        <w:t>o</w:t>
      </w:r>
      <w:r w:rsidRPr="00761EFF">
        <w:rPr>
          <w:rFonts w:eastAsia="Verdana" w:cs="Verdana"/>
          <w:spacing w:val="5"/>
          <w:szCs w:val="20"/>
          <w:lang w:val="es-ES"/>
        </w:rPr>
        <w:t xml:space="preserve"> </w:t>
      </w:r>
      <w:r w:rsidRPr="00761EFF">
        <w:rPr>
          <w:rFonts w:eastAsia="Verdana" w:cs="Verdana"/>
          <w:szCs w:val="20"/>
          <w:lang w:val="es-ES"/>
        </w:rPr>
        <w:t>su</w:t>
      </w:r>
      <w:r w:rsidRPr="00761EFF">
        <w:rPr>
          <w:rFonts w:eastAsia="Verdana" w:cs="Verdana"/>
          <w:spacing w:val="2"/>
          <w:szCs w:val="20"/>
          <w:lang w:val="es-ES"/>
        </w:rPr>
        <w:t>s</w:t>
      </w:r>
      <w:r w:rsidRPr="00761EFF">
        <w:rPr>
          <w:rFonts w:eastAsia="Verdana" w:cs="Verdana"/>
          <w:spacing w:val="1"/>
          <w:szCs w:val="20"/>
          <w:lang w:val="es-ES"/>
        </w:rPr>
        <w:t>t</w:t>
      </w:r>
      <w:r w:rsidRPr="00761EFF">
        <w:rPr>
          <w:rFonts w:eastAsia="Verdana" w:cs="Verdana"/>
          <w:szCs w:val="20"/>
          <w:lang w:val="es-ES"/>
        </w:rPr>
        <w:t>a</w:t>
      </w:r>
      <w:r w:rsidRPr="00761EFF">
        <w:rPr>
          <w:rFonts w:eastAsia="Verdana" w:cs="Verdana"/>
          <w:spacing w:val="1"/>
          <w:szCs w:val="20"/>
          <w:lang w:val="es-ES"/>
        </w:rPr>
        <w:t>n</w:t>
      </w:r>
      <w:r w:rsidRPr="00761EFF">
        <w:rPr>
          <w:rFonts w:eastAsia="Verdana" w:cs="Verdana"/>
          <w:spacing w:val="-2"/>
          <w:szCs w:val="20"/>
          <w:lang w:val="es-ES"/>
        </w:rPr>
        <w:t>t</w:t>
      </w:r>
      <w:r w:rsidRPr="00761EFF">
        <w:rPr>
          <w:rFonts w:eastAsia="Verdana" w:cs="Verdana"/>
          <w:spacing w:val="3"/>
          <w:szCs w:val="20"/>
          <w:lang w:val="es-ES"/>
        </w:rPr>
        <w:t>i</w:t>
      </w:r>
      <w:r w:rsidRPr="00761EFF">
        <w:rPr>
          <w:rFonts w:eastAsia="Verdana" w:cs="Verdana"/>
          <w:szCs w:val="20"/>
          <w:lang w:val="es-ES"/>
        </w:rPr>
        <w:t>vo</w:t>
      </w:r>
      <w:r w:rsidRPr="00761EFF">
        <w:rPr>
          <w:rFonts w:eastAsia="Verdana" w:cs="Verdana"/>
          <w:spacing w:val="3"/>
          <w:szCs w:val="20"/>
          <w:lang w:val="es-ES"/>
        </w:rPr>
        <w:t xml:space="preserve"> </w:t>
      </w:r>
      <w:r w:rsidRPr="00761EFF">
        <w:rPr>
          <w:rFonts w:eastAsia="Verdana" w:cs="Verdana"/>
          <w:spacing w:val="-1"/>
          <w:szCs w:val="20"/>
          <w:lang w:val="es-ES"/>
        </w:rPr>
        <w:t>e</w:t>
      </w:r>
      <w:r w:rsidRPr="00761EFF">
        <w:rPr>
          <w:rFonts w:eastAsia="Verdana" w:cs="Verdana"/>
          <w:szCs w:val="20"/>
          <w:lang w:val="es-ES"/>
        </w:rPr>
        <w:t>sp</w:t>
      </w:r>
      <w:r w:rsidRPr="00761EFF">
        <w:rPr>
          <w:rFonts w:eastAsia="Verdana" w:cs="Verdana"/>
          <w:spacing w:val="1"/>
          <w:szCs w:val="20"/>
          <w:lang w:val="es-ES"/>
        </w:rPr>
        <w:t>e</w:t>
      </w:r>
      <w:r w:rsidRPr="00761EFF">
        <w:rPr>
          <w:rFonts w:eastAsia="Verdana" w:cs="Verdana"/>
          <w:szCs w:val="20"/>
          <w:lang w:val="es-ES"/>
        </w:rPr>
        <w:t>c</w:t>
      </w:r>
      <w:r w:rsidRPr="00761EFF">
        <w:rPr>
          <w:rFonts w:eastAsia="Verdana" w:cs="Verdana"/>
          <w:spacing w:val="2"/>
          <w:szCs w:val="20"/>
          <w:lang w:val="es-ES"/>
        </w:rPr>
        <w:t>í</w:t>
      </w:r>
      <w:r w:rsidRPr="00761EFF">
        <w:rPr>
          <w:rFonts w:eastAsia="Verdana" w:cs="Verdana"/>
          <w:szCs w:val="20"/>
          <w:lang w:val="es-ES"/>
        </w:rPr>
        <w:t>f</w:t>
      </w:r>
      <w:r w:rsidRPr="00761EFF">
        <w:rPr>
          <w:rFonts w:eastAsia="Verdana" w:cs="Verdana"/>
          <w:spacing w:val="2"/>
          <w:szCs w:val="20"/>
          <w:lang w:val="es-ES"/>
        </w:rPr>
        <w:t>i</w:t>
      </w:r>
      <w:r w:rsidRPr="00761EFF">
        <w:rPr>
          <w:rFonts w:eastAsia="Verdana" w:cs="Verdana"/>
          <w:szCs w:val="20"/>
          <w:lang w:val="es-ES"/>
        </w:rPr>
        <w:t>co</w:t>
      </w:r>
      <w:r w:rsidRPr="00761EFF">
        <w:rPr>
          <w:rFonts w:eastAsia="Verdana" w:cs="Verdana"/>
          <w:spacing w:val="2"/>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10"/>
          <w:szCs w:val="20"/>
          <w:lang w:val="es-ES"/>
        </w:rPr>
        <w:t xml:space="preserve"> </w:t>
      </w:r>
      <w:r w:rsidRPr="00761EFF">
        <w:rPr>
          <w:rFonts w:eastAsia="Verdana" w:cs="Verdana"/>
          <w:spacing w:val="1"/>
          <w:szCs w:val="20"/>
          <w:lang w:val="es-ES"/>
        </w:rPr>
        <w:t>qu</w:t>
      </w:r>
      <w:r w:rsidRPr="00761EFF">
        <w:rPr>
          <w:rFonts w:eastAsia="Verdana" w:cs="Verdana"/>
          <w:szCs w:val="20"/>
          <w:lang w:val="es-ES"/>
        </w:rPr>
        <w:t>e</w:t>
      </w:r>
      <w:r w:rsidRPr="00761EFF">
        <w:rPr>
          <w:rFonts w:eastAsia="Verdana" w:cs="Verdana"/>
          <w:spacing w:val="9"/>
          <w:szCs w:val="20"/>
          <w:lang w:val="es-ES"/>
        </w:rPr>
        <w:t xml:space="preserve"> </w:t>
      </w:r>
      <w:r w:rsidRPr="00761EFF">
        <w:rPr>
          <w:rFonts w:eastAsia="Verdana" w:cs="Verdana"/>
          <w:szCs w:val="20"/>
          <w:lang w:val="es-ES"/>
        </w:rPr>
        <w:t xml:space="preserve">se </w:t>
      </w:r>
      <w:r w:rsidRPr="00761EFF">
        <w:rPr>
          <w:rFonts w:eastAsia="Verdana" w:cs="Verdana"/>
          <w:spacing w:val="1"/>
          <w:szCs w:val="20"/>
          <w:lang w:val="es-ES"/>
        </w:rPr>
        <w:t>t</w:t>
      </w:r>
      <w:r w:rsidRPr="00761EFF">
        <w:rPr>
          <w:rFonts w:eastAsia="Verdana" w:cs="Verdana"/>
          <w:spacing w:val="-1"/>
          <w:szCs w:val="20"/>
          <w:lang w:val="es-ES"/>
        </w:rPr>
        <w:t>r</w:t>
      </w:r>
      <w:r w:rsidRPr="00761EFF">
        <w:rPr>
          <w:rFonts w:eastAsia="Verdana" w:cs="Verdana"/>
          <w:szCs w:val="20"/>
          <w:lang w:val="es-ES"/>
        </w:rPr>
        <w:t>a</w:t>
      </w:r>
      <w:r w:rsidRPr="00761EFF">
        <w:rPr>
          <w:rFonts w:eastAsia="Verdana" w:cs="Verdana"/>
          <w:spacing w:val="1"/>
          <w:szCs w:val="20"/>
          <w:lang w:val="es-ES"/>
        </w:rPr>
        <w:t>t</w:t>
      </w:r>
      <w:r w:rsidRPr="00761EFF">
        <w:rPr>
          <w:rFonts w:eastAsia="Verdana" w:cs="Verdana"/>
          <w:spacing w:val="2"/>
          <w:szCs w:val="20"/>
          <w:lang w:val="es-ES"/>
        </w:rPr>
        <w:t>e</w:t>
      </w:r>
      <w:r>
        <w:rPr>
          <w:rStyle w:val="FootnoteReference"/>
          <w:rFonts w:eastAsia="Verdana"/>
          <w:spacing w:val="2"/>
          <w:lang w:val="es-ES"/>
        </w:rPr>
        <w:footnoteReference w:id="196"/>
      </w:r>
      <w:r>
        <w:rPr>
          <w:rFonts w:eastAsia="Verdana" w:cs="Verdana"/>
          <w:spacing w:val="2"/>
          <w:szCs w:val="20"/>
          <w:lang w:val="es-ES"/>
        </w:rPr>
        <w:t xml:space="preserve">. </w:t>
      </w:r>
    </w:p>
    <w:p w14:paraId="4F60B236" w14:textId="77777777" w:rsidR="008E003D" w:rsidRDefault="008E003D" w:rsidP="008E003D">
      <w:pPr>
        <w:pStyle w:val="ListParagraph"/>
        <w:rPr>
          <w:rFonts w:eastAsia="Verdana" w:cs="Verdana"/>
          <w:spacing w:val="-1"/>
          <w:szCs w:val="20"/>
        </w:rPr>
      </w:pPr>
    </w:p>
    <w:p w14:paraId="4BA19A8F" w14:textId="77777777" w:rsidR="008E003D" w:rsidRDefault="00B811D7" w:rsidP="008E003D">
      <w:pPr>
        <w:numPr>
          <w:ilvl w:val="0"/>
          <w:numId w:val="1"/>
        </w:numPr>
        <w:contextualSpacing/>
        <w:rPr>
          <w:szCs w:val="20"/>
        </w:rPr>
      </w:pPr>
      <w:r w:rsidRPr="008E003D">
        <w:rPr>
          <w:rFonts w:eastAsia="Verdana" w:cs="Verdana"/>
          <w:spacing w:val="-1"/>
          <w:szCs w:val="20"/>
        </w:rPr>
        <w:t>Esa</w:t>
      </w:r>
      <w:r w:rsidRPr="008E003D">
        <w:rPr>
          <w:rFonts w:eastAsia="Verdana" w:cs="Verdana"/>
          <w:spacing w:val="3"/>
          <w:szCs w:val="20"/>
          <w:lang w:val="es-ES"/>
        </w:rPr>
        <w:t xml:space="preserve"> </w:t>
      </w:r>
      <w:r w:rsidRPr="008E003D">
        <w:rPr>
          <w:rFonts w:eastAsia="Verdana" w:cs="Verdana"/>
          <w:spacing w:val="-1"/>
          <w:szCs w:val="20"/>
          <w:lang w:val="es-ES"/>
        </w:rPr>
        <w:t>o</w:t>
      </w:r>
      <w:r w:rsidRPr="008E003D">
        <w:rPr>
          <w:rFonts w:eastAsia="Verdana" w:cs="Verdana"/>
          <w:spacing w:val="1"/>
          <w:szCs w:val="20"/>
          <w:lang w:val="es-ES"/>
        </w:rPr>
        <w:t>b</w:t>
      </w:r>
      <w:r w:rsidRPr="008E003D">
        <w:rPr>
          <w:rFonts w:eastAsia="Verdana" w:cs="Verdana"/>
          <w:szCs w:val="20"/>
          <w:lang w:val="es-ES"/>
        </w:rPr>
        <w:t>l</w:t>
      </w:r>
      <w:r w:rsidRPr="008E003D">
        <w:rPr>
          <w:rFonts w:eastAsia="Verdana" w:cs="Verdana"/>
          <w:spacing w:val="3"/>
          <w:szCs w:val="20"/>
          <w:lang w:val="es-ES"/>
        </w:rPr>
        <w:t>i</w:t>
      </w:r>
      <w:r w:rsidRPr="008E003D">
        <w:rPr>
          <w:rFonts w:eastAsia="Verdana" w:cs="Verdana"/>
          <w:spacing w:val="1"/>
          <w:szCs w:val="20"/>
          <w:lang w:val="es-ES"/>
        </w:rPr>
        <w:t>g</w:t>
      </w:r>
      <w:r w:rsidRPr="008E003D">
        <w:rPr>
          <w:rFonts w:eastAsia="Verdana" w:cs="Verdana"/>
          <w:szCs w:val="20"/>
          <w:lang w:val="es-ES"/>
        </w:rPr>
        <w:t>ac</w:t>
      </w:r>
      <w:r w:rsidRPr="008E003D">
        <w:rPr>
          <w:rFonts w:eastAsia="Verdana" w:cs="Verdana"/>
          <w:spacing w:val="3"/>
          <w:szCs w:val="20"/>
          <w:lang w:val="es-ES"/>
        </w:rPr>
        <w:t>i</w:t>
      </w:r>
      <w:r w:rsidRPr="008E003D">
        <w:rPr>
          <w:rFonts w:eastAsia="Verdana" w:cs="Verdana"/>
          <w:spacing w:val="-1"/>
          <w:szCs w:val="20"/>
          <w:lang w:val="es-ES"/>
        </w:rPr>
        <w:t>ó</w:t>
      </w:r>
      <w:r w:rsidRPr="008E003D">
        <w:rPr>
          <w:rFonts w:eastAsia="Verdana" w:cs="Verdana"/>
          <w:szCs w:val="20"/>
          <w:lang w:val="es-ES"/>
        </w:rPr>
        <w:t>n</w:t>
      </w:r>
      <w:r w:rsidRPr="008E003D">
        <w:rPr>
          <w:rFonts w:eastAsia="Verdana" w:cs="Verdana"/>
          <w:spacing w:val="-5"/>
          <w:szCs w:val="20"/>
          <w:lang w:val="es-ES"/>
        </w:rPr>
        <w:t xml:space="preserve"> </w:t>
      </w:r>
      <w:r w:rsidRPr="008E003D">
        <w:rPr>
          <w:rFonts w:eastAsia="Verdana" w:cs="Verdana"/>
          <w:spacing w:val="1"/>
          <w:szCs w:val="20"/>
          <w:lang w:val="es-ES"/>
        </w:rPr>
        <w:t>g</w:t>
      </w:r>
      <w:r w:rsidRPr="008E003D">
        <w:rPr>
          <w:rFonts w:eastAsia="Verdana" w:cs="Verdana"/>
          <w:spacing w:val="-1"/>
          <w:szCs w:val="20"/>
          <w:lang w:val="es-ES"/>
        </w:rPr>
        <w:t>e</w:t>
      </w:r>
      <w:r w:rsidRPr="008E003D">
        <w:rPr>
          <w:rFonts w:eastAsia="Verdana" w:cs="Verdana"/>
          <w:spacing w:val="1"/>
          <w:szCs w:val="20"/>
          <w:lang w:val="es-ES"/>
        </w:rPr>
        <w:t>n</w:t>
      </w:r>
      <w:r w:rsidRPr="008E003D">
        <w:rPr>
          <w:rFonts w:eastAsia="Verdana" w:cs="Verdana"/>
          <w:spacing w:val="-1"/>
          <w:szCs w:val="20"/>
          <w:lang w:val="es-ES"/>
        </w:rPr>
        <w:t>er</w:t>
      </w:r>
      <w:r w:rsidRPr="008E003D">
        <w:rPr>
          <w:rFonts w:eastAsia="Verdana" w:cs="Verdana"/>
          <w:szCs w:val="20"/>
          <w:lang w:val="es-ES"/>
        </w:rPr>
        <w:t>al se</w:t>
      </w:r>
      <w:r w:rsidRPr="008E003D">
        <w:rPr>
          <w:rFonts w:eastAsia="Verdana" w:cs="Verdana"/>
          <w:spacing w:val="3"/>
          <w:szCs w:val="20"/>
          <w:lang w:val="es-ES"/>
        </w:rPr>
        <w:t xml:space="preserve"> </w:t>
      </w:r>
      <w:r w:rsidRPr="008E003D">
        <w:rPr>
          <w:rFonts w:eastAsia="Verdana" w:cs="Verdana"/>
          <w:szCs w:val="20"/>
          <w:lang w:val="es-ES"/>
        </w:rPr>
        <w:t>ve</w:t>
      </w:r>
      <w:r w:rsidRPr="008E003D">
        <w:rPr>
          <w:rFonts w:eastAsia="Verdana" w:cs="Verdana"/>
          <w:spacing w:val="3"/>
          <w:szCs w:val="20"/>
          <w:lang w:val="es-ES"/>
        </w:rPr>
        <w:t xml:space="preserve"> </w:t>
      </w:r>
      <w:r w:rsidRPr="008E003D">
        <w:rPr>
          <w:rFonts w:eastAsia="Verdana" w:cs="Verdana"/>
          <w:spacing w:val="-1"/>
          <w:szCs w:val="20"/>
          <w:lang w:val="es-ES"/>
        </w:rPr>
        <w:t>e</w:t>
      </w:r>
      <w:r w:rsidRPr="008E003D">
        <w:rPr>
          <w:rFonts w:eastAsia="Verdana" w:cs="Verdana"/>
          <w:szCs w:val="20"/>
          <w:lang w:val="es-ES"/>
        </w:rPr>
        <w:t>s</w:t>
      </w:r>
      <w:r w:rsidRPr="008E003D">
        <w:rPr>
          <w:rFonts w:eastAsia="Verdana" w:cs="Verdana"/>
          <w:spacing w:val="2"/>
          <w:szCs w:val="20"/>
          <w:lang w:val="es-ES"/>
        </w:rPr>
        <w:t>p</w:t>
      </w:r>
      <w:r w:rsidRPr="008E003D">
        <w:rPr>
          <w:rFonts w:eastAsia="Verdana" w:cs="Verdana"/>
          <w:spacing w:val="-1"/>
          <w:szCs w:val="20"/>
          <w:lang w:val="es-ES"/>
        </w:rPr>
        <w:t>e</w:t>
      </w:r>
      <w:r w:rsidRPr="008E003D">
        <w:rPr>
          <w:rFonts w:eastAsia="Verdana" w:cs="Verdana"/>
          <w:szCs w:val="20"/>
          <w:lang w:val="es-ES"/>
        </w:rPr>
        <w:t>c</w:t>
      </w:r>
      <w:r w:rsidRPr="008E003D">
        <w:rPr>
          <w:rFonts w:eastAsia="Verdana" w:cs="Verdana"/>
          <w:spacing w:val="2"/>
          <w:szCs w:val="20"/>
          <w:lang w:val="es-ES"/>
        </w:rPr>
        <w:t>i</w:t>
      </w:r>
      <w:r w:rsidRPr="008E003D">
        <w:rPr>
          <w:rFonts w:eastAsia="Verdana" w:cs="Verdana"/>
          <w:szCs w:val="20"/>
          <w:lang w:val="es-ES"/>
        </w:rPr>
        <w:t>a</w:t>
      </w:r>
      <w:r w:rsidRPr="008E003D">
        <w:rPr>
          <w:rFonts w:eastAsia="Verdana" w:cs="Verdana"/>
          <w:spacing w:val="3"/>
          <w:szCs w:val="20"/>
          <w:lang w:val="es-ES"/>
        </w:rPr>
        <w:t>l</w:t>
      </w:r>
      <w:r w:rsidRPr="008E003D">
        <w:rPr>
          <w:rFonts w:eastAsia="Verdana" w:cs="Verdana"/>
          <w:szCs w:val="20"/>
          <w:lang w:val="es-ES"/>
        </w:rPr>
        <w:t>men</w:t>
      </w:r>
      <w:r w:rsidRPr="008E003D">
        <w:rPr>
          <w:rFonts w:eastAsia="Verdana" w:cs="Verdana"/>
          <w:spacing w:val="1"/>
          <w:szCs w:val="20"/>
          <w:lang w:val="es-ES"/>
        </w:rPr>
        <w:t>t</w:t>
      </w:r>
      <w:r w:rsidRPr="008E003D">
        <w:rPr>
          <w:rFonts w:eastAsia="Verdana" w:cs="Verdana"/>
          <w:szCs w:val="20"/>
          <w:lang w:val="es-ES"/>
        </w:rPr>
        <w:t>e</w:t>
      </w:r>
      <w:r w:rsidRPr="008E003D">
        <w:rPr>
          <w:rFonts w:eastAsia="Verdana" w:cs="Verdana"/>
          <w:spacing w:val="-11"/>
          <w:szCs w:val="20"/>
          <w:lang w:val="es-ES"/>
        </w:rPr>
        <w:t xml:space="preserve"> </w:t>
      </w:r>
      <w:r w:rsidRPr="008E003D">
        <w:rPr>
          <w:rFonts w:eastAsia="Verdana" w:cs="Verdana"/>
          <w:szCs w:val="20"/>
          <w:lang w:val="es-ES"/>
        </w:rPr>
        <w:t>a</w:t>
      </w:r>
      <w:r w:rsidRPr="008E003D">
        <w:rPr>
          <w:rFonts w:eastAsia="Verdana" w:cs="Verdana"/>
          <w:spacing w:val="2"/>
          <w:szCs w:val="20"/>
          <w:lang w:val="es-ES"/>
        </w:rPr>
        <w:t>c</w:t>
      </w:r>
      <w:r w:rsidRPr="008E003D">
        <w:rPr>
          <w:rFonts w:eastAsia="Verdana" w:cs="Verdana"/>
          <w:spacing w:val="-1"/>
          <w:szCs w:val="20"/>
          <w:lang w:val="es-ES"/>
        </w:rPr>
        <w:t>e</w:t>
      </w:r>
      <w:r w:rsidRPr="008E003D">
        <w:rPr>
          <w:rFonts w:eastAsia="Verdana" w:cs="Verdana"/>
          <w:spacing w:val="1"/>
          <w:szCs w:val="20"/>
          <w:lang w:val="es-ES"/>
        </w:rPr>
        <w:t>ntu</w:t>
      </w:r>
      <w:r w:rsidRPr="008E003D">
        <w:rPr>
          <w:rFonts w:eastAsia="Verdana" w:cs="Verdana"/>
          <w:szCs w:val="20"/>
          <w:lang w:val="es-ES"/>
        </w:rPr>
        <w:t>a</w:t>
      </w:r>
      <w:r w:rsidRPr="008E003D">
        <w:rPr>
          <w:rFonts w:eastAsia="Verdana" w:cs="Verdana"/>
          <w:spacing w:val="1"/>
          <w:szCs w:val="20"/>
          <w:lang w:val="es-ES"/>
        </w:rPr>
        <w:t>d</w:t>
      </w:r>
      <w:r w:rsidRPr="008E003D">
        <w:rPr>
          <w:rFonts w:eastAsia="Verdana" w:cs="Verdana"/>
          <w:szCs w:val="20"/>
          <w:lang w:val="es-ES"/>
        </w:rPr>
        <w:t>a</w:t>
      </w:r>
      <w:r w:rsidRPr="008E003D">
        <w:rPr>
          <w:rFonts w:eastAsia="Verdana" w:cs="Verdana"/>
          <w:spacing w:val="-6"/>
          <w:szCs w:val="20"/>
          <w:lang w:val="es-ES"/>
        </w:rPr>
        <w:t xml:space="preserve"> </w:t>
      </w:r>
      <w:r w:rsidRPr="008E003D">
        <w:rPr>
          <w:rFonts w:eastAsia="Verdana" w:cs="Verdana"/>
          <w:spacing w:val="-1"/>
          <w:szCs w:val="20"/>
          <w:lang w:val="es-ES"/>
        </w:rPr>
        <w:t>e</w:t>
      </w:r>
      <w:r w:rsidRPr="008E003D">
        <w:rPr>
          <w:rFonts w:eastAsia="Verdana" w:cs="Verdana"/>
          <w:szCs w:val="20"/>
          <w:lang w:val="es-ES"/>
        </w:rPr>
        <w:t>n</w:t>
      </w:r>
      <w:r w:rsidRPr="008E003D">
        <w:rPr>
          <w:rFonts w:eastAsia="Verdana" w:cs="Verdana"/>
          <w:spacing w:val="3"/>
          <w:szCs w:val="20"/>
          <w:lang w:val="es-ES"/>
        </w:rPr>
        <w:t xml:space="preserve"> </w:t>
      </w:r>
      <w:r w:rsidRPr="008E003D">
        <w:rPr>
          <w:rFonts w:eastAsia="Verdana" w:cs="Verdana"/>
          <w:szCs w:val="20"/>
          <w:lang w:val="es-ES"/>
        </w:rPr>
        <w:t>c</w:t>
      </w:r>
      <w:r w:rsidRPr="008E003D">
        <w:rPr>
          <w:rFonts w:eastAsia="Verdana" w:cs="Verdana"/>
          <w:spacing w:val="2"/>
          <w:szCs w:val="20"/>
          <w:lang w:val="es-ES"/>
        </w:rPr>
        <w:t>a</w:t>
      </w:r>
      <w:r w:rsidRPr="008E003D">
        <w:rPr>
          <w:rFonts w:eastAsia="Verdana" w:cs="Verdana"/>
          <w:szCs w:val="20"/>
          <w:lang w:val="es-ES"/>
        </w:rPr>
        <w:t>s</w:t>
      </w:r>
      <w:r w:rsidRPr="008E003D">
        <w:rPr>
          <w:rFonts w:eastAsia="Verdana" w:cs="Verdana"/>
          <w:spacing w:val="1"/>
          <w:szCs w:val="20"/>
          <w:lang w:val="es-ES"/>
        </w:rPr>
        <w:t>o</w:t>
      </w:r>
      <w:r w:rsidRPr="008E003D">
        <w:rPr>
          <w:rFonts w:eastAsia="Verdana" w:cs="Verdana"/>
          <w:szCs w:val="20"/>
          <w:lang w:val="es-ES"/>
        </w:rPr>
        <w:t>s</w:t>
      </w:r>
      <w:r w:rsidRPr="008E003D">
        <w:rPr>
          <w:rFonts w:eastAsia="Verdana" w:cs="Verdana"/>
          <w:spacing w:val="-3"/>
          <w:szCs w:val="20"/>
          <w:lang w:val="es-ES"/>
        </w:rPr>
        <w:t xml:space="preserve"> </w:t>
      </w:r>
      <w:r w:rsidRPr="008E003D">
        <w:rPr>
          <w:rFonts w:eastAsia="Verdana" w:cs="Verdana"/>
          <w:spacing w:val="1"/>
          <w:szCs w:val="20"/>
          <w:lang w:val="es-ES"/>
        </w:rPr>
        <w:t>d</w:t>
      </w:r>
      <w:r w:rsidRPr="008E003D">
        <w:rPr>
          <w:rFonts w:eastAsia="Verdana" w:cs="Verdana"/>
          <w:szCs w:val="20"/>
          <w:lang w:val="es-ES"/>
        </w:rPr>
        <w:t>e</w:t>
      </w:r>
      <w:r w:rsidRPr="008E003D">
        <w:rPr>
          <w:rFonts w:eastAsia="Verdana" w:cs="Verdana"/>
          <w:spacing w:val="3"/>
          <w:szCs w:val="20"/>
          <w:lang w:val="es-ES"/>
        </w:rPr>
        <w:t xml:space="preserve"> </w:t>
      </w:r>
      <w:r w:rsidRPr="008E003D">
        <w:rPr>
          <w:rFonts w:eastAsia="Verdana" w:cs="Verdana"/>
          <w:spacing w:val="1"/>
          <w:szCs w:val="20"/>
          <w:lang w:val="es-ES"/>
        </w:rPr>
        <w:t>u</w:t>
      </w:r>
      <w:r w:rsidRPr="008E003D">
        <w:rPr>
          <w:rFonts w:eastAsia="Verdana" w:cs="Verdana"/>
          <w:spacing w:val="2"/>
          <w:szCs w:val="20"/>
          <w:lang w:val="es-ES"/>
        </w:rPr>
        <w:t>s</w:t>
      </w:r>
      <w:r w:rsidRPr="008E003D">
        <w:rPr>
          <w:rFonts w:eastAsia="Verdana" w:cs="Verdana"/>
          <w:szCs w:val="20"/>
          <w:lang w:val="es-ES"/>
        </w:rPr>
        <w:t>o</w:t>
      </w:r>
      <w:r w:rsidRPr="008E003D">
        <w:rPr>
          <w:rFonts w:eastAsia="Verdana" w:cs="Verdana"/>
          <w:spacing w:val="-1"/>
          <w:szCs w:val="20"/>
          <w:lang w:val="es-ES"/>
        </w:rPr>
        <w:t xml:space="preserve"> </w:t>
      </w:r>
      <w:r w:rsidRPr="008E003D">
        <w:rPr>
          <w:rFonts w:eastAsia="Verdana" w:cs="Verdana"/>
          <w:spacing w:val="1"/>
          <w:szCs w:val="20"/>
          <w:lang w:val="es-ES"/>
        </w:rPr>
        <w:t>d</w:t>
      </w:r>
      <w:r w:rsidRPr="008E003D">
        <w:rPr>
          <w:rFonts w:eastAsia="Verdana" w:cs="Verdana"/>
          <w:szCs w:val="20"/>
          <w:lang w:val="es-ES"/>
        </w:rPr>
        <w:t>e</w:t>
      </w:r>
      <w:r w:rsidRPr="008E003D">
        <w:rPr>
          <w:rFonts w:eastAsia="Verdana" w:cs="Verdana"/>
          <w:spacing w:val="3"/>
          <w:szCs w:val="20"/>
          <w:lang w:val="es-ES"/>
        </w:rPr>
        <w:t xml:space="preserve"> l</w:t>
      </w:r>
      <w:r w:rsidRPr="008E003D">
        <w:rPr>
          <w:rFonts w:eastAsia="Verdana" w:cs="Verdana"/>
          <w:szCs w:val="20"/>
          <w:lang w:val="es-ES"/>
        </w:rPr>
        <w:t>a</w:t>
      </w:r>
      <w:r w:rsidRPr="008E003D">
        <w:rPr>
          <w:rFonts w:eastAsia="Verdana" w:cs="Verdana"/>
          <w:spacing w:val="2"/>
          <w:szCs w:val="20"/>
          <w:lang w:val="es-ES"/>
        </w:rPr>
        <w:t xml:space="preserve"> </w:t>
      </w:r>
      <w:r w:rsidRPr="008E003D">
        <w:rPr>
          <w:rFonts w:eastAsia="Verdana" w:cs="Verdana"/>
          <w:szCs w:val="20"/>
          <w:lang w:val="es-ES"/>
        </w:rPr>
        <w:t>fue</w:t>
      </w:r>
      <w:r w:rsidRPr="008E003D">
        <w:rPr>
          <w:rFonts w:eastAsia="Verdana" w:cs="Verdana"/>
          <w:spacing w:val="-1"/>
          <w:szCs w:val="20"/>
          <w:lang w:val="es-ES"/>
        </w:rPr>
        <w:t>r</w:t>
      </w:r>
      <w:r w:rsidRPr="008E003D">
        <w:rPr>
          <w:rFonts w:eastAsia="Verdana" w:cs="Verdana"/>
          <w:spacing w:val="1"/>
          <w:szCs w:val="20"/>
          <w:lang w:val="es-ES"/>
        </w:rPr>
        <w:t>z</w:t>
      </w:r>
      <w:r w:rsidRPr="008E003D">
        <w:rPr>
          <w:rFonts w:eastAsia="Verdana" w:cs="Verdana"/>
          <w:szCs w:val="20"/>
          <w:lang w:val="es-ES"/>
        </w:rPr>
        <w:t>a</w:t>
      </w:r>
      <w:r w:rsidRPr="008E003D">
        <w:rPr>
          <w:rFonts w:eastAsia="Verdana" w:cs="Verdana"/>
          <w:spacing w:val="-2"/>
          <w:szCs w:val="20"/>
          <w:lang w:val="es-ES"/>
        </w:rPr>
        <w:t xml:space="preserve"> </w:t>
      </w:r>
      <w:r w:rsidRPr="008E003D">
        <w:rPr>
          <w:rFonts w:eastAsia="Verdana" w:cs="Verdana"/>
          <w:spacing w:val="3"/>
          <w:szCs w:val="20"/>
          <w:lang w:val="es-ES"/>
        </w:rPr>
        <w:t>l</w:t>
      </w:r>
      <w:r w:rsidRPr="008E003D">
        <w:rPr>
          <w:rFonts w:eastAsia="Verdana" w:cs="Verdana"/>
          <w:spacing w:val="-1"/>
          <w:szCs w:val="20"/>
          <w:lang w:val="es-ES"/>
        </w:rPr>
        <w:t>e</w:t>
      </w:r>
      <w:r w:rsidRPr="008E003D">
        <w:rPr>
          <w:rFonts w:eastAsia="Verdana" w:cs="Verdana"/>
          <w:spacing w:val="1"/>
          <w:szCs w:val="20"/>
          <w:lang w:val="es-ES"/>
        </w:rPr>
        <w:t>t</w:t>
      </w:r>
      <w:r w:rsidRPr="008E003D">
        <w:rPr>
          <w:rFonts w:eastAsia="Verdana" w:cs="Verdana"/>
          <w:szCs w:val="20"/>
          <w:lang w:val="es-ES"/>
        </w:rPr>
        <w:t>al</w:t>
      </w:r>
      <w:r w:rsidRPr="008E003D">
        <w:rPr>
          <w:rFonts w:eastAsia="Verdana" w:cs="Verdana"/>
          <w:spacing w:val="13"/>
          <w:szCs w:val="20"/>
          <w:lang w:val="es-ES"/>
        </w:rPr>
        <w:t xml:space="preserve"> </w:t>
      </w:r>
      <w:r w:rsidRPr="008E003D">
        <w:rPr>
          <w:rFonts w:eastAsia="Verdana" w:cs="Verdana"/>
          <w:spacing w:val="1"/>
          <w:szCs w:val="20"/>
          <w:lang w:val="es-ES"/>
        </w:rPr>
        <w:t>p</w:t>
      </w:r>
      <w:r w:rsidRPr="008E003D">
        <w:rPr>
          <w:rFonts w:eastAsia="Verdana" w:cs="Verdana"/>
          <w:spacing w:val="-1"/>
          <w:szCs w:val="20"/>
          <w:lang w:val="es-ES"/>
        </w:rPr>
        <w:t>o</w:t>
      </w:r>
      <w:r w:rsidRPr="008E003D">
        <w:rPr>
          <w:rFonts w:eastAsia="Verdana" w:cs="Verdana"/>
          <w:szCs w:val="20"/>
          <w:lang w:val="es-ES"/>
        </w:rPr>
        <w:t xml:space="preserve">r </w:t>
      </w:r>
      <w:r w:rsidRPr="008E003D">
        <w:rPr>
          <w:rFonts w:eastAsia="Verdana" w:cs="Verdana"/>
          <w:spacing w:val="1"/>
          <w:szCs w:val="20"/>
          <w:lang w:val="es-ES"/>
        </w:rPr>
        <w:t>p</w:t>
      </w:r>
      <w:r w:rsidRPr="008E003D">
        <w:rPr>
          <w:rFonts w:eastAsia="Verdana" w:cs="Verdana"/>
          <w:szCs w:val="20"/>
          <w:lang w:val="es-ES"/>
        </w:rPr>
        <w:t>a</w:t>
      </w:r>
      <w:r w:rsidRPr="008E003D">
        <w:rPr>
          <w:rFonts w:eastAsia="Verdana" w:cs="Verdana"/>
          <w:spacing w:val="-1"/>
          <w:szCs w:val="20"/>
          <w:lang w:val="es-ES"/>
        </w:rPr>
        <w:t>r</w:t>
      </w:r>
      <w:r w:rsidRPr="008E003D">
        <w:rPr>
          <w:rFonts w:eastAsia="Verdana" w:cs="Verdana"/>
          <w:spacing w:val="1"/>
          <w:szCs w:val="20"/>
          <w:lang w:val="es-ES"/>
        </w:rPr>
        <w:t>t</w:t>
      </w:r>
      <w:r w:rsidRPr="008E003D">
        <w:rPr>
          <w:rFonts w:eastAsia="Verdana" w:cs="Verdana"/>
          <w:szCs w:val="20"/>
          <w:lang w:val="es-ES"/>
        </w:rPr>
        <w:t>e</w:t>
      </w:r>
      <w:r w:rsidRPr="008E003D">
        <w:rPr>
          <w:rFonts w:eastAsia="Verdana" w:cs="Verdana"/>
          <w:spacing w:val="22"/>
          <w:szCs w:val="20"/>
          <w:lang w:val="es-ES"/>
        </w:rPr>
        <w:t xml:space="preserve"> </w:t>
      </w:r>
      <w:r w:rsidRPr="008E003D">
        <w:rPr>
          <w:rFonts w:eastAsia="Verdana" w:cs="Verdana"/>
          <w:spacing w:val="3"/>
          <w:szCs w:val="20"/>
          <w:lang w:val="es-ES"/>
        </w:rPr>
        <w:t>d</w:t>
      </w:r>
      <w:r w:rsidRPr="008E003D">
        <w:rPr>
          <w:rFonts w:eastAsia="Verdana" w:cs="Verdana"/>
          <w:szCs w:val="20"/>
          <w:lang w:val="es-ES"/>
        </w:rPr>
        <w:t>e</w:t>
      </w:r>
      <w:r w:rsidRPr="008E003D">
        <w:rPr>
          <w:rFonts w:eastAsia="Verdana" w:cs="Verdana"/>
          <w:spacing w:val="27"/>
          <w:szCs w:val="20"/>
          <w:lang w:val="es-ES"/>
        </w:rPr>
        <w:t xml:space="preserve"> </w:t>
      </w:r>
      <w:r w:rsidRPr="008E003D">
        <w:rPr>
          <w:rFonts w:eastAsia="Verdana" w:cs="Verdana"/>
          <w:szCs w:val="20"/>
          <w:lang w:val="es-ES"/>
        </w:rPr>
        <w:t>a</w:t>
      </w:r>
      <w:r w:rsidRPr="008E003D">
        <w:rPr>
          <w:rFonts w:eastAsia="Verdana" w:cs="Verdana"/>
          <w:spacing w:val="1"/>
          <w:szCs w:val="20"/>
          <w:lang w:val="es-ES"/>
        </w:rPr>
        <w:t>g</w:t>
      </w:r>
      <w:r w:rsidRPr="008E003D">
        <w:rPr>
          <w:rFonts w:eastAsia="Verdana" w:cs="Verdana"/>
          <w:spacing w:val="-1"/>
          <w:szCs w:val="20"/>
          <w:lang w:val="es-ES"/>
        </w:rPr>
        <w:t>e</w:t>
      </w:r>
      <w:r w:rsidRPr="008E003D">
        <w:rPr>
          <w:rFonts w:eastAsia="Verdana" w:cs="Verdana"/>
          <w:spacing w:val="1"/>
          <w:szCs w:val="20"/>
          <w:lang w:val="es-ES"/>
        </w:rPr>
        <w:t>nte</w:t>
      </w:r>
      <w:r w:rsidRPr="008E003D">
        <w:rPr>
          <w:rFonts w:eastAsia="Verdana" w:cs="Verdana"/>
          <w:szCs w:val="20"/>
          <w:lang w:val="es-ES"/>
        </w:rPr>
        <w:t>s</w:t>
      </w:r>
      <w:r w:rsidRPr="008E003D">
        <w:rPr>
          <w:rFonts w:eastAsia="Verdana" w:cs="Verdana"/>
          <w:spacing w:val="22"/>
          <w:szCs w:val="20"/>
          <w:lang w:val="es-ES"/>
        </w:rPr>
        <w:t xml:space="preserve"> </w:t>
      </w:r>
      <w:r w:rsidRPr="008E003D">
        <w:rPr>
          <w:rFonts w:eastAsia="Verdana" w:cs="Verdana"/>
          <w:spacing w:val="-1"/>
          <w:szCs w:val="20"/>
          <w:lang w:val="es-ES"/>
        </w:rPr>
        <w:t>e</w:t>
      </w:r>
      <w:r w:rsidRPr="008E003D">
        <w:rPr>
          <w:rFonts w:eastAsia="Verdana" w:cs="Verdana"/>
          <w:szCs w:val="20"/>
          <w:lang w:val="es-ES"/>
        </w:rPr>
        <w:t>sta</w:t>
      </w:r>
      <w:r w:rsidRPr="008E003D">
        <w:rPr>
          <w:rFonts w:eastAsia="Verdana" w:cs="Verdana"/>
          <w:spacing w:val="3"/>
          <w:szCs w:val="20"/>
          <w:lang w:val="es-ES"/>
        </w:rPr>
        <w:t>t</w:t>
      </w:r>
      <w:r w:rsidRPr="008E003D">
        <w:rPr>
          <w:rFonts w:eastAsia="Verdana" w:cs="Verdana"/>
          <w:szCs w:val="20"/>
          <w:lang w:val="es-ES"/>
        </w:rPr>
        <w:t>a</w:t>
      </w:r>
      <w:r w:rsidRPr="008E003D">
        <w:rPr>
          <w:rFonts w:eastAsia="Verdana" w:cs="Verdana"/>
          <w:spacing w:val="3"/>
          <w:szCs w:val="20"/>
          <w:lang w:val="es-ES"/>
        </w:rPr>
        <w:t>l</w:t>
      </w:r>
      <w:r w:rsidRPr="008E003D">
        <w:rPr>
          <w:rFonts w:eastAsia="Verdana" w:cs="Verdana"/>
          <w:spacing w:val="-1"/>
          <w:szCs w:val="20"/>
          <w:lang w:val="es-ES"/>
        </w:rPr>
        <w:t>e</w:t>
      </w:r>
      <w:r w:rsidRPr="008E003D">
        <w:rPr>
          <w:rFonts w:eastAsia="Verdana" w:cs="Verdana"/>
          <w:spacing w:val="2"/>
          <w:szCs w:val="20"/>
          <w:lang w:val="es-ES"/>
        </w:rPr>
        <w:t>s</w:t>
      </w:r>
      <w:r w:rsidRPr="008E003D">
        <w:rPr>
          <w:rFonts w:eastAsia="Verdana" w:cs="Verdana"/>
          <w:szCs w:val="20"/>
          <w:lang w:val="es-ES"/>
        </w:rPr>
        <w:t>.</w:t>
      </w:r>
      <w:r w:rsidRPr="008E003D">
        <w:rPr>
          <w:rFonts w:eastAsia="Verdana" w:cs="Verdana"/>
          <w:spacing w:val="17"/>
          <w:szCs w:val="20"/>
          <w:lang w:val="es-ES"/>
        </w:rPr>
        <w:t xml:space="preserve"> </w:t>
      </w:r>
      <w:r w:rsidRPr="008E003D">
        <w:rPr>
          <w:rFonts w:eastAsia="Verdana" w:cs="Verdana"/>
          <w:szCs w:val="20"/>
          <w:lang w:val="es-ES"/>
        </w:rPr>
        <w:t>U</w:t>
      </w:r>
      <w:r w:rsidRPr="008E003D">
        <w:rPr>
          <w:rFonts w:eastAsia="Verdana" w:cs="Verdana"/>
          <w:spacing w:val="1"/>
          <w:szCs w:val="20"/>
          <w:lang w:val="es-ES"/>
        </w:rPr>
        <w:t>n</w:t>
      </w:r>
      <w:r w:rsidRPr="008E003D">
        <w:rPr>
          <w:rFonts w:eastAsia="Verdana" w:cs="Verdana"/>
          <w:szCs w:val="20"/>
          <w:lang w:val="es-ES"/>
        </w:rPr>
        <w:t>a</w:t>
      </w:r>
      <w:r w:rsidRPr="008E003D">
        <w:rPr>
          <w:rFonts w:eastAsia="Verdana" w:cs="Verdana"/>
          <w:spacing w:val="24"/>
          <w:szCs w:val="20"/>
          <w:lang w:val="es-ES"/>
        </w:rPr>
        <w:t xml:space="preserve"> </w:t>
      </w:r>
      <w:r w:rsidRPr="008E003D">
        <w:rPr>
          <w:rFonts w:eastAsia="Verdana" w:cs="Verdana"/>
          <w:spacing w:val="2"/>
          <w:szCs w:val="20"/>
          <w:lang w:val="es-ES"/>
        </w:rPr>
        <w:t>v</w:t>
      </w:r>
      <w:r w:rsidRPr="008E003D">
        <w:rPr>
          <w:rFonts w:eastAsia="Verdana" w:cs="Verdana"/>
          <w:spacing w:val="-1"/>
          <w:szCs w:val="20"/>
          <w:lang w:val="es-ES"/>
        </w:rPr>
        <w:t>e</w:t>
      </w:r>
      <w:r w:rsidRPr="008E003D">
        <w:rPr>
          <w:rFonts w:eastAsia="Verdana" w:cs="Verdana"/>
          <w:szCs w:val="20"/>
          <w:lang w:val="es-ES"/>
        </w:rPr>
        <w:t>z</w:t>
      </w:r>
      <w:r w:rsidRPr="008E003D">
        <w:rPr>
          <w:rFonts w:eastAsia="Verdana" w:cs="Verdana"/>
          <w:spacing w:val="26"/>
          <w:szCs w:val="20"/>
          <w:lang w:val="es-ES"/>
        </w:rPr>
        <w:t xml:space="preserve"> </w:t>
      </w:r>
      <w:r w:rsidRPr="008E003D">
        <w:rPr>
          <w:rFonts w:eastAsia="Verdana" w:cs="Verdana"/>
          <w:spacing w:val="1"/>
          <w:szCs w:val="20"/>
          <w:lang w:val="es-ES"/>
        </w:rPr>
        <w:t>q</w:t>
      </w:r>
      <w:r w:rsidRPr="008E003D">
        <w:rPr>
          <w:rFonts w:eastAsia="Verdana" w:cs="Verdana"/>
          <w:spacing w:val="3"/>
          <w:szCs w:val="20"/>
          <w:lang w:val="es-ES"/>
        </w:rPr>
        <w:t>u</w:t>
      </w:r>
      <w:r w:rsidRPr="008E003D">
        <w:rPr>
          <w:rFonts w:eastAsia="Verdana" w:cs="Verdana"/>
          <w:szCs w:val="20"/>
          <w:lang w:val="es-ES"/>
        </w:rPr>
        <w:t>e</w:t>
      </w:r>
      <w:r w:rsidRPr="008E003D">
        <w:rPr>
          <w:rFonts w:eastAsia="Verdana" w:cs="Verdana"/>
          <w:spacing w:val="23"/>
          <w:szCs w:val="20"/>
          <w:lang w:val="es-ES"/>
        </w:rPr>
        <w:t xml:space="preserve"> </w:t>
      </w:r>
      <w:r w:rsidRPr="008E003D">
        <w:rPr>
          <w:rFonts w:eastAsia="Verdana" w:cs="Verdana"/>
          <w:spacing w:val="2"/>
          <w:szCs w:val="20"/>
          <w:lang w:val="es-ES"/>
        </w:rPr>
        <w:t>s</w:t>
      </w:r>
      <w:r w:rsidRPr="008E003D">
        <w:rPr>
          <w:rFonts w:eastAsia="Verdana" w:cs="Verdana"/>
          <w:szCs w:val="20"/>
          <w:lang w:val="es-ES"/>
        </w:rPr>
        <w:t>e</w:t>
      </w:r>
      <w:r w:rsidRPr="008E003D">
        <w:rPr>
          <w:rFonts w:eastAsia="Verdana" w:cs="Verdana"/>
          <w:spacing w:val="25"/>
          <w:szCs w:val="20"/>
          <w:lang w:val="es-ES"/>
        </w:rPr>
        <w:t xml:space="preserve"> </w:t>
      </w:r>
      <w:r w:rsidRPr="008E003D">
        <w:rPr>
          <w:rFonts w:eastAsia="Verdana" w:cs="Verdana"/>
          <w:spacing w:val="3"/>
          <w:szCs w:val="20"/>
          <w:lang w:val="es-ES"/>
        </w:rPr>
        <w:t>t</w:t>
      </w:r>
      <w:r w:rsidRPr="008E003D">
        <w:rPr>
          <w:rFonts w:eastAsia="Verdana" w:cs="Verdana"/>
          <w:spacing w:val="-1"/>
          <w:szCs w:val="20"/>
          <w:lang w:val="es-ES"/>
        </w:rPr>
        <w:t>e</w:t>
      </w:r>
      <w:r w:rsidRPr="008E003D">
        <w:rPr>
          <w:rFonts w:eastAsia="Verdana" w:cs="Verdana"/>
          <w:spacing w:val="1"/>
          <w:szCs w:val="20"/>
          <w:lang w:val="es-ES"/>
        </w:rPr>
        <w:t>ng</w:t>
      </w:r>
      <w:r w:rsidRPr="008E003D">
        <w:rPr>
          <w:rFonts w:eastAsia="Verdana" w:cs="Verdana"/>
          <w:szCs w:val="20"/>
          <w:lang w:val="es-ES"/>
        </w:rPr>
        <w:t>a</w:t>
      </w:r>
      <w:r w:rsidRPr="008E003D">
        <w:rPr>
          <w:rFonts w:eastAsia="Verdana" w:cs="Verdana"/>
          <w:spacing w:val="22"/>
          <w:szCs w:val="20"/>
          <w:lang w:val="es-ES"/>
        </w:rPr>
        <w:t xml:space="preserve"> </w:t>
      </w:r>
      <w:r w:rsidRPr="008E003D">
        <w:rPr>
          <w:rFonts w:eastAsia="Verdana" w:cs="Verdana"/>
          <w:spacing w:val="2"/>
          <w:szCs w:val="20"/>
          <w:lang w:val="es-ES"/>
        </w:rPr>
        <w:t>c</w:t>
      </w:r>
      <w:r w:rsidRPr="008E003D">
        <w:rPr>
          <w:rFonts w:eastAsia="Verdana" w:cs="Verdana"/>
          <w:spacing w:val="-1"/>
          <w:szCs w:val="20"/>
          <w:lang w:val="es-ES"/>
        </w:rPr>
        <w:t>o</w:t>
      </w:r>
      <w:r w:rsidRPr="008E003D">
        <w:rPr>
          <w:rFonts w:eastAsia="Verdana" w:cs="Verdana"/>
          <w:spacing w:val="1"/>
          <w:szCs w:val="20"/>
          <w:lang w:val="es-ES"/>
        </w:rPr>
        <w:t>no</w:t>
      </w:r>
      <w:r w:rsidRPr="008E003D">
        <w:rPr>
          <w:rFonts w:eastAsia="Verdana" w:cs="Verdana"/>
          <w:szCs w:val="20"/>
          <w:lang w:val="es-ES"/>
        </w:rPr>
        <w:t>c</w:t>
      </w:r>
      <w:r w:rsidRPr="008E003D">
        <w:rPr>
          <w:rFonts w:eastAsia="Verdana" w:cs="Verdana"/>
          <w:spacing w:val="2"/>
          <w:szCs w:val="20"/>
          <w:lang w:val="es-ES"/>
        </w:rPr>
        <w:t>i</w:t>
      </w:r>
      <w:r w:rsidRPr="008E003D">
        <w:rPr>
          <w:rFonts w:eastAsia="Verdana" w:cs="Verdana"/>
          <w:spacing w:val="-2"/>
          <w:szCs w:val="20"/>
          <w:lang w:val="es-ES"/>
        </w:rPr>
        <w:t>m</w:t>
      </w:r>
      <w:r w:rsidRPr="008E003D">
        <w:rPr>
          <w:rFonts w:eastAsia="Verdana" w:cs="Verdana"/>
          <w:spacing w:val="3"/>
          <w:szCs w:val="20"/>
          <w:lang w:val="es-ES"/>
        </w:rPr>
        <w:t>i</w:t>
      </w:r>
      <w:r w:rsidRPr="008E003D">
        <w:rPr>
          <w:rFonts w:eastAsia="Verdana" w:cs="Verdana"/>
          <w:spacing w:val="-1"/>
          <w:szCs w:val="20"/>
          <w:lang w:val="es-ES"/>
        </w:rPr>
        <w:t>e</w:t>
      </w:r>
      <w:r w:rsidRPr="008E003D">
        <w:rPr>
          <w:rFonts w:eastAsia="Verdana" w:cs="Verdana"/>
          <w:spacing w:val="1"/>
          <w:szCs w:val="20"/>
          <w:lang w:val="es-ES"/>
        </w:rPr>
        <w:t>nt</w:t>
      </w:r>
      <w:r w:rsidRPr="008E003D">
        <w:rPr>
          <w:rFonts w:eastAsia="Verdana" w:cs="Verdana"/>
          <w:szCs w:val="20"/>
          <w:lang w:val="es-ES"/>
        </w:rPr>
        <w:t>o</w:t>
      </w:r>
      <w:r w:rsidRPr="008E003D">
        <w:rPr>
          <w:rFonts w:eastAsia="Verdana" w:cs="Verdana"/>
          <w:spacing w:val="14"/>
          <w:szCs w:val="20"/>
          <w:lang w:val="es-ES"/>
        </w:rPr>
        <w:t xml:space="preserve"> </w:t>
      </w:r>
      <w:r w:rsidRPr="008E003D">
        <w:rPr>
          <w:rFonts w:eastAsia="Verdana" w:cs="Verdana"/>
          <w:spacing w:val="1"/>
          <w:szCs w:val="20"/>
          <w:lang w:val="es-ES"/>
        </w:rPr>
        <w:t>d</w:t>
      </w:r>
      <w:r w:rsidRPr="008E003D">
        <w:rPr>
          <w:rFonts w:eastAsia="Verdana" w:cs="Verdana"/>
          <w:szCs w:val="20"/>
          <w:lang w:val="es-ES"/>
        </w:rPr>
        <w:t>e</w:t>
      </w:r>
      <w:r w:rsidRPr="008E003D">
        <w:rPr>
          <w:rFonts w:eastAsia="Verdana" w:cs="Verdana"/>
          <w:spacing w:val="29"/>
          <w:szCs w:val="20"/>
          <w:lang w:val="es-ES"/>
        </w:rPr>
        <w:t xml:space="preserve"> </w:t>
      </w:r>
      <w:r w:rsidRPr="008E003D">
        <w:rPr>
          <w:rFonts w:eastAsia="Verdana" w:cs="Verdana"/>
          <w:spacing w:val="1"/>
          <w:szCs w:val="20"/>
          <w:lang w:val="es-ES"/>
        </w:rPr>
        <w:t>qu</w:t>
      </w:r>
      <w:r w:rsidRPr="008E003D">
        <w:rPr>
          <w:rFonts w:eastAsia="Verdana" w:cs="Verdana"/>
          <w:szCs w:val="20"/>
          <w:lang w:val="es-ES"/>
        </w:rPr>
        <w:t>e</w:t>
      </w:r>
      <w:r w:rsidRPr="008E003D">
        <w:rPr>
          <w:rFonts w:eastAsia="Verdana" w:cs="Verdana"/>
          <w:spacing w:val="23"/>
          <w:szCs w:val="20"/>
          <w:lang w:val="es-ES"/>
        </w:rPr>
        <w:t xml:space="preserve"> </w:t>
      </w:r>
      <w:r w:rsidRPr="008E003D">
        <w:rPr>
          <w:rFonts w:eastAsia="Verdana" w:cs="Verdana"/>
          <w:spacing w:val="3"/>
          <w:szCs w:val="20"/>
          <w:lang w:val="es-ES"/>
        </w:rPr>
        <w:t>l</w:t>
      </w:r>
      <w:r w:rsidRPr="008E003D">
        <w:rPr>
          <w:rFonts w:eastAsia="Verdana" w:cs="Verdana"/>
          <w:spacing w:val="-1"/>
          <w:szCs w:val="20"/>
          <w:lang w:val="es-ES"/>
        </w:rPr>
        <w:t>o</w:t>
      </w:r>
      <w:r w:rsidRPr="008E003D">
        <w:rPr>
          <w:rFonts w:eastAsia="Verdana" w:cs="Verdana"/>
          <w:szCs w:val="20"/>
          <w:lang w:val="es-ES"/>
        </w:rPr>
        <w:t>s</w:t>
      </w:r>
      <w:r w:rsidRPr="008E003D">
        <w:rPr>
          <w:rFonts w:eastAsia="Verdana" w:cs="Verdana"/>
          <w:spacing w:val="24"/>
          <w:szCs w:val="20"/>
          <w:lang w:val="es-ES"/>
        </w:rPr>
        <w:t xml:space="preserve"> </w:t>
      </w:r>
      <w:r w:rsidRPr="008E003D">
        <w:rPr>
          <w:rFonts w:eastAsia="Verdana" w:cs="Verdana"/>
          <w:szCs w:val="20"/>
          <w:lang w:val="es-ES"/>
        </w:rPr>
        <w:t>a</w:t>
      </w:r>
      <w:r w:rsidRPr="008E003D">
        <w:rPr>
          <w:rFonts w:eastAsia="Verdana" w:cs="Verdana"/>
          <w:spacing w:val="3"/>
          <w:szCs w:val="20"/>
          <w:lang w:val="es-ES"/>
        </w:rPr>
        <w:t>g</w:t>
      </w:r>
      <w:r w:rsidRPr="008E003D">
        <w:rPr>
          <w:rFonts w:eastAsia="Verdana" w:cs="Verdana"/>
          <w:spacing w:val="-1"/>
          <w:szCs w:val="20"/>
          <w:lang w:val="es-ES"/>
        </w:rPr>
        <w:t>e</w:t>
      </w:r>
      <w:r w:rsidRPr="008E003D">
        <w:rPr>
          <w:rFonts w:eastAsia="Verdana" w:cs="Verdana"/>
          <w:spacing w:val="1"/>
          <w:szCs w:val="20"/>
          <w:lang w:val="es-ES"/>
        </w:rPr>
        <w:t>nt</w:t>
      </w:r>
      <w:r w:rsidRPr="008E003D">
        <w:rPr>
          <w:rFonts w:eastAsia="Verdana" w:cs="Verdana"/>
          <w:spacing w:val="-1"/>
          <w:szCs w:val="20"/>
          <w:lang w:val="es-ES"/>
        </w:rPr>
        <w:t>e</w:t>
      </w:r>
      <w:r w:rsidRPr="008E003D">
        <w:rPr>
          <w:rFonts w:eastAsia="Verdana" w:cs="Verdana"/>
          <w:szCs w:val="20"/>
          <w:lang w:val="es-ES"/>
        </w:rPr>
        <w:t>s</w:t>
      </w:r>
      <w:r w:rsidRPr="008E003D">
        <w:rPr>
          <w:rFonts w:eastAsia="Verdana" w:cs="Verdana"/>
          <w:spacing w:val="21"/>
          <w:szCs w:val="20"/>
          <w:lang w:val="es-ES"/>
        </w:rPr>
        <w:t xml:space="preserve"> </w:t>
      </w:r>
      <w:r w:rsidRPr="008E003D">
        <w:rPr>
          <w:rFonts w:eastAsia="Verdana" w:cs="Verdana"/>
          <w:spacing w:val="1"/>
          <w:szCs w:val="20"/>
          <w:lang w:val="es-ES"/>
        </w:rPr>
        <w:t>d</w:t>
      </w:r>
      <w:r w:rsidRPr="008E003D">
        <w:rPr>
          <w:rFonts w:eastAsia="Verdana" w:cs="Verdana"/>
          <w:szCs w:val="20"/>
          <w:lang w:val="es-ES"/>
        </w:rPr>
        <w:t>e</w:t>
      </w:r>
      <w:r w:rsidRPr="008E003D">
        <w:rPr>
          <w:rFonts w:eastAsia="Verdana" w:cs="Verdana"/>
          <w:spacing w:val="27"/>
          <w:szCs w:val="20"/>
          <w:lang w:val="es-ES"/>
        </w:rPr>
        <w:t xml:space="preserve"> </w:t>
      </w:r>
      <w:r w:rsidRPr="008E003D">
        <w:rPr>
          <w:rFonts w:eastAsia="Verdana" w:cs="Verdana"/>
          <w:spacing w:val="2"/>
          <w:szCs w:val="20"/>
          <w:lang w:val="es-ES"/>
        </w:rPr>
        <w:t>s</w:t>
      </w:r>
      <w:r w:rsidRPr="008E003D">
        <w:rPr>
          <w:rFonts w:eastAsia="Verdana" w:cs="Verdana"/>
          <w:spacing w:val="-1"/>
          <w:szCs w:val="20"/>
          <w:lang w:val="es-ES"/>
        </w:rPr>
        <w:t>e</w:t>
      </w:r>
      <w:r w:rsidRPr="008E003D">
        <w:rPr>
          <w:rFonts w:eastAsia="Verdana" w:cs="Verdana"/>
          <w:spacing w:val="3"/>
          <w:szCs w:val="20"/>
          <w:lang w:val="es-ES"/>
        </w:rPr>
        <w:t>g</w:t>
      </w:r>
      <w:r w:rsidRPr="008E003D">
        <w:rPr>
          <w:rFonts w:eastAsia="Verdana" w:cs="Verdana"/>
          <w:spacing w:val="1"/>
          <w:szCs w:val="20"/>
          <w:lang w:val="es-ES"/>
        </w:rPr>
        <w:t>u</w:t>
      </w:r>
      <w:r w:rsidRPr="008E003D">
        <w:rPr>
          <w:rFonts w:eastAsia="Verdana" w:cs="Verdana"/>
          <w:spacing w:val="-1"/>
          <w:szCs w:val="20"/>
          <w:lang w:val="es-ES"/>
        </w:rPr>
        <w:t>r</w:t>
      </w:r>
      <w:r w:rsidRPr="008E003D">
        <w:rPr>
          <w:rFonts w:eastAsia="Verdana" w:cs="Verdana"/>
          <w:spacing w:val="3"/>
          <w:szCs w:val="20"/>
          <w:lang w:val="es-ES"/>
        </w:rPr>
        <w:t>i</w:t>
      </w:r>
      <w:r w:rsidRPr="008E003D">
        <w:rPr>
          <w:rFonts w:eastAsia="Verdana" w:cs="Verdana"/>
          <w:spacing w:val="1"/>
          <w:szCs w:val="20"/>
          <w:lang w:val="es-ES"/>
        </w:rPr>
        <w:t>d</w:t>
      </w:r>
      <w:r w:rsidRPr="008E003D">
        <w:rPr>
          <w:rFonts w:eastAsia="Verdana" w:cs="Verdana"/>
          <w:szCs w:val="20"/>
          <w:lang w:val="es-ES"/>
        </w:rPr>
        <w:t xml:space="preserve">ad </w:t>
      </w:r>
      <w:r w:rsidRPr="008E003D">
        <w:rPr>
          <w:rFonts w:eastAsia="Verdana" w:cs="Verdana"/>
          <w:spacing w:val="1"/>
          <w:szCs w:val="20"/>
          <w:lang w:val="es-ES"/>
        </w:rPr>
        <w:t>h</w:t>
      </w:r>
      <w:r w:rsidRPr="008E003D">
        <w:rPr>
          <w:rFonts w:eastAsia="Verdana" w:cs="Verdana"/>
          <w:szCs w:val="20"/>
          <w:lang w:val="es-ES"/>
        </w:rPr>
        <w:t>an</w:t>
      </w:r>
      <w:r w:rsidRPr="008E003D">
        <w:rPr>
          <w:rFonts w:eastAsia="Verdana" w:cs="Verdana"/>
          <w:spacing w:val="13"/>
          <w:szCs w:val="20"/>
          <w:lang w:val="es-ES"/>
        </w:rPr>
        <w:t xml:space="preserve"> </w:t>
      </w:r>
      <w:r w:rsidRPr="008E003D">
        <w:rPr>
          <w:rFonts w:eastAsia="Verdana" w:cs="Verdana"/>
          <w:spacing w:val="1"/>
          <w:szCs w:val="20"/>
          <w:lang w:val="es-ES"/>
        </w:rPr>
        <w:t>h</w:t>
      </w:r>
      <w:r w:rsidRPr="008E003D">
        <w:rPr>
          <w:rFonts w:eastAsia="Verdana" w:cs="Verdana"/>
          <w:spacing w:val="-1"/>
          <w:szCs w:val="20"/>
          <w:lang w:val="es-ES"/>
        </w:rPr>
        <w:t>e</w:t>
      </w:r>
      <w:r w:rsidRPr="008E003D">
        <w:rPr>
          <w:rFonts w:eastAsia="Verdana" w:cs="Verdana"/>
          <w:szCs w:val="20"/>
          <w:lang w:val="es-ES"/>
        </w:rPr>
        <w:t>cho</w:t>
      </w:r>
      <w:r w:rsidRPr="008E003D">
        <w:rPr>
          <w:rFonts w:eastAsia="Verdana" w:cs="Verdana"/>
          <w:spacing w:val="8"/>
          <w:szCs w:val="20"/>
          <w:lang w:val="es-ES"/>
        </w:rPr>
        <w:t xml:space="preserve"> </w:t>
      </w:r>
      <w:r w:rsidRPr="008E003D">
        <w:rPr>
          <w:rFonts w:eastAsia="Verdana" w:cs="Verdana"/>
          <w:spacing w:val="1"/>
          <w:szCs w:val="20"/>
          <w:lang w:val="es-ES"/>
        </w:rPr>
        <w:t>u</w:t>
      </w:r>
      <w:r w:rsidRPr="008E003D">
        <w:rPr>
          <w:rFonts w:eastAsia="Verdana" w:cs="Verdana"/>
          <w:spacing w:val="2"/>
          <w:szCs w:val="20"/>
          <w:lang w:val="es-ES"/>
        </w:rPr>
        <w:t>s</w:t>
      </w:r>
      <w:r w:rsidRPr="008E003D">
        <w:rPr>
          <w:rFonts w:eastAsia="Verdana" w:cs="Verdana"/>
          <w:szCs w:val="20"/>
          <w:lang w:val="es-ES"/>
        </w:rPr>
        <w:t>o</w:t>
      </w:r>
      <w:r w:rsidRPr="008E003D">
        <w:rPr>
          <w:rFonts w:eastAsia="Verdana" w:cs="Verdana"/>
          <w:spacing w:val="11"/>
          <w:szCs w:val="20"/>
          <w:lang w:val="es-ES"/>
        </w:rPr>
        <w:t xml:space="preserve"> </w:t>
      </w:r>
      <w:r w:rsidRPr="008E003D">
        <w:rPr>
          <w:rFonts w:eastAsia="Verdana" w:cs="Verdana"/>
          <w:spacing w:val="3"/>
          <w:szCs w:val="20"/>
          <w:lang w:val="es-ES"/>
        </w:rPr>
        <w:t>d</w:t>
      </w:r>
      <w:r w:rsidRPr="008E003D">
        <w:rPr>
          <w:rFonts w:eastAsia="Verdana" w:cs="Verdana"/>
          <w:szCs w:val="20"/>
          <w:lang w:val="es-ES"/>
        </w:rPr>
        <w:t>e</w:t>
      </w:r>
      <w:r w:rsidRPr="008E003D">
        <w:rPr>
          <w:rFonts w:eastAsia="Verdana" w:cs="Verdana"/>
          <w:spacing w:val="12"/>
          <w:szCs w:val="20"/>
          <w:lang w:val="es-ES"/>
        </w:rPr>
        <w:t xml:space="preserve"> </w:t>
      </w:r>
      <w:r w:rsidRPr="008E003D">
        <w:rPr>
          <w:rFonts w:eastAsia="Verdana" w:cs="Verdana"/>
          <w:spacing w:val="2"/>
          <w:szCs w:val="20"/>
          <w:lang w:val="es-ES"/>
        </w:rPr>
        <w:t>a</w:t>
      </w:r>
      <w:r w:rsidRPr="008E003D">
        <w:rPr>
          <w:rFonts w:eastAsia="Verdana" w:cs="Verdana"/>
          <w:spacing w:val="-1"/>
          <w:szCs w:val="20"/>
          <w:lang w:val="es-ES"/>
        </w:rPr>
        <w:t>r</w:t>
      </w:r>
      <w:r w:rsidRPr="008E003D">
        <w:rPr>
          <w:rFonts w:eastAsia="Verdana" w:cs="Verdana"/>
          <w:spacing w:val="3"/>
          <w:szCs w:val="20"/>
          <w:lang w:val="es-ES"/>
        </w:rPr>
        <w:t>m</w:t>
      </w:r>
      <w:r w:rsidRPr="008E003D">
        <w:rPr>
          <w:rFonts w:eastAsia="Verdana" w:cs="Verdana"/>
          <w:szCs w:val="20"/>
          <w:lang w:val="es-ES"/>
        </w:rPr>
        <w:t>as</w:t>
      </w:r>
      <w:r w:rsidRPr="008E003D">
        <w:rPr>
          <w:rFonts w:eastAsia="Verdana" w:cs="Verdana"/>
          <w:spacing w:val="8"/>
          <w:szCs w:val="20"/>
          <w:lang w:val="es-ES"/>
        </w:rPr>
        <w:t xml:space="preserve"> </w:t>
      </w:r>
      <w:r w:rsidRPr="008E003D">
        <w:rPr>
          <w:rFonts w:eastAsia="Verdana" w:cs="Verdana"/>
          <w:spacing w:val="1"/>
          <w:szCs w:val="20"/>
          <w:lang w:val="es-ES"/>
        </w:rPr>
        <w:t>d</w:t>
      </w:r>
      <w:r w:rsidRPr="008E003D">
        <w:rPr>
          <w:rFonts w:eastAsia="Verdana" w:cs="Verdana"/>
          <w:szCs w:val="20"/>
          <w:lang w:val="es-ES"/>
        </w:rPr>
        <w:t>e</w:t>
      </w:r>
      <w:r w:rsidRPr="008E003D">
        <w:rPr>
          <w:rFonts w:eastAsia="Verdana" w:cs="Verdana"/>
          <w:spacing w:val="14"/>
          <w:szCs w:val="20"/>
          <w:lang w:val="es-ES"/>
        </w:rPr>
        <w:t xml:space="preserve"> </w:t>
      </w:r>
      <w:r w:rsidRPr="008E003D">
        <w:rPr>
          <w:rFonts w:eastAsia="Verdana" w:cs="Verdana"/>
          <w:szCs w:val="20"/>
          <w:lang w:val="es-ES"/>
        </w:rPr>
        <w:t>fue</w:t>
      </w:r>
      <w:r w:rsidRPr="008E003D">
        <w:rPr>
          <w:rFonts w:eastAsia="Verdana" w:cs="Verdana"/>
          <w:spacing w:val="3"/>
          <w:szCs w:val="20"/>
          <w:lang w:val="es-ES"/>
        </w:rPr>
        <w:t>g</w:t>
      </w:r>
      <w:r w:rsidRPr="008E003D">
        <w:rPr>
          <w:rFonts w:eastAsia="Verdana" w:cs="Verdana"/>
          <w:szCs w:val="20"/>
          <w:lang w:val="es-ES"/>
        </w:rPr>
        <w:t>o</w:t>
      </w:r>
      <w:r w:rsidRPr="008E003D">
        <w:rPr>
          <w:rFonts w:eastAsia="Verdana" w:cs="Verdana"/>
          <w:spacing w:val="9"/>
          <w:szCs w:val="20"/>
          <w:lang w:val="es-ES"/>
        </w:rPr>
        <w:t xml:space="preserve"> </w:t>
      </w:r>
      <w:r w:rsidRPr="008E003D">
        <w:rPr>
          <w:rFonts w:eastAsia="Verdana" w:cs="Verdana"/>
          <w:spacing w:val="2"/>
          <w:szCs w:val="20"/>
          <w:lang w:val="es-ES"/>
        </w:rPr>
        <w:t>c</w:t>
      </w:r>
      <w:r w:rsidRPr="008E003D">
        <w:rPr>
          <w:rFonts w:eastAsia="Verdana" w:cs="Verdana"/>
          <w:spacing w:val="-1"/>
          <w:szCs w:val="20"/>
          <w:lang w:val="es-ES"/>
        </w:rPr>
        <w:t>o</w:t>
      </w:r>
      <w:r w:rsidRPr="008E003D">
        <w:rPr>
          <w:rFonts w:eastAsia="Verdana" w:cs="Verdana"/>
          <w:szCs w:val="20"/>
          <w:lang w:val="es-ES"/>
        </w:rPr>
        <w:t>n</w:t>
      </w:r>
      <w:r w:rsidRPr="008E003D">
        <w:rPr>
          <w:rFonts w:eastAsia="Verdana" w:cs="Verdana"/>
          <w:spacing w:val="13"/>
          <w:szCs w:val="20"/>
          <w:lang w:val="es-ES"/>
        </w:rPr>
        <w:t xml:space="preserve"> </w:t>
      </w:r>
      <w:r w:rsidRPr="008E003D">
        <w:rPr>
          <w:rFonts w:eastAsia="Verdana" w:cs="Verdana"/>
          <w:spacing w:val="2"/>
          <w:szCs w:val="20"/>
          <w:lang w:val="es-ES"/>
        </w:rPr>
        <w:t>c</w:t>
      </w:r>
      <w:r w:rsidRPr="008E003D">
        <w:rPr>
          <w:rFonts w:eastAsia="Verdana" w:cs="Verdana"/>
          <w:spacing w:val="-1"/>
          <w:szCs w:val="20"/>
          <w:lang w:val="es-ES"/>
        </w:rPr>
        <w:t>o</w:t>
      </w:r>
      <w:r w:rsidRPr="008E003D">
        <w:rPr>
          <w:rFonts w:eastAsia="Verdana" w:cs="Verdana"/>
          <w:spacing w:val="1"/>
          <w:szCs w:val="20"/>
          <w:lang w:val="es-ES"/>
        </w:rPr>
        <w:t>n</w:t>
      </w:r>
      <w:r w:rsidRPr="008E003D">
        <w:rPr>
          <w:rFonts w:eastAsia="Verdana" w:cs="Verdana"/>
          <w:spacing w:val="2"/>
          <w:szCs w:val="20"/>
          <w:lang w:val="es-ES"/>
        </w:rPr>
        <w:t>s</w:t>
      </w:r>
      <w:r w:rsidRPr="008E003D">
        <w:rPr>
          <w:rFonts w:eastAsia="Verdana" w:cs="Verdana"/>
          <w:spacing w:val="1"/>
          <w:szCs w:val="20"/>
          <w:lang w:val="es-ES"/>
        </w:rPr>
        <w:t>e</w:t>
      </w:r>
      <w:r w:rsidRPr="008E003D">
        <w:rPr>
          <w:rFonts w:eastAsia="Verdana" w:cs="Verdana"/>
          <w:szCs w:val="20"/>
          <w:lang w:val="es-ES"/>
        </w:rPr>
        <w:t>cu</w:t>
      </w:r>
      <w:r w:rsidRPr="008E003D">
        <w:rPr>
          <w:rFonts w:eastAsia="Verdana" w:cs="Verdana"/>
          <w:spacing w:val="-1"/>
          <w:szCs w:val="20"/>
          <w:lang w:val="es-ES"/>
        </w:rPr>
        <w:t>e</w:t>
      </w:r>
      <w:r w:rsidRPr="008E003D">
        <w:rPr>
          <w:rFonts w:eastAsia="Verdana" w:cs="Verdana"/>
          <w:spacing w:val="1"/>
          <w:szCs w:val="20"/>
          <w:lang w:val="es-ES"/>
        </w:rPr>
        <w:t>n</w:t>
      </w:r>
      <w:r w:rsidRPr="008E003D">
        <w:rPr>
          <w:rFonts w:eastAsia="Verdana" w:cs="Verdana"/>
          <w:szCs w:val="20"/>
          <w:lang w:val="es-ES"/>
        </w:rPr>
        <w:t>c</w:t>
      </w:r>
      <w:r w:rsidRPr="008E003D">
        <w:rPr>
          <w:rFonts w:eastAsia="Verdana" w:cs="Verdana"/>
          <w:spacing w:val="2"/>
          <w:szCs w:val="20"/>
          <w:lang w:val="es-ES"/>
        </w:rPr>
        <w:t>i</w:t>
      </w:r>
      <w:r w:rsidRPr="008E003D">
        <w:rPr>
          <w:rFonts w:eastAsia="Verdana" w:cs="Verdana"/>
          <w:szCs w:val="20"/>
          <w:lang w:val="es-ES"/>
        </w:rPr>
        <w:t xml:space="preserve">as </w:t>
      </w:r>
      <w:r w:rsidRPr="008E003D">
        <w:rPr>
          <w:rFonts w:eastAsia="Verdana" w:cs="Verdana"/>
          <w:spacing w:val="3"/>
          <w:szCs w:val="20"/>
          <w:lang w:val="es-ES"/>
        </w:rPr>
        <w:t>l</w:t>
      </w:r>
      <w:r w:rsidRPr="008E003D">
        <w:rPr>
          <w:rFonts w:eastAsia="Verdana" w:cs="Verdana"/>
          <w:spacing w:val="-1"/>
          <w:szCs w:val="20"/>
          <w:lang w:val="es-ES"/>
        </w:rPr>
        <w:t>e</w:t>
      </w:r>
      <w:r w:rsidRPr="008E003D">
        <w:rPr>
          <w:rFonts w:eastAsia="Verdana" w:cs="Verdana"/>
          <w:spacing w:val="1"/>
          <w:szCs w:val="20"/>
          <w:lang w:val="es-ES"/>
        </w:rPr>
        <w:t>t</w:t>
      </w:r>
      <w:r w:rsidRPr="008E003D">
        <w:rPr>
          <w:rFonts w:eastAsia="Verdana" w:cs="Verdana"/>
          <w:szCs w:val="20"/>
          <w:lang w:val="es-ES"/>
        </w:rPr>
        <w:t>a</w:t>
      </w:r>
      <w:r w:rsidRPr="008E003D">
        <w:rPr>
          <w:rFonts w:eastAsia="Verdana" w:cs="Verdana"/>
          <w:spacing w:val="3"/>
          <w:szCs w:val="20"/>
          <w:lang w:val="es-ES"/>
        </w:rPr>
        <w:t>l</w:t>
      </w:r>
      <w:r w:rsidRPr="008E003D">
        <w:rPr>
          <w:rFonts w:eastAsia="Verdana" w:cs="Verdana"/>
          <w:spacing w:val="-1"/>
          <w:szCs w:val="20"/>
          <w:lang w:val="es-ES"/>
        </w:rPr>
        <w:t>e</w:t>
      </w:r>
      <w:r w:rsidRPr="008E003D">
        <w:rPr>
          <w:rFonts w:eastAsia="Verdana" w:cs="Verdana"/>
          <w:szCs w:val="20"/>
          <w:lang w:val="es-ES"/>
        </w:rPr>
        <w:t>s,</w:t>
      </w:r>
      <w:r w:rsidRPr="008E003D">
        <w:rPr>
          <w:rFonts w:eastAsia="Verdana" w:cs="Verdana"/>
          <w:spacing w:val="7"/>
          <w:szCs w:val="20"/>
          <w:lang w:val="es-ES"/>
        </w:rPr>
        <w:t xml:space="preserve"> </w:t>
      </w:r>
      <w:r w:rsidRPr="008E003D">
        <w:rPr>
          <w:rFonts w:eastAsia="Verdana" w:cs="Verdana"/>
          <w:spacing w:val="-1"/>
          <w:szCs w:val="20"/>
          <w:lang w:val="es-ES"/>
        </w:rPr>
        <w:t>e</w:t>
      </w:r>
      <w:r w:rsidRPr="008E003D">
        <w:rPr>
          <w:rFonts w:eastAsia="Verdana" w:cs="Verdana"/>
          <w:szCs w:val="20"/>
          <w:lang w:val="es-ES"/>
        </w:rPr>
        <w:t>l</w:t>
      </w:r>
      <w:r w:rsidRPr="008E003D">
        <w:rPr>
          <w:rFonts w:eastAsia="Verdana" w:cs="Verdana"/>
          <w:spacing w:val="17"/>
          <w:szCs w:val="20"/>
          <w:lang w:val="es-ES"/>
        </w:rPr>
        <w:t xml:space="preserve"> </w:t>
      </w:r>
      <w:r w:rsidRPr="008E003D">
        <w:rPr>
          <w:rFonts w:eastAsia="Verdana" w:cs="Verdana"/>
          <w:spacing w:val="-1"/>
          <w:szCs w:val="20"/>
          <w:lang w:val="es-ES"/>
        </w:rPr>
        <w:t>E</w:t>
      </w:r>
      <w:r w:rsidRPr="008E003D">
        <w:rPr>
          <w:rFonts w:eastAsia="Verdana" w:cs="Verdana"/>
          <w:szCs w:val="20"/>
          <w:lang w:val="es-ES"/>
        </w:rPr>
        <w:t>s</w:t>
      </w:r>
      <w:r w:rsidRPr="008E003D">
        <w:rPr>
          <w:rFonts w:eastAsia="Verdana" w:cs="Verdana"/>
          <w:spacing w:val="2"/>
          <w:szCs w:val="20"/>
          <w:lang w:val="es-ES"/>
        </w:rPr>
        <w:t>t</w:t>
      </w:r>
      <w:r w:rsidRPr="008E003D">
        <w:rPr>
          <w:rFonts w:eastAsia="Verdana" w:cs="Verdana"/>
          <w:szCs w:val="20"/>
          <w:lang w:val="es-ES"/>
        </w:rPr>
        <w:t>a</w:t>
      </w:r>
      <w:r w:rsidRPr="008E003D">
        <w:rPr>
          <w:rFonts w:eastAsia="Verdana" w:cs="Verdana"/>
          <w:spacing w:val="1"/>
          <w:szCs w:val="20"/>
          <w:lang w:val="es-ES"/>
        </w:rPr>
        <w:t>d</w:t>
      </w:r>
      <w:r w:rsidRPr="008E003D">
        <w:rPr>
          <w:rFonts w:eastAsia="Verdana" w:cs="Verdana"/>
          <w:szCs w:val="20"/>
          <w:lang w:val="es-ES"/>
        </w:rPr>
        <w:t>o</w:t>
      </w:r>
      <w:r w:rsidRPr="008E003D">
        <w:rPr>
          <w:rFonts w:eastAsia="Verdana" w:cs="Verdana"/>
          <w:spacing w:val="8"/>
          <w:szCs w:val="20"/>
          <w:lang w:val="es-ES"/>
        </w:rPr>
        <w:t xml:space="preserve"> también </w:t>
      </w:r>
      <w:r w:rsidRPr="008E003D">
        <w:rPr>
          <w:rFonts w:eastAsia="Verdana" w:cs="Verdana"/>
          <w:spacing w:val="1"/>
          <w:szCs w:val="20"/>
          <w:lang w:val="es-ES"/>
        </w:rPr>
        <w:t>e</w:t>
      </w:r>
      <w:r w:rsidRPr="008E003D">
        <w:rPr>
          <w:rFonts w:eastAsia="Verdana" w:cs="Verdana"/>
          <w:szCs w:val="20"/>
          <w:lang w:val="es-ES"/>
        </w:rPr>
        <w:t>stá</w:t>
      </w:r>
      <w:r w:rsidRPr="008E003D">
        <w:rPr>
          <w:rFonts w:eastAsia="Verdana" w:cs="Verdana"/>
          <w:spacing w:val="14"/>
          <w:szCs w:val="20"/>
          <w:lang w:val="es-ES"/>
        </w:rPr>
        <w:t xml:space="preserve"> </w:t>
      </w:r>
      <w:r w:rsidRPr="008E003D">
        <w:rPr>
          <w:rFonts w:eastAsia="Verdana" w:cs="Verdana"/>
          <w:spacing w:val="-1"/>
          <w:szCs w:val="20"/>
          <w:lang w:val="es-ES"/>
        </w:rPr>
        <w:t>o</w:t>
      </w:r>
      <w:r w:rsidRPr="008E003D">
        <w:rPr>
          <w:rFonts w:eastAsia="Verdana" w:cs="Verdana"/>
          <w:spacing w:val="1"/>
          <w:szCs w:val="20"/>
          <w:lang w:val="es-ES"/>
        </w:rPr>
        <w:t>b</w:t>
      </w:r>
      <w:r w:rsidRPr="008E003D">
        <w:rPr>
          <w:rFonts w:eastAsia="Verdana" w:cs="Verdana"/>
          <w:szCs w:val="20"/>
          <w:lang w:val="es-ES"/>
        </w:rPr>
        <w:t>l</w:t>
      </w:r>
      <w:r w:rsidRPr="008E003D">
        <w:rPr>
          <w:rFonts w:eastAsia="Verdana" w:cs="Verdana"/>
          <w:spacing w:val="3"/>
          <w:szCs w:val="20"/>
          <w:lang w:val="es-ES"/>
        </w:rPr>
        <w:t>i</w:t>
      </w:r>
      <w:r w:rsidRPr="008E003D">
        <w:rPr>
          <w:rFonts w:eastAsia="Verdana" w:cs="Verdana"/>
          <w:spacing w:val="1"/>
          <w:szCs w:val="20"/>
          <w:lang w:val="es-ES"/>
        </w:rPr>
        <w:t>g</w:t>
      </w:r>
      <w:r w:rsidRPr="008E003D">
        <w:rPr>
          <w:rFonts w:eastAsia="Verdana" w:cs="Verdana"/>
          <w:szCs w:val="20"/>
          <w:lang w:val="es-ES"/>
        </w:rPr>
        <w:t>a</w:t>
      </w:r>
      <w:r w:rsidRPr="008E003D">
        <w:rPr>
          <w:rFonts w:eastAsia="Verdana" w:cs="Verdana"/>
          <w:spacing w:val="1"/>
          <w:szCs w:val="20"/>
          <w:lang w:val="es-ES"/>
        </w:rPr>
        <w:t>d</w:t>
      </w:r>
      <w:r w:rsidRPr="008E003D">
        <w:rPr>
          <w:rFonts w:eastAsia="Verdana" w:cs="Verdana"/>
          <w:szCs w:val="20"/>
          <w:lang w:val="es-ES"/>
        </w:rPr>
        <w:t>o</w:t>
      </w:r>
      <w:r w:rsidRPr="008E003D">
        <w:rPr>
          <w:rFonts w:eastAsia="Verdana" w:cs="Verdana"/>
          <w:spacing w:val="6"/>
          <w:szCs w:val="20"/>
          <w:lang w:val="es-ES"/>
        </w:rPr>
        <w:t xml:space="preserve"> </w:t>
      </w:r>
      <w:r w:rsidRPr="008E003D">
        <w:rPr>
          <w:rFonts w:eastAsia="Verdana" w:cs="Verdana"/>
          <w:szCs w:val="20"/>
          <w:lang w:val="es-ES"/>
        </w:rPr>
        <w:t>a</w:t>
      </w:r>
      <w:r w:rsidRPr="008E003D">
        <w:rPr>
          <w:rFonts w:eastAsia="Verdana" w:cs="Verdana"/>
          <w:spacing w:val="14"/>
          <w:szCs w:val="20"/>
          <w:lang w:val="es-ES"/>
        </w:rPr>
        <w:t xml:space="preserve"> </w:t>
      </w:r>
      <w:r w:rsidRPr="008E003D">
        <w:rPr>
          <w:rFonts w:eastAsia="Verdana" w:cs="Verdana"/>
          <w:spacing w:val="1"/>
          <w:szCs w:val="20"/>
          <w:lang w:val="es-ES"/>
        </w:rPr>
        <w:t>d</w:t>
      </w:r>
      <w:r w:rsidRPr="008E003D">
        <w:rPr>
          <w:rFonts w:eastAsia="Verdana" w:cs="Verdana"/>
          <w:spacing w:val="-1"/>
          <w:szCs w:val="20"/>
          <w:lang w:val="es-ES"/>
        </w:rPr>
        <w:t>e</w:t>
      </w:r>
      <w:r w:rsidRPr="008E003D">
        <w:rPr>
          <w:rFonts w:eastAsia="Verdana" w:cs="Verdana"/>
          <w:spacing w:val="10"/>
          <w:szCs w:val="20"/>
          <w:lang w:val="es-ES"/>
        </w:rPr>
        <w:t>t</w:t>
      </w:r>
      <w:r w:rsidRPr="008E003D">
        <w:rPr>
          <w:rFonts w:eastAsia="Verdana" w:cs="Verdana"/>
          <w:spacing w:val="1"/>
          <w:szCs w:val="20"/>
          <w:lang w:val="es-ES"/>
        </w:rPr>
        <w:t>e</w:t>
      </w:r>
      <w:r w:rsidRPr="008E003D">
        <w:rPr>
          <w:rFonts w:eastAsia="Verdana" w:cs="Verdana"/>
          <w:spacing w:val="-1"/>
          <w:szCs w:val="20"/>
          <w:lang w:val="es-ES"/>
        </w:rPr>
        <w:t>r</w:t>
      </w:r>
      <w:r w:rsidRPr="008E003D">
        <w:rPr>
          <w:rFonts w:eastAsia="Verdana" w:cs="Verdana"/>
          <w:szCs w:val="20"/>
          <w:lang w:val="es-ES"/>
        </w:rPr>
        <w:t>m</w:t>
      </w:r>
      <w:r w:rsidRPr="008E003D">
        <w:rPr>
          <w:rFonts w:eastAsia="Verdana" w:cs="Verdana"/>
          <w:spacing w:val="1"/>
          <w:szCs w:val="20"/>
          <w:lang w:val="es-ES"/>
        </w:rPr>
        <w:t>in</w:t>
      </w:r>
      <w:r w:rsidRPr="008E003D">
        <w:rPr>
          <w:rFonts w:eastAsia="Verdana" w:cs="Verdana"/>
          <w:szCs w:val="20"/>
          <w:lang w:val="es-ES"/>
        </w:rPr>
        <w:t>ar</w:t>
      </w:r>
      <w:r w:rsidRPr="008E003D">
        <w:rPr>
          <w:rFonts w:eastAsia="Verdana" w:cs="Verdana"/>
          <w:spacing w:val="7"/>
          <w:szCs w:val="20"/>
          <w:lang w:val="es-ES"/>
        </w:rPr>
        <w:t xml:space="preserve"> </w:t>
      </w:r>
      <w:r w:rsidRPr="008E003D">
        <w:rPr>
          <w:rFonts w:eastAsia="Verdana" w:cs="Verdana"/>
          <w:szCs w:val="20"/>
          <w:lang w:val="es-ES"/>
        </w:rPr>
        <w:t xml:space="preserve">si </w:t>
      </w:r>
      <w:r w:rsidRPr="008E003D">
        <w:rPr>
          <w:rFonts w:eastAsia="Verdana" w:cs="Verdana"/>
          <w:spacing w:val="3"/>
          <w:szCs w:val="20"/>
          <w:lang w:val="es-ES"/>
        </w:rPr>
        <w:t>l</w:t>
      </w:r>
      <w:r w:rsidRPr="008E003D">
        <w:rPr>
          <w:rFonts w:eastAsia="Verdana" w:cs="Verdana"/>
          <w:szCs w:val="20"/>
          <w:lang w:val="es-ES"/>
        </w:rPr>
        <w:t>a</w:t>
      </w:r>
      <w:r w:rsidRPr="008E003D">
        <w:rPr>
          <w:rFonts w:eastAsia="Verdana" w:cs="Verdana"/>
          <w:spacing w:val="10"/>
          <w:szCs w:val="20"/>
          <w:lang w:val="es-ES"/>
        </w:rPr>
        <w:t xml:space="preserve"> </w:t>
      </w:r>
      <w:r w:rsidRPr="008E003D">
        <w:rPr>
          <w:rFonts w:eastAsia="Verdana" w:cs="Verdana"/>
          <w:spacing w:val="1"/>
          <w:szCs w:val="20"/>
          <w:lang w:val="es-ES"/>
        </w:rPr>
        <w:t>p</w:t>
      </w:r>
      <w:r w:rsidRPr="008E003D">
        <w:rPr>
          <w:rFonts w:eastAsia="Verdana" w:cs="Verdana"/>
          <w:spacing w:val="-1"/>
          <w:szCs w:val="20"/>
          <w:lang w:val="es-ES"/>
        </w:rPr>
        <w:t>r</w:t>
      </w:r>
      <w:r w:rsidRPr="008E003D">
        <w:rPr>
          <w:rFonts w:eastAsia="Verdana" w:cs="Verdana"/>
          <w:spacing w:val="3"/>
          <w:szCs w:val="20"/>
          <w:lang w:val="es-ES"/>
        </w:rPr>
        <w:t>i</w:t>
      </w:r>
      <w:r w:rsidRPr="008E003D">
        <w:rPr>
          <w:rFonts w:eastAsia="Verdana" w:cs="Verdana"/>
          <w:szCs w:val="20"/>
          <w:lang w:val="es-ES"/>
        </w:rPr>
        <w:t>va</w:t>
      </w:r>
      <w:r w:rsidRPr="008E003D">
        <w:rPr>
          <w:rFonts w:eastAsia="Verdana" w:cs="Verdana"/>
          <w:spacing w:val="-3"/>
          <w:szCs w:val="20"/>
          <w:lang w:val="es-ES"/>
        </w:rPr>
        <w:t>c</w:t>
      </w:r>
      <w:r w:rsidRPr="008E003D">
        <w:rPr>
          <w:rFonts w:eastAsia="Verdana" w:cs="Verdana"/>
          <w:spacing w:val="3"/>
          <w:szCs w:val="20"/>
          <w:lang w:val="es-ES"/>
        </w:rPr>
        <w:t>i</w:t>
      </w:r>
      <w:r w:rsidRPr="008E003D">
        <w:rPr>
          <w:rFonts w:eastAsia="Verdana" w:cs="Verdana"/>
          <w:spacing w:val="-1"/>
          <w:szCs w:val="20"/>
          <w:lang w:val="es-ES"/>
        </w:rPr>
        <w:t>ó</w:t>
      </w:r>
      <w:r w:rsidRPr="008E003D">
        <w:rPr>
          <w:rFonts w:eastAsia="Verdana" w:cs="Verdana"/>
          <w:szCs w:val="20"/>
          <w:lang w:val="es-ES"/>
        </w:rPr>
        <w:t>n</w:t>
      </w:r>
      <w:r w:rsidRPr="008E003D">
        <w:rPr>
          <w:rFonts w:eastAsia="Verdana" w:cs="Verdana"/>
          <w:spacing w:val="3"/>
          <w:szCs w:val="20"/>
          <w:lang w:val="es-ES"/>
        </w:rPr>
        <w:t xml:space="preserve"> </w:t>
      </w:r>
      <w:r w:rsidRPr="008E003D">
        <w:rPr>
          <w:rFonts w:eastAsia="Verdana" w:cs="Verdana"/>
          <w:spacing w:val="1"/>
          <w:szCs w:val="20"/>
          <w:lang w:val="es-ES"/>
        </w:rPr>
        <w:t>d</w:t>
      </w:r>
      <w:r w:rsidRPr="008E003D">
        <w:rPr>
          <w:rFonts w:eastAsia="Verdana" w:cs="Verdana"/>
          <w:szCs w:val="20"/>
          <w:lang w:val="es-ES"/>
        </w:rPr>
        <w:t>e</w:t>
      </w:r>
      <w:r w:rsidRPr="008E003D">
        <w:rPr>
          <w:rFonts w:eastAsia="Verdana" w:cs="Verdana"/>
          <w:spacing w:val="8"/>
          <w:szCs w:val="20"/>
          <w:lang w:val="es-ES"/>
        </w:rPr>
        <w:t xml:space="preserve"> </w:t>
      </w:r>
      <w:r w:rsidRPr="008E003D">
        <w:rPr>
          <w:rFonts w:eastAsia="Verdana" w:cs="Verdana"/>
          <w:spacing w:val="3"/>
          <w:szCs w:val="20"/>
          <w:lang w:val="es-ES"/>
        </w:rPr>
        <w:t>l</w:t>
      </w:r>
      <w:r w:rsidRPr="008E003D">
        <w:rPr>
          <w:rFonts w:eastAsia="Verdana" w:cs="Verdana"/>
          <w:szCs w:val="20"/>
          <w:lang w:val="es-ES"/>
        </w:rPr>
        <w:t>a</w:t>
      </w:r>
      <w:r w:rsidRPr="008E003D">
        <w:rPr>
          <w:rFonts w:eastAsia="Verdana" w:cs="Verdana"/>
          <w:spacing w:val="10"/>
          <w:szCs w:val="20"/>
          <w:lang w:val="es-ES"/>
        </w:rPr>
        <w:t xml:space="preserve"> </w:t>
      </w:r>
      <w:r w:rsidRPr="008E003D">
        <w:rPr>
          <w:rFonts w:eastAsia="Verdana" w:cs="Verdana"/>
          <w:szCs w:val="20"/>
          <w:lang w:val="es-ES"/>
        </w:rPr>
        <w:t>v</w:t>
      </w:r>
      <w:r w:rsidRPr="008E003D">
        <w:rPr>
          <w:rFonts w:eastAsia="Verdana" w:cs="Verdana"/>
          <w:spacing w:val="3"/>
          <w:szCs w:val="20"/>
          <w:lang w:val="es-ES"/>
        </w:rPr>
        <w:t>i</w:t>
      </w:r>
      <w:r w:rsidRPr="008E003D">
        <w:rPr>
          <w:rFonts w:eastAsia="Verdana" w:cs="Verdana"/>
          <w:spacing w:val="1"/>
          <w:szCs w:val="20"/>
          <w:lang w:val="es-ES"/>
        </w:rPr>
        <w:t>d</w:t>
      </w:r>
      <w:r w:rsidRPr="008E003D">
        <w:rPr>
          <w:rFonts w:eastAsia="Verdana" w:cs="Verdana"/>
          <w:szCs w:val="20"/>
          <w:lang w:val="es-ES"/>
        </w:rPr>
        <w:t>a</w:t>
      </w:r>
      <w:r w:rsidRPr="008E003D">
        <w:rPr>
          <w:rFonts w:eastAsia="Verdana" w:cs="Verdana"/>
          <w:spacing w:val="8"/>
          <w:szCs w:val="20"/>
          <w:lang w:val="es-ES"/>
        </w:rPr>
        <w:t xml:space="preserve"> </w:t>
      </w:r>
      <w:r w:rsidRPr="008E003D">
        <w:rPr>
          <w:rFonts w:eastAsia="Verdana" w:cs="Verdana"/>
          <w:szCs w:val="20"/>
          <w:lang w:val="es-ES"/>
        </w:rPr>
        <w:t>fue</w:t>
      </w:r>
      <w:r w:rsidRPr="008E003D">
        <w:rPr>
          <w:rFonts w:eastAsia="Verdana" w:cs="Verdana"/>
          <w:spacing w:val="8"/>
          <w:szCs w:val="20"/>
          <w:lang w:val="es-ES"/>
        </w:rPr>
        <w:t xml:space="preserve"> </w:t>
      </w:r>
      <w:r w:rsidRPr="008E003D">
        <w:rPr>
          <w:rFonts w:eastAsia="Verdana" w:cs="Verdana"/>
          <w:spacing w:val="2"/>
          <w:szCs w:val="20"/>
          <w:lang w:val="es-ES"/>
        </w:rPr>
        <w:t>a</w:t>
      </w:r>
      <w:r w:rsidRPr="008E003D">
        <w:rPr>
          <w:rFonts w:eastAsia="Verdana" w:cs="Verdana"/>
          <w:spacing w:val="-1"/>
          <w:szCs w:val="20"/>
          <w:lang w:val="es-ES"/>
        </w:rPr>
        <w:t>r</w:t>
      </w:r>
      <w:r w:rsidRPr="008E003D">
        <w:rPr>
          <w:rFonts w:eastAsia="Verdana" w:cs="Verdana"/>
          <w:spacing w:val="1"/>
          <w:szCs w:val="20"/>
          <w:lang w:val="es-ES"/>
        </w:rPr>
        <w:t>b</w:t>
      </w:r>
      <w:r w:rsidRPr="008E003D">
        <w:rPr>
          <w:rFonts w:eastAsia="Verdana" w:cs="Verdana"/>
          <w:spacing w:val="3"/>
          <w:szCs w:val="20"/>
          <w:lang w:val="es-ES"/>
        </w:rPr>
        <w:t>i</w:t>
      </w:r>
      <w:r w:rsidRPr="008E003D">
        <w:rPr>
          <w:rFonts w:eastAsia="Verdana" w:cs="Verdana"/>
          <w:spacing w:val="1"/>
          <w:szCs w:val="20"/>
          <w:lang w:val="es-ES"/>
        </w:rPr>
        <w:t>t</w:t>
      </w:r>
      <w:r w:rsidRPr="008E003D">
        <w:rPr>
          <w:rFonts w:eastAsia="Verdana" w:cs="Verdana"/>
          <w:spacing w:val="-1"/>
          <w:szCs w:val="20"/>
          <w:lang w:val="es-ES"/>
        </w:rPr>
        <w:t>r</w:t>
      </w:r>
      <w:r w:rsidRPr="008E003D">
        <w:rPr>
          <w:rFonts w:eastAsia="Verdana" w:cs="Verdana"/>
          <w:szCs w:val="20"/>
          <w:lang w:val="es-ES"/>
        </w:rPr>
        <w:t>a</w:t>
      </w:r>
      <w:r w:rsidRPr="008E003D">
        <w:rPr>
          <w:rFonts w:eastAsia="Verdana" w:cs="Verdana"/>
          <w:spacing w:val="-1"/>
          <w:szCs w:val="20"/>
          <w:lang w:val="es-ES"/>
        </w:rPr>
        <w:t>r</w:t>
      </w:r>
      <w:r w:rsidRPr="008E003D">
        <w:rPr>
          <w:rFonts w:eastAsia="Verdana" w:cs="Verdana"/>
          <w:spacing w:val="3"/>
          <w:szCs w:val="20"/>
          <w:lang w:val="es-ES"/>
        </w:rPr>
        <w:t>i</w:t>
      </w:r>
      <w:r w:rsidRPr="008E003D">
        <w:rPr>
          <w:rFonts w:eastAsia="Verdana" w:cs="Verdana"/>
          <w:szCs w:val="20"/>
          <w:lang w:val="es-ES"/>
        </w:rPr>
        <w:t>a</w:t>
      </w:r>
      <w:r w:rsidRPr="008E003D">
        <w:rPr>
          <w:rFonts w:eastAsia="Verdana" w:cs="Verdana"/>
          <w:spacing w:val="4"/>
          <w:szCs w:val="20"/>
          <w:lang w:val="es-ES"/>
        </w:rPr>
        <w:t xml:space="preserve"> </w:t>
      </w:r>
      <w:r w:rsidRPr="008E003D">
        <w:rPr>
          <w:rFonts w:eastAsia="Verdana" w:cs="Verdana"/>
          <w:szCs w:val="20"/>
          <w:lang w:val="es-ES"/>
        </w:rPr>
        <w:t>o</w:t>
      </w:r>
      <w:r w:rsidRPr="008E003D">
        <w:rPr>
          <w:rFonts w:eastAsia="Verdana" w:cs="Verdana"/>
          <w:spacing w:val="9"/>
          <w:szCs w:val="20"/>
          <w:lang w:val="es-ES"/>
        </w:rPr>
        <w:t xml:space="preserve"> </w:t>
      </w:r>
      <w:r w:rsidRPr="008E003D">
        <w:rPr>
          <w:rFonts w:eastAsia="Verdana" w:cs="Verdana"/>
          <w:spacing w:val="1"/>
          <w:szCs w:val="20"/>
          <w:lang w:val="es-ES"/>
        </w:rPr>
        <w:t>n</w:t>
      </w:r>
      <w:r w:rsidRPr="008E003D">
        <w:rPr>
          <w:rFonts w:eastAsia="Verdana" w:cs="Verdana"/>
          <w:spacing w:val="-1"/>
          <w:szCs w:val="20"/>
          <w:lang w:val="es-ES"/>
        </w:rPr>
        <w:t>o</w:t>
      </w:r>
      <w:r w:rsidRPr="008E003D">
        <w:rPr>
          <w:rFonts w:eastAsia="Verdana" w:cs="Verdana"/>
          <w:szCs w:val="20"/>
          <w:lang w:val="es-ES"/>
        </w:rPr>
        <w:t>.</w:t>
      </w:r>
      <w:r w:rsidRPr="008E003D">
        <w:rPr>
          <w:rFonts w:eastAsia="Verdana" w:cs="Verdana"/>
          <w:spacing w:val="10"/>
          <w:szCs w:val="20"/>
          <w:lang w:val="es-ES"/>
        </w:rPr>
        <w:t xml:space="preserve"> </w:t>
      </w:r>
      <w:r w:rsidRPr="008E003D">
        <w:rPr>
          <w:rFonts w:eastAsia="Verdana" w:cs="Verdana"/>
          <w:spacing w:val="1"/>
          <w:szCs w:val="20"/>
          <w:lang w:val="es-ES"/>
        </w:rPr>
        <w:t>E</w:t>
      </w:r>
      <w:r w:rsidRPr="008E003D">
        <w:rPr>
          <w:rFonts w:eastAsia="Verdana" w:cs="Verdana"/>
          <w:szCs w:val="20"/>
          <w:lang w:val="es-ES"/>
        </w:rPr>
        <w:t>sta</w:t>
      </w:r>
      <w:r w:rsidRPr="008E003D">
        <w:rPr>
          <w:rFonts w:eastAsia="Verdana" w:cs="Verdana"/>
          <w:spacing w:val="8"/>
          <w:szCs w:val="20"/>
          <w:lang w:val="es-ES"/>
        </w:rPr>
        <w:t xml:space="preserve"> </w:t>
      </w:r>
      <w:r w:rsidRPr="008E003D">
        <w:rPr>
          <w:rFonts w:eastAsia="Verdana" w:cs="Verdana"/>
          <w:spacing w:val="-1"/>
          <w:szCs w:val="20"/>
          <w:lang w:val="es-ES"/>
        </w:rPr>
        <w:t>o</w:t>
      </w:r>
      <w:r w:rsidRPr="008E003D">
        <w:rPr>
          <w:rFonts w:eastAsia="Verdana" w:cs="Verdana"/>
          <w:spacing w:val="1"/>
          <w:szCs w:val="20"/>
          <w:lang w:val="es-ES"/>
        </w:rPr>
        <w:t>b</w:t>
      </w:r>
      <w:r w:rsidRPr="008E003D">
        <w:rPr>
          <w:rFonts w:eastAsia="Verdana" w:cs="Verdana"/>
          <w:spacing w:val="3"/>
          <w:szCs w:val="20"/>
          <w:lang w:val="es-ES"/>
        </w:rPr>
        <w:t>li</w:t>
      </w:r>
      <w:r w:rsidRPr="008E003D">
        <w:rPr>
          <w:rFonts w:eastAsia="Verdana" w:cs="Verdana"/>
          <w:spacing w:val="1"/>
          <w:szCs w:val="20"/>
          <w:lang w:val="es-ES"/>
        </w:rPr>
        <w:t>g</w:t>
      </w:r>
      <w:r w:rsidRPr="008E003D">
        <w:rPr>
          <w:rFonts w:eastAsia="Verdana" w:cs="Verdana"/>
          <w:szCs w:val="20"/>
          <w:lang w:val="es-ES"/>
        </w:rPr>
        <w:t>a</w:t>
      </w:r>
      <w:r w:rsidRPr="008E003D">
        <w:rPr>
          <w:rFonts w:eastAsia="Verdana" w:cs="Verdana"/>
          <w:spacing w:val="-3"/>
          <w:szCs w:val="20"/>
          <w:lang w:val="es-ES"/>
        </w:rPr>
        <w:t>c</w:t>
      </w:r>
      <w:r w:rsidRPr="008E003D">
        <w:rPr>
          <w:rFonts w:eastAsia="Verdana" w:cs="Verdana"/>
          <w:spacing w:val="3"/>
          <w:szCs w:val="20"/>
          <w:lang w:val="es-ES"/>
        </w:rPr>
        <w:t>i</w:t>
      </w:r>
      <w:r w:rsidRPr="008E003D">
        <w:rPr>
          <w:rFonts w:eastAsia="Verdana" w:cs="Verdana"/>
          <w:spacing w:val="-1"/>
          <w:szCs w:val="20"/>
          <w:lang w:val="es-ES"/>
        </w:rPr>
        <w:t>ó</w:t>
      </w:r>
      <w:r w:rsidRPr="008E003D">
        <w:rPr>
          <w:rFonts w:eastAsia="Verdana" w:cs="Verdana"/>
          <w:szCs w:val="20"/>
          <w:lang w:val="es-ES"/>
        </w:rPr>
        <w:t>n</w:t>
      </w:r>
      <w:r w:rsidRPr="008E003D">
        <w:rPr>
          <w:rFonts w:eastAsia="Verdana" w:cs="Verdana"/>
          <w:spacing w:val="2"/>
          <w:szCs w:val="20"/>
          <w:lang w:val="es-ES"/>
        </w:rPr>
        <w:t xml:space="preserve"> </w:t>
      </w:r>
      <w:r w:rsidRPr="008E003D">
        <w:rPr>
          <w:rFonts w:eastAsia="Verdana" w:cs="Verdana"/>
          <w:szCs w:val="20"/>
          <w:lang w:val="es-ES"/>
        </w:rPr>
        <w:t>c</w:t>
      </w:r>
      <w:r w:rsidRPr="008E003D">
        <w:rPr>
          <w:rFonts w:eastAsia="Verdana" w:cs="Verdana"/>
          <w:spacing w:val="-2"/>
          <w:szCs w:val="20"/>
          <w:lang w:val="es-ES"/>
        </w:rPr>
        <w:t>o</w:t>
      </w:r>
      <w:r w:rsidRPr="008E003D">
        <w:rPr>
          <w:rFonts w:eastAsia="Verdana" w:cs="Verdana"/>
          <w:spacing w:val="1"/>
          <w:szCs w:val="20"/>
          <w:lang w:val="es-ES"/>
        </w:rPr>
        <w:t>n</w:t>
      </w:r>
      <w:r w:rsidRPr="008E003D">
        <w:rPr>
          <w:rFonts w:eastAsia="Verdana" w:cs="Verdana"/>
          <w:szCs w:val="20"/>
          <w:lang w:val="es-ES"/>
        </w:rPr>
        <w:t>st</w:t>
      </w:r>
      <w:r w:rsidRPr="008E003D">
        <w:rPr>
          <w:rFonts w:eastAsia="Verdana" w:cs="Verdana"/>
          <w:spacing w:val="3"/>
          <w:szCs w:val="20"/>
          <w:lang w:val="es-ES"/>
        </w:rPr>
        <w:t>i</w:t>
      </w:r>
      <w:r w:rsidRPr="008E003D">
        <w:rPr>
          <w:rFonts w:eastAsia="Verdana" w:cs="Verdana"/>
          <w:spacing w:val="1"/>
          <w:szCs w:val="20"/>
          <w:lang w:val="es-ES"/>
        </w:rPr>
        <w:t>tu</w:t>
      </w:r>
      <w:r w:rsidRPr="008E003D">
        <w:rPr>
          <w:rFonts w:eastAsia="Verdana" w:cs="Verdana"/>
          <w:szCs w:val="20"/>
          <w:lang w:val="es-ES"/>
        </w:rPr>
        <w:t xml:space="preserve">ye </w:t>
      </w:r>
      <w:r w:rsidRPr="008E003D">
        <w:rPr>
          <w:rFonts w:eastAsia="Verdana" w:cs="Verdana"/>
          <w:spacing w:val="1"/>
          <w:szCs w:val="20"/>
          <w:lang w:val="es-ES"/>
        </w:rPr>
        <w:t>u</w:t>
      </w:r>
      <w:r w:rsidRPr="008E003D">
        <w:rPr>
          <w:rFonts w:eastAsia="Verdana" w:cs="Verdana"/>
          <w:szCs w:val="20"/>
          <w:lang w:val="es-ES"/>
        </w:rPr>
        <w:t>n</w:t>
      </w:r>
      <w:r w:rsidRPr="008E003D">
        <w:rPr>
          <w:rFonts w:eastAsia="Verdana" w:cs="Verdana"/>
          <w:spacing w:val="10"/>
          <w:szCs w:val="20"/>
          <w:lang w:val="es-ES"/>
        </w:rPr>
        <w:t xml:space="preserve"> </w:t>
      </w:r>
      <w:r w:rsidRPr="008E003D">
        <w:rPr>
          <w:rFonts w:eastAsia="Verdana" w:cs="Verdana"/>
          <w:spacing w:val="-1"/>
          <w:szCs w:val="20"/>
          <w:lang w:val="es-ES"/>
        </w:rPr>
        <w:t>e</w:t>
      </w:r>
      <w:r w:rsidRPr="008E003D">
        <w:rPr>
          <w:rFonts w:eastAsia="Verdana" w:cs="Verdana"/>
          <w:spacing w:val="3"/>
          <w:szCs w:val="20"/>
          <w:lang w:val="es-ES"/>
        </w:rPr>
        <w:t>l</w:t>
      </w:r>
      <w:r w:rsidRPr="008E003D">
        <w:rPr>
          <w:rFonts w:eastAsia="Verdana" w:cs="Verdana"/>
          <w:spacing w:val="-1"/>
          <w:szCs w:val="20"/>
          <w:lang w:val="es-ES"/>
        </w:rPr>
        <w:t>e</w:t>
      </w:r>
      <w:r w:rsidRPr="008E003D">
        <w:rPr>
          <w:rFonts w:eastAsia="Verdana" w:cs="Verdana"/>
          <w:szCs w:val="20"/>
          <w:lang w:val="es-ES"/>
        </w:rPr>
        <w:t>men</w:t>
      </w:r>
      <w:r w:rsidRPr="008E003D">
        <w:rPr>
          <w:rFonts w:eastAsia="Verdana" w:cs="Verdana"/>
          <w:spacing w:val="1"/>
          <w:szCs w:val="20"/>
          <w:lang w:val="es-ES"/>
        </w:rPr>
        <w:t>t</w:t>
      </w:r>
      <w:r w:rsidRPr="008E003D">
        <w:rPr>
          <w:rFonts w:eastAsia="Verdana" w:cs="Verdana"/>
          <w:szCs w:val="20"/>
          <w:lang w:val="es-ES"/>
        </w:rPr>
        <w:t>o</w:t>
      </w:r>
      <w:r w:rsidRPr="008E003D">
        <w:rPr>
          <w:rFonts w:eastAsia="Verdana" w:cs="Verdana"/>
          <w:spacing w:val="4"/>
          <w:szCs w:val="20"/>
          <w:lang w:val="es-ES"/>
        </w:rPr>
        <w:t xml:space="preserve"> </w:t>
      </w:r>
      <w:r w:rsidRPr="008E003D">
        <w:rPr>
          <w:rFonts w:eastAsia="Verdana" w:cs="Verdana"/>
          <w:szCs w:val="20"/>
          <w:lang w:val="es-ES"/>
        </w:rPr>
        <w:t>fu</w:t>
      </w:r>
      <w:r w:rsidRPr="008E003D">
        <w:rPr>
          <w:rFonts w:eastAsia="Verdana" w:cs="Verdana"/>
          <w:spacing w:val="2"/>
          <w:szCs w:val="20"/>
          <w:lang w:val="es-ES"/>
        </w:rPr>
        <w:t>n</w:t>
      </w:r>
      <w:r w:rsidRPr="008E003D">
        <w:rPr>
          <w:rFonts w:eastAsia="Verdana" w:cs="Verdana"/>
          <w:spacing w:val="1"/>
          <w:szCs w:val="20"/>
          <w:lang w:val="es-ES"/>
        </w:rPr>
        <w:t>d</w:t>
      </w:r>
      <w:r w:rsidRPr="008E003D">
        <w:rPr>
          <w:rFonts w:eastAsia="Verdana" w:cs="Verdana"/>
          <w:szCs w:val="20"/>
          <w:lang w:val="es-ES"/>
        </w:rPr>
        <w:t>a</w:t>
      </w:r>
      <w:r w:rsidRPr="008E003D">
        <w:rPr>
          <w:rFonts w:eastAsia="Verdana" w:cs="Verdana"/>
          <w:spacing w:val="1"/>
          <w:szCs w:val="20"/>
          <w:lang w:val="es-ES"/>
        </w:rPr>
        <w:t>ment</w:t>
      </w:r>
      <w:r w:rsidRPr="008E003D">
        <w:rPr>
          <w:rFonts w:eastAsia="Verdana" w:cs="Verdana"/>
          <w:szCs w:val="20"/>
          <w:lang w:val="es-ES"/>
        </w:rPr>
        <w:t>al</w:t>
      </w:r>
      <w:r w:rsidRPr="008E003D">
        <w:rPr>
          <w:rFonts w:eastAsia="Verdana" w:cs="Verdana"/>
          <w:spacing w:val="2"/>
          <w:szCs w:val="20"/>
          <w:lang w:val="es-ES"/>
        </w:rPr>
        <w:t xml:space="preserve"> </w:t>
      </w:r>
      <w:r w:rsidRPr="008E003D">
        <w:rPr>
          <w:rFonts w:eastAsia="Verdana" w:cs="Verdana"/>
          <w:szCs w:val="20"/>
          <w:lang w:val="es-ES"/>
        </w:rPr>
        <w:t>y c</w:t>
      </w:r>
      <w:r w:rsidRPr="008E003D">
        <w:rPr>
          <w:rFonts w:eastAsia="Verdana" w:cs="Verdana"/>
          <w:spacing w:val="-2"/>
          <w:szCs w:val="20"/>
          <w:lang w:val="es-ES"/>
        </w:rPr>
        <w:t>o</w:t>
      </w:r>
      <w:r w:rsidRPr="008E003D">
        <w:rPr>
          <w:rFonts w:eastAsia="Verdana" w:cs="Verdana"/>
          <w:spacing w:val="1"/>
          <w:szCs w:val="20"/>
          <w:lang w:val="es-ES"/>
        </w:rPr>
        <w:t>nd</w:t>
      </w:r>
      <w:r w:rsidRPr="008E003D">
        <w:rPr>
          <w:rFonts w:eastAsia="Verdana" w:cs="Verdana"/>
          <w:spacing w:val="3"/>
          <w:szCs w:val="20"/>
          <w:lang w:val="es-ES"/>
        </w:rPr>
        <w:t>i</w:t>
      </w:r>
      <w:r w:rsidRPr="008E003D">
        <w:rPr>
          <w:rFonts w:eastAsia="Verdana" w:cs="Verdana"/>
          <w:szCs w:val="20"/>
          <w:lang w:val="es-ES"/>
        </w:rPr>
        <w:t>c</w:t>
      </w:r>
      <w:r w:rsidRPr="008E003D">
        <w:rPr>
          <w:rFonts w:eastAsia="Verdana" w:cs="Verdana"/>
          <w:spacing w:val="2"/>
          <w:szCs w:val="20"/>
          <w:lang w:val="es-ES"/>
        </w:rPr>
        <w:t>i</w:t>
      </w:r>
      <w:r w:rsidRPr="008E003D">
        <w:rPr>
          <w:rFonts w:eastAsia="Verdana" w:cs="Verdana"/>
          <w:spacing w:val="-1"/>
          <w:szCs w:val="20"/>
          <w:lang w:val="es-ES"/>
        </w:rPr>
        <w:t>o</w:t>
      </w:r>
      <w:r w:rsidRPr="008E003D">
        <w:rPr>
          <w:rFonts w:eastAsia="Verdana" w:cs="Verdana"/>
          <w:spacing w:val="1"/>
          <w:szCs w:val="20"/>
          <w:lang w:val="es-ES"/>
        </w:rPr>
        <w:t>n</w:t>
      </w:r>
      <w:r w:rsidRPr="008E003D">
        <w:rPr>
          <w:rFonts w:eastAsia="Verdana" w:cs="Verdana"/>
          <w:szCs w:val="20"/>
          <w:lang w:val="es-ES"/>
        </w:rPr>
        <w:t>a</w:t>
      </w:r>
      <w:r w:rsidRPr="008E003D">
        <w:rPr>
          <w:rFonts w:eastAsia="Verdana" w:cs="Verdana"/>
          <w:spacing w:val="1"/>
          <w:szCs w:val="20"/>
          <w:lang w:val="es-ES"/>
        </w:rPr>
        <w:t>nt</w:t>
      </w:r>
      <w:r w:rsidRPr="008E003D">
        <w:rPr>
          <w:rFonts w:eastAsia="Verdana" w:cs="Verdana"/>
          <w:szCs w:val="20"/>
          <w:lang w:val="es-ES"/>
        </w:rPr>
        <w:t xml:space="preserve">e </w:t>
      </w:r>
      <w:r w:rsidRPr="008E003D">
        <w:rPr>
          <w:rFonts w:eastAsia="Verdana" w:cs="Verdana"/>
          <w:spacing w:val="1"/>
          <w:szCs w:val="20"/>
          <w:lang w:val="es-ES"/>
        </w:rPr>
        <w:t>p</w:t>
      </w:r>
      <w:r w:rsidRPr="008E003D">
        <w:rPr>
          <w:rFonts w:eastAsia="Verdana" w:cs="Verdana"/>
          <w:szCs w:val="20"/>
          <w:lang w:val="es-ES"/>
        </w:rPr>
        <w:t>a</w:t>
      </w:r>
      <w:r w:rsidRPr="008E003D">
        <w:rPr>
          <w:rFonts w:eastAsia="Verdana" w:cs="Verdana"/>
          <w:spacing w:val="-1"/>
          <w:szCs w:val="20"/>
          <w:lang w:val="es-ES"/>
        </w:rPr>
        <w:t>r</w:t>
      </w:r>
      <w:r w:rsidRPr="008E003D">
        <w:rPr>
          <w:rFonts w:eastAsia="Verdana" w:cs="Verdana"/>
          <w:szCs w:val="20"/>
          <w:lang w:val="es-ES"/>
        </w:rPr>
        <w:t>a</w:t>
      </w:r>
      <w:r w:rsidRPr="008E003D">
        <w:rPr>
          <w:rFonts w:eastAsia="Verdana" w:cs="Verdana"/>
          <w:spacing w:val="11"/>
          <w:szCs w:val="20"/>
          <w:lang w:val="es-ES"/>
        </w:rPr>
        <w:t xml:space="preserve"> </w:t>
      </w:r>
      <w:r w:rsidRPr="008E003D">
        <w:rPr>
          <w:rFonts w:eastAsia="Verdana" w:cs="Verdana"/>
          <w:spacing w:val="3"/>
          <w:szCs w:val="20"/>
          <w:lang w:val="es-ES"/>
        </w:rPr>
        <w:t>l</w:t>
      </w:r>
      <w:r w:rsidRPr="008E003D">
        <w:rPr>
          <w:rFonts w:eastAsia="Verdana" w:cs="Verdana"/>
          <w:szCs w:val="20"/>
          <w:lang w:val="es-ES"/>
        </w:rPr>
        <w:t>a</w:t>
      </w:r>
      <w:r w:rsidRPr="008E003D">
        <w:rPr>
          <w:rFonts w:eastAsia="Verdana" w:cs="Verdana"/>
          <w:spacing w:val="14"/>
          <w:szCs w:val="20"/>
          <w:lang w:val="es-ES"/>
        </w:rPr>
        <w:t xml:space="preserve"> </w:t>
      </w:r>
      <w:r w:rsidRPr="008E003D">
        <w:rPr>
          <w:rFonts w:eastAsia="Verdana" w:cs="Verdana"/>
          <w:spacing w:val="-2"/>
          <w:szCs w:val="20"/>
          <w:lang w:val="es-ES"/>
        </w:rPr>
        <w:t>p</w:t>
      </w:r>
      <w:r w:rsidRPr="008E003D">
        <w:rPr>
          <w:rFonts w:eastAsia="Verdana" w:cs="Verdana"/>
          <w:spacing w:val="-1"/>
          <w:szCs w:val="20"/>
          <w:lang w:val="es-ES"/>
        </w:rPr>
        <w:t>ro</w:t>
      </w:r>
      <w:r w:rsidRPr="008E003D">
        <w:rPr>
          <w:rFonts w:eastAsia="Verdana" w:cs="Verdana"/>
          <w:spacing w:val="3"/>
          <w:szCs w:val="20"/>
          <w:lang w:val="es-ES"/>
        </w:rPr>
        <w:t>t</w:t>
      </w:r>
      <w:r w:rsidRPr="008E003D">
        <w:rPr>
          <w:rFonts w:eastAsia="Verdana" w:cs="Verdana"/>
          <w:spacing w:val="-1"/>
          <w:szCs w:val="20"/>
          <w:lang w:val="es-ES"/>
        </w:rPr>
        <w:t>e</w:t>
      </w:r>
      <w:r w:rsidRPr="008E003D">
        <w:rPr>
          <w:rFonts w:eastAsia="Verdana" w:cs="Verdana"/>
          <w:szCs w:val="20"/>
          <w:lang w:val="es-ES"/>
        </w:rPr>
        <w:t>c</w:t>
      </w:r>
      <w:r w:rsidRPr="008E003D">
        <w:rPr>
          <w:rFonts w:eastAsia="Verdana" w:cs="Verdana"/>
          <w:spacing w:val="-1"/>
          <w:szCs w:val="20"/>
          <w:lang w:val="es-ES"/>
        </w:rPr>
        <w:t>c</w:t>
      </w:r>
      <w:r w:rsidRPr="008E003D">
        <w:rPr>
          <w:rFonts w:eastAsia="Verdana" w:cs="Verdana"/>
          <w:spacing w:val="3"/>
          <w:szCs w:val="20"/>
          <w:lang w:val="es-ES"/>
        </w:rPr>
        <w:t>i</w:t>
      </w:r>
      <w:r w:rsidRPr="008E003D">
        <w:rPr>
          <w:rFonts w:eastAsia="Verdana" w:cs="Verdana"/>
          <w:spacing w:val="-1"/>
          <w:szCs w:val="20"/>
          <w:lang w:val="es-ES"/>
        </w:rPr>
        <w:t>ó</w:t>
      </w:r>
      <w:r w:rsidRPr="008E003D">
        <w:rPr>
          <w:rFonts w:eastAsia="Verdana" w:cs="Verdana"/>
          <w:szCs w:val="20"/>
          <w:lang w:val="es-ES"/>
        </w:rPr>
        <w:t>n</w:t>
      </w:r>
      <w:r w:rsidRPr="008E003D">
        <w:rPr>
          <w:rFonts w:eastAsia="Verdana" w:cs="Verdana"/>
          <w:spacing w:val="6"/>
          <w:szCs w:val="20"/>
          <w:lang w:val="es-ES"/>
        </w:rPr>
        <w:t xml:space="preserve"> </w:t>
      </w:r>
      <w:r w:rsidRPr="008E003D">
        <w:rPr>
          <w:rFonts w:eastAsia="Verdana" w:cs="Verdana"/>
          <w:spacing w:val="1"/>
          <w:szCs w:val="20"/>
          <w:lang w:val="es-ES"/>
        </w:rPr>
        <w:t>d</w:t>
      </w:r>
      <w:r w:rsidRPr="008E003D">
        <w:rPr>
          <w:rFonts w:eastAsia="Verdana" w:cs="Verdana"/>
          <w:spacing w:val="-1"/>
          <w:szCs w:val="20"/>
          <w:lang w:val="es-ES"/>
        </w:rPr>
        <w:t>e</w:t>
      </w:r>
      <w:r w:rsidRPr="008E003D">
        <w:rPr>
          <w:rFonts w:eastAsia="Verdana" w:cs="Verdana"/>
          <w:szCs w:val="20"/>
          <w:lang w:val="es-ES"/>
        </w:rPr>
        <w:t>l</w:t>
      </w:r>
      <w:r w:rsidRPr="008E003D">
        <w:rPr>
          <w:rFonts w:eastAsia="Verdana" w:cs="Verdana"/>
          <w:spacing w:val="15"/>
          <w:szCs w:val="20"/>
          <w:lang w:val="es-ES"/>
        </w:rPr>
        <w:t xml:space="preserve"> </w:t>
      </w:r>
      <w:r w:rsidRPr="008E003D">
        <w:rPr>
          <w:rFonts w:eastAsia="Verdana" w:cs="Verdana"/>
          <w:spacing w:val="1"/>
          <w:szCs w:val="20"/>
          <w:lang w:val="es-ES"/>
        </w:rPr>
        <w:t>de</w:t>
      </w:r>
      <w:r w:rsidRPr="008E003D">
        <w:rPr>
          <w:rFonts w:eastAsia="Verdana" w:cs="Verdana"/>
          <w:spacing w:val="-1"/>
          <w:szCs w:val="20"/>
          <w:lang w:val="es-ES"/>
        </w:rPr>
        <w:t>r</w:t>
      </w:r>
      <w:r w:rsidRPr="008E003D">
        <w:rPr>
          <w:rFonts w:eastAsia="Verdana" w:cs="Verdana"/>
          <w:spacing w:val="1"/>
          <w:szCs w:val="20"/>
          <w:lang w:val="es-ES"/>
        </w:rPr>
        <w:t>e</w:t>
      </w:r>
      <w:r w:rsidRPr="008E003D">
        <w:rPr>
          <w:rFonts w:eastAsia="Verdana" w:cs="Verdana"/>
          <w:szCs w:val="20"/>
          <w:lang w:val="es-ES"/>
        </w:rPr>
        <w:t>cho</w:t>
      </w:r>
      <w:r w:rsidRPr="008E003D">
        <w:rPr>
          <w:rFonts w:eastAsia="Verdana" w:cs="Verdana"/>
          <w:spacing w:val="7"/>
          <w:szCs w:val="20"/>
          <w:lang w:val="es-ES"/>
        </w:rPr>
        <w:t xml:space="preserve"> </w:t>
      </w:r>
      <w:r w:rsidRPr="008E003D">
        <w:rPr>
          <w:rFonts w:eastAsia="Verdana" w:cs="Verdana"/>
          <w:szCs w:val="20"/>
          <w:lang w:val="es-ES"/>
        </w:rPr>
        <w:t>a</w:t>
      </w:r>
      <w:r w:rsidRPr="008E003D">
        <w:rPr>
          <w:rFonts w:eastAsia="Verdana" w:cs="Verdana"/>
          <w:spacing w:val="17"/>
          <w:szCs w:val="20"/>
          <w:lang w:val="es-ES"/>
        </w:rPr>
        <w:t xml:space="preserve"> </w:t>
      </w:r>
      <w:r w:rsidRPr="008E003D">
        <w:rPr>
          <w:rFonts w:eastAsia="Verdana" w:cs="Verdana"/>
          <w:spacing w:val="3"/>
          <w:szCs w:val="20"/>
          <w:lang w:val="es-ES"/>
        </w:rPr>
        <w:t>l</w:t>
      </w:r>
      <w:r w:rsidRPr="008E003D">
        <w:rPr>
          <w:rFonts w:eastAsia="Verdana" w:cs="Verdana"/>
          <w:szCs w:val="20"/>
          <w:lang w:val="es-ES"/>
        </w:rPr>
        <w:t>a</w:t>
      </w:r>
      <w:r w:rsidRPr="008E003D">
        <w:rPr>
          <w:rFonts w:eastAsia="Verdana" w:cs="Verdana"/>
          <w:spacing w:val="14"/>
          <w:szCs w:val="20"/>
          <w:lang w:val="es-ES"/>
        </w:rPr>
        <w:t xml:space="preserve"> </w:t>
      </w:r>
      <w:r w:rsidRPr="008E003D">
        <w:rPr>
          <w:rFonts w:eastAsia="Verdana" w:cs="Verdana"/>
          <w:spacing w:val="-3"/>
          <w:szCs w:val="20"/>
          <w:lang w:val="es-ES"/>
        </w:rPr>
        <w:t>v</w:t>
      </w:r>
      <w:r w:rsidRPr="008E003D">
        <w:rPr>
          <w:rFonts w:eastAsia="Verdana" w:cs="Verdana"/>
          <w:spacing w:val="3"/>
          <w:szCs w:val="20"/>
          <w:lang w:val="es-ES"/>
        </w:rPr>
        <w:t>i</w:t>
      </w:r>
      <w:r w:rsidRPr="008E003D">
        <w:rPr>
          <w:rFonts w:eastAsia="Verdana" w:cs="Verdana"/>
          <w:spacing w:val="1"/>
          <w:szCs w:val="20"/>
          <w:lang w:val="es-ES"/>
        </w:rPr>
        <w:t>d</w:t>
      </w:r>
      <w:r w:rsidRPr="008E003D">
        <w:rPr>
          <w:rFonts w:eastAsia="Verdana" w:cs="Verdana"/>
          <w:szCs w:val="20"/>
          <w:lang w:val="es-ES"/>
        </w:rPr>
        <w:t>a</w:t>
      </w:r>
      <w:r w:rsidRPr="008E003D">
        <w:rPr>
          <w:rFonts w:eastAsia="Verdana" w:cs="Verdana"/>
          <w:spacing w:val="12"/>
          <w:szCs w:val="20"/>
          <w:lang w:val="es-ES"/>
        </w:rPr>
        <w:t xml:space="preserve"> </w:t>
      </w:r>
      <w:r w:rsidRPr="008E003D">
        <w:rPr>
          <w:rFonts w:eastAsia="Verdana" w:cs="Verdana"/>
          <w:spacing w:val="1"/>
          <w:szCs w:val="20"/>
          <w:lang w:val="es-ES"/>
        </w:rPr>
        <w:t>qu</w:t>
      </w:r>
      <w:r w:rsidRPr="008E003D">
        <w:rPr>
          <w:rFonts w:eastAsia="Verdana" w:cs="Verdana"/>
          <w:szCs w:val="20"/>
          <w:lang w:val="es-ES"/>
        </w:rPr>
        <w:t>e</w:t>
      </w:r>
      <w:r w:rsidRPr="008E003D">
        <w:rPr>
          <w:rFonts w:eastAsia="Verdana" w:cs="Verdana"/>
          <w:spacing w:val="10"/>
          <w:szCs w:val="20"/>
          <w:lang w:val="es-ES"/>
        </w:rPr>
        <w:t xml:space="preserve"> </w:t>
      </w:r>
      <w:r w:rsidRPr="008E003D">
        <w:rPr>
          <w:rFonts w:eastAsia="Verdana" w:cs="Verdana"/>
          <w:szCs w:val="20"/>
          <w:lang w:val="es-ES"/>
        </w:rPr>
        <w:t>se</w:t>
      </w:r>
      <w:r w:rsidRPr="008E003D">
        <w:rPr>
          <w:rFonts w:eastAsia="Verdana" w:cs="Verdana"/>
          <w:spacing w:val="14"/>
          <w:szCs w:val="20"/>
          <w:lang w:val="es-ES"/>
        </w:rPr>
        <w:t xml:space="preserve"> </w:t>
      </w:r>
      <w:r w:rsidRPr="008E003D">
        <w:rPr>
          <w:rFonts w:eastAsia="Verdana" w:cs="Verdana"/>
          <w:szCs w:val="20"/>
          <w:lang w:val="es-ES"/>
        </w:rPr>
        <w:t>ve</w:t>
      </w:r>
      <w:r w:rsidRPr="008E003D">
        <w:rPr>
          <w:rFonts w:eastAsia="Verdana" w:cs="Verdana"/>
          <w:spacing w:val="13"/>
          <w:szCs w:val="20"/>
          <w:lang w:val="es-ES"/>
        </w:rPr>
        <w:t xml:space="preserve"> </w:t>
      </w:r>
      <w:r w:rsidRPr="008E003D">
        <w:rPr>
          <w:rFonts w:eastAsia="Verdana" w:cs="Verdana"/>
          <w:szCs w:val="20"/>
          <w:lang w:val="es-ES"/>
        </w:rPr>
        <w:t>a</w:t>
      </w:r>
      <w:r w:rsidRPr="008E003D">
        <w:rPr>
          <w:rFonts w:eastAsia="Verdana" w:cs="Verdana"/>
          <w:spacing w:val="1"/>
          <w:szCs w:val="20"/>
          <w:lang w:val="es-ES"/>
        </w:rPr>
        <w:t>nu</w:t>
      </w:r>
      <w:r w:rsidRPr="008E003D">
        <w:rPr>
          <w:rFonts w:eastAsia="Verdana" w:cs="Verdana"/>
          <w:spacing w:val="3"/>
          <w:szCs w:val="20"/>
          <w:lang w:val="es-ES"/>
        </w:rPr>
        <w:t>l</w:t>
      </w:r>
      <w:r w:rsidRPr="008E003D">
        <w:rPr>
          <w:rFonts w:eastAsia="Verdana" w:cs="Verdana"/>
          <w:szCs w:val="20"/>
          <w:lang w:val="es-ES"/>
        </w:rPr>
        <w:t>a</w:t>
      </w:r>
      <w:r w:rsidRPr="008E003D">
        <w:rPr>
          <w:rFonts w:eastAsia="Verdana" w:cs="Verdana"/>
          <w:spacing w:val="1"/>
          <w:szCs w:val="20"/>
          <w:lang w:val="es-ES"/>
        </w:rPr>
        <w:t>d</w:t>
      </w:r>
      <w:r w:rsidRPr="008E003D">
        <w:rPr>
          <w:rFonts w:eastAsia="Verdana" w:cs="Verdana"/>
          <w:szCs w:val="20"/>
          <w:lang w:val="es-ES"/>
        </w:rPr>
        <w:t>o</w:t>
      </w:r>
      <w:r w:rsidRPr="008E003D">
        <w:rPr>
          <w:rFonts w:eastAsia="Verdana" w:cs="Verdana"/>
          <w:spacing w:val="7"/>
          <w:szCs w:val="20"/>
          <w:lang w:val="es-ES"/>
        </w:rPr>
        <w:t xml:space="preserve"> </w:t>
      </w:r>
      <w:r w:rsidRPr="008E003D">
        <w:rPr>
          <w:rFonts w:eastAsia="Verdana" w:cs="Verdana"/>
          <w:spacing w:val="-1"/>
          <w:szCs w:val="20"/>
          <w:lang w:val="es-ES"/>
        </w:rPr>
        <w:t>e</w:t>
      </w:r>
      <w:r w:rsidRPr="008E003D">
        <w:rPr>
          <w:rFonts w:eastAsia="Verdana" w:cs="Verdana"/>
          <w:szCs w:val="20"/>
          <w:lang w:val="es-ES"/>
        </w:rPr>
        <w:t>n</w:t>
      </w:r>
      <w:r w:rsidRPr="008E003D">
        <w:rPr>
          <w:rFonts w:eastAsia="Verdana" w:cs="Verdana"/>
          <w:spacing w:val="14"/>
          <w:szCs w:val="20"/>
          <w:lang w:val="es-ES"/>
        </w:rPr>
        <w:t xml:space="preserve"> </w:t>
      </w:r>
      <w:r w:rsidRPr="008E003D">
        <w:rPr>
          <w:rFonts w:eastAsia="Verdana" w:cs="Verdana"/>
          <w:spacing w:val="-1"/>
          <w:szCs w:val="20"/>
          <w:lang w:val="es-ES"/>
        </w:rPr>
        <w:t>e</w:t>
      </w:r>
      <w:r w:rsidRPr="008E003D">
        <w:rPr>
          <w:rFonts w:eastAsia="Verdana" w:cs="Verdana"/>
          <w:szCs w:val="20"/>
          <w:lang w:val="es-ES"/>
        </w:rPr>
        <w:t>s</w:t>
      </w:r>
      <w:r w:rsidRPr="008E003D">
        <w:rPr>
          <w:rFonts w:eastAsia="Verdana" w:cs="Verdana"/>
          <w:spacing w:val="2"/>
          <w:szCs w:val="20"/>
          <w:lang w:val="es-ES"/>
        </w:rPr>
        <w:t>a</w:t>
      </w:r>
      <w:r w:rsidRPr="008E003D">
        <w:rPr>
          <w:rFonts w:eastAsia="Verdana" w:cs="Verdana"/>
          <w:szCs w:val="20"/>
          <w:lang w:val="es-ES"/>
        </w:rPr>
        <w:t>s</w:t>
      </w:r>
      <w:r w:rsidRPr="008E003D">
        <w:rPr>
          <w:rFonts w:eastAsia="Verdana" w:cs="Verdana"/>
          <w:spacing w:val="10"/>
          <w:szCs w:val="20"/>
          <w:lang w:val="es-ES"/>
        </w:rPr>
        <w:t xml:space="preserve"> </w:t>
      </w:r>
      <w:r w:rsidRPr="008E003D">
        <w:rPr>
          <w:rFonts w:eastAsia="Verdana" w:cs="Verdana"/>
          <w:szCs w:val="20"/>
          <w:lang w:val="es-ES"/>
        </w:rPr>
        <w:t>s</w:t>
      </w:r>
      <w:r w:rsidRPr="008E003D">
        <w:rPr>
          <w:rFonts w:eastAsia="Verdana" w:cs="Verdana"/>
          <w:spacing w:val="2"/>
          <w:szCs w:val="20"/>
          <w:lang w:val="es-ES"/>
        </w:rPr>
        <w:t>i</w:t>
      </w:r>
      <w:r w:rsidRPr="008E003D">
        <w:rPr>
          <w:rFonts w:eastAsia="Verdana" w:cs="Verdana"/>
          <w:spacing w:val="1"/>
          <w:szCs w:val="20"/>
          <w:lang w:val="es-ES"/>
        </w:rPr>
        <w:t>tu</w:t>
      </w:r>
      <w:r w:rsidRPr="008E003D">
        <w:rPr>
          <w:rFonts w:eastAsia="Verdana" w:cs="Verdana"/>
          <w:szCs w:val="20"/>
          <w:lang w:val="es-ES"/>
        </w:rPr>
        <w:t>ac</w:t>
      </w:r>
      <w:r w:rsidRPr="008E003D">
        <w:rPr>
          <w:rFonts w:eastAsia="Verdana" w:cs="Verdana"/>
          <w:spacing w:val="3"/>
          <w:szCs w:val="20"/>
          <w:lang w:val="es-ES"/>
        </w:rPr>
        <w:t>i</w:t>
      </w:r>
      <w:r w:rsidRPr="008E003D">
        <w:rPr>
          <w:rFonts w:eastAsia="Verdana" w:cs="Verdana"/>
          <w:spacing w:val="-1"/>
          <w:szCs w:val="20"/>
          <w:lang w:val="es-ES"/>
        </w:rPr>
        <w:t>o</w:t>
      </w:r>
      <w:r w:rsidRPr="008E003D">
        <w:rPr>
          <w:rFonts w:eastAsia="Verdana" w:cs="Verdana"/>
          <w:spacing w:val="1"/>
          <w:szCs w:val="20"/>
          <w:lang w:val="es-ES"/>
        </w:rPr>
        <w:t>ne</w:t>
      </w:r>
      <w:r w:rsidRPr="008E003D">
        <w:rPr>
          <w:rFonts w:eastAsia="Verdana" w:cs="Verdana"/>
          <w:spacing w:val="15"/>
          <w:szCs w:val="20"/>
          <w:lang w:val="es-ES"/>
        </w:rPr>
        <w:t>s</w:t>
      </w:r>
      <w:r>
        <w:rPr>
          <w:rStyle w:val="FootnoteReference"/>
          <w:rFonts w:eastAsia="Verdana"/>
          <w:spacing w:val="15"/>
          <w:lang w:val="es-ES"/>
        </w:rPr>
        <w:footnoteReference w:id="197"/>
      </w:r>
      <w:r w:rsidRPr="008E003D">
        <w:rPr>
          <w:rFonts w:eastAsia="Verdana" w:cs="Verdana"/>
          <w:spacing w:val="15"/>
          <w:szCs w:val="20"/>
          <w:lang w:val="es-ES"/>
        </w:rPr>
        <w:t xml:space="preserve">. </w:t>
      </w:r>
    </w:p>
    <w:p w14:paraId="11B32ABB" w14:textId="77777777" w:rsidR="008E003D" w:rsidRDefault="008E003D" w:rsidP="008E003D">
      <w:pPr>
        <w:pStyle w:val="ListParagraph"/>
        <w:rPr>
          <w:rFonts w:eastAsia="Verdana" w:cs="Verdana"/>
          <w:szCs w:val="20"/>
          <w:lang w:val="es-ES"/>
        </w:rPr>
      </w:pPr>
    </w:p>
    <w:p w14:paraId="217B060D" w14:textId="629F7D45" w:rsidR="00B811D7" w:rsidRPr="0073448C" w:rsidRDefault="00B811D7">
      <w:pPr>
        <w:numPr>
          <w:ilvl w:val="0"/>
          <w:numId w:val="1"/>
        </w:numPr>
        <w:contextualSpacing/>
        <w:rPr>
          <w:szCs w:val="20"/>
        </w:rPr>
      </w:pPr>
      <w:r w:rsidRPr="008E003D">
        <w:rPr>
          <w:rFonts w:eastAsia="Verdana" w:cs="Verdana"/>
          <w:szCs w:val="20"/>
          <w:lang w:val="es-ES"/>
        </w:rPr>
        <w:t>En</w:t>
      </w:r>
      <w:r w:rsidRPr="008E003D">
        <w:rPr>
          <w:rFonts w:eastAsia="Verdana" w:cs="Verdana"/>
          <w:spacing w:val="4"/>
          <w:szCs w:val="20"/>
          <w:lang w:val="es-ES"/>
        </w:rPr>
        <w:t xml:space="preserve"> </w:t>
      </w:r>
      <w:r w:rsidRPr="00524BD2">
        <w:rPr>
          <w:rFonts w:eastAsia="Verdana" w:cs="Verdana"/>
          <w:szCs w:val="20"/>
          <w:lang w:val="es-ES"/>
        </w:rPr>
        <w:t xml:space="preserve">casos en que se </w:t>
      </w:r>
      <w:r w:rsidR="008F5BC0" w:rsidRPr="00524BD2">
        <w:rPr>
          <w:rFonts w:eastAsia="Verdana" w:cs="Verdana"/>
          <w:szCs w:val="20"/>
          <w:lang w:val="es-ES"/>
        </w:rPr>
        <w:t xml:space="preserve">alega </w:t>
      </w:r>
      <w:r w:rsidRPr="00524BD2">
        <w:rPr>
          <w:rFonts w:eastAsia="Verdana" w:cs="Verdana"/>
          <w:szCs w:val="20"/>
          <w:lang w:val="es-ES"/>
        </w:rPr>
        <w:t>que ocurrieron ejecuciones extrajudiciales es fundamental que los Estados realicen una investigación efectiva de la privación arbitraria del derecho a la vida reconocido en el artículo 4 de la Convención, orientada a la determinación de la verdad y a la persecución, captura, enjuiciamiento y, eventual, sanción de los autores de los hechos</w:t>
      </w:r>
      <w:r w:rsidRPr="00524BD2">
        <w:rPr>
          <w:rStyle w:val="FootnoteReference"/>
          <w:rFonts w:eastAsia="Verdana"/>
          <w:lang w:val="es-ES"/>
        </w:rPr>
        <w:footnoteReference w:id="198"/>
      </w:r>
      <w:r w:rsidR="008F5BC0" w:rsidRPr="00524BD2">
        <w:rPr>
          <w:rFonts w:eastAsia="Verdana" w:cs="Verdana"/>
          <w:szCs w:val="20"/>
          <w:lang w:val="es-ES"/>
        </w:rPr>
        <w:t xml:space="preserve">. Este deber se hace más intenso cuando están o pueden estar involucrados </w:t>
      </w:r>
      <w:r w:rsidRPr="00524BD2">
        <w:rPr>
          <w:rFonts w:eastAsia="Verdana" w:cs="Verdana"/>
          <w:szCs w:val="20"/>
          <w:lang w:val="es-ES"/>
        </w:rPr>
        <w:t>agentes estatales</w:t>
      </w:r>
      <w:r w:rsidRPr="00524BD2">
        <w:rPr>
          <w:rStyle w:val="FootnoteReference"/>
          <w:rFonts w:eastAsia="Verdana"/>
          <w:lang w:val="es-ES"/>
        </w:rPr>
        <w:footnoteReference w:id="199"/>
      </w:r>
      <w:r w:rsidR="008F5BC0" w:rsidRPr="00524BD2">
        <w:rPr>
          <w:rFonts w:eastAsia="Verdana" w:cs="Verdana"/>
          <w:szCs w:val="20"/>
          <w:lang w:val="es-ES"/>
        </w:rPr>
        <w:t xml:space="preserve"> </w:t>
      </w:r>
      <w:r w:rsidR="00217669">
        <w:rPr>
          <w:rFonts w:eastAsia="Verdana" w:cs="Verdana"/>
          <w:szCs w:val="20"/>
          <w:lang w:val="es-ES"/>
        </w:rPr>
        <w:t xml:space="preserve">que detienen el </w:t>
      </w:r>
      <w:r w:rsidR="008F5BC0" w:rsidRPr="00524BD2">
        <w:rPr>
          <w:rFonts w:eastAsia="Verdana" w:cs="Verdana"/>
          <w:szCs w:val="20"/>
          <w:lang w:val="es-ES"/>
        </w:rPr>
        <w:t>monopolio del uso de la fuerza</w:t>
      </w:r>
      <w:r w:rsidRPr="00524BD2">
        <w:rPr>
          <w:rFonts w:eastAsia="Verdana" w:cs="Verdana"/>
          <w:szCs w:val="20"/>
          <w:lang w:val="es-ES"/>
        </w:rPr>
        <w:t>.</w:t>
      </w:r>
      <w:r w:rsidR="0073448C" w:rsidRPr="00524BD2">
        <w:rPr>
          <w:rFonts w:eastAsia="Verdana" w:cs="Verdana"/>
          <w:szCs w:val="20"/>
          <w:lang w:val="es-ES"/>
        </w:rPr>
        <w:t xml:space="preserve"> Además, si los hechos violatorios a los derechos humanos no son investigados con seriedad, resultarían, en cierto modo, favorecidos por el poder público, lo que compromete la responsabilidad internacional del Estado</w:t>
      </w:r>
      <w:r w:rsidR="0073448C">
        <w:rPr>
          <w:rStyle w:val="FootnoteReference"/>
          <w:rFonts w:eastAsia="Verdana"/>
          <w:spacing w:val="3"/>
          <w:lang w:val="es-ES"/>
        </w:rPr>
        <w:footnoteReference w:id="200"/>
      </w:r>
      <w:r w:rsidR="0073448C" w:rsidRPr="008E003D">
        <w:rPr>
          <w:rFonts w:eastAsia="Verdana" w:cs="Verdana"/>
          <w:spacing w:val="3"/>
          <w:szCs w:val="20"/>
          <w:lang w:val="es-ES"/>
        </w:rPr>
        <w:t>.</w:t>
      </w:r>
    </w:p>
    <w:p w14:paraId="07A3EA75" w14:textId="77777777" w:rsidR="00B811D7" w:rsidRDefault="00B811D7" w:rsidP="00B811D7">
      <w:pPr>
        <w:pStyle w:val="ListParagraph"/>
        <w:rPr>
          <w:szCs w:val="20"/>
        </w:rPr>
      </w:pPr>
    </w:p>
    <w:p w14:paraId="366633CA" w14:textId="77777777" w:rsidR="00B811D7" w:rsidRPr="00E1754C" w:rsidRDefault="00856D47" w:rsidP="00D6683A">
      <w:pPr>
        <w:numPr>
          <w:ilvl w:val="0"/>
          <w:numId w:val="1"/>
        </w:numPr>
        <w:contextualSpacing/>
        <w:rPr>
          <w:szCs w:val="20"/>
        </w:rPr>
      </w:pPr>
      <w:r>
        <w:rPr>
          <w:rFonts w:eastAsia="Verdana" w:cs="Verdana"/>
          <w:spacing w:val="-1"/>
          <w:szCs w:val="20"/>
          <w:lang w:val="es-ES"/>
        </w:rPr>
        <w:t>E</w:t>
      </w:r>
      <w:r w:rsidR="00B811D7" w:rsidRPr="00761EFF">
        <w:rPr>
          <w:rFonts w:eastAsia="Verdana" w:cs="Verdana"/>
          <w:szCs w:val="20"/>
          <w:lang w:val="es-ES"/>
        </w:rPr>
        <w:t>l</w:t>
      </w:r>
      <w:r w:rsidR="00B811D7" w:rsidRPr="00761EFF">
        <w:rPr>
          <w:rFonts w:eastAsia="Verdana" w:cs="Verdana"/>
          <w:spacing w:val="2"/>
          <w:szCs w:val="20"/>
          <w:lang w:val="es-ES"/>
        </w:rPr>
        <w:t xml:space="preserve"> </w:t>
      </w:r>
      <w:r w:rsidR="00B811D7" w:rsidRPr="00761EFF">
        <w:rPr>
          <w:rFonts w:eastAsia="Verdana" w:cs="Verdana"/>
          <w:spacing w:val="1"/>
          <w:szCs w:val="20"/>
          <w:lang w:val="es-ES"/>
        </w:rPr>
        <w:t>d</w:t>
      </w:r>
      <w:r w:rsidR="00B811D7" w:rsidRPr="00761EFF">
        <w:rPr>
          <w:rFonts w:eastAsia="Verdana" w:cs="Verdana"/>
          <w:spacing w:val="-1"/>
          <w:szCs w:val="20"/>
          <w:lang w:val="es-ES"/>
        </w:rPr>
        <w:t>e</w:t>
      </w:r>
      <w:r w:rsidR="00B811D7" w:rsidRPr="00761EFF">
        <w:rPr>
          <w:rFonts w:eastAsia="Verdana" w:cs="Verdana"/>
          <w:spacing w:val="1"/>
          <w:szCs w:val="20"/>
          <w:lang w:val="es-ES"/>
        </w:rPr>
        <w:t>b</w:t>
      </w:r>
      <w:r w:rsidR="00B811D7" w:rsidRPr="00761EFF">
        <w:rPr>
          <w:rFonts w:eastAsia="Verdana" w:cs="Verdana"/>
          <w:spacing w:val="-1"/>
          <w:szCs w:val="20"/>
          <w:lang w:val="es-ES"/>
        </w:rPr>
        <w:t>e</w:t>
      </w:r>
      <w:r w:rsidR="00B811D7" w:rsidRPr="00761EFF">
        <w:rPr>
          <w:rFonts w:eastAsia="Verdana" w:cs="Verdana"/>
          <w:szCs w:val="20"/>
          <w:lang w:val="es-ES"/>
        </w:rPr>
        <w:t>r</w:t>
      </w:r>
      <w:r w:rsidR="00B811D7" w:rsidRPr="00761EFF">
        <w:rPr>
          <w:rFonts w:eastAsia="Verdana" w:cs="Verdana"/>
          <w:spacing w:val="-6"/>
          <w:szCs w:val="20"/>
          <w:lang w:val="es-ES"/>
        </w:rPr>
        <w:t xml:space="preserve"> </w:t>
      </w:r>
      <w:r w:rsidR="00B811D7" w:rsidRPr="00761EFF">
        <w:rPr>
          <w:rFonts w:eastAsia="Verdana" w:cs="Verdana"/>
          <w:spacing w:val="1"/>
          <w:szCs w:val="20"/>
          <w:lang w:val="es-ES"/>
        </w:rPr>
        <w:t>d</w:t>
      </w:r>
      <w:r w:rsidR="00B811D7" w:rsidRPr="00761EFF">
        <w:rPr>
          <w:rFonts w:eastAsia="Verdana" w:cs="Verdana"/>
          <w:szCs w:val="20"/>
          <w:lang w:val="es-ES"/>
        </w:rPr>
        <w:t>e</w:t>
      </w:r>
      <w:r w:rsidR="00B811D7" w:rsidRPr="00761EFF">
        <w:rPr>
          <w:rFonts w:eastAsia="Verdana" w:cs="Verdana"/>
          <w:spacing w:val="2"/>
          <w:szCs w:val="20"/>
          <w:lang w:val="es-ES"/>
        </w:rPr>
        <w:t xml:space="preserve"> </w:t>
      </w:r>
      <w:r w:rsidR="00B811D7" w:rsidRPr="00761EFF">
        <w:rPr>
          <w:rFonts w:eastAsia="Verdana" w:cs="Verdana"/>
          <w:spacing w:val="3"/>
          <w:szCs w:val="20"/>
          <w:lang w:val="es-ES"/>
        </w:rPr>
        <w:t>i</w:t>
      </w:r>
      <w:r w:rsidR="00B811D7" w:rsidRPr="00761EFF">
        <w:rPr>
          <w:rFonts w:eastAsia="Verdana" w:cs="Verdana"/>
          <w:spacing w:val="1"/>
          <w:szCs w:val="20"/>
          <w:lang w:val="es-ES"/>
        </w:rPr>
        <w:t>n</w:t>
      </w:r>
      <w:r w:rsidR="00B811D7" w:rsidRPr="00761EFF">
        <w:rPr>
          <w:rFonts w:eastAsia="Verdana" w:cs="Verdana"/>
          <w:szCs w:val="20"/>
          <w:lang w:val="es-ES"/>
        </w:rPr>
        <w:t>v</w:t>
      </w:r>
      <w:r w:rsidR="00B811D7" w:rsidRPr="00761EFF">
        <w:rPr>
          <w:rFonts w:eastAsia="Verdana" w:cs="Verdana"/>
          <w:spacing w:val="-1"/>
          <w:szCs w:val="20"/>
          <w:lang w:val="es-ES"/>
        </w:rPr>
        <w:t>e</w:t>
      </w:r>
      <w:r w:rsidR="00B811D7" w:rsidRPr="00761EFF">
        <w:rPr>
          <w:rFonts w:eastAsia="Verdana" w:cs="Verdana"/>
          <w:szCs w:val="20"/>
          <w:lang w:val="es-ES"/>
        </w:rPr>
        <w:t>st</w:t>
      </w:r>
      <w:r w:rsidR="00B811D7" w:rsidRPr="00761EFF">
        <w:rPr>
          <w:rFonts w:eastAsia="Verdana" w:cs="Verdana"/>
          <w:spacing w:val="3"/>
          <w:szCs w:val="20"/>
          <w:lang w:val="es-ES"/>
        </w:rPr>
        <w:t>i</w:t>
      </w:r>
      <w:r w:rsidR="00B811D7" w:rsidRPr="00761EFF">
        <w:rPr>
          <w:rFonts w:eastAsia="Verdana" w:cs="Verdana"/>
          <w:spacing w:val="1"/>
          <w:szCs w:val="20"/>
          <w:lang w:val="es-ES"/>
        </w:rPr>
        <w:t>g</w:t>
      </w:r>
      <w:r w:rsidR="00B811D7" w:rsidRPr="00761EFF">
        <w:rPr>
          <w:rFonts w:eastAsia="Verdana" w:cs="Verdana"/>
          <w:szCs w:val="20"/>
          <w:lang w:val="es-ES"/>
        </w:rPr>
        <w:t>ar</w:t>
      </w:r>
      <w:r w:rsidR="00B811D7" w:rsidRPr="00761EFF">
        <w:rPr>
          <w:rFonts w:eastAsia="Verdana" w:cs="Verdana"/>
          <w:spacing w:val="-8"/>
          <w:szCs w:val="20"/>
          <w:lang w:val="es-ES"/>
        </w:rPr>
        <w:t xml:space="preserve"> </w:t>
      </w:r>
      <w:r w:rsidR="00B811D7" w:rsidRPr="00761EFF">
        <w:rPr>
          <w:rFonts w:eastAsia="Verdana" w:cs="Verdana"/>
          <w:spacing w:val="-1"/>
          <w:szCs w:val="20"/>
          <w:lang w:val="es-ES"/>
        </w:rPr>
        <w:t>e</w:t>
      </w:r>
      <w:r w:rsidR="00B811D7" w:rsidRPr="00761EFF">
        <w:rPr>
          <w:rFonts w:eastAsia="Verdana" w:cs="Verdana"/>
          <w:szCs w:val="20"/>
          <w:lang w:val="es-ES"/>
        </w:rPr>
        <w:t>s</w:t>
      </w:r>
      <w:r w:rsidR="00B811D7" w:rsidRPr="00761EFF">
        <w:rPr>
          <w:rFonts w:eastAsia="Verdana" w:cs="Verdana"/>
          <w:spacing w:val="-1"/>
          <w:szCs w:val="20"/>
          <w:lang w:val="es-ES"/>
        </w:rPr>
        <w:t xml:space="preserve"> </w:t>
      </w:r>
      <w:r w:rsidR="00B811D7" w:rsidRPr="00761EFF">
        <w:rPr>
          <w:rFonts w:eastAsia="Verdana" w:cs="Verdana"/>
          <w:spacing w:val="1"/>
          <w:szCs w:val="20"/>
          <w:lang w:val="es-ES"/>
        </w:rPr>
        <w:t>un</w:t>
      </w:r>
      <w:r w:rsidR="00B811D7" w:rsidRPr="00761EFF">
        <w:rPr>
          <w:rFonts w:eastAsia="Verdana" w:cs="Verdana"/>
          <w:szCs w:val="20"/>
          <w:lang w:val="es-ES"/>
        </w:rPr>
        <w:t>a</w:t>
      </w:r>
      <w:r w:rsidR="00B811D7" w:rsidRPr="00761EFF">
        <w:rPr>
          <w:rFonts w:eastAsia="Verdana" w:cs="Verdana"/>
          <w:spacing w:val="-2"/>
          <w:szCs w:val="20"/>
          <w:lang w:val="es-ES"/>
        </w:rPr>
        <w:t xml:space="preserve"> </w:t>
      </w:r>
      <w:r w:rsidR="00B811D7" w:rsidRPr="00761EFF">
        <w:rPr>
          <w:rFonts w:eastAsia="Verdana" w:cs="Verdana"/>
          <w:spacing w:val="-1"/>
          <w:szCs w:val="20"/>
          <w:lang w:val="es-ES"/>
        </w:rPr>
        <w:t>o</w:t>
      </w:r>
      <w:r w:rsidR="00B811D7" w:rsidRPr="00761EFF">
        <w:rPr>
          <w:rFonts w:eastAsia="Verdana" w:cs="Verdana"/>
          <w:spacing w:val="-2"/>
          <w:szCs w:val="20"/>
          <w:lang w:val="es-ES"/>
        </w:rPr>
        <w:t>b</w:t>
      </w:r>
      <w:r w:rsidR="00B811D7" w:rsidRPr="00761EFF">
        <w:rPr>
          <w:rFonts w:eastAsia="Verdana" w:cs="Verdana"/>
          <w:szCs w:val="20"/>
          <w:lang w:val="es-ES"/>
        </w:rPr>
        <w:t>li</w:t>
      </w:r>
      <w:r w:rsidR="00B811D7" w:rsidRPr="00761EFF">
        <w:rPr>
          <w:rFonts w:eastAsia="Verdana" w:cs="Verdana"/>
          <w:spacing w:val="2"/>
          <w:szCs w:val="20"/>
          <w:lang w:val="es-ES"/>
        </w:rPr>
        <w:t>g</w:t>
      </w:r>
      <w:r w:rsidR="00B811D7" w:rsidRPr="00761EFF">
        <w:rPr>
          <w:rFonts w:eastAsia="Verdana" w:cs="Verdana"/>
          <w:szCs w:val="20"/>
          <w:lang w:val="es-ES"/>
        </w:rPr>
        <w:t>ac</w:t>
      </w:r>
      <w:r w:rsidR="00B811D7" w:rsidRPr="00761EFF">
        <w:rPr>
          <w:rFonts w:eastAsia="Verdana" w:cs="Verdana"/>
          <w:spacing w:val="3"/>
          <w:szCs w:val="20"/>
          <w:lang w:val="es-ES"/>
        </w:rPr>
        <w:t>i</w:t>
      </w:r>
      <w:r w:rsidR="00B811D7" w:rsidRPr="00761EFF">
        <w:rPr>
          <w:rFonts w:eastAsia="Verdana" w:cs="Verdana"/>
          <w:spacing w:val="-1"/>
          <w:szCs w:val="20"/>
          <w:lang w:val="es-ES"/>
        </w:rPr>
        <w:t>ó</w:t>
      </w:r>
      <w:r w:rsidR="00B811D7" w:rsidRPr="00761EFF">
        <w:rPr>
          <w:rFonts w:eastAsia="Verdana" w:cs="Verdana"/>
          <w:szCs w:val="20"/>
          <w:lang w:val="es-ES"/>
        </w:rPr>
        <w:t>n</w:t>
      </w:r>
      <w:r w:rsidR="00B811D7" w:rsidRPr="00761EFF">
        <w:rPr>
          <w:rFonts w:eastAsia="Verdana" w:cs="Verdana"/>
          <w:spacing w:val="-8"/>
          <w:szCs w:val="20"/>
          <w:lang w:val="es-ES"/>
        </w:rPr>
        <w:t xml:space="preserve"> </w:t>
      </w:r>
      <w:r w:rsidR="00B811D7" w:rsidRPr="00761EFF">
        <w:rPr>
          <w:rFonts w:eastAsia="Verdana" w:cs="Verdana"/>
          <w:spacing w:val="1"/>
          <w:szCs w:val="20"/>
          <w:lang w:val="es-ES"/>
        </w:rPr>
        <w:t>d</w:t>
      </w:r>
      <w:r w:rsidR="00B811D7" w:rsidRPr="00761EFF">
        <w:rPr>
          <w:rFonts w:eastAsia="Verdana" w:cs="Verdana"/>
          <w:szCs w:val="20"/>
          <w:lang w:val="es-ES"/>
        </w:rPr>
        <w:t>e</w:t>
      </w:r>
      <w:r w:rsidR="00B811D7" w:rsidRPr="00761EFF">
        <w:rPr>
          <w:rFonts w:eastAsia="Verdana" w:cs="Verdana"/>
          <w:spacing w:val="-2"/>
          <w:szCs w:val="20"/>
          <w:lang w:val="es-ES"/>
        </w:rPr>
        <w:t xml:space="preserve"> </w:t>
      </w:r>
      <w:r w:rsidR="00B811D7" w:rsidRPr="00761EFF">
        <w:rPr>
          <w:rFonts w:eastAsia="Verdana" w:cs="Verdana"/>
          <w:szCs w:val="20"/>
          <w:lang w:val="es-ES"/>
        </w:rPr>
        <w:t>med</w:t>
      </w:r>
      <w:r w:rsidR="00B811D7" w:rsidRPr="00761EFF">
        <w:rPr>
          <w:rFonts w:eastAsia="Verdana" w:cs="Verdana"/>
          <w:spacing w:val="3"/>
          <w:szCs w:val="20"/>
          <w:lang w:val="es-ES"/>
        </w:rPr>
        <w:t>i</w:t>
      </w:r>
      <w:r w:rsidR="00B811D7" w:rsidRPr="00761EFF">
        <w:rPr>
          <w:rFonts w:eastAsia="Verdana" w:cs="Verdana"/>
          <w:spacing w:val="-1"/>
          <w:szCs w:val="20"/>
          <w:lang w:val="es-ES"/>
        </w:rPr>
        <w:t>o</w:t>
      </w:r>
      <w:r w:rsidR="00B811D7" w:rsidRPr="00761EFF">
        <w:rPr>
          <w:rFonts w:eastAsia="Verdana" w:cs="Verdana"/>
          <w:szCs w:val="20"/>
          <w:lang w:val="es-ES"/>
        </w:rPr>
        <w:t>s</w:t>
      </w:r>
      <w:r w:rsidR="00B811D7" w:rsidRPr="00761EFF">
        <w:rPr>
          <w:rFonts w:eastAsia="Verdana" w:cs="Verdana"/>
          <w:spacing w:val="-6"/>
          <w:szCs w:val="20"/>
          <w:lang w:val="es-ES"/>
        </w:rPr>
        <w:t xml:space="preserve"> </w:t>
      </w:r>
      <w:r w:rsidR="00B811D7" w:rsidRPr="00761EFF">
        <w:rPr>
          <w:rFonts w:eastAsia="Verdana" w:cs="Verdana"/>
          <w:szCs w:val="20"/>
          <w:lang w:val="es-ES"/>
        </w:rPr>
        <w:t xml:space="preserve">y </w:t>
      </w:r>
      <w:r w:rsidR="00B811D7" w:rsidRPr="00761EFF">
        <w:rPr>
          <w:rFonts w:eastAsia="Verdana" w:cs="Verdana"/>
          <w:spacing w:val="1"/>
          <w:szCs w:val="20"/>
          <w:lang w:val="es-ES"/>
        </w:rPr>
        <w:t>n</w:t>
      </w:r>
      <w:r w:rsidR="00B811D7" w:rsidRPr="00761EFF">
        <w:rPr>
          <w:rFonts w:eastAsia="Verdana" w:cs="Verdana"/>
          <w:szCs w:val="20"/>
          <w:lang w:val="es-ES"/>
        </w:rPr>
        <w:t>o</w:t>
      </w:r>
      <w:r w:rsidR="00B811D7" w:rsidRPr="00761EFF">
        <w:rPr>
          <w:rFonts w:eastAsia="Verdana" w:cs="Verdana"/>
          <w:spacing w:val="-3"/>
          <w:szCs w:val="20"/>
          <w:lang w:val="es-ES"/>
        </w:rPr>
        <w:t xml:space="preserve"> </w:t>
      </w:r>
      <w:r w:rsidR="00B811D7" w:rsidRPr="00761EFF">
        <w:rPr>
          <w:rFonts w:eastAsia="Verdana" w:cs="Verdana"/>
          <w:szCs w:val="20"/>
          <w:lang w:val="es-ES"/>
        </w:rPr>
        <w:t>de</w:t>
      </w:r>
      <w:r w:rsidR="00B811D7" w:rsidRPr="00761EFF">
        <w:rPr>
          <w:rFonts w:eastAsia="Verdana" w:cs="Verdana"/>
          <w:spacing w:val="-2"/>
          <w:szCs w:val="20"/>
          <w:lang w:val="es-ES"/>
        </w:rPr>
        <w:t xml:space="preserve"> </w:t>
      </w:r>
      <w:r w:rsidR="00B811D7" w:rsidRPr="00761EFF">
        <w:rPr>
          <w:rFonts w:eastAsia="Verdana" w:cs="Verdana"/>
          <w:spacing w:val="-1"/>
          <w:szCs w:val="20"/>
          <w:lang w:val="es-ES"/>
        </w:rPr>
        <w:t>r</w:t>
      </w:r>
      <w:r w:rsidR="00B811D7" w:rsidRPr="00761EFF">
        <w:rPr>
          <w:rFonts w:eastAsia="Verdana" w:cs="Verdana"/>
          <w:spacing w:val="1"/>
          <w:szCs w:val="20"/>
          <w:lang w:val="es-ES"/>
        </w:rPr>
        <w:t>e</w:t>
      </w:r>
      <w:r w:rsidR="00B811D7" w:rsidRPr="00761EFF">
        <w:rPr>
          <w:rFonts w:eastAsia="Verdana" w:cs="Verdana"/>
          <w:szCs w:val="20"/>
          <w:lang w:val="es-ES"/>
        </w:rPr>
        <w:t>su</w:t>
      </w:r>
      <w:r w:rsidR="00B811D7" w:rsidRPr="00761EFF">
        <w:rPr>
          <w:rFonts w:eastAsia="Verdana" w:cs="Verdana"/>
          <w:spacing w:val="3"/>
          <w:szCs w:val="20"/>
          <w:lang w:val="es-ES"/>
        </w:rPr>
        <w:t>l</w:t>
      </w:r>
      <w:r w:rsidR="00B811D7" w:rsidRPr="00761EFF">
        <w:rPr>
          <w:rFonts w:eastAsia="Verdana" w:cs="Verdana"/>
          <w:spacing w:val="1"/>
          <w:szCs w:val="20"/>
          <w:lang w:val="es-ES"/>
        </w:rPr>
        <w:t>t</w:t>
      </w:r>
      <w:r w:rsidR="00B811D7" w:rsidRPr="00761EFF">
        <w:rPr>
          <w:rFonts w:eastAsia="Verdana" w:cs="Verdana"/>
          <w:szCs w:val="20"/>
          <w:lang w:val="es-ES"/>
        </w:rPr>
        <w:t>a</w:t>
      </w:r>
      <w:r w:rsidR="00B811D7" w:rsidRPr="00761EFF">
        <w:rPr>
          <w:rFonts w:eastAsia="Verdana" w:cs="Verdana"/>
          <w:spacing w:val="1"/>
          <w:szCs w:val="20"/>
          <w:lang w:val="es-ES"/>
        </w:rPr>
        <w:t>d</w:t>
      </w:r>
      <w:r w:rsidR="00B811D7" w:rsidRPr="00761EFF">
        <w:rPr>
          <w:rFonts w:eastAsia="Verdana" w:cs="Verdana"/>
          <w:spacing w:val="-1"/>
          <w:szCs w:val="20"/>
          <w:lang w:val="es-ES"/>
        </w:rPr>
        <w:t>o</w:t>
      </w:r>
      <w:r w:rsidR="00B811D7" w:rsidRPr="00761EFF">
        <w:rPr>
          <w:rFonts w:eastAsia="Verdana" w:cs="Verdana"/>
          <w:szCs w:val="20"/>
          <w:lang w:val="es-ES"/>
        </w:rPr>
        <w:t>,</w:t>
      </w:r>
      <w:r w:rsidR="00B811D7" w:rsidRPr="00761EFF">
        <w:rPr>
          <w:rFonts w:eastAsia="Verdana" w:cs="Verdana"/>
          <w:spacing w:val="-9"/>
          <w:szCs w:val="20"/>
          <w:lang w:val="es-ES"/>
        </w:rPr>
        <w:t xml:space="preserve"> </w:t>
      </w:r>
      <w:r w:rsidR="00B811D7" w:rsidRPr="00761EFF">
        <w:rPr>
          <w:rFonts w:eastAsia="Verdana" w:cs="Verdana"/>
          <w:spacing w:val="1"/>
          <w:szCs w:val="20"/>
          <w:lang w:val="es-ES"/>
        </w:rPr>
        <w:t>qu</w:t>
      </w:r>
      <w:r w:rsidR="00B811D7" w:rsidRPr="00761EFF">
        <w:rPr>
          <w:rFonts w:eastAsia="Verdana" w:cs="Verdana"/>
          <w:szCs w:val="20"/>
          <w:lang w:val="es-ES"/>
        </w:rPr>
        <w:t>e</w:t>
      </w:r>
      <w:r w:rsidR="00B811D7" w:rsidRPr="00761EFF">
        <w:rPr>
          <w:rFonts w:eastAsia="Verdana" w:cs="Verdana"/>
          <w:spacing w:val="-4"/>
          <w:szCs w:val="20"/>
          <w:lang w:val="es-ES"/>
        </w:rPr>
        <w:t xml:space="preserve"> </w:t>
      </w:r>
      <w:r w:rsidR="00B811D7" w:rsidRPr="00761EFF">
        <w:rPr>
          <w:rFonts w:eastAsia="Verdana" w:cs="Verdana"/>
          <w:spacing w:val="1"/>
          <w:szCs w:val="20"/>
          <w:lang w:val="es-ES"/>
        </w:rPr>
        <w:t>d</w:t>
      </w:r>
      <w:r w:rsidR="00B811D7" w:rsidRPr="00761EFF">
        <w:rPr>
          <w:rFonts w:eastAsia="Verdana" w:cs="Verdana"/>
          <w:spacing w:val="-1"/>
          <w:szCs w:val="20"/>
          <w:lang w:val="es-ES"/>
        </w:rPr>
        <w:t>e</w:t>
      </w:r>
      <w:r w:rsidR="00B811D7" w:rsidRPr="00761EFF">
        <w:rPr>
          <w:rFonts w:eastAsia="Verdana" w:cs="Verdana"/>
          <w:spacing w:val="3"/>
          <w:szCs w:val="20"/>
          <w:lang w:val="es-ES"/>
        </w:rPr>
        <w:t>b</w:t>
      </w:r>
      <w:r w:rsidR="00B811D7" w:rsidRPr="00761EFF">
        <w:rPr>
          <w:rFonts w:eastAsia="Verdana" w:cs="Verdana"/>
          <w:szCs w:val="20"/>
          <w:lang w:val="es-ES"/>
        </w:rPr>
        <w:t>e ser</w:t>
      </w:r>
      <w:r w:rsidR="00B811D7" w:rsidRPr="00761EFF">
        <w:rPr>
          <w:rFonts w:eastAsia="Verdana" w:cs="Verdana"/>
          <w:spacing w:val="4"/>
          <w:szCs w:val="20"/>
          <w:lang w:val="es-ES"/>
        </w:rPr>
        <w:t xml:space="preserve"> </w:t>
      </w:r>
      <w:r w:rsidR="00B811D7" w:rsidRPr="00761EFF">
        <w:rPr>
          <w:rFonts w:eastAsia="Verdana" w:cs="Verdana"/>
          <w:szCs w:val="20"/>
          <w:lang w:val="es-ES"/>
        </w:rPr>
        <w:t>as</w:t>
      </w:r>
      <w:r w:rsidR="00B811D7" w:rsidRPr="00761EFF">
        <w:rPr>
          <w:rFonts w:eastAsia="Verdana" w:cs="Verdana"/>
          <w:spacing w:val="1"/>
          <w:szCs w:val="20"/>
          <w:lang w:val="es-ES"/>
        </w:rPr>
        <w:t>u</w:t>
      </w:r>
      <w:r w:rsidR="00B811D7" w:rsidRPr="00761EFF">
        <w:rPr>
          <w:rFonts w:eastAsia="Verdana" w:cs="Verdana"/>
          <w:szCs w:val="20"/>
          <w:lang w:val="es-ES"/>
        </w:rPr>
        <w:t>m</w:t>
      </w:r>
      <w:r w:rsidR="00B811D7" w:rsidRPr="00761EFF">
        <w:rPr>
          <w:rFonts w:eastAsia="Verdana" w:cs="Verdana"/>
          <w:spacing w:val="3"/>
          <w:szCs w:val="20"/>
          <w:lang w:val="es-ES"/>
        </w:rPr>
        <w:t>i</w:t>
      </w:r>
      <w:r w:rsidR="00B811D7" w:rsidRPr="00761EFF">
        <w:rPr>
          <w:rFonts w:eastAsia="Verdana" w:cs="Verdana"/>
          <w:spacing w:val="1"/>
          <w:szCs w:val="20"/>
          <w:lang w:val="es-ES"/>
        </w:rPr>
        <w:t>d</w:t>
      </w:r>
      <w:r w:rsidR="00B811D7" w:rsidRPr="00761EFF">
        <w:rPr>
          <w:rFonts w:eastAsia="Verdana" w:cs="Verdana"/>
          <w:szCs w:val="20"/>
          <w:lang w:val="es-ES"/>
        </w:rPr>
        <w:t>a</w:t>
      </w:r>
      <w:r w:rsidR="00B811D7" w:rsidRPr="00761EFF">
        <w:rPr>
          <w:rFonts w:eastAsia="Verdana" w:cs="Verdana"/>
          <w:spacing w:val="1"/>
          <w:szCs w:val="20"/>
          <w:lang w:val="es-ES"/>
        </w:rPr>
        <w:t xml:space="preserve"> p</w:t>
      </w:r>
      <w:r w:rsidR="00B811D7" w:rsidRPr="00761EFF">
        <w:rPr>
          <w:rFonts w:eastAsia="Verdana" w:cs="Verdana"/>
          <w:spacing w:val="-1"/>
          <w:szCs w:val="20"/>
          <w:lang w:val="es-ES"/>
        </w:rPr>
        <w:t>o</w:t>
      </w:r>
      <w:r w:rsidR="00B811D7" w:rsidRPr="00761EFF">
        <w:rPr>
          <w:rFonts w:eastAsia="Verdana" w:cs="Verdana"/>
          <w:szCs w:val="20"/>
          <w:lang w:val="es-ES"/>
        </w:rPr>
        <w:t>r</w:t>
      </w:r>
      <w:r w:rsidR="00B811D7" w:rsidRPr="00761EFF">
        <w:rPr>
          <w:rFonts w:eastAsia="Verdana" w:cs="Verdana"/>
          <w:spacing w:val="7"/>
          <w:szCs w:val="20"/>
          <w:lang w:val="es-ES"/>
        </w:rPr>
        <w:t xml:space="preserve"> </w:t>
      </w:r>
      <w:r w:rsidR="00B811D7" w:rsidRPr="00761EFF">
        <w:rPr>
          <w:rFonts w:eastAsia="Verdana" w:cs="Verdana"/>
          <w:spacing w:val="-1"/>
          <w:szCs w:val="20"/>
          <w:lang w:val="es-ES"/>
        </w:rPr>
        <w:t>e</w:t>
      </w:r>
      <w:r w:rsidR="00B811D7" w:rsidRPr="00761EFF">
        <w:rPr>
          <w:rFonts w:eastAsia="Verdana" w:cs="Verdana"/>
          <w:szCs w:val="20"/>
          <w:lang w:val="es-ES"/>
        </w:rPr>
        <w:t>l</w:t>
      </w:r>
      <w:r w:rsidR="00B811D7" w:rsidRPr="00761EFF">
        <w:rPr>
          <w:rFonts w:eastAsia="Verdana" w:cs="Verdana"/>
          <w:spacing w:val="10"/>
          <w:szCs w:val="20"/>
          <w:lang w:val="es-ES"/>
        </w:rPr>
        <w:t xml:space="preserve"> </w:t>
      </w:r>
      <w:r w:rsidR="00B811D7" w:rsidRPr="00761EFF">
        <w:rPr>
          <w:rFonts w:eastAsia="Verdana" w:cs="Verdana"/>
          <w:spacing w:val="-1"/>
          <w:szCs w:val="20"/>
          <w:lang w:val="es-ES"/>
        </w:rPr>
        <w:t>E</w:t>
      </w:r>
      <w:r w:rsidR="00B811D7" w:rsidRPr="00761EFF">
        <w:rPr>
          <w:rFonts w:eastAsia="Verdana" w:cs="Verdana"/>
          <w:spacing w:val="2"/>
          <w:szCs w:val="20"/>
          <w:lang w:val="es-ES"/>
        </w:rPr>
        <w:t>s</w:t>
      </w:r>
      <w:r w:rsidR="00B811D7" w:rsidRPr="00761EFF">
        <w:rPr>
          <w:rFonts w:eastAsia="Verdana" w:cs="Verdana"/>
          <w:spacing w:val="1"/>
          <w:szCs w:val="20"/>
          <w:lang w:val="es-ES"/>
        </w:rPr>
        <w:t>t</w:t>
      </w:r>
      <w:r w:rsidR="00B811D7" w:rsidRPr="00761EFF">
        <w:rPr>
          <w:rFonts w:eastAsia="Verdana" w:cs="Verdana"/>
          <w:szCs w:val="20"/>
          <w:lang w:val="es-ES"/>
        </w:rPr>
        <w:t>a</w:t>
      </w:r>
      <w:r w:rsidR="00B811D7" w:rsidRPr="00761EFF">
        <w:rPr>
          <w:rFonts w:eastAsia="Verdana" w:cs="Verdana"/>
          <w:spacing w:val="1"/>
          <w:szCs w:val="20"/>
          <w:lang w:val="es-ES"/>
        </w:rPr>
        <w:t>d</w:t>
      </w:r>
      <w:r w:rsidR="00B811D7" w:rsidRPr="00761EFF">
        <w:rPr>
          <w:rFonts w:eastAsia="Verdana" w:cs="Verdana"/>
          <w:szCs w:val="20"/>
          <w:lang w:val="es-ES"/>
        </w:rPr>
        <w:t>o</w:t>
      </w:r>
      <w:r w:rsidR="00B811D7" w:rsidRPr="00761EFF">
        <w:rPr>
          <w:rFonts w:eastAsia="Verdana" w:cs="Verdana"/>
          <w:spacing w:val="1"/>
          <w:szCs w:val="20"/>
          <w:lang w:val="es-ES"/>
        </w:rPr>
        <w:t xml:space="preserve"> </w:t>
      </w:r>
      <w:r w:rsidR="00B811D7" w:rsidRPr="00761EFF">
        <w:rPr>
          <w:rFonts w:eastAsia="Verdana" w:cs="Verdana"/>
          <w:szCs w:val="20"/>
          <w:lang w:val="es-ES"/>
        </w:rPr>
        <w:t>c</w:t>
      </w:r>
      <w:r w:rsidR="00B811D7" w:rsidRPr="00761EFF">
        <w:rPr>
          <w:rFonts w:eastAsia="Verdana" w:cs="Verdana"/>
          <w:spacing w:val="1"/>
          <w:szCs w:val="20"/>
          <w:lang w:val="es-ES"/>
        </w:rPr>
        <w:t>o</w:t>
      </w:r>
      <w:r w:rsidR="00B811D7" w:rsidRPr="00761EFF">
        <w:rPr>
          <w:rFonts w:eastAsia="Verdana" w:cs="Verdana"/>
          <w:szCs w:val="20"/>
          <w:lang w:val="es-ES"/>
        </w:rPr>
        <w:t>mo</w:t>
      </w:r>
      <w:r w:rsidR="00B811D7" w:rsidRPr="00761EFF">
        <w:rPr>
          <w:rFonts w:eastAsia="Verdana" w:cs="Verdana"/>
          <w:spacing w:val="3"/>
          <w:szCs w:val="20"/>
          <w:lang w:val="es-ES"/>
        </w:rPr>
        <w:t xml:space="preserve"> </w:t>
      </w:r>
      <w:r w:rsidR="00B811D7" w:rsidRPr="00761EFF">
        <w:rPr>
          <w:rFonts w:eastAsia="Verdana" w:cs="Verdana"/>
          <w:spacing w:val="1"/>
          <w:szCs w:val="20"/>
          <w:lang w:val="es-ES"/>
        </w:rPr>
        <w:t>u</w:t>
      </w:r>
      <w:r w:rsidR="00B811D7" w:rsidRPr="00761EFF">
        <w:rPr>
          <w:rFonts w:eastAsia="Verdana" w:cs="Verdana"/>
          <w:szCs w:val="20"/>
          <w:lang w:val="es-ES"/>
        </w:rPr>
        <w:t>n</w:t>
      </w:r>
      <w:r w:rsidR="00B811D7" w:rsidRPr="00761EFF">
        <w:rPr>
          <w:rFonts w:eastAsia="Verdana" w:cs="Verdana"/>
          <w:spacing w:val="7"/>
          <w:szCs w:val="20"/>
          <w:lang w:val="es-ES"/>
        </w:rPr>
        <w:t xml:space="preserve"> </w:t>
      </w:r>
      <w:r w:rsidR="00B811D7" w:rsidRPr="00761EFF">
        <w:rPr>
          <w:rFonts w:eastAsia="Verdana" w:cs="Verdana"/>
          <w:spacing w:val="1"/>
          <w:szCs w:val="20"/>
          <w:lang w:val="es-ES"/>
        </w:rPr>
        <w:t>d</w:t>
      </w:r>
      <w:r w:rsidR="00B811D7" w:rsidRPr="00761EFF">
        <w:rPr>
          <w:rFonts w:eastAsia="Verdana" w:cs="Verdana"/>
          <w:spacing w:val="-1"/>
          <w:szCs w:val="20"/>
          <w:lang w:val="es-ES"/>
        </w:rPr>
        <w:t>e</w:t>
      </w:r>
      <w:r w:rsidR="00B811D7" w:rsidRPr="00761EFF">
        <w:rPr>
          <w:rFonts w:eastAsia="Verdana" w:cs="Verdana"/>
          <w:spacing w:val="3"/>
          <w:szCs w:val="20"/>
          <w:lang w:val="es-ES"/>
        </w:rPr>
        <w:t>b</w:t>
      </w:r>
      <w:r w:rsidR="00B811D7" w:rsidRPr="00761EFF">
        <w:rPr>
          <w:rFonts w:eastAsia="Verdana" w:cs="Verdana"/>
          <w:spacing w:val="-1"/>
          <w:szCs w:val="20"/>
          <w:lang w:val="es-ES"/>
        </w:rPr>
        <w:t>e</w:t>
      </w:r>
      <w:r w:rsidR="00B811D7" w:rsidRPr="00761EFF">
        <w:rPr>
          <w:rFonts w:eastAsia="Verdana" w:cs="Verdana"/>
          <w:szCs w:val="20"/>
          <w:lang w:val="es-ES"/>
        </w:rPr>
        <w:t>r</w:t>
      </w:r>
      <w:r w:rsidR="00B811D7" w:rsidRPr="00761EFF">
        <w:rPr>
          <w:rFonts w:eastAsia="Verdana" w:cs="Verdana"/>
          <w:spacing w:val="5"/>
          <w:szCs w:val="20"/>
          <w:lang w:val="es-ES"/>
        </w:rPr>
        <w:t xml:space="preserve"> </w:t>
      </w:r>
      <w:r w:rsidR="00B811D7" w:rsidRPr="00761EFF">
        <w:rPr>
          <w:rFonts w:eastAsia="Verdana" w:cs="Verdana"/>
          <w:spacing w:val="1"/>
          <w:szCs w:val="20"/>
          <w:lang w:val="es-ES"/>
        </w:rPr>
        <w:t>ju</w:t>
      </w:r>
      <w:r w:rsidR="00B811D7" w:rsidRPr="00761EFF">
        <w:rPr>
          <w:rFonts w:eastAsia="Verdana" w:cs="Verdana"/>
          <w:spacing w:val="-1"/>
          <w:szCs w:val="20"/>
          <w:lang w:val="es-ES"/>
        </w:rPr>
        <w:t>r</w:t>
      </w:r>
      <w:r w:rsidR="00B811D7" w:rsidRPr="00761EFF">
        <w:rPr>
          <w:rFonts w:eastAsia="Verdana" w:cs="Verdana"/>
          <w:spacing w:val="3"/>
          <w:szCs w:val="20"/>
          <w:lang w:val="es-ES"/>
        </w:rPr>
        <w:t>í</w:t>
      </w:r>
      <w:r w:rsidR="00B811D7" w:rsidRPr="00761EFF">
        <w:rPr>
          <w:rFonts w:eastAsia="Verdana" w:cs="Verdana"/>
          <w:spacing w:val="-2"/>
          <w:szCs w:val="20"/>
          <w:lang w:val="es-ES"/>
        </w:rPr>
        <w:t>d</w:t>
      </w:r>
      <w:r w:rsidR="00B811D7" w:rsidRPr="00761EFF">
        <w:rPr>
          <w:rFonts w:eastAsia="Verdana" w:cs="Verdana"/>
          <w:spacing w:val="3"/>
          <w:szCs w:val="20"/>
          <w:lang w:val="es-ES"/>
        </w:rPr>
        <w:t>i</w:t>
      </w:r>
      <w:r w:rsidR="00B811D7" w:rsidRPr="00761EFF">
        <w:rPr>
          <w:rFonts w:eastAsia="Verdana" w:cs="Verdana"/>
          <w:szCs w:val="20"/>
          <w:lang w:val="es-ES"/>
        </w:rPr>
        <w:t xml:space="preserve">co </w:t>
      </w:r>
      <w:r w:rsidR="00B811D7" w:rsidRPr="00761EFF">
        <w:rPr>
          <w:rFonts w:eastAsia="Verdana" w:cs="Verdana"/>
          <w:spacing w:val="1"/>
          <w:szCs w:val="20"/>
          <w:lang w:val="es-ES"/>
        </w:rPr>
        <w:t>p</w:t>
      </w:r>
      <w:r w:rsidR="00B811D7" w:rsidRPr="00761EFF">
        <w:rPr>
          <w:rFonts w:eastAsia="Verdana" w:cs="Verdana"/>
          <w:spacing w:val="-1"/>
          <w:szCs w:val="20"/>
          <w:lang w:val="es-ES"/>
        </w:rPr>
        <w:t>ro</w:t>
      </w:r>
      <w:r w:rsidR="00B811D7" w:rsidRPr="00761EFF">
        <w:rPr>
          <w:rFonts w:eastAsia="Verdana" w:cs="Verdana"/>
          <w:spacing w:val="1"/>
          <w:szCs w:val="20"/>
          <w:lang w:val="es-ES"/>
        </w:rPr>
        <w:t>p</w:t>
      </w:r>
      <w:r w:rsidR="00B811D7" w:rsidRPr="00761EFF">
        <w:rPr>
          <w:rFonts w:eastAsia="Verdana" w:cs="Verdana"/>
          <w:spacing w:val="3"/>
          <w:szCs w:val="20"/>
          <w:lang w:val="es-ES"/>
        </w:rPr>
        <w:t>i</w:t>
      </w:r>
      <w:r w:rsidR="00B811D7" w:rsidRPr="00761EFF">
        <w:rPr>
          <w:rFonts w:eastAsia="Verdana" w:cs="Verdana"/>
          <w:szCs w:val="20"/>
          <w:lang w:val="es-ES"/>
        </w:rPr>
        <w:t>o</w:t>
      </w:r>
      <w:r w:rsidR="00B811D7" w:rsidRPr="00761EFF">
        <w:rPr>
          <w:rFonts w:eastAsia="Verdana" w:cs="Verdana"/>
          <w:spacing w:val="1"/>
          <w:szCs w:val="20"/>
          <w:lang w:val="es-ES"/>
        </w:rPr>
        <w:t xml:space="preserve"> </w:t>
      </w:r>
      <w:r w:rsidR="00B811D7" w:rsidRPr="00761EFF">
        <w:rPr>
          <w:rFonts w:eastAsia="Verdana" w:cs="Verdana"/>
          <w:szCs w:val="20"/>
          <w:lang w:val="es-ES"/>
        </w:rPr>
        <w:t>y</w:t>
      </w:r>
      <w:r w:rsidR="00B811D7" w:rsidRPr="00761EFF">
        <w:rPr>
          <w:rFonts w:eastAsia="Verdana" w:cs="Verdana"/>
          <w:spacing w:val="7"/>
          <w:szCs w:val="20"/>
          <w:lang w:val="es-ES"/>
        </w:rPr>
        <w:t xml:space="preserve"> </w:t>
      </w:r>
      <w:r w:rsidR="00B811D7" w:rsidRPr="00761EFF">
        <w:rPr>
          <w:rFonts w:eastAsia="Verdana" w:cs="Verdana"/>
          <w:spacing w:val="1"/>
          <w:szCs w:val="20"/>
          <w:lang w:val="es-ES"/>
        </w:rPr>
        <w:t>n</w:t>
      </w:r>
      <w:r w:rsidR="00B811D7" w:rsidRPr="00761EFF">
        <w:rPr>
          <w:rFonts w:eastAsia="Verdana" w:cs="Verdana"/>
          <w:szCs w:val="20"/>
          <w:lang w:val="es-ES"/>
        </w:rPr>
        <w:t>o</w:t>
      </w:r>
      <w:r w:rsidR="00B811D7" w:rsidRPr="00761EFF">
        <w:rPr>
          <w:rFonts w:eastAsia="Verdana" w:cs="Verdana"/>
          <w:spacing w:val="8"/>
          <w:szCs w:val="20"/>
          <w:lang w:val="es-ES"/>
        </w:rPr>
        <w:t xml:space="preserve"> </w:t>
      </w:r>
      <w:r w:rsidR="00B811D7" w:rsidRPr="00761EFF">
        <w:rPr>
          <w:rFonts w:eastAsia="Verdana" w:cs="Verdana"/>
          <w:szCs w:val="20"/>
          <w:lang w:val="es-ES"/>
        </w:rPr>
        <w:t>c</w:t>
      </w:r>
      <w:r w:rsidR="00B811D7" w:rsidRPr="00761EFF">
        <w:rPr>
          <w:rFonts w:eastAsia="Verdana" w:cs="Verdana"/>
          <w:spacing w:val="1"/>
          <w:szCs w:val="20"/>
          <w:lang w:val="es-ES"/>
        </w:rPr>
        <w:t>o</w:t>
      </w:r>
      <w:r w:rsidR="00B811D7" w:rsidRPr="00761EFF">
        <w:rPr>
          <w:rFonts w:eastAsia="Verdana" w:cs="Verdana"/>
          <w:szCs w:val="20"/>
          <w:lang w:val="es-ES"/>
        </w:rPr>
        <w:t>mo</w:t>
      </w:r>
      <w:r w:rsidR="00B811D7" w:rsidRPr="00761EFF">
        <w:rPr>
          <w:rFonts w:eastAsia="Verdana" w:cs="Verdana"/>
          <w:spacing w:val="3"/>
          <w:szCs w:val="20"/>
          <w:lang w:val="es-ES"/>
        </w:rPr>
        <w:t xml:space="preserve"> </w:t>
      </w:r>
      <w:r w:rsidR="00B811D7" w:rsidRPr="00761EFF">
        <w:rPr>
          <w:rFonts w:eastAsia="Verdana" w:cs="Verdana"/>
          <w:spacing w:val="1"/>
          <w:szCs w:val="20"/>
          <w:lang w:val="es-ES"/>
        </w:rPr>
        <w:t>un</w:t>
      </w:r>
      <w:r w:rsidR="00B811D7" w:rsidRPr="00761EFF">
        <w:rPr>
          <w:rFonts w:eastAsia="Verdana" w:cs="Verdana"/>
          <w:szCs w:val="20"/>
          <w:lang w:val="es-ES"/>
        </w:rPr>
        <w:t>a</w:t>
      </w:r>
      <w:r w:rsidR="00B811D7" w:rsidRPr="00761EFF">
        <w:rPr>
          <w:rFonts w:eastAsia="Verdana" w:cs="Verdana"/>
          <w:spacing w:val="6"/>
          <w:szCs w:val="20"/>
          <w:lang w:val="es-ES"/>
        </w:rPr>
        <w:t xml:space="preserve"> </w:t>
      </w:r>
      <w:r w:rsidR="00B811D7" w:rsidRPr="00761EFF">
        <w:rPr>
          <w:rFonts w:eastAsia="Verdana" w:cs="Verdana"/>
          <w:szCs w:val="20"/>
          <w:lang w:val="es-ES"/>
        </w:rPr>
        <w:t>s</w:t>
      </w:r>
      <w:r w:rsidR="00B811D7" w:rsidRPr="00761EFF">
        <w:rPr>
          <w:rFonts w:eastAsia="Verdana" w:cs="Verdana"/>
          <w:spacing w:val="2"/>
          <w:szCs w:val="20"/>
          <w:lang w:val="es-ES"/>
        </w:rPr>
        <w:t>i</w:t>
      </w:r>
      <w:r w:rsidR="00B811D7" w:rsidRPr="00761EFF">
        <w:rPr>
          <w:rFonts w:eastAsia="Verdana" w:cs="Verdana"/>
          <w:szCs w:val="20"/>
          <w:lang w:val="es-ES"/>
        </w:rPr>
        <w:t>m</w:t>
      </w:r>
      <w:r w:rsidR="00B811D7" w:rsidRPr="00761EFF">
        <w:rPr>
          <w:rFonts w:eastAsia="Verdana" w:cs="Verdana"/>
          <w:spacing w:val="-1"/>
          <w:szCs w:val="20"/>
          <w:lang w:val="es-ES"/>
        </w:rPr>
        <w:t>p</w:t>
      </w:r>
      <w:r w:rsidR="00B811D7" w:rsidRPr="00761EFF">
        <w:rPr>
          <w:rFonts w:eastAsia="Verdana" w:cs="Verdana"/>
          <w:spacing w:val="3"/>
          <w:szCs w:val="20"/>
          <w:lang w:val="es-ES"/>
        </w:rPr>
        <w:t>l</w:t>
      </w:r>
      <w:r w:rsidR="00B811D7" w:rsidRPr="00761EFF">
        <w:rPr>
          <w:rFonts w:eastAsia="Verdana" w:cs="Verdana"/>
          <w:szCs w:val="20"/>
          <w:lang w:val="es-ES"/>
        </w:rPr>
        <w:t>e</w:t>
      </w:r>
      <w:r w:rsidR="00B811D7" w:rsidRPr="00761EFF">
        <w:rPr>
          <w:rFonts w:eastAsia="Verdana" w:cs="Verdana"/>
          <w:spacing w:val="1"/>
          <w:szCs w:val="20"/>
          <w:lang w:val="es-ES"/>
        </w:rPr>
        <w:t xml:space="preserve"> </w:t>
      </w:r>
      <w:r w:rsidR="00B811D7" w:rsidRPr="00761EFF">
        <w:rPr>
          <w:rFonts w:eastAsia="Verdana" w:cs="Verdana"/>
          <w:szCs w:val="20"/>
          <w:lang w:val="es-ES"/>
        </w:rPr>
        <w:t>f</w:t>
      </w:r>
      <w:r w:rsidR="00B811D7" w:rsidRPr="00761EFF">
        <w:rPr>
          <w:rFonts w:eastAsia="Verdana" w:cs="Verdana"/>
          <w:spacing w:val="1"/>
          <w:szCs w:val="20"/>
          <w:lang w:val="es-ES"/>
        </w:rPr>
        <w:t>o</w:t>
      </w:r>
      <w:r w:rsidR="00B811D7" w:rsidRPr="00761EFF">
        <w:rPr>
          <w:rFonts w:eastAsia="Verdana" w:cs="Verdana"/>
          <w:spacing w:val="-1"/>
          <w:szCs w:val="20"/>
          <w:lang w:val="es-ES"/>
        </w:rPr>
        <w:t>r</w:t>
      </w:r>
      <w:r w:rsidR="00B811D7" w:rsidRPr="00761EFF">
        <w:rPr>
          <w:rFonts w:eastAsia="Verdana" w:cs="Verdana"/>
          <w:szCs w:val="20"/>
          <w:lang w:val="es-ES"/>
        </w:rPr>
        <w:t>m</w:t>
      </w:r>
      <w:r w:rsidR="00B811D7" w:rsidRPr="00761EFF">
        <w:rPr>
          <w:rFonts w:eastAsia="Verdana" w:cs="Verdana"/>
          <w:spacing w:val="1"/>
          <w:szCs w:val="20"/>
          <w:lang w:val="es-ES"/>
        </w:rPr>
        <w:t>a</w:t>
      </w:r>
      <w:r w:rsidR="00B811D7" w:rsidRPr="00761EFF">
        <w:rPr>
          <w:rFonts w:eastAsia="Verdana" w:cs="Verdana"/>
          <w:spacing w:val="3"/>
          <w:szCs w:val="20"/>
          <w:lang w:val="es-ES"/>
        </w:rPr>
        <w:t>li</w:t>
      </w:r>
      <w:r w:rsidR="00B811D7" w:rsidRPr="00761EFF">
        <w:rPr>
          <w:rFonts w:eastAsia="Verdana" w:cs="Verdana"/>
          <w:spacing w:val="1"/>
          <w:szCs w:val="20"/>
          <w:lang w:val="es-ES"/>
        </w:rPr>
        <w:t>d</w:t>
      </w:r>
      <w:r w:rsidR="00B811D7" w:rsidRPr="00761EFF">
        <w:rPr>
          <w:rFonts w:eastAsia="Verdana" w:cs="Verdana"/>
          <w:szCs w:val="20"/>
          <w:lang w:val="es-ES"/>
        </w:rPr>
        <w:t>ad c</w:t>
      </w:r>
      <w:r w:rsidR="00B811D7" w:rsidRPr="00761EFF">
        <w:rPr>
          <w:rFonts w:eastAsia="Verdana" w:cs="Verdana"/>
          <w:spacing w:val="-2"/>
          <w:szCs w:val="20"/>
          <w:lang w:val="es-ES"/>
        </w:rPr>
        <w:t>o</w:t>
      </w:r>
      <w:r w:rsidR="00B811D7" w:rsidRPr="00761EFF">
        <w:rPr>
          <w:rFonts w:eastAsia="Verdana" w:cs="Verdana"/>
          <w:spacing w:val="1"/>
          <w:szCs w:val="20"/>
          <w:lang w:val="es-ES"/>
        </w:rPr>
        <w:t>nd</w:t>
      </w:r>
      <w:r w:rsidR="00B811D7" w:rsidRPr="00761EFF">
        <w:rPr>
          <w:rFonts w:eastAsia="Verdana" w:cs="Verdana"/>
          <w:spacing w:val="-1"/>
          <w:szCs w:val="20"/>
          <w:lang w:val="es-ES"/>
        </w:rPr>
        <w:t>e</w:t>
      </w:r>
      <w:r w:rsidR="00B811D7" w:rsidRPr="00761EFF">
        <w:rPr>
          <w:rFonts w:eastAsia="Verdana" w:cs="Verdana"/>
          <w:spacing w:val="1"/>
          <w:szCs w:val="20"/>
          <w:lang w:val="es-ES"/>
        </w:rPr>
        <w:t>n</w:t>
      </w:r>
      <w:r w:rsidR="00B811D7" w:rsidRPr="00761EFF">
        <w:rPr>
          <w:rFonts w:eastAsia="Verdana" w:cs="Verdana"/>
          <w:szCs w:val="20"/>
          <w:lang w:val="es-ES"/>
        </w:rPr>
        <w:t>a</w:t>
      </w:r>
      <w:r w:rsidR="00B811D7" w:rsidRPr="00761EFF">
        <w:rPr>
          <w:rFonts w:eastAsia="Verdana" w:cs="Verdana"/>
          <w:spacing w:val="1"/>
          <w:szCs w:val="20"/>
          <w:lang w:val="es-ES"/>
        </w:rPr>
        <w:t>d</w:t>
      </w:r>
      <w:r w:rsidR="00B811D7" w:rsidRPr="00761EFF">
        <w:rPr>
          <w:rFonts w:eastAsia="Verdana" w:cs="Verdana"/>
          <w:szCs w:val="20"/>
          <w:lang w:val="es-ES"/>
        </w:rPr>
        <w:t xml:space="preserve">a </w:t>
      </w:r>
      <w:r w:rsidR="00B811D7" w:rsidRPr="00761EFF">
        <w:rPr>
          <w:rFonts w:eastAsia="Verdana" w:cs="Verdana"/>
          <w:spacing w:val="3"/>
          <w:szCs w:val="20"/>
          <w:lang w:val="es-ES"/>
        </w:rPr>
        <w:t>d</w:t>
      </w:r>
      <w:r w:rsidR="00B811D7" w:rsidRPr="00761EFF">
        <w:rPr>
          <w:rFonts w:eastAsia="Verdana" w:cs="Verdana"/>
          <w:szCs w:val="20"/>
          <w:lang w:val="es-ES"/>
        </w:rPr>
        <w:t>e</w:t>
      </w:r>
      <w:r w:rsidR="00B811D7" w:rsidRPr="00761EFF">
        <w:rPr>
          <w:rFonts w:eastAsia="Verdana" w:cs="Verdana"/>
          <w:spacing w:val="8"/>
          <w:szCs w:val="20"/>
          <w:lang w:val="es-ES"/>
        </w:rPr>
        <w:t xml:space="preserve"> </w:t>
      </w:r>
      <w:r w:rsidR="00B811D7" w:rsidRPr="00761EFF">
        <w:rPr>
          <w:rFonts w:eastAsia="Verdana" w:cs="Verdana"/>
          <w:szCs w:val="20"/>
          <w:lang w:val="es-ES"/>
        </w:rPr>
        <w:t>a</w:t>
      </w:r>
      <w:r w:rsidR="00B811D7" w:rsidRPr="00761EFF">
        <w:rPr>
          <w:rFonts w:eastAsia="Verdana" w:cs="Verdana"/>
          <w:spacing w:val="1"/>
          <w:szCs w:val="20"/>
          <w:lang w:val="es-ES"/>
        </w:rPr>
        <w:t>nt</w:t>
      </w:r>
      <w:r w:rsidR="00B811D7" w:rsidRPr="00761EFF">
        <w:rPr>
          <w:rFonts w:eastAsia="Verdana" w:cs="Verdana"/>
          <w:spacing w:val="-1"/>
          <w:szCs w:val="20"/>
          <w:lang w:val="es-ES"/>
        </w:rPr>
        <w:t>e</w:t>
      </w:r>
      <w:r w:rsidR="00B811D7" w:rsidRPr="00761EFF">
        <w:rPr>
          <w:rFonts w:eastAsia="Verdana" w:cs="Verdana"/>
          <w:szCs w:val="20"/>
          <w:lang w:val="es-ES"/>
        </w:rPr>
        <w:t>m</w:t>
      </w:r>
      <w:r w:rsidR="00B811D7" w:rsidRPr="00761EFF">
        <w:rPr>
          <w:rFonts w:eastAsia="Verdana" w:cs="Verdana"/>
          <w:spacing w:val="1"/>
          <w:szCs w:val="20"/>
          <w:lang w:val="es-ES"/>
        </w:rPr>
        <w:t>a</w:t>
      </w:r>
      <w:r w:rsidR="00B811D7" w:rsidRPr="00761EFF">
        <w:rPr>
          <w:rFonts w:eastAsia="Verdana" w:cs="Verdana"/>
          <w:spacing w:val="3"/>
          <w:szCs w:val="20"/>
          <w:lang w:val="es-ES"/>
        </w:rPr>
        <w:t>n</w:t>
      </w:r>
      <w:r w:rsidR="00B811D7" w:rsidRPr="00761EFF">
        <w:rPr>
          <w:rFonts w:eastAsia="Verdana" w:cs="Verdana"/>
          <w:szCs w:val="20"/>
          <w:lang w:val="es-ES"/>
        </w:rPr>
        <w:t>o a</w:t>
      </w:r>
      <w:r w:rsidR="00B811D7" w:rsidRPr="00761EFF">
        <w:rPr>
          <w:rFonts w:eastAsia="Verdana" w:cs="Verdana"/>
          <w:spacing w:val="13"/>
          <w:szCs w:val="20"/>
          <w:lang w:val="es-ES"/>
        </w:rPr>
        <w:t xml:space="preserve"> </w:t>
      </w:r>
      <w:r w:rsidR="00B811D7" w:rsidRPr="00761EFF">
        <w:rPr>
          <w:rFonts w:eastAsia="Verdana" w:cs="Verdana"/>
          <w:szCs w:val="20"/>
          <w:lang w:val="es-ES"/>
        </w:rPr>
        <w:t>ser</w:t>
      </w:r>
      <w:r w:rsidR="00B811D7" w:rsidRPr="00761EFF">
        <w:rPr>
          <w:rFonts w:eastAsia="Verdana" w:cs="Verdana"/>
          <w:spacing w:val="7"/>
          <w:szCs w:val="20"/>
          <w:lang w:val="es-ES"/>
        </w:rPr>
        <w:t xml:space="preserve"> </w:t>
      </w:r>
      <w:r w:rsidR="00B811D7" w:rsidRPr="00761EFF">
        <w:rPr>
          <w:rFonts w:eastAsia="Verdana" w:cs="Verdana"/>
          <w:spacing w:val="3"/>
          <w:szCs w:val="20"/>
          <w:lang w:val="es-ES"/>
        </w:rPr>
        <w:t>i</w:t>
      </w:r>
      <w:r w:rsidR="00B811D7" w:rsidRPr="00761EFF">
        <w:rPr>
          <w:rFonts w:eastAsia="Verdana" w:cs="Verdana"/>
          <w:spacing w:val="1"/>
          <w:szCs w:val="20"/>
          <w:lang w:val="es-ES"/>
        </w:rPr>
        <w:t>n</w:t>
      </w:r>
      <w:r w:rsidR="00B811D7" w:rsidRPr="00761EFF">
        <w:rPr>
          <w:rFonts w:eastAsia="Verdana" w:cs="Verdana"/>
          <w:szCs w:val="20"/>
          <w:lang w:val="es-ES"/>
        </w:rPr>
        <w:t>f</w:t>
      </w:r>
      <w:r w:rsidR="00B811D7" w:rsidRPr="00761EFF">
        <w:rPr>
          <w:rFonts w:eastAsia="Verdana" w:cs="Verdana"/>
          <w:spacing w:val="-1"/>
          <w:szCs w:val="20"/>
          <w:lang w:val="es-ES"/>
        </w:rPr>
        <w:t>r</w:t>
      </w:r>
      <w:r w:rsidR="00B811D7" w:rsidRPr="00761EFF">
        <w:rPr>
          <w:rFonts w:eastAsia="Verdana" w:cs="Verdana"/>
          <w:spacing w:val="1"/>
          <w:szCs w:val="20"/>
          <w:lang w:val="es-ES"/>
        </w:rPr>
        <w:t>u</w:t>
      </w:r>
      <w:r w:rsidR="00B811D7" w:rsidRPr="00761EFF">
        <w:rPr>
          <w:rFonts w:eastAsia="Verdana" w:cs="Verdana"/>
          <w:szCs w:val="20"/>
          <w:lang w:val="es-ES"/>
        </w:rPr>
        <w:t>ct</w:t>
      </w:r>
      <w:r w:rsidR="00B811D7" w:rsidRPr="00761EFF">
        <w:rPr>
          <w:rFonts w:eastAsia="Verdana" w:cs="Verdana"/>
          <w:spacing w:val="1"/>
          <w:szCs w:val="20"/>
          <w:lang w:val="es-ES"/>
        </w:rPr>
        <w:t>u</w:t>
      </w:r>
      <w:r w:rsidR="00B811D7" w:rsidRPr="00761EFF">
        <w:rPr>
          <w:rFonts w:eastAsia="Verdana" w:cs="Verdana"/>
          <w:spacing w:val="-1"/>
          <w:szCs w:val="20"/>
          <w:lang w:val="es-ES"/>
        </w:rPr>
        <w:t>o</w:t>
      </w:r>
      <w:r w:rsidR="00B811D7" w:rsidRPr="00761EFF">
        <w:rPr>
          <w:rFonts w:eastAsia="Verdana" w:cs="Verdana"/>
          <w:szCs w:val="20"/>
          <w:lang w:val="es-ES"/>
        </w:rPr>
        <w:t>s</w:t>
      </w:r>
      <w:r w:rsidR="00B811D7" w:rsidRPr="00761EFF">
        <w:rPr>
          <w:rFonts w:eastAsia="Verdana" w:cs="Verdana"/>
          <w:spacing w:val="2"/>
          <w:szCs w:val="20"/>
          <w:lang w:val="es-ES"/>
        </w:rPr>
        <w:t>a</w:t>
      </w:r>
      <w:r w:rsidR="00B811D7" w:rsidRPr="00761EFF">
        <w:rPr>
          <w:rFonts w:eastAsia="Verdana" w:cs="Verdana"/>
          <w:szCs w:val="20"/>
          <w:lang w:val="es-ES"/>
        </w:rPr>
        <w:t>,</w:t>
      </w:r>
      <w:r w:rsidR="00B811D7" w:rsidRPr="00761EFF">
        <w:rPr>
          <w:rFonts w:eastAsia="Verdana" w:cs="Verdana"/>
          <w:spacing w:val="-1"/>
          <w:szCs w:val="20"/>
          <w:lang w:val="es-ES"/>
        </w:rPr>
        <w:t xml:space="preserve"> </w:t>
      </w:r>
      <w:r w:rsidR="00B811D7" w:rsidRPr="00761EFF">
        <w:rPr>
          <w:rFonts w:eastAsia="Verdana" w:cs="Verdana"/>
          <w:szCs w:val="20"/>
          <w:lang w:val="es-ES"/>
        </w:rPr>
        <w:t>o</w:t>
      </w:r>
      <w:r w:rsidR="00B811D7" w:rsidRPr="00761EFF">
        <w:rPr>
          <w:rFonts w:eastAsia="Verdana" w:cs="Verdana"/>
          <w:spacing w:val="11"/>
          <w:szCs w:val="20"/>
          <w:lang w:val="es-ES"/>
        </w:rPr>
        <w:t xml:space="preserve"> </w:t>
      </w:r>
      <w:r w:rsidR="00B811D7" w:rsidRPr="00761EFF">
        <w:rPr>
          <w:rFonts w:eastAsia="Verdana" w:cs="Verdana"/>
          <w:spacing w:val="2"/>
          <w:szCs w:val="20"/>
          <w:lang w:val="es-ES"/>
        </w:rPr>
        <w:t>c</w:t>
      </w:r>
      <w:r w:rsidR="00B811D7" w:rsidRPr="00761EFF">
        <w:rPr>
          <w:rFonts w:eastAsia="Verdana" w:cs="Verdana"/>
          <w:spacing w:val="-1"/>
          <w:szCs w:val="20"/>
          <w:lang w:val="es-ES"/>
        </w:rPr>
        <w:t>o</w:t>
      </w:r>
      <w:r w:rsidR="00B811D7" w:rsidRPr="00761EFF">
        <w:rPr>
          <w:rFonts w:eastAsia="Verdana" w:cs="Verdana"/>
          <w:szCs w:val="20"/>
          <w:lang w:val="es-ES"/>
        </w:rPr>
        <w:t>mo</w:t>
      </w:r>
      <w:r w:rsidR="00B811D7" w:rsidRPr="00761EFF">
        <w:rPr>
          <w:rFonts w:eastAsia="Verdana" w:cs="Verdana"/>
          <w:spacing w:val="6"/>
          <w:szCs w:val="20"/>
          <w:lang w:val="es-ES"/>
        </w:rPr>
        <w:t xml:space="preserve"> </w:t>
      </w:r>
      <w:r w:rsidR="00B811D7" w:rsidRPr="00761EFF">
        <w:rPr>
          <w:rFonts w:eastAsia="Verdana" w:cs="Verdana"/>
          <w:spacing w:val="1"/>
          <w:szCs w:val="20"/>
          <w:lang w:val="es-ES"/>
        </w:rPr>
        <w:t>un</w:t>
      </w:r>
      <w:r w:rsidR="00B811D7" w:rsidRPr="00761EFF">
        <w:rPr>
          <w:rFonts w:eastAsia="Verdana" w:cs="Verdana"/>
          <w:szCs w:val="20"/>
          <w:lang w:val="es-ES"/>
        </w:rPr>
        <w:t>a</w:t>
      </w:r>
      <w:r w:rsidR="00B811D7" w:rsidRPr="00761EFF">
        <w:rPr>
          <w:rFonts w:eastAsia="Verdana" w:cs="Verdana"/>
          <w:spacing w:val="7"/>
          <w:szCs w:val="20"/>
          <w:lang w:val="es-ES"/>
        </w:rPr>
        <w:t xml:space="preserve"> </w:t>
      </w:r>
      <w:r w:rsidR="00B811D7" w:rsidRPr="00761EFF">
        <w:rPr>
          <w:rFonts w:eastAsia="Verdana" w:cs="Verdana"/>
          <w:spacing w:val="3"/>
          <w:szCs w:val="20"/>
          <w:lang w:val="es-ES"/>
        </w:rPr>
        <w:t>m</w:t>
      </w:r>
      <w:r w:rsidR="00B811D7" w:rsidRPr="00761EFF">
        <w:rPr>
          <w:rFonts w:eastAsia="Verdana" w:cs="Verdana"/>
          <w:spacing w:val="-1"/>
          <w:szCs w:val="20"/>
          <w:lang w:val="es-ES"/>
        </w:rPr>
        <w:t>e</w:t>
      </w:r>
      <w:r w:rsidR="00B811D7" w:rsidRPr="00761EFF">
        <w:rPr>
          <w:rFonts w:eastAsia="Verdana" w:cs="Verdana"/>
          <w:spacing w:val="1"/>
          <w:szCs w:val="20"/>
          <w:lang w:val="es-ES"/>
        </w:rPr>
        <w:t>r</w:t>
      </w:r>
      <w:r w:rsidR="00B811D7" w:rsidRPr="00761EFF">
        <w:rPr>
          <w:rFonts w:eastAsia="Verdana" w:cs="Verdana"/>
          <w:szCs w:val="20"/>
          <w:lang w:val="es-ES"/>
        </w:rPr>
        <w:t>a</w:t>
      </w:r>
      <w:r w:rsidR="00B811D7" w:rsidRPr="00761EFF">
        <w:rPr>
          <w:rFonts w:eastAsia="Verdana" w:cs="Verdana"/>
          <w:spacing w:val="6"/>
          <w:szCs w:val="20"/>
          <w:lang w:val="es-ES"/>
        </w:rPr>
        <w:t xml:space="preserve"> </w:t>
      </w:r>
      <w:r w:rsidR="00B811D7" w:rsidRPr="00761EFF">
        <w:rPr>
          <w:rFonts w:eastAsia="Verdana" w:cs="Verdana"/>
          <w:spacing w:val="1"/>
          <w:szCs w:val="20"/>
          <w:lang w:val="es-ES"/>
        </w:rPr>
        <w:t>ge</w:t>
      </w:r>
      <w:r w:rsidR="00B811D7" w:rsidRPr="00761EFF">
        <w:rPr>
          <w:rFonts w:eastAsia="Verdana" w:cs="Verdana"/>
          <w:szCs w:val="20"/>
          <w:lang w:val="es-ES"/>
        </w:rPr>
        <w:t>st</w:t>
      </w:r>
      <w:r w:rsidR="00B811D7" w:rsidRPr="00761EFF">
        <w:rPr>
          <w:rFonts w:eastAsia="Verdana" w:cs="Verdana"/>
          <w:spacing w:val="3"/>
          <w:szCs w:val="20"/>
          <w:lang w:val="es-ES"/>
        </w:rPr>
        <w:t>i</w:t>
      </w:r>
      <w:r w:rsidR="00B811D7" w:rsidRPr="00761EFF">
        <w:rPr>
          <w:rFonts w:eastAsia="Verdana" w:cs="Verdana"/>
          <w:spacing w:val="-1"/>
          <w:szCs w:val="20"/>
          <w:lang w:val="es-ES"/>
        </w:rPr>
        <w:t>ó</w:t>
      </w:r>
      <w:r w:rsidR="00B811D7" w:rsidRPr="00761EFF">
        <w:rPr>
          <w:rFonts w:eastAsia="Verdana" w:cs="Verdana"/>
          <w:szCs w:val="20"/>
          <w:lang w:val="es-ES"/>
        </w:rPr>
        <w:t>n</w:t>
      </w:r>
      <w:r w:rsidR="00B811D7" w:rsidRPr="00761EFF">
        <w:rPr>
          <w:rFonts w:eastAsia="Verdana" w:cs="Verdana"/>
          <w:spacing w:val="5"/>
          <w:szCs w:val="20"/>
          <w:lang w:val="es-ES"/>
        </w:rPr>
        <w:t xml:space="preserve"> </w:t>
      </w:r>
      <w:r w:rsidR="00B811D7" w:rsidRPr="00761EFF">
        <w:rPr>
          <w:rFonts w:eastAsia="Verdana" w:cs="Verdana"/>
          <w:spacing w:val="1"/>
          <w:szCs w:val="20"/>
          <w:lang w:val="es-ES"/>
        </w:rPr>
        <w:t>d</w:t>
      </w:r>
      <w:r w:rsidR="00B811D7" w:rsidRPr="00761EFF">
        <w:rPr>
          <w:rFonts w:eastAsia="Verdana" w:cs="Verdana"/>
          <w:szCs w:val="20"/>
          <w:lang w:val="es-ES"/>
        </w:rPr>
        <w:t>e</w:t>
      </w:r>
      <w:r w:rsidR="00B811D7" w:rsidRPr="00761EFF">
        <w:rPr>
          <w:rFonts w:eastAsia="Verdana" w:cs="Verdana"/>
          <w:spacing w:val="8"/>
          <w:szCs w:val="20"/>
          <w:lang w:val="es-ES"/>
        </w:rPr>
        <w:t xml:space="preserve"> </w:t>
      </w:r>
      <w:r w:rsidR="00B811D7" w:rsidRPr="00761EFF">
        <w:rPr>
          <w:rFonts w:eastAsia="Verdana" w:cs="Verdana"/>
          <w:spacing w:val="3"/>
          <w:szCs w:val="20"/>
          <w:lang w:val="es-ES"/>
        </w:rPr>
        <w:t>i</w:t>
      </w:r>
      <w:r w:rsidR="00B811D7" w:rsidRPr="00761EFF">
        <w:rPr>
          <w:rFonts w:eastAsia="Verdana" w:cs="Verdana"/>
          <w:spacing w:val="1"/>
          <w:szCs w:val="20"/>
          <w:lang w:val="es-ES"/>
        </w:rPr>
        <w:t>nt</w:t>
      </w:r>
      <w:r w:rsidR="00B811D7" w:rsidRPr="00761EFF">
        <w:rPr>
          <w:rFonts w:eastAsia="Verdana" w:cs="Verdana"/>
          <w:spacing w:val="-1"/>
          <w:szCs w:val="20"/>
          <w:lang w:val="es-ES"/>
        </w:rPr>
        <w:t>er</w:t>
      </w:r>
      <w:r w:rsidR="00B811D7" w:rsidRPr="00761EFF">
        <w:rPr>
          <w:rFonts w:eastAsia="Verdana" w:cs="Verdana"/>
          <w:spacing w:val="1"/>
          <w:szCs w:val="20"/>
          <w:lang w:val="es-ES"/>
        </w:rPr>
        <w:t>e</w:t>
      </w:r>
      <w:r w:rsidR="00B811D7" w:rsidRPr="00761EFF">
        <w:rPr>
          <w:rFonts w:eastAsia="Verdana" w:cs="Verdana"/>
          <w:szCs w:val="20"/>
          <w:lang w:val="es-ES"/>
        </w:rPr>
        <w:t>ses</w:t>
      </w:r>
      <w:r w:rsidR="00B811D7" w:rsidRPr="00761EFF">
        <w:rPr>
          <w:rFonts w:eastAsia="Verdana" w:cs="Verdana"/>
          <w:spacing w:val="1"/>
          <w:szCs w:val="20"/>
          <w:lang w:val="es-ES"/>
        </w:rPr>
        <w:t xml:space="preserve"> p</w:t>
      </w:r>
      <w:r w:rsidR="00B811D7" w:rsidRPr="00761EFF">
        <w:rPr>
          <w:rFonts w:eastAsia="Verdana" w:cs="Verdana"/>
          <w:szCs w:val="20"/>
          <w:lang w:val="es-ES"/>
        </w:rPr>
        <w:t>a</w:t>
      </w:r>
      <w:r w:rsidR="00B811D7" w:rsidRPr="00761EFF">
        <w:rPr>
          <w:rFonts w:eastAsia="Verdana" w:cs="Verdana"/>
          <w:spacing w:val="-1"/>
          <w:szCs w:val="20"/>
          <w:lang w:val="es-ES"/>
        </w:rPr>
        <w:t>r</w:t>
      </w:r>
      <w:r w:rsidR="00B811D7" w:rsidRPr="00761EFF">
        <w:rPr>
          <w:rFonts w:eastAsia="Verdana" w:cs="Verdana"/>
          <w:spacing w:val="1"/>
          <w:szCs w:val="20"/>
          <w:lang w:val="es-ES"/>
        </w:rPr>
        <w:t>t</w:t>
      </w:r>
      <w:r w:rsidR="00B811D7" w:rsidRPr="00761EFF">
        <w:rPr>
          <w:rFonts w:eastAsia="Verdana" w:cs="Verdana"/>
          <w:spacing w:val="3"/>
          <w:szCs w:val="20"/>
          <w:lang w:val="es-ES"/>
        </w:rPr>
        <w:t>i</w:t>
      </w:r>
      <w:r w:rsidR="00B811D7" w:rsidRPr="00761EFF">
        <w:rPr>
          <w:rFonts w:eastAsia="Verdana" w:cs="Verdana"/>
          <w:szCs w:val="20"/>
          <w:lang w:val="es-ES"/>
        </w:rPr>
        <w:t>cu</w:t>
      </w:r>
      <w:r w:rsidR="00B811D7" w:rsidRPr="00761EFF">
        <w:rPr>
          <w:rFonts w:eastAsia="Verdana" w:cs="Verdana"/>
          <w:spacing w:val="3"/>
          <w:szCs w:val="20"/>
          <w:lang w:val="es-ES"/>
        </w:rPr>
        <w:t>l</w:t>
      </w:r>
      <w:r w:rsidR="00B811D7" w:rsidRPr="00761EFF">
        <w:rPr>
          <w:rFonts w:eastAsia="Verdana" w:cs="Verdana"/>
          <w:szCs w:val="20"/>
          <w:lang w:val="es-ES"/>
        </w:rPr>
        <w:t>a</w:t>
      </w:r>
      <w:r w:rsidR="00B811D7" w:rsidRPr="00761EFF">
        <w:rPr>
          <w:rFonts w:eastAsia="Verdana" w:cs="Verdana"/>
          <w:spacing w:val="-1"/>
          <w:szCs w:val="20"/>
          <w:lang w:val="es-ES"/>
        </w:rPr>
        <w:t>re</w:t>
      </w:r>
      <w:r w:rsidR="00B811D7" w:rsidRPr="00761EFF">
        <w:rPr>
          <w:rFonts w:eastAsia="Verdana" w:cs="Verdana"/>
          <w:szCs w:val="20"/>
          <w:lang w:val="es-ES"/>
        </w:rPr>
        <w:t>s,</w:t>
      </w:r>
      <w:r w:rsidR="00B811D7" w:rsidRPr="00761EFF">
        <w:rPr>
          <w:rFonts w:eastAsia="Verdana" w:cs="Verdana"/>
          <w:spacing w:val="-3"/>
          <w:szCs w:val="20"/>
          <w:lang w:val="es-ES"/>
        </w:rPr>
        <w:t xml:space="preserve"> </w:t>
      </w:r>
      <w:r w:rsidR="00B811D7" w:rsidRPr="00761EFF">
        <w:rPr>
          <w:rFonts w:eastAsia="Verdana" w:cs="Verdana"/>
          <w:spacing w:val="1"/>
          <w:szCs w:val="20"/>
          <w:lang w:val="es-ES"/>
        </w:rPr>
        <w:t>qu</w:t>
      </w:r>
      <w:r w:rsidR="00B811D7" w:rsidRPr="00761EFF">
        <w:rPr>
          <w:rFonts w:eastAsia="Verdana" w:cs="Verdana"/>
          <w:szCs w:val="20"/>
          <w:lang w:val="es-ES"/>
        </w:rPr>
        <w:t xml:space="preserve">e </w:t>
      </w:r>
      <w:r w:rsidR="00B811D7" w:rsidRPr="00761EFF">
        <w:rPr>
          <w:rFonts w:eastAsia="Verdana" w:cs="Verdana"/>
          <w:spacing w:val="1"/>
          <w:szCs w:val="20"/>
          <w:lang w:val="es-ES"/>
        </w:rPr>
        <w:t>d</w:t>
      </w:r>
      <w:r w:rsidR="00B811D7" w:rsidRPr="00761EFF">
        <w:rPr>
          <w:rFonts w:eastAsia="Verdana" w:cs="Verdana"/>
          <w:spacing w:val="-1"/>
          <w:szCs w:val="20"/>
          <w:lang w:val="es-ES"/>
        </w:rPr>
        <w:t>e</w:t>
      </w:r>
      <w:r w:rsidR="00B811D7" w:rsidRPr="00761EFF">
        <w:rPr>
          <w:rFonts w:eastAsia="Verdana" w:cs="Verdana"/>
          <w:spacing w:val="1"/>
          <w:szCs w:val="20"/>
          <w:lang w:val="es-ES"/>
        </w:rPr>
        <w:t>p</w:t>
      </w:r>
      <w:r w:rsidR="00B811D7" w:rsidRPr="00761EFF">
        <w:rPr>
          <w:rFonts w:eastAsia="Verdana" w:cs="Verdana"/>
          <w:spacing w:val="-1"/>
          <w:szCs w:val="20"/>
          <w:lang w:val="es-ES"/>
        </w:rPr>
        <w:t>e</w:t>
      </w:r>
      <w:r w:rsidR="00B811D7" w:rsidRPr="00761EFF">
        <w:rPr>
          <w:rFonts w:eastAsia="Verdana" w:cs="Verdana"/>
          <w:spacing w:val="1"/>
          <w:szCs w:val="20"/>
          <w:lang w:val="es-ES"/>
        </w:rPr>
        <w:t>nd</w:t>
      </w:r>
      <w:r w:rsidR="00B811D7" w:rsidRPr="00761EFF">
        <w:rPr>
          <w:rFonts w:eastAsia="Verdana" w:cs="Verdana"/>
          <w:szCs w:val="20"/>
          <w:lang w:val="es-ES"/>
        </w:rPr>
        <w:t>a</w:t>
      </w:r>
      <w:r w:rsidR="00B811D7" w:rsidRPr="00761EFF">
        <w:rPr>
          <w:rFonts w:eastAsia="Verdana" w:cs="Verdana"/>
          <w:spacing w:val="1"/>
          <w:szCs w:val="20"/>
          <w:lang w:val="es-ES"/>
        </w:rPr>
        <w:t xml:space="preserve"> d</w:t>
      </w:r>
      <w:r w:rsidR="00B811D7" w:rsidRPr="00761EFF">
        <w:rPr>
          <w:rFonts w:eastAsia="Verdana" w:cs="Verdana"/>
          <w:szCs w:val="20"/>
          <w:lang w:val="es-ES"/>
        </w:rPr>
        <w:t>e</w:t>
      </w:r>
      <w:r w:rsidR="00B811D7" w:rsidRPr="00761EFF">
        <w:rPr>
          <w:rFonts w:eastAsia="Verdana" w:cs="Verdana"/>
          <w:spacing w:val="7"/>
          <w:szCs w:val="20"/>
          <w:lang w:val="es-ES"/>
        </w:rPr>
        <w:t xml:space="preserve"> </w:t>
      </w:r>
      <w:r w:rsidR="00B811D7" w:rsidRPr="00761EFF">
        <w:rPr>
          <w:rFonts w:eastAsia="Verdana" w:cs="Verdana"/>
          <w:spacing w:val="3"/>
          <w:szCs w:val="20"/>
          <w:lang w:val="es-ES"/>
        </w:rPr>
        <w:t>l</w:t>
      </w:r>
      <w:r w:rsidR="00B811D7" w:rsidRPr="00761EFF">
        <w:rPr>
          <w:rFonts w:eastAsia="Verdana" w:cs="Verdana"/>
          <w:szCs w:val="20"/>
          <w:lang w:val="es-ES"/>
        </w:rPr>
        <w:t>a</w:t>
      </w:r>
      <w:r w:rsidR="00B811D7" w:rsidRPr="00761EFF">
        <w:rPr>
          <w:rFonts w:eastAsia="Verdana" w:cs="Verdana"/>
          <w:spacing w:val="6"/>
          <w:szCs w:val="20"/>
          <w:lang w:val="es-ES"/>
        </w:rPr>
        <w:t xml:space="preserve"> </w:t>
      </w:r>
      <w:r w:rsidR="00B811D7" w:rsidRPr="00761EFF">
        <w:rPr>
          <w:rFonts w:eastAsia="Verdana" w:cs="Verdana"/>
          <w:spacing w:val="3"/>
          <w:szCs w:val="20"/>
          <w:lang w:val="es-ES"/>
        </w:rPr>
        <w:t>i</w:t>
      </w:r>
      <w:r w:rsidR="00B811D7" w:rsidRPr="00761EFF">
        <w:rPr>
          <w:rFonts w:eastAsia="Verdana" w:cs="Verdana"/>
          <w:spacing w:val="-1"/>
          <w:szCs w:val="20"/>
          <w:lang w:val="es-ES"/>
        </w:rPr>
        <w:t>n</w:t>
      </w:r>
      <w:r w:rsidR="00B811D7" w:rsidRPr="00761EFF">
        <w:rPr>
          <w:rFonts w:eastAsia="Verdana" w:cs="Verdana"/>
          <w:spacing w:val="3"/>
          <w:szCs w:val="20"/>
          <w:lang w:val="es-ES"/>
        </w:rPr>
        <w:t>i</w:t>
      </w:r>
      <w:r w:rsidR="00B811D7" w:rsidRPr="00761EFF">
        <w:rPr>
          <w:rFonts w:eastAsia="Verdana" w:cs="Verdana"/>
          <w:spacing w:val="-3"/>
          <w:szCs w:val="20"/>
          <w:lang w:val="es-ES"/>
        </w:rPr>
        <w:t>c</w:t>
      </w:r>
      <w:r w:rsidR="00B811D7" w:rsidRPr="00761EFF">
        <w:rPr>
          <w:rFonts w:eastAsia="Verdana" w:cs="Verdana"/>
          <w:spacing w:val="3"/>
          <w:szCs w:val="20"/>
          <w:lang w:val="es-ES"/>
        </w:rPr>
        <w:t>i</w:t>
      </w:r>
      <w:r w:rsidR="00B811D7" w:rsidRPr="00761EFF">
        <w:rPr>
          <w:rFonts w:eastAsia="Verdana" w:cs="Verdana"/>
          <w:szCs w:val="20"/>
          <w:lang w:val="es-ES"/>
        </w:rPr>
        <w:t>a</w:t>
      </w:r>
      <w:r w:rsidR="00B811D7" w:rsidRPr="00761EFF">
        <w:rPr>
          <w:rFonts w:eastAsia="Verdana" w:cs="Verdana"/>
          <w:spacing w:val="-1"/>
          <w:szCs w:val="20"/>
          <w:lang w:val="es-ES"/>
        </w:rPr>
        <w:t>t</w:t>
      </w:r>
      <w:r w:rsidR="00B811D7" w:rsidRPr="00761EFF">
        <w:rPr>
          <w:rFonts w:eastAsia="Verdana" w:cs="Verdana"/>
          <w:spacing w:val="3"/>
          <w:szCs w:val="20"/>
          <w:lang w:val="es-ES"/>
        </w:rPr>
        <w:t>i</w:t>
      </w:r>
      <w:r w:rsidR="00B811D7" w:rsidRPr="00761EFF">
        <w:rPr>
          <w:rFonts w:eastAsia="Verdana" w:cs="Verdana"/>
          <w:spacing w:val="-3"/>
          <w:szCs w:val="20"/>
          <w:lang w:val="es-ES"/>
        </w:rPr>
        <w:t>v</w:t>
      </w:r>
      <w:r w:rsidR="00B811D7" w:rsidRPr="00761EFF">
        <w:rPr>
          <w:rFonts w:eastAsia="Verdana" w:cs="Verdana"/>
          <w:szCs w:val="20"/>
          <w:lang w:val="es-ES"/>
        </w:rPr>
        <w:t>a</w:t>
      </w:r>
      <w:r w:rsidR="00B811D7" w:rsidRPr="00761EFF">
        <w:rPr>
          <w:rFonts w:eastAsia="Verdana" w:cs="Verdana"/>
          <w:spacing w:val="1"/>
          <w:szCs w:val="20"/>
          <w:lang w:val="es-ES"/>
        </w:rPr>
        <w:t xml:space="preserve"> p</w:t>
      </w:r>
      <w:r w:rsidR="00B811D7" w:rsidRPr="00761EFF">
        <w:rPr>
          <w:rFonts w:eastAsia="Verdana" w:cs="Verdana"/>
          <w:spacing w:val="-1"/>
          <w:szCs w:val="20"/>
          <w:lang w:val="es-ES"/>
        </w:rPr>
        <w:t>r</w:t>
      </w:r>
      <w:r w:rsidR="00B811D7" w:rsidRPr="00761EFF">
        <w:rPr>
          <w:rFonts w:eastAsia="Verdana" w:cs="Verdana"/>
          <w:spacing w:val="2"/>
          <w:szCs w:val="20"/>
          <w:lang w:val="es-ES"/>
        </w:rPr>
        <w:t>oc</w:t>
      </w:r>
      <w:r w:rsidR="00B811D7" w:rsidRPr="00761EFF">
        <w:rPr>
          <w:rFonts w:eastAsia="Verdana" w:cs="Verdana"/>
          <w:spacing w:val="-1"/>
          <w:szCs w:val="20"/>
          <w:lang w:val="es-ES"/>
        </w:rPr>
        <w:t>e</w:t>
      </w:r>
      <w:r w:rsidR="00B811D7" w:rsidRPr="00761EFF">
        <w:rPr>
          <w:rFonts w:eastAsia="Verdana" w:cs="Verdana"/>
          <w:szCs w:val="20"/>
          <w:lang w:val="es-ES"/>
        </w:rPr>
        <w:t>sal</w:t>
      </w:r>
      <w:r w:rsidR="00B811D7" w:rsidRPr="00761EFF">
        <w:rPr>
          <w:rFonts w:eastAsia="Verdana" w:cs="Verdana"/>
          <w:spacing w:val="5"/>
          <w:szCs w:val="20"/>
          <w:lang w:val="es-ES"/>
        </w:rPr>
        <w:t xml:space="preserve"> </w:t>
      </w:r>
      <w:r w:rsidR="00B811D7" w:rsidRPr="00761EFF">
        <w:rPr>
          <w:rFonts w:eastAsia="Verdana" w:cs="Verdana"/>
          <w:spacing w:val="1"/>
          <w:szCs w:val="20"/>
          <w:lang w:val="es-ES"/>
        </w:rPr>
        <w:t>d</w:t>
      </w:r>
      <w:r w:rsidR="00B811D7" w:rsidRPr="00761EFF">
        <w:rPr>
          <w:rFonts w:eastAsia="Verdana" w:cs="Verdana"/>
          <w:szCs w:val="20"/>
          <w:lang w:val="es-ES"/>
        </w:rPr>
        <w:t>e</w:t>
      </w:r>
      <w:r w:rsidR="00B811D7" w:rsidRPr="00761EFF">
        <w:rPr>
          <w:rFonts w:eastAsia="Verdana" w:cs="Verdana"/>
          <w:spacing w:val="7"/>
          <w:szCs w:val="20"/>
          <w:lang w:val="es-ES"/>
        </w:rPr>
        <w:t xml:space="preserve"> </w:t>
      </w:r>
      <w:r w:rsidR="00B811D7" w:rsidRPr="00761EFF">
        <w:rPr>
          <w:rFonts w:eastAsia="Verdana" w:cs="Verdana"/>
          <w:spacing w:val="3"/>
          <w:szCs w:val="20"/>
          <w:lang w:val="es-ES"/>
        </w:rPr>
        <w:t>l</w:t>
      </w:r>
      <w:r w:rsidR="00B811D7" w:rsidRPr="00761EFF">
        <w:rPr>
          <w:rFonts w:eastAsia="Verdana" w:cs="Verdana"/>
          <w:szCs w:val="20"/>
          <w:lang w:val="es-ES"/>
        </w:rPr>
        <w:t>as</w:t>
      </w:r>
      <w:r w:rsidR="00B811D7" w:rsidRPr="00761EFF">
        <w:rPr>
          <w:rFonts w:eastAsia="Verdana" w:cs="Verdana"/>
          <w:spacing w:val="7"/>
          <w:szCs w:val="20"/>
          <w:lang w:val="es-ES"/>
        </w:rPr>
        <w:t xml:space="preserve"> </w:t>
      </w:r>
      <w:r w:rsidR="00B811D7" w:rsidRPr="00761EFF">
        <w:rPr>
          <w:rFonts w:eastAsia="Verdana" w:cs="Verdana"/>
          <w:spacing w:val="-3"/>
          <w:szCs w:val="20"/>
          <w:lang w:val="es-ES"/>
        </w:rPr>
        <w:t>v</w:t>
      </w:r>
      <w:r w:rsidR="00B811D7" w:rsidRPr="00761EFF">
        <w:rPr>
          <w:rFonts w:eastAsia="Verdana" w:cs="Verdana"/>
          <w:spacing w:val="3"/>
          <w:szCs w:val="20"/>
          <w:lang w:val="es-ES"/>
        </w:rPr>
        <w:t>í</w:t>
      </w:r>
      <w:r w:rsidR="00B811D7" w:rsidRPr="00761EFF">
        <w:rPr>
          <w:rFonts w:eastAsia="Verdana" w:cs="Verdana"/>
          <w:szCs w:val="20"/>
          <w:lang w:val="es-ES"/>
        </w:rPr>
        <w:t>c</w:t>
      </w:r>
      <w:r w:rsidR="00B811D7" w:rsidRPr="00761EFF">
        <w:rPr>
          <w:rFonts w:eastAsia="Verdana" w:cs="Verdana"/>
          <w:spacing w:val="-2"/>
          <w:szCs w:val="20"/>
          <w:lang w:val="es-ES"/>
        </w:rPr>
        <w:t>t</w:t>
      </w:r>
      <w:r w:rsidR="00B811D7" w:rsidRPr="00761EFF">
        <w:rPr>
          <w:rFonts w:eastAsia="Verdana" w:cs="Verdana"/>
          <w:szCs w:val="20"/>
          <w:lang w:val="es-ES"/>
        </w:rPr>
        <w:t>im</w:t>
      </w:r>
      <w:r w:rsidR="00B811D7" w:rsidRPr="00761EFF">
        <w:rPr>
          <w:rFonts w:eastAsia="Verdana" w:cs="Verdana"/>
          <w:spacing w:val="1"/>
          <w:szCs w:val="20"/>
          <w:lang w:val="es-ES"/>
        </w:rPr>
        <w:t>a</w:t>
      </w:r>
      <w:r w:rsidR="00B811D7" w:rsidRPr="00761EFF">
        <w:rPr>
          <w:rFonts w:eastAsia="Verdana" w:cs="Verdana"/>
          <w:szCs w:val="20"/>
          <w:lang w:val="es-ES"/>
        </w:rPr>
        <w:t xml:space="preserve">s, </w:t>
      </w:r>
      <w:r w:rsidR="00B811D7" w:rsidRPr="00761EFF">
        <w:rPr>
          <w:rFonts w:eastAsia="Verdana" w:cs="Verdana"/>
          <w:spacing w:val="1"/>
          <w:szCs w:val="20"/>
          <w:lang w:val="es-ES"/>
        </w:rPr>
        <w:t>d</w:t>
      </w:r>
      <w:r w:rsidR="00B811D7" w:rsidRPr="00761EFF">
        <w:rPr>
          <w:rFonts w:eastAsia="Verdana" w:cs="Verdana"/>
          <w:szCs w:val="20"/>
          <w:lang w:val="es-ES"/>
        </w:rPr>
        <w:t>e</w:t>
      </w:r>
      <w:r w:rsidR="00B811D7" w:rsidRPr="00761EFF">
        <w:rPr>
          <w:rFonts w:eastAsia="Verdana" w:cs="Verdana"/>
          <w:spacing w:val="7"/>
          <w:szCs w:val="20"/>
          <w:lang w:val="es-ES"/>
        </w:rPr>
        <w:t xml:space="preserve"> </w:t>
      </w:r>
      <w:r w:rsidR="00B811D7" w:rsidRPr="00761EFF">
        <w:rPr>
          <w:rFonts w:eastAsia="Verdana" w:cs="Verdana"/>
          <w:szCs w:val="20"/>
          <w:lang w:val="es-ES"/>
        </w:rPr>
        <w:t>sus</w:t>
      </w:r>
      <w:r w:rsidR="00B811D7" w:rsidRPr="00761EFF">
        <w:rPr>
          <w:rFonts w:eastAsia="Verdana" w:cs="Verdana"/>
          <w:spacing w:val="7"/>
          <w:szCs w:val="20"/>
          <w:lang w:val="es-ES"/>
        </w:rPr>
        <w:t xml:space="preserve"> </w:t>
      </w:r>
      <w:r w:rsidR="00B811D7" w:rsidRPr="00761EFF">
        <w:rPr>
          <w:rFonts w:eastAsia="Verdana" w:cs="Verdana"/>
          <w:szCs w:val="20"/>
          <w:lang w:val="es-ES"/>
        </w:rPr>
        <w:t>fam</w:t>
      </w:r>
      <w:r w:rsidR="00B811D7" w:rsidRPr="00761EFF">
        <w:rPr>
          <w:rFonts w:eastAsia="Verdana" w:cs="Verdana"/>
          <w:spacing w:val="3"/>
          <w:szCs w:val="20"/>
          <w:lang w:val="es-ES"/>
        </w:rPr>
        <w:t>i</w:t>
      </w:r>
      <w:r w:rsidR="00B811D7" w:rsidRPr="00761EFF">
        <w:rPr>
          <w:rFonts w:eastAsia="Verdana" w:cs="Verdana"/>
          <w:szCs w:val="20"/>
          <w:lang w:val="es-ES"/>
        </w:rPr>
        <w:t>l</w:t>
      </w:r>
      <w:r w:rsidR="00B811D7" w:rsidRPr="00761EFF">
        <w:rPr>
          <w:rFonts w:eastAsia="Verdana" w:cs="Verdana"/>
          <w:spacing w:val="3"/>
          <w:szCs w:val="20"/>
          <w:lang w:val="es-ES"/>
        </w:rPr>
        <w:t>i</w:t>
      </w:r>
      <w:r w:rsidR="00B811D7" w:rsidRPr="00761EFF">
        <w:rPr>
          <w:rFonts w:eastAsia="Verdana" w:cs="Verdana"/>
          <w:szCs w:val="20"/>
          <w:lang w:val="es-ES"/>
        </w:rPr>
        <w:t>a</w:t>
      </w:r>
      <w:r w:rsidR="00B811D7" w:rsidRPr="00761EFF">
        <w:rPr>
          <w:rFonts w:eastAsia="Verdana" w:cs="Verdana"/>
          <w:spacing w:val="-1"/>
          <w:szCs w:val="20"/>
          <w:lang w:val="es-ES"/>
        </w:rPr>
        <w:t>re</w:t>
      </w:r>
      <w:r w:rsidR="00B811D7" w:rsidRPr="00761EFF">
        <w:rPr>
          <w:rFonts w:eastAsia="Verdana" w:cs="Verdana"/>
          <w:szCs w:val="20"/>
          <w:lang w:val="es-ES"/>
        </w:rPr>
        <w:t>s o</w:t>
      </w:r>
      <w:r w:rsidR="00B811D7" w:rsidRPr="00761EFF">
        <w:rPr>
          <w:rFonts w:eastAsia="Verdana" w:cs="Verdana"/>
          <w:spacing w:val="8"/>
          <w:szCs w:val="20"/>
          <w:lang w:val="es-ES"/>
        </w:rPr>
        <w:t xml:space="preserve"> </w:t>
      </w:r>
      <w:r w:rsidR="00B811D7" w:rsidRPr="00761EFF">
        <w:rPr>
          <w:rFonts w:eastAsia="Verdana" w:cs="Verdana"/>
          <w:spacing w:val="1"/>
          <w:szCs w:val="20"/>
          <w:lang w:val="es-ES"/>
        </w:rPr>
        <w:t>d</w:t>
      </w:r>
      <w:r w:rsidR="00B811D7" w:rsidRPr="00761EFF">
        <w:rPr>
          <w:rFonts w:eastAsia="Verdana" w:cs="Verdana"/>
          <w:szCs w:val="20"/>
          <w:lang w:val="es-ES"/>
        </w:rPr>
        <w:t>e</w:t>
      </w:r>
      <w:r w:rsidR="00B811D7" w:rsidRPr="00761EFF">
        <w:rPr>
          <w:rFonts w:eastAsia="Verdana" w:cs="Verdana"/>
          <w:spacing w:val="7"/>
          <w:szCs w:val="20"/>
          <w:lang w:val="es-ES"/>
        </w:rPr>
        <w:t xml:space="preserve"> </w:t>
      </w:r>
      <w:r w:rsidR="00B811D7" w:rsidRPr="00761EFF">
        <w:rPr>
          <w:rFonts w:eastAsia="Verdana" w:cs="Verdana"/>
          <w:spacing w:val="3"/>
          <w:szCs w:val="20"/>
          <w:lang w:val="es-ES"/>
        </w:rPr>
        <w:t>l</w:t>
      </w:r>
      <w:r w:rsidR="00B811D7" w:rsidRPr="00761EFF">
        <w:rPr>
          <w:rFonts w:eastAsia="Verdana" w:cs="Verdana"/>
          <w:szCs w:val="20"/>
          <w:lang w:val="es-ES"/>
        </w:rPr>
        <w:t>a</w:t>
      </w:r>
      <w:r w:rsidR="00B811D7" w:rsidRPr="00761EFF">
        <w:rPr>
          <w:rFonts w:eastAsia="Verdana" w:cs="Verdana"/>
          <w:spacing w:val="8"/>
          <w:szCs w:val="20"/>
          <w:lang w:val="es-ES"/>
        </w:rPr>
        <w:t xml:space="preserve"> </w:t>
      </w:r>
      <w:r w:rsidR="00B811D7" w:rsidRPr="00761EFF">
        <w:rPr>
          <w:rFonts w:eastAsia="Verdana" w:cs="Verdana"/>
          <w:szCs w:val="20"/>
          <w:lang w:val="es-ES"/>
        </w:rPr>
        <w:t>a</w:t>
      </w:r>
      <w:r w:rsidR="00B811D7" w:rsidRPr="00761EFF">
        <w:rPr>
          <w:rFonts w:eastAsia="Verdana" w:cs="Verdana"/>
          <w:spacing w:val="1"/>
          <w:szCs w:val="20"/>
          <w:lang w:val="es-ES"/>
        </w:rPr>
        <w:t>p</w:t>
      </w:r>
      <w:r w:rsidR="00B811D7" w:rsidRPr="00761EFF">
        <w:rPr>
          <w:rFonts w:eastAsia="Verdana" w:cs="Verdana"/>
          <w:spacing w:val="-1"/>
          <w:szCs w:val="20"/>
          <w:lang w:val="es-ES"/>
        </w:rPr>
        <w:t>or</w:t>
      </w:r>
      <w:r w:rsidR="00B811D7" w:rsidRPr="00761EFF">
        <w:rPr>
          <w:rFonts w:eastAsia="Verdana" w:cs="Verdana"/>
          <w:spacing w:val="1"/>
          <w:szCs w:val="20"/>
          <w:lang w:val="es-ES"/>
        </w:rPr>
        <w:t>t</w:t>
      </w:r>
      <w:r w:rsidR="00B811D7" w:rsidRPr="00761EFF">
        <w:rPr>
          <w:rFonts w:eastAsia="Verdana" w:cs="Verdana"/>
          <w:szCs w:val="20"/>
          <w:lang w:val="es-ES"/>
        </w:rPr>
        <w:t>ac</w:t>
      </w:r>
      <w:r w:rsidR="00B811D7" w:rsidRPr="00761EFF">
        <w:rPr>
          <w:rFonts w:eastAsia="Verdana" w:cs="Verdana"/>
          <w:spacing w:val="3"/>
          <w:szCs w:val="20"/>
          <w:lang w:val="es-ES"/>
        </w:rPr>
        <w:t>i</w:t>
      </w:r>
      <w:r w:rsidR="00B811D7" w:rsidRPr="00761EFF">
        <w:rPr>
          <w:rFonts w:eastAsia="Verdana" w:cs="Verdana"/>
          <w:spacing w:val="-1"/>
          <w:szCs w:val="20"/>
          <w:lang w:val="es-ES"/>
        </w:rPr>
        <w:t>ó</w:t>
      </w:r>
      <w:r w:rsidR="00B811D7" w:rsidRPr="00761EFF">
        <w:rPr>
          <w:rFonts w:eastAsia="Verdana" w:cs="Verdana"/>
          <w:szCs w:val="20"/>
          <w:lang w:val="es-ES"/>
        </w:rPr>
        <w:t xml:space="preserve">n </w:t>
      </w:r>
      <w:r w:rsidR="00B811D7" w:rsidRPr="00761EFF">
        <w:rPr>
          <w:rFonts w:eastAsia="Verdana" w:cs="Verdana"/>
          <w:spacing w:val="1"/>
          <w:szCs w:val="20"/>
          <w:lang w:val="es-ES"/>
        </w:rPr>
        <w:t>p</w:t>
      </w:r>
      <w:r w:rsidR="00B811D7" w:rsidRPr="00761EFF">
        <w:rPr>
          <w:rFonts w:eastAsia="Verdana" w:cs="Verdana"/>
          <w:spacing w:val="-1"/>
          <w:szCs w:val="20"/>
          <w:lang w:val="es-ES"/>
        </w:rPr>
        <w:t>r</w:t>
      </w:r>
      <w:r w:rsidR="00B811D7" w:rsidRPr="00761EFF">
        <w:rPr>
          <w:rFonts w:eastAsia="Verdana" w:cs="Verdana"/>
          <w:spacing w:val="3"/>
          <w:szCs w:val="20"/>
          <w:lang w:val="es-ES"/>
        </w:rPr>
        <w:t>i</w:t>
      </w:r>
      <w:r w:rsidR="00B811D7" w:rsidRPr="00761EFF">
        <w:rPr>
          <w:rFonts w:eastAsia="Verdana" w:cs="Verdana"/>
          <w:spacing w:val="-3"/>
          <w:szCs w:val="20"/>
          <w:lang w:val="es-ES"/>
        </w:rPr>
        <w:t>v</w:t>
      </w:r>
      <w:r w:rsidR="00B811D7" w:rsidRPr="00761EFF">
        <w:rPr>
          <w:rFonts w:eastAsia="Verdana" w:cs="Verdana"/>
          <w:szCs w:val="20"/>
          <w:lang w:val="es-ES"/>
        </w:rPr>
        <w:t>a</w:t>
      </w:r>
      <w:r w:rsidR="00B811D7" w:rsidRPr="00761EFF">
        <w:rPr>
          <w:rFonts w:eastAsia="Verdana" w:cs="Verdana"/>
          <w:spacing w:val="1"/>
          <w:szCs w:val="20"/>
          <w:lang w:val="es-ES"/>
        </w:rPr>
        <w:t>d</w:t>
      </w:r>
      <w:r w:rsidR="00B811D7" w:rsidRPr="00761EFF">
        <w:rPr>
          <w:rFonts w:eastAsia="Verdana" w:cs="Verdana"/>
          <w:szCs w:val="20"/>
          <w:lang w:val="es-ES"/>
        </w:rPr>
        <w:t>a</w:t>
      </w:r>
      <w:r w:rsidR="00B811D7" w:rsidRPr="00761EFF">
        <w:rPr>
          <w:rFonts w:eastAsia="Verdana" w:cs="Verdana"/>
          <w:spacing w:val="3"/>
          <w:szCs w:val="20"/>
          <w:lang w:val="es-ES"/>
        </w:rPr>
        <w:t xml:space="preserve"> </w:t>
      </w:r>
      <w:r w:rsidR="00B811D7" w:rsidRPr="00761EFF">
        <w:rPr>
          <w:rFonts w:eastAsia="Verdana" w:cs="Verdana"/>
          <w:spacing w:val="1"/>
          <w:szCs w:val="20"/>
          <w:lang w:val="es-ES"/>
        </w:rPr>
        <w:t>d</w:t>
      </w:r>
      <w:r w:rsidR="00B811D7" w:rsidRPr="00761EFF">
        <w:rPr>
          <w:rFonts w:eastAsia="Verdana" w:cs="Verdana"/>
          <w:szCs w:val="20"/>
          <w:lang w:val="es-ES"/>
        </w:rPr>
        <w:t xml:space="preserve">e </w:t>
      </w:r>
      <w:r w:rsidR="00B811D7" w:rsidRPr="00761EFF">
        <w:rPr>
          <w:rFonts w:eastAsia="Verdana" w:cs="Verdana"/>
          <w:spacing w:val="-1"/>
          <w:szCs w:val="20"/>
          <w:lang w:val="es-ES"/>
        </w:rPr>
        <w:t>e</w:t>
      </w:r>
      <w:r w:rsidR="00B811D7" w:rsidRPr="00761EFF">
        <w:rPr>
          <w:rFonts w:eastAsia="Verdana" w:cs="Verdana"/>
          <w:spacing w:val="3"/>
          <w:szCs w:val="20"/>
          <w:lang w:val="es-ES"/>
        </w:rPr>
        <w:t>l</w:t>
      </w:r>
      <w:r w:rsidR="00B811D7" w:rsidRPr="00761EFF">
        <w:rPr>
          <w:rFonts w:eastAsia="Verdana" w:cs="Verdana"/>
          <w:spacing w:val="-1"/>
          <w:szCs w:val="20"/>
          <w:lang w:val="es-ES"/>
        </w:rPr>
        <w:t>e</w:t>
      </w:r>
      <w:r w:rsidR="00B811D7" w:rsidRPr="00761EFF">
        <w:rPr>
          <w:rFonts w:eastAsia="Verdana" w:cs="Verdana"/>
          <w:szCs w:val="20"/>
          <w:lang w:val="es-ES"/>
        </w:rPr>
        <w:t>men</w:t>
      </w:r>
      <w:r w:rsidR="00B811D7" w:rsidRPr="00761EFF">
        <w:rPr>
          <w:rFonts w:eastAsia="Verdana" w:cs="Verdana"/>
          <w:spacing w:val="1"/>
          <w:szCs w:val="20"/>
          <w:lang w:val="es-ES"/>
        </w:rPr>
        <w:t>t</w:t>
      </w:r>
      <w:r w:rsidR="00B811D7" w:rsidRPr="00761EFF">
        <w:rPr>
          <w:rFonts w:eastAsia="Verdana" w:cs="Verdana"/>
          <w:spacing w:val="-1"/>
          <w:szCs w:val="20"/>
          <w:lang w:val="es-ES"/>
        </w:rPr>
        <w:t>o</w:t>
      </w:r>
      <w:r w:rsidR="00B811D7" w:rsidRPr="00761EFF">
        <w:rPr>
          <w:rFonts w:eastAsia="Verdana" w:cs="Verdana"/>
          <w:szCs w:val="20"/>
          <w:lang w:val="es-ES"/>
        </w:rPr>
        <w:t>s</w:t>
      </w:r>
      <w:r w:rsidR="00B811D7" w:rsidRPr="00761EFF">
        <w:rPr>
          <w:rFonts w:eastAsia="Verdana" w:cs="Verdana"/>
          <w:spacing w:val="-9"/>
          <w:szCs w:val="20"/>
          <w:lang w:val="es-ES"/>
        </w:rPr>
        <w:t xml:space="preserve"> </w:t>
      </w:r>
      <w:r w:rsidR="00B811D7" w:rsidRPr="00761EFF">
        <w:rPr>
          <w:rFonts w:eastAsia="Verdana" w:cs="Verdana"/>
          <w:szCs w:val="20"/>
          <w:lang w:val="es-ES"/>
        </w:rPr>
        <w:t>p</w:t>
      </w:r>
      <w:r w:rsidR="00B811D7" w:rsidRPr="00761EFF">
        <w:rPr>
          <w:rFonts w:eastAsia="Verdana" w:cs="Verdana"/>
          <w:spacing w:val="1"/>
          <w:szCs w:val="20"/>
          <w:lang w:val="es-ES"/>
        </w:rPr>
        <w:t>r</w:t>
      </w:r>
      <w:r w:rsidR="00B811D7" w:rsidRPr="00761EFF">
        <w:rPr>
          <w:rFonts w:eastAsia="Verdana" w:cs="Verdana"/>
          <w:spacing w:val="-1"/>
          <w:szCs w:val="20"/>
          <w:lang w:val="es-ES"/>
        </w:rPr>
        <w:t>o</w:t>
      </w:r>
      <w:r w:rsidR="00B811D7" w:rsidRPr="00761EFF">
        <w:rPr>
          <w:rFonts w:eastAsia="Verdana" w:cs="Verdana"/>
          <w:spacing w:val="1"/>
          <w:szCs w:val="20"/>
          <w:lang w:val="es-ES"/>
        </w:rPr>
        <w:t>b</w:t>
      </w:r>
      <w:r w:rsidR="00B811D7" w:rsidRPr="00761EFF">
        <w:rPr>
          <w:rFonts w:eastAsia="Verdana" w:cs="Verdana"/>
          <w:szCs w:val="20"/>
          <w:lang w:val="es-ES"/>
        </w:rPr>
        <w:t>a</w:t>
      </w:r>
      <w:r w:rsidR="00B811D7" w:rsidRPr="00761EFF">
        <w:rPr>
          <w:rFonts w:eastAsia="Verdana" w:cs="Verdana"/>
          <w:spacing w:val="1"/>
          <w:szCs w:val="20"/>
          <w:lang w:val="es-ES"/>
        </w:rPr>
        <w:t>to</w:t>
      </w:r>
      <w:r w:rsidR="00B811D7" w:rsidRPr="00761EFF">
        <w:rPr>
          <w:rFonts w:eastAsia="Verdana" w:cs="Verdana"/>
          <w:spacing w:val="-1"/>
          <w:szCs w:val="20"/>
          <w:lang w:val="es-ES"/>
        </w:rPr>
        <w:t>r</w:t>
      </w:r>
      <w:r w:rsidR="00B811D7" w:rsidRPr="00761EFF">
        <w:rPr>
          <w:rFonts w:eastAsia="Verdana" w:cs="Verdana"/>
          <w:spacing w:val="3"/>
          <w:szCs w:val="20"/>
          <w:lang w:val="es-ES"/>
        </w:rPr>
        <w:t>i</w:t>
      </w:r>
      <w:r w:rsidR="00B811D7" w:rsidRPr="00761EFF">
        <w:rPr>
          <w:rFonts w:eastAsia="Verdana" w:cs="Verdana"/>
          <w:spacing w:val="-1"/>
          <w:szCs w:val="20"/>
          <w:lang w:val="es-ES"/>
        </w:rPr>
        <w:t>o</w:t>
      </w:r>
      <w:r w:rsidR="00B811D7" w:rsidRPr="00761EFF">
        <w:rPr>
          <w:rFonts w:eastAsia="Verdana" w:cs="Verdana"/>
          <w:spacing w:val="4"/>
          <w:szCs w:val="20"/>
          <w:lang w:val="es-ES"/>
        </w:rPr>
        <w:t>s</w:t>
      </w:r>
      <w:r w:rsidR="00B811D7">
        <w:rPr>
          <w:rStyle w:val="FootnoteReference"/>
          <w:rFonts w:eastAsia="Verdana"/>
          <w:spacing w:val="4"/>
          <w:lang w:val="es-ES"/>
        </w:rPr>
        <w:footnoteReference w:id="201"/>
      </w:r>
      <w:r w:rsidR="00B811D7">
        <w:rPr>
          <w:rFonts w:eastAsia="Verdana" w:cs="Verdana"/>
          <w:spacing w:val="4"/>
          <w:szCs w:val="20"/>
          <w:lang w:val="es-ES"/>
        </w:rPr>
        <w:t>.</w:t>
      </w:r>
    </w:p>
    <w:p w14:paraId="09DDA973" w14:textId="77777777" w:rsidR="00B811D7" w:rsidRDefault="00B811D7" w:rsidP="00B811D7">
      <w:pPr>
        <w:pStyle w:val="ListParagraph"/>
        <w:rPr>
          <w:szCs w:val="20"/>
        </w:rPr>
      </w:pPr>
    </w:p>
    <w:p w14:paraId="17BA44D2" w14:textId="77777777" w:rsidR="00B811D7" w:rsidRPr="00A202A6" w:rsidRDefault="00B811D7" w:rsidP="00D6683A">
      <w:pPr>
        <w:numPr>
          <w:ilvl w:val="0"/>
          <w:numId w:val="1"/>
        </w:numPr>
        <w:contextualSpacing/>
        <w:rPr>
          <w:szCs w:val="20"/>
        </w:rPr>
      </w:pPr>
      <w:r w:rsidRPr="00761EFF">
        <w:rPr>
          <w:rFonts w:eastAsia="Verdana" w:cs="Verdana"/>
          <w:spacing w:val="-1"/>
          <w:szCs w:val="20"/>
          <w:lang w:val="es-ES"/>
        </w:rPr>
        <w:t>E</w:t>
      </w:r>
      <w:r w:rsidRPr="00761EFF">
        <w:rPr>
          <w:rFonts w:eastAsia="Verdana" w:cs="Verdana"/>
          <w:szCs w:val="20"/>
          <w:lang w:val="es-ES"/>
        </w:rPr>
        <w:t>l</w:t>
      </w:r>
      <w:r w:rsidRPr="00761EFF">
        <w:rPr>
          <w:rFonts w:eastAsia="Verdana" w:cs="Verdana"/>
          <w:spacing w:val="21"/>
          <w:szCs w:val="20"/>
          <w:lang w:val="es-ES"/>
        </w:rPr>
        <w:t xml:space="preserve"> </w:t>
      </w:r>
      <w:r w:rsidRPr="00761EFF">
        <w:rPr>
          <w:rFonts w:eastAsia="Verdana" w:cs="Verdana"/>
          <w:szCs w:val="20"/>
          <w:lang w:val="es-ES"/>
        </w:rPr>
        <w:t>cu</w:t>
      </w:r>
      <w:r w:rsidRPr="00761EFF">
        <w:rPr>
          <w:rFonts w:eastAsia="Verdana" w:cs="Verdana"/>
          <w:spacing w:val="1"/>
          <w:szCs w:val="20"/>
          <w:lang w:val="es-ES"/>
        </w:rPr>
        <w:t>m</w:t>
      </w:r>
      <w:r w:rsidRPr="00761EFF">
        <w:rPr>
          <w:rFonts w:eastAsia="Verdana" w:cs="Verdana"/>
          <w:spacing w:val="-2"/>
          <w:szCs w:val="20"/>
          <w:lang w:val="es-ES"/>
        </w:rPr>
        <w:t>p</w:t>
      </w:r>
      <w:r w:rsidRPr="00761EFF">
        <w:rPr>
          <w:rFonts w:eastAsia="Verdana" w:cs="Verdana"/>
          <w:szCs w:val="20"/>
          <w:lang w:val="es-ES"/>
        </w:rPr>
        <w:t>l</w:t>
      </w:r>
      <w:r w:rsidRPr="00761EFF">
        <w:rPr>
          <w:rFonts w:eastAsia="Verdana" w:cs="Verdana"/>
          <w:spacing w:val="3"/>
          <w:szCs w:val="20"/>
          <w:lang w:val="es-ES"/>
        </w:rPr>
        <w:t>i</w:t>
      </w:r>
      <w:r w:rsidRPr="00761EFF">
        <w:rPr>
          <w:rFonts w:eastAsia="Verdana" w:cs="Verdana"/>
          <w:spacing w:val="-2"/>
          <w:szCs w:val="20"/>
          <w:lang w:val="es-ES"/>
        </w:rPr>
        <w:t>m</w:t>
      </w:r>
      <w:r w:rsidRPr="00761EFF">
        <w:rPr>
          <w:rFonts w:eastAsia="Verdana" w:cs="Verdana"/>
          <w:spacing w:val="3"/>
          <w:szCs w:val="20"/>
          <w:lang w:val="es-ES"/>
        </w:rPr>
        <w:t>i</w:t>
      </w:r>
      <w:r w:rsidRPr="00761EFF">
        <w:rPr>
          <w:rFonts w:eastAsia="Verdana" w:cs="Verdana"/>
          <w:spacing w:val="-1"/>
          <w:szCs w:val="20"/>
          <w:lang w:val="es-ES"/>
        </w:rPr>
        <w:t>e</w:t>
      </w:r>
      <w:r w:rsidRPr="00761EFF">
        <w:rPr>
          <w:rFonts w:eastAsia="Verdana" w:cs="Verdana"/>
          <w:spacing w:val="1"/>
          <w:szCs w:val="20"/>
          <w:lang w:val="es-ES"/>
        </w:rPr>
        <w:t>nt</w:t>
      </w:r>
      <w:r w:rsidRPr="00761EFF">
        <w:rPr>
          <w:rFonts w:eastAsia="Verdana" w:cs="Verdana"/>
          <w:szCs w:val="20"/>
          <w:lang w:val="es-ES"/>
        </w:rPr>
        <w:t>o</w:t>
      </w:r>
      <w:r w:rsidRPr="00761EFF">
        <w:rPr>
          <w:rFonts w:eastAsia="Verdana" w:cs="Verdana"/>
          <w:spacing w:val="6"/>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17"/>
          <w:szCs w:val="20"/>
          <w:lang w:val="es-ES"/>
        </w:rPr>
        <w:t xml:space="preserve"> </w:t>
      </w:r>
      <w:r w:rsidRPr="00761EFF">
        <w:rPr>
          <w:rFonts w:eastAsia="Verdana" w:cs="Verdana"/>
          <w:spacing w:val="3"/>
          <w:szCs w:val="20"/>
          <w:lang w:val="es-ES"/>
        </w:rPr>
        <w:t>l</w:t>
      </w:r>
      <w:r w:rsidRPr="00761EFF">
        <w:rPr>
          <w:rFonts w:eastAsia="Verdana" w:cs="Verdana"/>
          <w:szCs w:val="20"/>
          <w:lang w:val="es-ES"/>
        </w:rPr>
        <w:t>a</w:t>
      </w:r>
      <w:r w:rsidRPr="00761EFF">
        <w:rPr>
          <w:rFonts w:eastAsia="Verdana" w:cs="Verdana"/>
          <w:spacing w:val="19"/>
          <w:szCs w:val="20"/>
          <w:lang w:val="es-ES"/>
        </w:rPr>
        <w:t xml:space="preserve"> </w:t>
      </w:r>
      <w:r w:rsidRPr="00761EFF">
        <w:rPr>
          <w:rFonts w:eastAsia="Verdana" w:cs="Verdana"/>
          <w:spacing w:val="-1"/>
          <w:szCs w:val="20"/>
          <w:lang w:val="es-ES"/>
        </w:rPr>
        <w:t>o</w:t>
      </w:r>
      <w:r w:rsidRPr="00761EFF">
        <w:rPr>
          <w:rFonts w:eastAsia="Verdana" w:cs="Verdana"/>
          <w:spacing w:val="1"/>
          <w:szCs w:val="20"/>
          <w:lang w:val="es-ES"/>
        </w:rPr>
        <w:t>b</w:t>
      </w:r>
      <w:r w:rsidRPr="00761EFF">
        <w:rPr>
          <w:rFonts w:eastAsia="Verdana" w:cs="Verdana"/>
          <w:szCs w:val="20"/>
          <w:lang w:val="es-ES"/>
        </w:rPr>
        <w:t>l</w:t>
      </w:r>
      <w:r w:rsidRPr="00761EFF">
        <w:rPr>
          <w:rFonts w:eastAsia="Verdana" w:cs="Verdana"/>
          <w:spacing w:val="3"/>
          <w:szCs w:val="20"/>
          <w:lang w:val="es-ES"/>
        </w:rPr>
        <w:t>i</w:t>
      </w:r>
      <w:r w:rsidRPr="00761EFF">
        <w:rPr>
          <w:rFonts w:eastAsia="Verdana" w:cs="Verdana"/>
          <w:spacing w:val="1"/>
          <w:szCs w:val="20"/>
          <w:lang w:val="es-ES"/>
        </w:rPr>
        <w:t>g</w:t>
      </w:r>
      <w:r w:rsidRPr="00761EFF">
        <w:rPr>
          <w:rFonts w:eastAsia="Verdana" w:cs="Verdana"/>
          <w:szCs w:val="20"/>
          <w:lang w:val="es-ES"/>
        </w:rPr>
        <w:t>a</w:t>
      </w:r>
      <w:r w:rsidRPr="00761EFF">
        <w:rPr>
          <w:rFonts w:eastAsia="Verdana" w:cs="Verdana"/>
          <w:spacing w:val="-3"/>
          <w:szCs w:val="20"/>
          <w:lang w:val="es-ES"/>
        </w:rPr>
        <w:t>c</w:t>
      </w:r>
      <w:r w:rsidRPr="00761EFF">
        <w:rPr>
          <w:rFonts w:eastAsia="Verdana" w:cs="Verdana"/>
          <w:spacing w:val="3"/>
          <w:szCs w:val="20"/>
          <w:lang w:val="es-ES"/>
        </w:rPr>
        <w:t>i</w:t>
      </w:r>
      <w:r w:rsidRPr="00761EFF">
        <w:rPr>
          <w:rFonts w:eastAsia="Verdana" w:cs="Verdana"/>
          <w:spacing w:val="-1"/>
          <w:szCs w:val="20"/>
          <w:lang w:val="es-ES"/>
        </w:rPr>
        <w:t>ó</w:t>
      </w:r>
      <w:r w:rsidRPr="00761EFF">
        <w:rPr>
          <w:rFonts w:eastAsia="Verdana" w:cs="Verdana"/>
          <w:szCs w:val="20"/>
          <w:lang w:val="es-ES"/>
        </w:rPr>
        <w:t>n</w:t>
      </w:r>
      <w:r w:rsidRPr="00761EFF">
        <w:rPr>
          <w:rFonts w:eastAsia="Verdana" w:cs="Verdana"/>
          <w:spacing w:val="12"/>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17"/>
          <w:szCs w:val="20"/>
          <w:lang w:val="es-ES"/>
        </w:rPr>
        <w:t xml:space="preserve"> </w:t>
      </w:r>
      <w:r w:rsidRPr="00761EFF">
        <w:rPr>
          <w:rFonts w:eastAsia="Verdana" w:cs="Verdana"/>
          <w:spacing w:val="-1"/>
          <w:szCs w:val="20"/>
          <w:lang w:val="es-ES"/>
        </w:rPr>
        <w:t>e</w:t>
      </w:r>
      <w:r w:rsidRPr="00761EFF">
        <w:rPr>
          <w:rFonts w:eastAsia="Verdana" w:cs="Verdana"/>
          <w:szCs w:val="20"/>
          <w:lang w:val="es-ES"/>
        </w:rPr>
        <w:t>m</w:t>
      </w:r>
      <w:r w:rsidRPr="00761EFF">
        <w:rPr>
          <w:rFonts w:eastAsia="Verdana" w:cs="Verdana"/>
          <w:spacing w:val="1"/>
          <w:szCs w:val="20"/>
          <w:lang w:val="es-ES"/>
        </w:rPr>
        <w:t>p</w:t>
      </w:r>
      <w:r w:rsidRPr="00761EFF">
        <w:rPr>
          <w:rFonts w:eastAsia="Verdana" w:cs="Verdana"/>
          <w:spacing w:val="-1"/>
          <w:szCs w:val="20"/>
          <w:lang w:val="es-ES"/>
        </w:rPr>
        <w:t>re</w:t>
      </w:r>
      <w:r w:rsidRPr="00761EFF">
        <w:rPr>
          <w:rFonts w:eastAsia="Verdana" w:cs="Verdana"/>
          <w:spacing w:val="1"/>
          <w:szCs w:val="20"/>
          <w:lang w:val="es-ES"/>
        </w:rPr>
        <w:t>n</w:t>
      </w:r>
      <w:r w:rsidRPr="00761EFF">
        <w:rPr>
          <w:rFonts w:eastAsia="Verdana" w:cs="Verdana"/>
          <w:spacing w:val="3"/>
          <w:szCs w:val="20"/>
          <w:lang w:val="es-ES"/>
        </w:rPr>
        <w:t>d</w:t>
      </w:r>
      <w:r w:rsidRPr="00761EFF">
        <w:rPr>
          <w:rFonts w:eastAsia="Verdana" w:cs="Verdana"/>
          <w:spacing w:val="-1"/>
          <w:szCs w:val="20"/>
          <w:lang w:val="es-ES"/>
        </w:rPr>
        <w:t>e</w:t>
      </w:r>
      <w:r w:rsidRPr="00761EFF">
        <w:rPr>
          <w:rFonts w:eastAsia="Verdana" w:cs="Verdana"/>
          <w:szCs w:val="20"/>
          <w:lang w:val="es-ES"/>
        </w:rPr>
        <w:t>r</w:t>
      </w:r>
      <w:r w:rsidRPr="00761EFF">
        <w:rPr>
          <w:rFonts w:eastAsia="Verdana" w:cs="Verdana"/>
          <w:spacing w:val="11"/>
          <w:szCs w:val="20"/>
          <w:lang w:val="es-ES"/>
        </w:rPr>
        <w:t xml:space="preserve"> </w:t>
      </w:r>
      <w:r w:rsidRPr="00761EFF">
        <w:rPr>
          <w:rFonts w:eastAsia="Verdana" w:cs="Verdana"/>
          <w:spacing w:val="1"/>
          <w:szCs w:val="20"/>
          <w:lang w:val="es-ES"/>
        </w:rPr>
        <w:t>un</w:t>
      </w:r>
      <w:r w:rsidRPr="00761EFF">
        <w:rPr>
          <w:rFonts w:eastAsia="Verdana" w:cs="Verdana"/>
          <w:szCs w:val="20"/>
          <w:lang w:val="es-ES"/>
        </w:rPr>
        <w:t>a</w:t>
      </w:r>
      <w:r w:rsidRPr="00761EFF">
        <w:rPr>
          <w:rFonts w:eastAsia="Verdana" w:cs="Verdana"/>
          <w:spacing w:val="15"/>
          <w:szCs w:val="20"/>
          <w:lang w:val="es-ES"/>
        </w:rPr>
        <w:t xml:space="preserve"> </w:t>
      </w:r>
      <w:r w:rsidRPr="00761EFF">
        <w:rPr>
          <w:rFonts w:eastAsia="Verdana" w:cs="Verdana"/>
          <w:spacing w:val="3"/>
          <w:szCs w:val="20"/>
          <w:lang w:val="es-ES"/>
        </w:rPr>
        <w:t>i</w:t>
      </w:r>
      <w:r w:rsidRPr="00761EFF">
        <w:rPr>
          <w:rFonts w:eastAsia="Verdana" w:cs="Verdana"/>
          <w:spacing w:val="1"/>
          <w:szCs w:val="20"/>
          <w:lang w:val="es-ES"/>
        </w:rPr>
        <w:t>n</w:t>
      </w:r>
      <w:r w:rsidRPr="00761EFF">
        <w:rPr>
          <w:rFonts w:eastAsia="Verdana" w:cs="Verdana"/>
          <w:szCs w:val="20"/>
          <w:lang w:val="es-ES"/>
        </w:rPr>
        <w:t>v</w:t>
      </w:r>
      <w:r w:rsidRPr="00761EFF">
        <w:rPr>
          <w:rFonts w:eastAsia="Verdana" w:cs="Verdana"/>
          <w:spacing w:val="-1"/>
          <w:szCs w:val="20"/>
          <w:lang w:val="es-ES"/>
        </w:rPr>
        <w:t>e</w:t>
      </w:r>
      <w:r w:rsidRPr="00761EFF">
        <w:rPr>
          <w:rFonts w:eastAsia="Verdana" w:cs="Verdana"/>
          <w:szCs w:val="20"/>
          <w:lang w:val="es-ES"/>
        </w:rPr>
        <w:t>st</w:t>
      </w:r>
      <w:r w:rsidRPr="00761EFF">
        <w:rPr>
          <w:rFonts w:eastAsia="Verdana" w:cs="Verdana"/>
          <w:spacing w:val="3"/>
          <w:szCs w:val="20"/>
          <w:lang w:val="es-ES"/>
        </w:rPr>
        <w:t>i</w:t>
      </w:r>
      <w:r w:rsidRPr="00761EFF">
        <w:rPr>
          <w:rFonts w:eastAsia="Verdana" w:cs="Verdana"/>
          <w:spacing w:val="1"/>
          <w:szCs w:val="20"/>
          <w:lang w:val="es-ES"/>
        </w:rPr>
        <w:t>g</w:t>
      </w:r>
      <w:r w:rsidRPr="00761EFF">
        <w:rPr>
          <w:rFonts w:eastAsia="Verdana" w:cs="Verdana"/>
          <w:szCs w:val="20"/>
          <w:lang w:val="es-ES"/>
        </w:rPr>
        <w:t>a</w:t>
      </w:r>
      <w:r w:rsidRPr="00761EFF">
        <w:rPr>
          <w:rFonts w:eastAsia="Verdana" w:cs="Verdana"/>
          <w:spacing w:val="-3"/>
          <w:szCs w:val="20"/>
          <w:lang w:val="es-ES"/>
        </w:rPr>
        <w:t>c</w:t>
      </w:r>
      <w:r w:rsidRPr="00761EFF">
        <w:rPr>
          <w:rFonts w:eastAsia="Verdana" w:cs="Verdana"/>
          <w:spacing w:val="3"/>
          <w:szCs w:val="20"/>
          <w:lang w:val="es-ES"/>
        </w:rPr>
        <w:t>i</w:t>
      </w:r>
      <w:r w:rsidRPr="00761EFF">
        <w:rPr>
          <w:rFonts w:eastAsia="Verdana" w:cs="Verdana"/>
          <w:spacing w:val="-1"/>
          <w:szCs w:val="20"/>
          <w:lang w:val="es-ES"/>
        </w:rPr>
        <w:t>ó</w:t>
      </w:r>
      <w:r w:rsidRPr="00761EFF">
        <w:rPr>
          <w:rFonts w:eastAsia="Verdana" w:cs="Verdana"/>
          <w:szCs w:val="20"/>
          <w:lang w:val="es-ES"/>
        </w:rPr>
        <w:t>n</w:t>
      </w:r>
      <w:r w:rsidRPr="00761EFF">
        <w:rPr>
          <w:rFonts w:eastAsia="Verdana" w:cs="Verdana"/>
          <w:spacing w:val="9"/>
          <w:szCs w:val="20"/>
          <w:lang w:val="es-ES"/>
        </w:rPr>
        <w:t xml:space="preserve"> </w:t>
      </w:r>
      <w:r w:rsidRPr="00761EFF">
        <w:rPr>
          <w:rFonts w:eastAsia="Verdana" w:cs="Verdana"/>
          <w:szCs w:val="20"/>
          <w:lang w:val="es-ES"/>
        </w:rPr>
        <w:t>s</w:t>
      </w:r>
      <w:r w:rsidRPr="00761EFF">
        <w:rPr>
          <w:rFonts w:eastAsia="Verdana" w:cs="Verdana"/>
          <w:spacing w:val="-2"/>
          <w:szCs w:val="20"/>
          <w:lang w:val="es-ES"/>
        </w:rPr>
        <w:t>e</w:t>
      </w:r>
      <w:r w:rsidRPr="00761EFF">
        <w:rPr>
          <w:rFonts w:eastAsia="Verdana" w:cs="Verdana"/>
          <w:spacing w:val="-1"/>
          <w:szCs w:val="20"/>
          <w:lang w:val="es-ES"/>
        </w:rPr>
        <w:t>r</w:t>
      </w:r>
      <w:r w:rsidRPr="00761EFF">
        <w:rPr>
          <w:rFonts w:eastAsia="Verdana" w:cs="Verdana"/>
          <w:spacing w:val="3"/>
          <w:szCs w:val="20"/>
          <w:lang w:val="es-ES"/>
        </w:rPr>
        <w:t>i</w:t>
      </w:r>
      <w:r w:rsidRPr="00761EFF">
        <w:rPr>
          <w:rFonts w:eastAsia="Verdana" w:cs="Verdana"/>
          <w:szCs w:val="20"/>
          <w:lang w:val="es-ES"/>
        </w:rPr>
        <w:t>a,</w:t>
      </w:r>
      <w:r w:rsidRPr="00761EFF">
        <w:rPr>
          <w:rFonts w:eastAsia="Verdana" w:cs="Verdana"/>
          <w:spacing w:val="15"/>
          <w:szCs w:val="20"/>
          <w:lang w:val="es-ES"/>
        </w:rPr>
        <w:t xml:space="preserve"> </w:t>
      </w:r>
      <w:r w:rsidRPr="00761EFF">
        <w:rPr>
          <w:rFonts w:eastAsia="Verdana" w:cs="Verdana"/>
          <w:spacing w:val="3"/>
          <w:szCs w:val="20"/>
          <w:lang w:val="es-ES"/>
        </w:rPr>
        <w:t>i</w:t>
      </w:r>
      <w:r w:rsidRPr="00761EFF">
        <w:rPr>
          <w:rFonts w:eastAsia="Verdana" w:cs="Verdana"/>
          <w:szCs w:val="20"/>
          <w:lang w:val="es-ES"/>
        </w:rPr>
        <w:t>m</w:t>
      </w:r>
      <w:r w:rsidRPr="00761EFF">
        <w:rPr>
          <w:rFonts w:eastAsia="Verdana" w:cs="Verdana"/>
          <w:spacing w:val="1"/>
          <w:szCs w:val="20"/>
          <w:lang w:val="es-ES"/>
        </w:rPr>
        <w:t>p</w:t>
      </w:r>
      <w:r w:rsidRPr="00761EFF">
        <w:rPr>
          <w:rFonts w:eastAsia="Verdana" w:cs="Verdana"/>
          <w:szCs w:val="20"/>
          <w:lang w:val="es-ES"/>
        </w:rPr>
        <w:t>a</w:t>
      </w:r>
      <w:r w:rsidRPr="00761EFF">
        <w:rPr>
          <w:rFonts w:eastAsia="Verdana" w:cs="Verdana"/>
          <w:spacing w:val="-1"/>
          <w:szCs w:val="20"/>
          <w:lang w:val="es-ES"/>
        </w:rPr>
        <w:t>r</w:t>
      </w:r>
      <w:r w:rsidRPr="00761EFF">
        <w:rPr>
          <w:rFonts w:eastAsia="Verdana" w:cs="Verdana"/>
          <w:szCs w:val="20"/>
          <w:lang w:val="es-ES"/>
        </w:rPr>
        <w:t>c</w:t>
      </w:r>
      <w:r w:rsidRPr="00761EFF">
        <w:rPr>
          <w:rFonts w:eastAsia="Verdana" w:cs="Verdana"/>
          <w:spacing w:val="2"/>
          <w:szCs w:val="20"/>
          <w:lang w:val="es-ES"/>
        </w:rPr>
        <w:t>i</w:t>
      </w:r>
      <w:r w:rsidRPr="00761EFF">
        <w:rPr>
          <w:rFonts w:eastAsia="Verdana" w:cs="Verdana"/>
          <w:spacing w:val="-2"/>
          <w:szCs w:val="20"/>
          <w:lang w:val="es-ES"/>
        </w:rPr>
        <w:t>a</w:t>
      </w:r>
      <w:r w:rsidRPr="00761EFF">
        <w:rPr>
          <w:rFonts w:eastAsia="Verdana" w:cs="Verdana"/>
          <w:szCs w:val="20"/>
          <w:lang w:val="es-ES"/>
        </w:rPr>
        <w:t>l</w:t>
      </w:r>
      <w:r w:rsidRPr="00761EFF">
        <w:rPr>
          <w:rFonts w:eastAsia="Verdana" w:cs="Verdana"/>
          <w:spacing w:val="14"/>
          <w:szCs w:val="20"/>
          <w:lang w:val="es-ES"/>
        </w:rPr>
        <w:t xml:space="preserve"> </w:t>
      </w:r>
      <w:r w:rsidRPr="00761EFF">
        <w:rPr>
          <w:rFonts w:eastAsia="Verdana" w:cs="Verdana"/>
          <w:szCs w:val="20"/>
          <w:lang w:val="es-ES"/>
        </w:rPr>
        <w:t>y</w:t>
      </w:r>
      <w:r w:rsidRPr="00761EFF">
        <w:rPr>
          <w:rFonts w:eastAsia="Verdana" w:cs="Verdana"/>
          <w:spacing w:val="19"/>
          <w:szCs w:val="20"/>
          <w:lang w:val="es-ES"/>
        </w:rPr>
        <w:t xml:space="preserve"> </w:t>
      </w:r>
      <w:r w:rsidRPr="00761EFF">
        <w:rPr>
          <w:rFonts w:eastAsia="Verdana" w:cs="Verdana"/>
          <w:spacing w:val="-1"/>
          <w:szCs w:val="20"/>
          <w:lang w:val="es-ES"/>
        </w:rPr>
        <w:t>e</w:t>
      </w:r>
      <w:r w:rsidRPr="00761EFF">
        <w:rPr>
          <w:rFonts w:eastAsia="Verdana" w:cs="Verdana"/>
          <w:szCs w:val="20"/>
          <w:lang w:val="es-ES"/>
        </w:rPr>
        <w:t>f</w:t>
      </w:r>
      <w:r w:rsidRPr="00761EFF">
        <w:rPr>
          <w:rFonts w:eastAsia="Verdana" w:cs="Verdana"/>
          <w:spacing w:val="-1"/>
          <w:szCs w:val="20"/>
          <w:lang w:val="es-ES"/>
        </w:rPr>
        <w:t>e</w:t>
      </w:r>
      <w:r w:rsidRPr="00761EFF">
        <w:rPr>
          <w:rFonts w:eastAsia="Verdana" w:cs="Verdana"/>
          <w:szCs w:val="20"/>
          <w:lang w:val="es-ES"/>
        </w:rPr>
        <w:t>ct</w:t>
      </w:r>
      <w:r w:rsidRPr="00761EFF">
        <w:rPr>
          <w:rFonts w:eastAsia="Verdana" w:cs="Verdana"/>
          <w:spacing w:val="3"/>
          <w:szCs w:val="20"/>
          <w:lang w:val="es-ES"/>
        </w:rPr>
        <w:t>i</w:t>
      </w:r>
      <w:r w:rsidRPr="00761EFF">
        <w:rPr>
          <w:rFonts w:eastAsia="Verdana" w:cs="Verdana"/>
          <w:szCs w:val="20"/>
          <w:lang w:val="es-ES"/>
        </w:rPr>
        <w:t xml:space="preserve">va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6"/>
          <w:szCs w:val="20"/>
          <w:lang w:val="es-ES"/>
        </w:rPr>
        <w:t xml:space="preserve"> </w:t>
      </w:r>
      <w:r w:rsidRPr="00761EFF">
        <w:rPr>
          <w:rFonts w:eastAsia="Verdana" w:cs="Verdana"/>
          <w:spacing w:val="3"/>
          <w:szCs w:val="20"/>
          <w:lang w:val="es-ES"/>
        </w:rPr>
        <w:t>l</w:t>
      </w:r>
      <w:r w:rsidRPr="00761EFF">
        <w:rPr>
          <w:rFonts w:eastAsia="Verdana" w:cs="Verdana"/>
          <w:szCs w:val="20"/>
          <w:lang w:val="es-ES"/>
        </w:rPr>
        <w:t>o</w:t>
      </w:r>
      <w:r w:rsidRPr="00761EFF">
        <w:rPr>
          <w:rFonts w:eastAsia="Verdana" w:cs="Verdana"/>
          <w:spacing w:val="6"/>
          <w:szCs w:val="20"/>
          <w:lang w:val="es-ES"/>
        </w:rPr>
        <w:t xml:space="preserve"> </w:t>
      </w:r>
      <w:r w:rsidRPr="00761EFF">
        <w:rPr>
          <w:rFonts w:eastAsia="Verdana" w:cs="Verdana"/>
          <w:spacing w:val="-1"/>
          <w:szCs w:val="20"/>
          <w:lang w:val="es-ES"/>
        </w:rPr>
        <w:t>o</w:t>
      </w:r>
      <w:r w:rsidRPr="00761EFF">
        <w:rPr>
          <w:rFonts w:eastAsia="Verdana" w:cs="Verdana"/>
          <w:szCs w:val="20"/>
          <w:lang w:val="es-ES"/>
        </w:rPr>
        <w:t>cur</w:t>
      </w:r>
      <w:r w:rsidRPr="00761EFF">
        <w:rPr>
          <w:rFonts w:eastAsia="Verdana" w:cs="Verdana"/>
          <w:spacing w:val="-1"/>
          <w:szCs w:val="20"/>
          <w:lang w:val="es-ES"/>
        </w:rPr>
        <w:t>r</w:t>
      </w:r>
      <w:r w:rsidRPr="00761EFF">
        <w:rPr>
          <w:rFonts w:eastAsia="Verdana" w:cs="Verdana"/>
          <w:spacing w:val="3"/>
          <w:szCs w:val="20"/>
          <w:lang w:val="es-ES"/>
        </w:rPr>
        <w:t>i</w:t>
      </w:r>
      <w:r w:rsidRPr="00761EFF">
        <w:rPr>
          <w:rFonts w:eastAsia="Verdana" w:cs="Verdana"/>
          <w:spacing w:val="1"/>
          <w:szCs w:val="20"/>
          <w:lang w:val="es-ES"/>
        </w:rPr>
        <w:t>d</w:t>
      </w:r>
      <w:r w:rsidRPr="00761EFF">
        <w:rPr>
          <w:rFonts w:eastAsia="Verdana" w:cs="Verdana"/>
          <w:spacing w:val="-1"/>
          <w:szCs w:val="20"/>
          <w:lang w:val="es-ES"/>
        </w:rPr>
        <w:t>o</w:t>
      </w:r>
      <w:r w:rsidRPr="00761EFF">
        <w:rPr>
          <w:rFonts w:eastAsia="Verdana" w:cs="Verdana"/>
          <w:szCs w:val="20"/>
          <w:lang w:val="es-ES"/>
        </w:rPr>
        <w:t>,</w:t>
      </w:r>
      <w:r w:rsidRPr="00761EFF">
        <w:rPr>
          <w:rFonts w:eastAsia="Verdana" w:cs="Verdana"/>
          <w:spacing w:val="-1"/>
          <w:szCs w:val="20"/>
          <w:lang w:val="es-ES"/>
        </w:rPr>
        <w:t xml:space="preserve"> e</w:t>
      </w:r>
      <w:r w:rsidRPr="00761EFF">
        <w:rPr>
          <w:rFonts w:eastAsia="Verdana" w:cs="Verdana"/>
          <w:szCs w:val="20"/>
          <w:lang w:val="es-ES"/>
        </w:rPr>
        <w:t>n</w:t>
      </w:r>
      <w:r w:rsidRPr="00761EFF">
        <w:rPr>
          <w:rFonts w:eastAsia="Verdana" w:cs="Verdana"/>
          <w:spacing w:val="8"/>
          <w:szCs w:val="20"/>
          <w:lang w:val="es-ES"/>
        </w:rPr>
        <w:t xml:space="preserve"> </w:t>
      </w:r>
      <w:r w:rsidRPr="00761EFF">
        <w:rPr>
          <w:rFonts w:eastAsia="Verdana" w:cs="Verdana"/>
          <w:spacing w:val="-1"/>
          <w:szCs w:val="20"/>
          <w:lang w:val="es-ES"/>
        </w:rPr>
        <w:t>e</w:t>
      </w:r>
      <w:r w:rsidRPr="00761EFF">
        <w:rPr>
          <w:rFonts w:eastAsia="Verdana" w:cs="Verdana"/>
          <w:szCs w:val="20"/>
          <w:lang w:val="es-ES"/>
        </w:rPr>
        <w:t>l</w:t>
      </w:r>
      <w:r w:rsidRPr="00761EFF">
        <w:rPr>
          <w:rFonts w:eastAsia="Verdana" w:cs="Verdana"/>
          <w:spacing w:val="9"/>
          <w:szCs w:val="20"/>
          <w:lang w:val="es-ES"/>
        </w:rPr>
        <w:t xml:space="preserve"> </w:t>
      </w:r>
      <w:r w:rsidRPr="00761EFF">
        <w:rPr>
          <w:rFonts w:eastAsia="Verdana" w:cs="Verdana"/>
          <w:szCs w:val="20"/>
          <w:lang w:val="es-ES"/>
        </w:rPr>
        <w:t>m</w:t>
      </w:r>
      <w:r w:rsidRPr="00761EFF">
        <w:rPr>
          <w:rFonts w:eastAsia="Verdana" w:cs="Verdana"/>
          <w:spacing w:val="1"/>
          <w:szCs w:val="20"/>
          <w:lang w:val="es-ES"/>
        </w:rPr>
        <w:t>a</w:t>
      </w:r>
      <w:r w:rsidRPr="00761EFF">
        <w:rPr>
          <w:rFonts w:eastAsia="Verdana" w:cs="Verdana"/>
          <w:spacing w:val="-1"/>
          <w:szCs w:val="20"/>
          <w:lang w:val="es-ES"/>
        </w:rPr>
        <w:t>r</w:t>
      </w:r>
      <w:r w:rsidRPr="00761EFF">
        <w:rPr>
          <w:rFonts w:eastAsia="Verdana" w:cs="Verdana"/>
          <w:spacing w:val="2"/>
          <w:szCs w:val="20"/>
          <w:lang w:val="es-ES"/>
        </w:rPr>
        <w:t>c</w:t>
      </w:r>
      <w:r w:rsidRPr="00761EFF">
        <w:rPr>
          <w:rFonts w:eastAsia="Verdana" w:cs="Verdana"/>
          <w:szCs w:val="20"/>
          <w:lang w:val="es-ES"/>
        </w:rPr>
        <w:t>o</w:t>
      </w:r>
      <w:r w:rsidRPr="00761EFF">
        <w:rPr>
          <w:rFonts w:eastAsia="Verdana" w:cs="Verdana"/>
          <w:spacing w:val="2"/>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6"/>
          <w:szCs w:val="20"/>
          <w:lang w:val="es-ES"/>
        </w:rPr>
        <w:t xml:space="preserve"> </w:t>
      </w:r>
      <w:r w:rsidRPr="00761EFF">
        <w:rPr>
          <w:rFonts w:eastAsia="Verdana" w:cs="Verdana"/>
          <w:spacing w:val="3"/>
          <w:szCs w:val="20"/>
          <w:lang w:val="es-ES"/>
        </w:rPr>
        <w:t>l</w:t>
      </w:r>
      <w:r w:rsidRPr="00761EFF">
        <w:rPr>
          <w:rFonts w:eastAsia="Verdana" w:cs="Verdana"/>
          <w:szCs w:val="20"/>
          <w:lang w:val="es-ES"/>
        </w:rPr>
        <w:t>as</w:t>
      </w:r>
      <w:r w:rsidRPr="00761EFF">
        <w:rPr>
          <w:rFonts w:eastAsia="Verdana" w:cs="Verdana"/>
          <w:spacing w:val="5"/>
          <w:szCs w:val="20"/>
          <w:lang w:val="es-ES"/>
        </w:rPr>
        <w:t xml:space="preserve"> </w:t>
      </w:r>
      <w:r w:rsidRPr="00761EFF">
        <w:rPr>
          <w:rFonts w:eastAsia="Verdana" w:cs="Verdana"/>
          <w:spacing w:val="1"/>
          <w:szCs w:val="20"/>
          <w:lang w:val="es-ES"/>
        </w:rPr>
        <w:t>g</w:t>
      </w:r>
      <w:r w:rsidRPr="00761EFF">
        <w:rPr>
          <w:rFonts w:eastAsia="Verdana" w:cs="Verdana"/>
          <w:szCs w:val="20"/>
          <w:lang w:val="es-ES"/>
        </w:rPr>
        <w:t>a</w:t>
      </w:r>
      <w:r w:rsidRPr="00761EFF">
        <w:rPr>
          <w:rFonts w:eastAsia="Verdana" w:cs="Verdana"/>
          <w:spacing w:val="-1"/>
          <w:szCs w:val="20"/>
          <w:lang w:val="es-ES"/>
        </w:rPr>
        <w:t>r</w:t>
      </w:r>
      <w:r w:rsidRPr="00761EFF">
        <w:rPr>
          <w:rFonts w:eastAsia="Verdana" w:cs="Verdana"/>
          <w:szCs w:val="20"/>
          <w:lang w:val="es-ES"/>
        </w:rPr>
        <w:t>a</w:t>
      </w:r>
      <w:r w:rsidRPr="00761EFF">
        <w:rPr>
          <w:rFonts w:eastAsia="Verdana" w:cs="Verdana"/>
          <w:spacing w:val="1"/>
          <w:szCs w:val="20"/>
          <w:lang w:val="es-ES"/>
        </w:rPr>
        <w:t>nt</w:t>
      </w:r>
      <w:r w:rsidRPr="00761EFF">
        <w:rPr>
          <w:rFonts w:eastAsia="Verdana" w:cs="Verdana"/>
          <w:spacing w:val="3"/>
          <w:szCs w:val="20"/>
          <w:lang w:val="es-ES"/>
        </w:rPr>
        <w:t>í</w:t>
      </w:r>
      <w:r w:rsidRPr="00761EFF">
        <w:rPr>
          <w:rFonts w:eastAsia="Verdana" w:cs="Verdana"/>
          <w:szCs w:val="20"/>
          <w:lang w:val="es-ES"/>
        </w:rPr>
        <w:t>as</w:t>
      </w:r>
      <w:r w:rsidRPr="00761EFF">
        <w:rPr>
          <w:rFonts w:eastAsia="Verdana" w:cs="Verdana"/>
          <w:spacing w:val="-1"/>
          <w:szCs w:val="20"/>
          <w:lang w:val="es-ES"/>
        </w:rPr>
        <w:t xml:space="preserve"> </w:t>
      </w:r>
      <w:r w:rsidRPr="00761EFF">
        <w:rPr>
          <w:rFonts w:eastAsia="Verdana" w:cs="Verdana"/>
          <w:spacing w:val="1"/>
          <w:szCs w:val="20"/>
          <w:lang w:val="es-ES"/>
        </w:rPr>
        <w:t>d</w:t>
      </w:r>
      <w:r w:rsidRPr="00761EFF">
        <w:rPr>
          <w:rFonts w:eastAsia="Verdana" w:cs="Verdana"/>
          <w:spacing w:val="-4"/>
          <w:szCs w:val="20"/>
          <w:lang w:val="es-ES"/>
        </w:rPr>
        <w:t>e</w:t>
      </w:r>
      <w:r w:rsidRPr="00761EFF">
        <w:rPr>
          <w:rFonts w:eastAsia="Verdana" w:cs="Verdana"/>
          <w:szCs w:val="20"/>
          <w:lang w:val="es-ES"/>
        </w:rPr>
        <w:t>l</w:t>
      </w:r>
      <w:r w:rsidRPr="00761EFF">
        <w:rPr>
          <w:rFonts w:eastAsia="Verdana" w:cs="Verdana"/>
          <w:spacing w:val="6"/>
          <w:szCs w:val="20"/>
          <w:lang w:val="es-ES"/>
        </w:rPr>
        <w:t xml:space="preserve"> </w:t>
      </w:r>
      <w:r w:rsidRPr="00761EFF">
        <w:rPr>
          <w:rFonts w:eastAsia="Verdana" w:cs="Verdana"/>
          <w:spacing w:val="1"/>
          <w:szCs w:val="20"/>
          <w:lang w:val="es-ES"/>
        </w:rPr>
        <w:t>d</w:t>
      </w:r>
      <w:r w:rsidRPr="00761EFF">
        <w:rPr>
          <w:rFonts w:eastAsia="Verdana" w:cs="Verdana"/>
          <w:spacing w:val="-1"/>
          <w:szCs w:val="20"/>
          <w:lang w:val="es-ES"/>
        </w:rPr>
        <w:t>e</w:t>
      </w:r>
      <w:r w:rsidRPr="00761EFF">
        <w:rPr>
          <w:rFonts w:eastAsia="Verdana" w:cs="Verdana"/>
          <w:spacing w:val="1"/>
          <w:szCs w:val="20"/>
          <w:lang w:val="es-ES"/>
        </w:rPr>
        <w:t>b</w:t>
      </w:r>
      <w:r w:rsidRPr="00761EFF">
        <w:rPr>
          <w:rFonts w:eastAsia="Verdana" w:cs="Verdana"/>
          <w:spacing w:val="3"/>
          <w:szCs w:val="20"/>
          <w:lang w:val="es-ES"/>
        </w:rPr>
        <w:t>i</w:t>
      </w:r>
      <w:r w:rsidRPr="00761EFF">
        <w:rPr>
          <w:rFonts w:eastAsia="Verdana" w:cs="Verdana"/>
          <w:spacing w:val="1"/>
          <w:szCs w:val="20"/>
          <w:lang w:val="es-ES"/>
        </w:rPr>
        <w:t>d</w:t>
      </w:r>
      <w:r w:rsidRPr="00761EFF">
        <w:rPr>
          <w:rFonts w:eastAsia="Verdana" w:cs="Verdana"/>
          <w:szCs w:val="20"/>
          <w:lang w:val="es-ES"/>
        </w:rPr>
        <w:t>o</w:t>
      </w:r>
      <w:r w:rsidRPr="00761EFF">
        <w:rPr>
          <w:rFonts w:eastAsia="Verdana" w:cs="Verdana"/>
          <w:spacing w:val="1"/>
          <w:szCs w:val="20"/>
          <w:lang w:val="es-ES"/>
        </w:rPr>
        <w:t xml:space="preserve"> p</w:t>
      </w:r>
      <w:r w:rsidRPr="00761EFF">
        <w:rPr>
          <w:rFonts w:eastAsia="Verdana" w:cs="Verdana"/>
          <w:spacing w:val="-1"/>
          <w:szCs w:val="20"/>
          <w:lang w:val="es-ES"/>
        </w:rPr>
        <w:t>ro</w:t>
      </w:r>
      <w:r w:rsidRPr="00761EFF">
        <w:rPr>
          <w:rFonts w:eastAsia="Verdana" w:cs="Verdana"/>
          <w:szCs w:val="20"/>
          <w:lang w:val="es-ES"/>
        </w:rPr>
        <w:t>ces</w:t>
      </w:r>
      <w:r w:rsidRPr="00761EFF">
        <w:rPr>
          <w:rFonts w:eastAsia="Verdana" w:cs="Verdana"/>
          <w:spacing w:val="1"/>
          <w:szCs w:val="20"/>
          <w:lang w:val="es-ES"/>
        </w:rPr>
        <w:t>o</w:t>
      </w:r>
      <w:r w:rsidRPr="00761EFF">
        <w:rPr>
          <w:rFonts w:eastAsia="Verdana" w:cs="Verdana"/>
          <w:szCs w:val="20"/>
          <w:lang w:val="es-ES"/>
        </w:rPr>
        <w:t>,</w:t>
      </w:r>
      <w:r w:rsidRPr="00761EFF">
        <w:rPr>
          <w:rFonts w:eastAsia="Verdana" w:cs="Verdana"/>
          <w:spacing w:val="-1"/>
          <w:szCs w:val="20"/>
          <w:lang w:val="es-ES"/>
        </w:rPr>
        <w:t xml:space="preserve"> </w:t>
      </w:r>
      <w:r w:rsidRPr="00761EFF">
        <w:rPr>
          <w:rFonts w:eastAsia="Verdana" w:cs="Verdana"/>
          <w:spacing w:val="1"/>
          <w:szCs w:val="20"/>
          <w:lang w:val="es-ES"/>
        </w:rPr>
        <w:t>h</w:t>
      </w:r>
      <w:r w:rsidRPr="00761EFF">
        <w:rPr>
          <w:rFonts w:eastAsia="Verdana" w:cs="Verdana"/>
          <w:szCs w:val="20"/>
          <w:lang w:val="es-ES"/>
        </w:rPr>
        <w:t>a</w:t>
      </w:r>
      <w:r w:rsidRPr="00761EFF">
        <w:rPr>
          <w:rFonts w:eastAsia="Verdana" w:cs="Verdana"/>
          <w:spacing w:val="15"/>
          <w:szCs w:val="20"/>
          <w:lang w:val="es-ES"/>
        </w:rPr>
        <w:t xml:space="preserve"> </w:t>
      </w:r>
      <w:r w:rsidRPr="00761EFF">
        <w:rPr>
          <w:rFonts w:eastAsia="Verdana" w:cs="Verdana"/>
          <w:szCs w:val="20"/>
          <w:lang w:val="es-ES"/>
        </w:rPr>
        <w:t>i</w:t>
      </w:r>
      <w:r w:rsidRPr="00761EFF">
        <w:rPr>
          <w:rFonts w:eastAsia="Verdana" w:cs="Verdana"/>
          <w:spacing w:val="1"/>
          <w:szCs w:val="20"/>
          <w:lang w:val="es-ES"/>
        </w:rPr>
        <w:t>n</w:t>
      </w:r>
      <w:r w:rsidRPr="00761EFF">
        <w:rPr>
          <w:rFonts w:eastAsia="Verdana" w:cs="Verdana"/>
          <w:szCs w:val="20"/>
          <w:lang w:val="es-ES"/>
        </w:rPr>
        <w:t>v</w:t>
      </w:r>
      <w:r w:rsidRPr="00761EFF">
        <w:rPr>
          <w:rFonts w:eastAsia="Verdana" w:cs="Verdana"/>
          <w:spacing w:val="-1"/>
          <w:szCs w:val="20"/>
          <w:lang w:val="es-ES"/>
        </w:rPr>
        <w:t>o</w:t>
      </w:r>
      <w:r w:rsidRPr="00761EFF">
        <w:rPr>
          <w:rFonts w:eastAsia="Verdana" w:cs="Verdana"/>
          <w:spacing w:val="3"/>
          <w:szCs w:val="20"/>
          <w:lang w:val="es-ES"/>
        </w:rPr>
        <w:t>l</w:t>
      </w:r>
      <w:r w:rsidRPr="00761EFF">
        <w:rPr>
          <w:rFonts w:eastAsia="Verdana" w:cs="Verdana"/>
          <w:spacing w:val="1"/>
          <w:szCs w:val="20"/>
          <w:lang w:val="es-ES"/>
        </w:rPr>
        <w:t>u</w:t>
      </w:r>
      <w:r w:rsidRPr="00761EFF">
        <w:rPr>
          <w:rFonts w:eastAsia="Verdana" w:cs="Verdana"/>
          <w:szCs w:val="20"/>
          <w:lang w:val="es-ES"/>
        </w:rPr>
        <w:t>c</w:t>
      </w:r>
      <w:r w:rsidRPr="00761EFF">
        <w:rPr>
          <w:rFonts w:eastAsia="Verdana" w:cs="Verdana"/>
          <w:spacing w:val="-2"/>
          <w:szCs w:val="20"/>
          <w:lang w:val="es-ES"/>
        </w:rPr>
        <w:t>r</w:t>
      </w:r>
      <w:r w:rsidRPr="00761EFF">
        <w:rPr>
          <w:rFonts w:eastAsia="Verdana" w:cs="Verdana"/>
          <w:szCs w:val="20"/>
          <w:lang w:val="es-ES"/>
        </w:rPr>
        <w:t>a</w:t>
      </w:r>
      <w:r w:rsidRPr="00761EFF">
        <w:rPr>
          <w:rFonts w:eastAsia="Verdana" w:cs="Verdana"/>
          <w:spacing w:val="1"/>
          <w:szCs w:val="20"/>
          <w:lang w:val="es-ES"/>
        </w:rPr>
        <w:t>d</w:t>
      </w:r>
      <w:r w:rsidRPr="00761EFF">
        <w:rPr>
          <w:rFonts w:eastAsia="Verdana" w:cs="Verdana"/>
          <w:szCs w:val="20"/>
          <w:lang w:val="es-ES"/>
        </w:rPr>
        <w:t>o</w:t>
      </w:r>
      <w:r w:rsidRPr="00761EFF">
        <w:rPr>
          <w:rFonts w:eastAsia="Verdana" w:cs="Verdana"/>
          <w:spacing w:val="-4"/>
          <w:szCs w:val="20"/>
          <w:lang w:val="es-ES"/>
        </w:rPr>
        <w:t xml:space="preserve"> </w:t>
      </w:r>
      <w:r w:rsidRPr="00761EFF">
        <w:rPr>
          <w:rFonts w:eastAsia="Verdana" w:cs="Verdana"/>
          <w:spacing w:val="1"/>
          <w:szCs w:val="20"/>
          <w:lang w:val="es-ES"/>
        </w:rPr>
        <w:t>t</w:t>
      </w:r>
      <w:r w:rsidRPr="00761EFF">
        <w:rPr>
          <w:rFonts w:eastAsia="Verdana" w:cs="Verdana"/>
          <w:szCs w:val="20"/>
          <w:lang w:val="es-ES"/>
        </w:rPr>
        <w:t>a</w:t>
      </w:r>
      <w:r w:rsidRPr="00761EFF">
        <w:rPr>
          <w:rFonts w:eastAsia="Verdana" w:cs="Verdana"/>
          <w:spacing w:val="1"/>
          <w:szCs w:val="20"/>
          <w:lang w:val="es-ES"/>
        </w:rPr>
        <w:t>mb</w:t>
      </w:r>
      <w:r w:rsidRPr="00761EFF">
        <w:rPr>
          <w:rFonts w:eastAsia="Verdana" w:cs="Verdana"/>
          <w:spacing w:val="3"/>
          <w:szCs w:val="20"/>
          <w:lang w:val="es-ES"/>
        </w:rPr>
        <w:t>i</w:t>
      </w:r>
      <w:r w:rsidRPr="00761EFF">
        <w:rPr>
          <w:rFonts w:eastAsia="Verdana" w:cs="Verdana"/>
          <w:spacing w:val="-1"/>
          <w:szCs w:val="20"/>
          <w:lang w:val="es-ES"/>
        </w:rPr>
        <w:t>é</w:t>
      </w:r>
      <w:r w:rsidRPr="00761EFF">
        <w:rPr>
          <w:rFonts w:eastAsia="Verdana" w:cs="Verdana"/>
          <w:szCs w:val="20"/>
          <w:lang w:val="es-ES"/>
        </w:rPr>
        <w:t>n</w:t>
      </w:r>
      <w:r w:rsidRPr="00761EFF">
        <w:rPr>
          <w:rFonts w:eastAsia="Verdana" w:cs="Verdana"/>
          <w:spacing w:val="2"/>
          <w:szCs w:val="20"/>
          <w:lang w:val="es-ES"/>
        </w:rPr>
        <w:t xml:space="preserve"> </w:t>
      </w:r>
      <w:r w:rsidRPr="00761EFF">
        <w:rPr>
          <w:rFonts w:eastAsia="Verdana" w:cs="Verdana"/>
          <w:spacing w:val="1"/>
          <w:szCs w:val="20"/>
          <w:lang w:val="es-ES"/>
        </w:rPr>
        <w:t>u</w:t>
      </w:r>
      <w:r w:rsidRPr="00761EFF">
        <w:rPr>
          <w:rFonts w:eastAsia="Verdana" w:cs="Verdana"/>
          <w:szCs w:val="20"/>
          <w:lang w:val="es-ES"/>
        </w:rPr>
        <w:t>n</w:t>
      </w:r>
      <w:r w:rsidRPr="00761EFF">
        <w:rPr>
          <w:rFonts w:eastAsia="Verdana" w:cs="Verdana"/>
          <w:spacing w:val="5"/>
          <w:szCs w:val="20"/>
          <w:lang w:val="es-ES"/>
        </w:rPr>
        <w:t xml:space="preserve"> </w:t>
      </w:r>
      <w:r w:rsidRPr="00761EFF">
        <w:rPr>
          <w:rFonts w:eastAsia="Verdana" w:cs="Verdana"/>
          <w:spacing w:val="-1"/>
          <w:szCs w:val="20"/>
          <w:lang w:val="es-ES"/>
        </w:rPr>
        <w:t>e</w:t>
      </w:r>
      <w:r w:rsidRPr="00761EFF">
        <w:rPr>
          <w:rFonts w:eastAsia="Verdana" w:cs="Verdana"/>
          <w:szCs w:val="20"/>
          <w:lang w:val="es-ES"/>
        </w:rPr>
        <w:t xml:space="preserve">xamen </w:t>
      </w:r>
      <w:r w:rsidRPr="00761EFF">
        <w:rPr>
          <w:rFonts w:eastAsia="Verdana" w:cs="Verdana"/>
          <w:spacing w:val="1"/>
          <w:szCs w:val="20"/>
          <w:lang w:val="es-ES"/>
        </w:rPr>
        <w:t>d</w:t>
      </w:r>
      <w:r w:rsidRPr="00761EFF">
        <w:rPr>
          <w:rFonts w:eastAsia="Verdana" w:cs="Verdana"/>
          <w:spacing w:val="-1"/>
          <w:szCs w:val="20"/>
          <w:lang w:val="es-ES"/>
        </w:rPr>
        <w:t>e</w:t>
      </w:r>
      <w:r w:rsidRPr="00761EFF">
        <w:rPr>
          <w:rFonts w:eastAsia="Verdana" w:cs="Verdana"/>
          <w:szCs w:val="20"/>
          <w:lang w:val="es-ES"/>
        </w:rPr>
        <w:t>l</w:t>
      </w:r>
      <w:r w:rsidRPr="00761EFF">
        <w:rPr>
          <w:rFonts w:eastAsia="Verdana" w:cs="Verdana"/>
          <w:spacing w:val="37"/>
          <w:szCs w:val="20"/>
          <w:lang w:val="es-ES"/>
        </w:rPr>
        <w:t xml:space="preserve"> </w:t>
      </w:r>
      <w:r w:rsidRPr="00761EFF">
        <w:rPr>
          <w:rFonts w:eastAsia="Verdana" w:cs="Verdana"/>
          <w:spacing w:val="-2"/>
          <w:szCs w:val="20"/>
          <w:lang w:val="es-ES"/>
        </w:rPr>
        <w:t>p</w:t>
      </w:r>
      <w:r w:rsidRPr="00761EFF">
        <w:rPr>
          <w:rFonts w:eastAsia="Verdana" w:cs="Verdana"/>
          <w:spacing w:val="3"/>
          <w:szCs w:val="20"/>
          <w:lang w:val="es-ES"/>
        </w:rPr>
        <w:t>l</w:t>
      </w:r>
      <w:r w:rsidRPr="00761EFF">
        <w:rPr>
          <w:rFonts w:eastAsia="Verdana" w:cs="Verdana"/>
          <w:szCs w:val="20"/>
          <w:lang w:val="es-ES"/>
        </w:rPr>
        <w:t>a</w:t>
      </w:r>
      <w:r w:rsidRPr="00761EFF">
        <w:rPr>
          <w:rFonts w:eastAsia="Verdana" w:cs="Verdana"/>
          <w:spacing w:val="1"/>
          <w:szCs w:val="20"/>
          <w:lang w:val="es-ES"/>
        </w:rPr>
        <w:t>z</w:t>
      </w:r>
      <w:r w:rsidRPr="00761EFF">
        <w:rPr>
          <w:rFonts w:eastAsia="Verdana" w:cs="Verdana"/>
          <w:szCs w:val="20"/>
          <w:lang w:val="es-ES"/>
        </w:rPr>
        <w:t>o</w:t>
      </w:r>
      <w:r w:rsidRPr="00761EFF">
        <w:rPr>
          <w:rFonts w:eastAsia="Verdana" w:cs="Verdana"/>
          <w:spacing w:val="31"/>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34"/>
          <w:szCs w:val="20"/>
          <w:lang w:val="es-ES"/>
        </w:rPr>
        <w:t xml:space="preserve"> </w:t>
      </w:r>
      <w:r w:rsidRPr="00761EFF">
        <w:rPr>
          <w:rFonts w:eastAsia="Verdana" w:cs="Verdana"/>
          <w:spacing w:val="-2"/>
          <w:szCs w:val="20"/>
          <w:lang w:val="es-ES"/>
        </w:rPr>
        <w:t>d</w:t>
      </w:r>
      <w:r w:rsidRPr="00761EFF">
        <w:rPr>
          <w:rFonts w:eastAsia="Verdana" w:cs="Verdana"/>
          <w:spacing w:val="3"/>
          <w:szCs w:val="20"/>
          <w:lang w:val="es-ES"/>
        </w:rPr>
        <w:t>i</w:t>
      </w:r>
      <w:r w:rsidRPr="00761EFF">
        <w:rPr>
          <w:rFonts w:eastAsia="Verdana" w:cs="Verdana"/>
          <w:szCs w:val="20"/>
          <w:lang w:val="es-ES"/>
        </w:rPr>
        <w:t>cha</w:t>
      </w:r>
      <w:r w:rsidRPr="00761EFF">
        <w:rPr>
          <w:rFonts w:eastAsia="Verdana" w:cs="Verdana"/>
          <w:spacing w:val="30"/>
          <w:szCs w:val="20"/>
          <w:lang w:val="es-ES"/>
        </w:rPr>
        <w:t xml:space="preserve"> </w:t>
      </w:r>
      <w:r w:rsidRPr="00761EFF">
        <w:rPr>
          <w:rFonts w:eastAsia="Verdana" w:cs="Verdana"/>
          <w:spacing w:val="3"/>
          <w:szCs w:val="20"/>
          <w:lang w:val="es-ES"/>
        </w:rPr>
        <w:t>i</w:t>
      </w:r>
      <w:r w:rsidRPr="00761EFF">
        <w:rPr>
          <w:rFonts w:eastAsia="Verdana" w:cs="Verdana"/>
          <w:spacing w:val="1"/>
          <w:szCs w:val="20"/>
          <w:lang w:val="es-ES"/>
        </w:rPr>
        <w:t>n</w:t>
      </w:r>
      <w:r w:rsidRPr="00761EFF">
        <w:rPr>
          <w:rFonts w:eastAsia="Verdana" w:cs="Verdana"/>
          <w:szCs w:val="20"/>
          <w:lang w:val="es-ES"/>
        </w:rPr>
        <w:t>v</w:t>
      </w:r>
      <w:r w:rsidRPr="00761EFF">
        <w:rPr>
          <w:rFonts w:eastAsia="Verdana" w:cs="Verdana"/>
          <w:spacing w:val="-1"/>
          <w:szCs w:val="20"/>
          <w:lang w:val="es-ES"/>
        </w:rPr>
        <w:t>e</w:t>
      </w:r>
      <w:r w:rsidRPr="00761EFF">
        <w:rPr>
          <w:rFonts w:eastAsia="Verdana" w:cs="Verdana"/>
          <w:szCs w:val="20"/>
          <w:lang w:val="es-ES"/>
        </w:rPr>
        <w:t>st</w:t>
      </w:r>
      <w:r w:rsidRPr="00761EFF">
        <w:rPr>
          <w:rFonts w:eastAsia="Verdana" w:cs="Verdana"/>
          <w:spacing w:val="3"/>
          <w:szCs w:val="20"/>
          <w:lang w:val="es-ES"/>
        </w:rPr>
        <w:t>i</w:t>
      </w:r>
      <w:r w:rsidRPr="00761EFF">
        <w:rPr>
          <w:rFonts w:eastAsia="Verdana" w:cs="Verdana"/>
          <w:spacing w:val="1"/>
          <w:szCs w:val="20"/>
          <w:lang w:val="es-ES"/>
        </w:rPr>
        <w:t>g</w:t>
      </w:r>
      <w:r w:rsidRPr="00761EFF">
        <w:rPr>
          <w:rFonts w:eastAsia="Verdana" w:cs="Verdana"/>
          <w:szCs w:val="20"/>
          <w:lang w:val="es-ES"/>
        </w:rPr>
        <w:t>a</w:t>
      </w:r>
      <w:r w:rsidRPr="00761EFF">
        <w:rPr>
          <w:rFonts w:eastAsia="Verdana" w:cs="Verdana"/>
          <w:spacing w:val="-3"/>
          <w:szCs w:val="20"/>
          <w:lang w:val="es-ES"/>
        </w:rPr>
        <w:t>c</w:t>
      </w:r>
      <w:r w:rsidRPr="00761EFF">
        <w:rPr>
          <w:rFonts w:eastAsia="Verdana" w:cs="Verdana"/>
          <w:spacing w:val="3"/>
          <w:szCs w:val="20"/>
          <w:lang w:val="es-ES"/>
        </w:rPr>
        <w:t>i</w:t>
      </w:r>
      <w:r w:rsidRPr="00761EFF">
        <w:rPr>
          <w:rFonts w:eastAsia="Verdana" w:cs="Verdana"/>
          <w:spacing w:val="-1"/>
          <w:szCs w:val="20"/>
          <w:lang w:val="es-ES"/>
        </w:rPr>
        <w:t>ó</w:t>
      </w:r>
      <w:r w:rsidRPr="00761EFF">
        <w:rPr>
          <w:rFonts w:eastAsia="Verdana" w:cs="Verdana"/>
          <w:spacing w:val="6"/>
          <w:szCs w:val="20"/>
          <w:lang w:val="es-ES"/>
        </w:rPr>
        <w:t>n</w:t>
      </w:r>
      <w:r>
        <w:rPr>
          <w:rStyle w:val="FootnoteReference"/>
          <w:rFonts w:eastAsia="Verdana"/>
          <w:spacing w:val="6"/>
          <w:lang w:val="es-ES"/>
        </w:rPr>
        <w:footnoteReference w:id="202"/>
      </w:r>
      <w:r>
        <w:rPr>
          <w:rFonts w:eastAsia="Verdana" w:cs="Verdana"/>
          <w:spacing w:val="6"/>
          <w:szCs w:val="20"/>
          <w:lang w:val="es-ES"/>
        </w:rPr>
        <w:t xml:space="preserve"> </w:t>
      </w:r>
      <w:r w:rsidRPr="00761EFF">
        <w:rPr>
          <w:rFonts w:eastAsia="Verdana" w:cs="Verdana"/>
          <w:szCs w:val="20"/>
          <w:lang w:val="es-ES"/>
        </w:rPr>
        <w:t>y</w:t>
      </w:r>
      <w:r w:rsidRPr="00761EFF">
        <w:rPr>
          <w:rFonts w:eastAsia="Verdana" w:cs="Verdana"/>
          <w:spacing w:val="36"/>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34"/>
          <w:szCs w:val="20"/>
          <w:lang w:val="es-ES"/>
        </w:rPr>
        <w:t xml:space="preserve"> </w:t>
      </w:r>
      <w:r w:rsidRPr="00761EFF">
        <w:rPr>
          <w:rFonts w:eastAsia="Verdana" w:cs="Verdana"/>
          <w:szCs w:val="20"/>
          <w:lang w:val="es-ES"/>
        </w:rPr>
        <w:t>“</w:t>
      </w:r>
      <w:r w:rsidRPr="00761EFF">
        <w:rPr>
          <w:rFonts w:eastAsia="Verdana" w:cs="Verdana"/>
          <w:spacing w:val="3"/>
          <w:szCs w:val="20"/>
          <w:lang w:val="es-ES"/>
        </w:rPr>
        <w:t>l</w:t>
      </w:r>
      <w:r w:rsidRPr="00761EFF">
        <w:rPr>
          <w:rFonts w:eastAsia="Verdana" w:cs="Verdana"/>
          <w:spacing w:val="-1"/>
          <w:szCs w:val="20"/>
          <w:lang w:val="es-ES"/>
        </w:rPr>
        <w:t>o</w:t>
      </w:r>
      <w:r w:rsidRPr="00761EFF">
        <w:rPr>
          <w:rFonts w:eastAsia="Verdana" w:cs="Verdana"/>
          <w:szCs w:val="20"/>
          <w:lang w:val="es-ES"/>
        </w:rPr>
        <w:t>s</w:t>
      </w:r>
      <w:r w:rsidRPr="00761EFF">
        <w:rPr>
          <w:rFonts w:eastAsia="Verdana" w:cs="Verdana"/>
          <w:spacing w:val="33"/>
          <w:szCs w:val="20"/>
          <w:lang w:val="es-ES"/>
        </w:rPr>
        <w:t xml:space="preserve"> </w:t>
      </w:r>
      <w:r w:rsidRPr="00761EFF">
        <w:rPr>
          <w:rFonts w:eastAsia="Verdana" w:cs="Verdana"/>
          <w:szCs w:val="20"/>
          <w:lang w:val="es-ES"/>
        </w:rPr>
        <w:t>m</w:t>
      </w:r>
      <w:r w:rsidRPr="00761EFF">
        <w:rPr>
          <w:rFonts w:eastAsia="Verdana" w:cs="Verdana"/>
          <w:spacing w:val="2"/>
          <w:szCs w:val="20"/>
          <w:lang w:val="es-ES"/>
        </w:rPr>
        <w:t>e</w:t>
      </w:r>
      <w:r w:rsidRPr="00761EFF">
        <w:rPr>
          <w:rFonts w:eastAsia="Verdana" w:cs="Verdana"/>
          <w:spacing w:val="1"/>
          <w:szCs w:val="20"/>
          <w:lang w:val="es-ES"/>
        </w:rPr>
        <w:t>d</w:t>
      </w:r>
      <w:r w:rsidRPr="00761EFF">
        <w:rPr>
          <w:rFonts w:eastAsia="Verdana" w:cs="Verdana"/>
          <w:spacing w:val="3"/>
          <w:szCs w:val="20"/>
          <w:lang w:val="es-ES"/>
        </w:rPr>
        <w:t>i</w:t>
      </w:r>
      <w:r w:rsidRPr="00761EFF">
        <w:rPr>
          <w:rFonts w:eastAsia="Verdana" w:cs="Verdana"/>
          <w:spacing w:val="-1"/>
          <w:szCs w:val="20"/>
          <w:lang w:val="es-ES"/>
        </w:rPr>
        <w:t>o</w:t>
      </w:r>
      <w:r w:rsidRPr="00761EFF">
        <w:rPr>
          <w:rFonts w:eastAsia="Verdana" w:cs="Verdana"/>
          <w:szCs w:val="20"/>
          <w:lang w:val="es-ES"/>
        </w:rPr>
        <w:t>s</w:t>
      </w:r>
      <w:r w:rsidRPr="00761EFF">
        <w:rPr>
          <w:rFonts w:eastAsia="Verdana" w:cs="Verdana"/>
          <w:spacing w:val="27"/>
          <w:szCs w:val="20"/>
          <w:lang w:val="es-ES"/>
        </w:rPr>
        <w:t xml:space="preserve"> </w:t>
      </w:r>
      <w:r w:rsidRPr="00761EFF">
        <w:rPr>
          <w:rFonts w:eastAsia="Verdana" w:cs="Verdana"/>
          <w:spacing w:val="3"/>
          <w:szCs w:val="20"/>
          <w:lang w:val="es-ES"/>
        </w:rPr>
        <w:t>l</w:t>
      </w:r>
      <w:r w:rsidRPr="00761EFF">
        <w:rPr>
          <w:rFonts w:eastAsia="Verdana" w:cs="Verdana"/>
          <w:spacing w:val="-1"/>
          <w:szCs w:val="20"/>
          <w:lang w:val="es-ES"/>
        </w:rPr>
        <w:t>e</w:t>
      </w:r>
      <w:r w:rsidRPr="00761EFF">
        <w:rPr>
          <w:rFonts w:eastAsia="Verdana" w:cs="Verdana"/>
          <w:spacing w:val="1"/>
          <w:szCs w:val="20"/>
          <w:lang w:val="es-ES"/>
        </w:rPr>
        <w:t>g</w:t>
      </w:r>
      <w:r w:rsidRPr="00761EFF">
        <w:rPr>
          <w:rFonts w:eastAsia="Verdana" w:cs="Verdana"/>
          <w:szCs w:val="20"/>
          <w:lang w:val="es-ES"/>
        </w:rPr>
        <w:t>a</w:t>
      </w:r>
      <w:r w:rsidRPr="00761EFF">
        <w:rPr>
          <w:rFonts w:eastAsia="Verdana" w:cs="Verdana"/>
          <w:spacing w:val="3"/>
          <w:szCs w:val="20"/>
          <w:lang w:val="es-ES"/>
        </w:rPr>
        <w:t>l</w:t>
      </w:r>
      <w:r w:rsidRPr="00761EFF">
        <w:rPr>
          <w:rFonts w:eastAsia="Verdana" w:cs="Verdana"/>
          <w:spacing w:val="-1"/>
          <w:szCs w:val="20"/>
          <w:lang w:val="es-ES"/>
        </w:rPr>
        <w:t>e</w:t>
      </w:r>
      <w:r w:rsidRPr="00761EFF">
        <w:rPr>
          <w:rFonts w:eastAsia="Verdana" w:cs="Verdana"/>
          <w:szCs w:val="20"/>
          <w:lang w:val="es-ES"/>
        </w:rPr>
        <w:t>s</w:t>
      </w:r>
      <w:r w:rsidRPr="00761EFF">
        <w:rPr>
          <w:rFonts w:eastAsia="Verdana" w:cs="Verdana"/>
          <w:spacing w:val="29"/>
          <w:szCs w:val="20"/>
          <w:lang w:val="es-ES"/>
        </w:rPr>
        <w:t xml:space="preserve"> </w:t>
      </w:r>
      <w:r w:rsidRPr="00761EFF">
        <w:rPr>
          <w:rFonts w:eastAsia="Verdana" w:cs="Verdana"/>
          <w:spacing w:val="1"/>
          <w:szCs w:val="20"/>
          <w:lang w:val="es-ES"/>
        </w:rPr>
        <w:t>d</w:t>
      </w:r>
      <w:r w:rsidRPr="00761EFF">
        <w:rPr>
          <w:rFonts w:eastAsia="Verdana" w:cs="Verdana"/>
          <w:spacing w:val="3"/>
          <w:szCs w:val="20"/>
          <w:lang w:val="es-ES"/>
        </w:rPr>
        <w:t>i</w:t>
      </w:r>
      <w:r w:rsidRPr="00761EFF">
        <w:rPr>
          <w:rFonts w:eastAsia="Verdana" w:cs="Verdana"/>
          <w:szCs w:val="20"/>
          <w:lang w:val="es-ES"/>
        </w:rPr>
        <w:t>sp</w:t>
      </w:r>
      <w:r w:rsidRPr="00761EFF">
        <w:rPr>
          <w:rFonts w:eastAsia="Verdana" w:cs="Verdana"/>
          <w:spacing w:val="-1"/>
          <w:szCs w:val="20"/>
          <w:lang w:val="es-ES"/>
        </w:rPr>
        <w:t>on</w:t>
      </w:r>
      <w:r w:rsidRPr="00761EFF">
        <w:rPr>
          <w:rFonts w:eastAsia="Verdana" w:cs="Verdana"/>
          <w:spacing w:val="3"/>
          <w:szCs w:val="20"/>
          <w:lang w:val="es-ES"/>
        </w:rPr>
        <w:t>i</w:t>
      </w:r>
      <w:r w:rsidRPr="00761EFF">
        <w:rPr>
          <w:rFonts w:eastAsia="Verdana" w:cs="Verdana"/>
          <w:spacing w:val="-2"/>
          <w:szCs w:val="20"/>
          <w:lang w:val="es-ES"/>
        </w:rPr>
        <w:t>b</w:t>
      </w:r>
      <w:r w:rsidRPr="00761EFF">
        <w:rPr>
          <w:rFonts w:eastAsia="Verdana" w:cs="Verdana"/>
          <w:spacing w:val="3"/>
          <w:szCs w:val="20"/>
          <w:lang w:val="es-ES"/>
        </w:rPr>
        <w:t>l</w:t>
      </w:r>
      <w:r w:rsidRPr="00761EFF">
        <w:rPr>
          <w:rFonts w:eastAsia="Verdana" w:cs="Verdana"/>
          <w:spacing w:val="-1"/>
          <w:szCs w:val="20"/>
          <w:lang w:val="es-ES"/>
        </w:rPr>
        <w:t>e</w:t>
      </w:r>
      <w:r w:rsidRPr="00761EFF">
        <w:rPr>
          <w:rFonts w:eastAsia="Verdana" w:cs="Verdana"/>
          <w:szCs w:val="20"/>
          <w:lang w:val="es-ES"/>
        </w:rPr>
        <w:t>s</w:t>
      </w:r>
      <w:r w:rsidRPr="00761EFF">
        <w:rPr>
          <w:rFonts w:eastAsia="Verdana" w:cs="Verdana"/>
          <w:spacing w:val="3"/>
          <w:szCs w:val="20"/>
          <w:lang w:val="es-ES"/>
        </w:rPr>
        <w:t>”</w:t>
      </w:r>
      <w:r>
        <w:rPr>
          <w:rStyle w:val="FootnoteReference"/>
          <w:rFonts w:eastAsia="Verdana"/>
          <w:spacing w:val="3"/>
          <w:lang w:val="es-ES"/>
        </w:rPr>
        <w:footnoteReference w:id="203"/>
      </w:r>
      <w:r>
        <w:rPr>
          <w:rFonts w:eastAsia="Verdana" w:cs="Verdana"/>
          <w:spacing w:val="3"/>
          <w:szCs w:val="20"/>
          <w:lang w:val="es-ES"/>
        </w:rPr>
        <w:t xml:space="preserve"> </w:t>
      </w:r>
      <w:r w:rsidRPr="00761EFF">
        <w:rPr>
          <w:rFonts w:eastAsia="Verdana" w:cs="Verdana"/>
          <w:szCs w:val="20"/>
          <w:lang w:val="es-ES"/>
        </w:rPr>
        <w:t>a</w:t>
      </w:r>
      <w:r w:rsidRPr="00761EFF">
        <w:rPr>
          <w:rFonts w:eastAsia="Verdana" w:cs="Verdana"/>
          <w:spacing w:val="36"/>
          <w:szCs w:val="20"/>
          <w:lang w:val="es-ES"/>
        </w:rPr>
        <w:t xml:space="preserve"> </w:t>
      </w:r>
      <w:r w:rsidRPr="00761EFF">
        <w:rPr>
          <w:rFonts w:eastAsia="Verdana" w:cs="Verdana"/>
          <w:spacing w:val="3"/>
          <w:szCs w:val="20"/>
          <w:lang w:val="es-ES"/>
        </w:rPr>
        <w:t>l</w:t>
      </w:r>
      <w:r w:rsidRPr="00761EFF">
        <w:rPr>
          <w:rFonts w:eastAsia="Verdana" w:cs="Verdana"/>
          <w:spacing w:val="-1"/>
          <w:szCs w:val="20"/>
          <w:lang w:val="es-ES"/>
        </w:rPr>
        <w:t>o</w:t>
      </w:r>
      <w:r w:rsidRPr="00761EFF">
        <w:rPr>
          <w:rFonts w:eastAsia="Verdana" w:cs="Verdana"/>
          <w:szCs w:val="20"/>
          <w:lang w:val="es-ES"/>
        </w:rPr>
        <w:t>s</w:t>
      </w:r>
      <w:r w:rsidRPr="00761EFF">
        <w:rPr>
          <w:rFonts w:eastAsia="Verdana" w:cs="Verdana"/>
          <w:spacing w:val="34"/>
          <w:szCs w:val="20"/>
          <w:lang w:val="es-ES"/>
        </w:rPr>
        <w:t xml:space="preserve"> </w:t>
      </w:r>
      <w:r w:rsidRPr="00761EFF">
        <w:rPr>
          <w:rFonts w:eastAsia="Verdana" w:cs="Verdana"/>
          <w:szCs w:val="20"/>
          <w:lang w:val="es-ES"/>
        </w:rPr>
        <w:t>fam</w:t>
      </w:r>
      <w:r w:rsidRPr="00761EFF">
        <w:rPr>
          <w:rFonts w:eastAsia="Verdana" w:cs="Verdana"/>
          <w:spacing w:val="1"/>
          <w:szCs w:val="20"/>
          <w:lang w:val="es-ES"/>
        </w:rPr>
        <w:t>i</w:t>
      </w:r>
      <w:r w:rsidRPr="00761EFF">
        <w:rPr>
          <w:rFonts w:eastAsia="Verdana" w:cs="Verdana"/>
          <w:szCs w:val="20"/>
          <w:lang w:val="es-ES"/>
        </w:rPr>
        <w:t>l</w:t>
      </w:r>
      <w:r w:rsidRPr="00761EFF">
        <w:rPr>
          <w:rFonts w:eastAsia="Verdana" w:cs="Verdana"/>
          <w:spacing w:val="3"/>
          <w:szCs w:val="20"/>
          <w:lang w:val="es-ES"/>
        </w:rPr>
        <w:t>i</w:t>
      </w:r>
      <w:r w:rsidRPr="00761EFF">
        <w:rPr>
          <w:rFonts w:eastAsia="Verdana" w:cs="Verdana"/>
          <w:szCs w:val="20"/>
          <w:lang w:val="es-ES"/>
        </w:rPr>
        <w:t>a</w:t>
      </w:r>
      <w:r w:rsidRPr="00761EFF">
        <w:rPr>
          <w:rFonts w:eastAsia="Verdana" w:cs="Verdana"/>
          <w:spacing w:val="-1"/>
          <w:szCs w:val="20"/>
          <w:lang w:val="es-ES"/>
        </w:rPr>
        <w:t>re</w:t>
      </w:r>
      <w:r w:rsidRPr="00761EFF">
        <w:rPr>
          <w:rFonts w:eastAsia="Verdana" w:cs="Verdana"/>
          <w:szCs w:val="20"/>
          <w:lang w:val="es-ES"/>
        </w:rPr>
        <w:t>s</w:t>
      </w:r>
      <w:r w:rsidRPr="00761EFF">
        <w:rPr>
          <w:rFonts w:eastAsia="Verdana" w:cs="Verdana"/>
          <w:spacing w:val="27"/>
          <w:szCs w:val="20"/>
          <w:lang w:val="es-ES"/>
        </w:rPr>
        <w:t xml:space="preserve"> </w:t>
      </w:r>
      <w:r w:rsidRPr="00761EFF">
        <w:rPr>
          <w:rFonts w:eastAsia="Verdana" w:cs="Verdana"/>
          <w:spacing w:val="1"/>
          <w:szCs w:val="20"/>
          <w:lang w:val="es-ES"/>
        </w:rPr>
        <w:t>d</w:t>
      </w:r>
      <w:r w:rsidRPr="00761EFF">
        <w:rPr>
          <w:rFonts w:eastAsia="Verdana" w:cs="Verdana"/>
          <w:szCs w:val="20"/>
          <w:lang w:val="es-ES"/>
        </w:rPr>
        <w:t>e</w:t>
      </w:r>
      <w:r w:rsidRPr="00761EFF">
        <w:rPr>
          <w:rFonts w:eastAsia="Verdana" w:cs="Verdana"/>
          <w:spacing w:val="36"/>
          <w:szCs w:val="20"/>
          <w:lang w:val="es-ES"/>
        </w:rPr>
        <w:t xml:space="preserve"> </w:t>
      </w:r>
      <w:r w:rsidRPr="00761EFF">
        <w:rPr>
          <w:rFonts w:eastAsia="Verdana" w:cs="Verdana"/>
          <w:spacing w:val="5"/>
          <w:szCs w:val="20"/>
          <w:lang w:val="es-ES"/>
        </w:rPr>
        <w:t>l</w:t>
      </w:r>
      <w:r w:rsidRPr="00761EFF">
        <w:rPr>
          <w:rFonts w:eastAsia="Verdana" w:cs="Verdana"/>
          <w:szCs w:val="20"/>
          <w:lang w:val="es-ES"/>
        </w:rPr>
        <w:t>a v</w:t>
      </w:r>
      <w:r w:rsidRPr="00761EFF">
        <w:rPr>
          <w:rFonts w:eastAsia="Verdana" w:cs="Verdana"/>
          <w:spacing w:val="3"/>
          <w:szCs w:val="20"/>
          <w:lang w:val="es-ES"/>
        </w:rPr>
        <w:t>í</w:t>
      </w:r>
      <w:r w:rsidRPr="00761EFF">
        <w:rPr>
          <w:rFonts w:eastAsia="Verdana" w:cs="Verdana"/>
          <w:szCs w:val="20"/>
          <w:lang w:val="es-ES"/>
        </w:rPr>
        <w:t>c</w:t>
      </w:r>
      <w:r w:rsidRPr="00761EFF">
        <w:rPr>
          <w:rFonts w:eastAsia="Verdana" w:cs="Verdana"/>
          <w:spacing w:val="-2"/>
          <w:szCs w:val="20"/>
          <w:lang w:val="es-ES"/>
        </w:rPr>
        <w:t>t</w:t>
      </w:r>
      <w:r w:rsidRPr="00761EFF">
        <w:rPr>
          <w:rFonts w:eastAsia="Verdana" w:cs="Verdana"/>
          <w:spacing w:val="3"/>
          <w:szCs w:val="20"/>
          <w:lang w:val="es-ES"/>
        </w:rPr>
        <w:t>i</w:t>
      </w:r>
      <w:r w:rsidRPr="00761EFF">
        <w:rPr>
          <w:rFonts w:eastAsia="Verdana" w:cs="Verdana"/>
          <w:szCs w:val="20"/>
          <w:lang w:val="es-ES"/>
        </w:rPr>
        <w:t>ma</w:t>
      </w:r>
      <w:r w:rsidRPr="00761EFF">
        <w:rPr>
          <w:rFonts w:eastAsia="Verdana" w:cs="Verdana"/>
          <w:spacing w:val="6"/>
          <w:szCs w:val="20"/>
          <w:lang w:val="es-ES"/>
        </w:rPr>
        <w:t xml:space="preserve"> </w:t>
      </w:r>
      <w:r w:rsidRPr="00761EFF">
        <w:rPr>
          <w:rFonts w:eastAsia="Verdana" w:cs="Verdana"/>
          <w:szCs w:val="20"/>
          <w:lang w:val="es-ES"/>
        </w:rPr>
        <w:t>fal</w:t>
      </w:r>
      <w:r w:rsidRPr="00761EFF">
        <w:rPr>
          <w:rFonts w:eastAsia="Verdana" w:cs="Verdana"/>
          <w:spacing w:val="3"/>
          <w:szCs w:val="20"/>
          <w:lang w:val="es-ES"/>
        </w:rPr>
        <w:t>l</w:t>
      </w:r>
      <w:r w:rsidRPr="00761EFF">
        <w:rPr>
          <w:rFonts w:eastAsia="Verdana" w:cs="Verdana"/>
          <w:spacing w:val="-1"/>
          <w:szCs w:val="20"/>
          <w:lang w:val="es-ES"/>
        </w:rPr>
        <w:t>e</w:t>
      </w:r>
      <w:r w:rsidRPr="00761EFF">
        <w:rPr>
          <w:rFonts w:eastAsia="Verdana" w:cs="Verdana"/>
          <w:szCs w:val="20"/>
          <w:lang w:val="es-ES"/>
        </w:rPr>
        <w:t>c</w:t>
      </w:r>
      <w:r w:rsidRPr="00761EFF">
        <w:rPr>
          <w:rFonts w:eastAsia="Verdana" w:cs="Verdana"/>
          <w:spacing w:val="2"/>
          <w:szCs w:val="20"/>
          <w:lang w:val="es-ES"/>
        </w:rPr>
        <w:t>i</w:t>
      </w:r>
      <w:r w:rsidRPr="00761EFF">
        <w:rPr>
          <w:rFonts w:eastAsia="Verdana" w:cs="Verdana"/>
          <w:spacing w:val="1"/>
          <w:szCs w:val="20"/>
          <w:lang w:val="es-ES"/>
        </w:rPr>
        <w:t>d</w:t>
      </w:r>
      <w:r w:rsidRPr="00761EFF">
        <w:rPr>
          <w:rFonts w:eastAsia="Verdana" w:cs="Verdana"/>
          <w:szCs w:val="20"/>
          <w:lang w:val="es-ES"/>
        </w:rPr>
        <w:t>a,</w:t>
      </w:r>
      <w:r w:rsidRPr="00761EFF">
        <w:rPr>
          <w:rFonts w:eastAsia="Verdana" w:cs="Verdana"/>
          <w:spacing w:val="3"/>
          <w:szCs w:val="20"/>
          <w:lang w:val="es-ES"/>
        </w:rPr>
        <w:t xml:space="preserve"> </w:t>
      </w:r>
      <w:r w:rsidRPr="00761EFF">
        <w:rPr>
          <w:rFonts w:eastAsia="Verdana" w:cs="Verdana"/>
          <w:spacing w:val="1"/>
          <w:szCs w:val="20"/>
          <w:lang w:val="es-ES"/>
        </w:rPr>
        <w:t>p</w:t>
      </w:r>
      <w:r w:rsidRPr="00761EFF">
        <w:rPr>
          <w:rFonts w:eastAsia="Verdana" w:cs="Verdana"/>
          <w:szCs w:val="20"/>
          <w:lang w:val="es-ES"/>
        </w:rPr>
        <w:t>a</w:t>
      </w:r>
      <w:r w:rsidRPr="00761EFF">
        <w:rPr>
          <w:rFonts w:eastAsia="Verdana" w:cs="Verdana"/>
          <w:spacing w:val="-1"/>
          <w:szCs w:val="20"/>
          <w:lang w:val="es-ES"/>
        </w:rPr>
        <w:t>r</w:t>
      </w:r>
      <w:r w:rsidRPr="00761EFF">
        <w:rPr>
          <w:rFonts w:eastAsia="Verdana" w:cs="Verdana"/>
          <w:szCs w:val="20"/>
          <w:lang w:val="es-ES"/>
        </w:rPr>
        <w:t>a</w:t>
      </w:r>
      <w:r w:rsidRPr="00761EFF">
        <w:rPr>
          <w:rFonts w:eastAsia="Verdana" w:cs="Verdana"/>
          <w:spacing w:val="11"/>
          <w:szCs w:val="20"/>
          <w:lang w:val="es-ES"/>
        </w:rPr>
        <w:t xml:space="preserve"> </w:t>
      </w:r>
      <w:r w:rsidRPr="00761EFF">
        <w:rPr>
          <w:rFonts w:eastAsia="Verdana" w:cs="Verdana"/>
          <w:spacing w:val="1"/>
          <w:szCs w:val="20"/>
          <w:lang w:val="es-ES"/>
        </w:rPr>
        <w:t>g</w:t>
      </w:r>
      <w:r w:rsidRPr="00761EFF">
        <w:rPr>
          <w:rFonts w:eastAsia="Verdana" w:cs="Verdana"/>
          <w:szCs w:val="20"/>
          <w:lang w:val="es-ES"/>
        </w:rPr>
        <w:t>a</w:t>
      </w:r>
      <w:r w:rsidRPr="00761EFF">
        <w:rPr>
          <w:rFonts w:eastAsia="Verdana" w:cs="Verdana"/>
          <w:spacing w:val="-1"/>
          <w:szCs w:val="20"/>
          <w:lang w:val="es-ES"/>
        </w:rPr>
        <w:t>r</w:t>
      </w:r>
      <w:r w:rsidRPr="00761EFF">
        <w:rPr>
          <w:rFonts w:eastAsia="Verdana" w:cs="Verdana"/>
          <w:szCs w:val="20"/>
          <w:lang w:val="es-ES"/>
        </w:rPr>
        <w:t>a</w:t>
      </w:r>
      <w:r w:rsidRPr="00761EFF">
        <w:rPr>
          <w:rFonts w:eastAsia="Verdana" w:cs="Verdana"/>
          <w:spacing w:val="1"/>
          <w:szCs w:val="20"/>
          <w:lang w:val="es-ES"/>
        </w:rPr>
        <w:t>nt</w:t>
      </w:r>
      <w:r w:rsidRPr="00761EFF">
        <w:rPr>
          <w:rFonts w:eastAsia="Verdana" w:cs="Verdana"/>
          <w:spacing w:val="3"/>
          <w:szCs w:val="20"/>
          <w:lang w:val="es-ES"/>
        </w:rPr>
        <w:t>i</w:t>
      </w:r>
      <w:r w:rsidRPr="00761EFF">
        <w:rPr>
          <w:rFonts w:eastAsia="Verdana" w:cs="Verdana"/>
          <w:spacing w:val="1"/>
          <w:szCs w:val="20"/>
          <w:lang w:val="es-ES"/>
        </w:rPr>
        <w:t>z</w:t>
      </w:r>
      <w:r w:rsidRPr="00761EFF">
        <w:rPr>
          <w:rFonts w:eastAsia="Verdana" w:cs="Verdana"/>
          <w:szCs w:val="20"/>
          <w:lang w:val="es-ES"/>
        </w:rPr>
        <w:t>ar</w:t>
      </w:r>
      <w:r w:rsidRPr="00761EFF">
        <w:rPr>
          <w:rFonts w:eastAsia="Verdana" w:cs="Verdana"/>
          <w:spacing w:val="2"/>
          <w:szCs w:val="20"/>
          <w:lang w:val="es-ES"/>
        </w:rPr>
        <w:t xml:space="preserve"> </w:t>
      </w:r>
      <w:r w:rsidRPr="00761EFF">
        <w:rPr>
          <w:rFonts w:eastAsia="Verdana" w:cs="Verdana"/>
          <w:spacing w:val="1"/>
          <w:szCs w:val="20"/>
          <w:lang w:val="es-ES"/>
        </w:rPr>
        <w:t>qu</w:t>
      </w:r>
      <w:r w:rsidRPr="00761EFF">
        <w:rPr>
          <w:rFonts w:eastAsia="Verdana" w:cs="Verdana"/>
          <w:szCs w:val="20"/>
          <w:lang w:val="es-ES"/>
        </w:rPr>
        <w:t>e</w:t>
      </w:r>
      <w:r w:rsidRPr="00761EFF">
        <w:rPr>
          <w:rFonts w:eastAsia="Verdana" w:cs="Verdana"/>
          <w:spacing w:val="8"/>
          <w:szCs w:val="20"/>
          <w:lang w:val="es-ES"/>
        </w:rPr>
        <w:t xml:space="preserve"> </w:t>
      </w:r>
      <w:r w:rsidRPr="00761EFF">
        <w:rPr>
          <w:rFonts w:eastAsia="Verdana" w:cs="Verdana"/>
          <w:spacing w:val="2"/>
          <w:szCs w:val="20"/>
          <w:lang w:val="es-ES"/>
        </w:rPr>
        <w:t>s</w:t>
      </w:r>
      <w:r w:rsidRPr="00761EFF">
        <w:rPr>
          <w:rFonts w:eastAsia="Verdana" w:cs="Verdana"/>
          <w:spacing w:val="-1"/>
          <w:szCs w:val="20"/>
          <w:lang w:val="es-ES"/>
        </w:rPr>
        <w:t>e</w:t>
      </w:r>
      <w:r w:rsidRPr="00761EFF">
        <w:rPr>
          <w:rFonts w:eastAsia="Verdana" w:cs="Verdana"/>
          <w:szCs w:val="20"/>
          <w:lang w:val="es-ES"/>
        </w:rPr>
        <w:t>an</w:t>
      </w:r>
      <w:r w:rsidRPr="00761EFF">
        <w:rPr>
          <w:rFonts w:eastAsia="Verdana" w:cs="Verdana"/>
          <w:spacing w:val="12"/>
          <w:szCs w:val="20"/>
          <w:lang w:val="es-ES"/>
        </w:rPr>
        <w:t xml:space="preserve"> </w:t>
      </w:r>
      <w:r w:rsidRPr="00761EFF">
        <w:rPr>
          <w:rFonts w:eastAsia="Verdana" w:cs="Verdana"/>
          <w:spacing w:val="-1"/>
          <w:szCs w:val="20"/>
          <w:lang w:val="es-ES"/>
        </w:rPr>
        <w:t>e</w:t>
      </w:r>
      <w:r w:rsidRPr="00761EFF">
        <w:rPr>
          <w:rFonts w:eastAsia="Verdana" w:cs="Verdana"/>
          <w:spacing w:val="2"/>
          <w:szCs w:val="20"/>
          <w:lang w:val="es-ES"/>
        </w:rPr>
        <w:t>s</w:t>
      </w:r>
      <w:r w:rsidRPr="00761EFF">
        <w:rPr>
          <w:rFonts w:eastAsia="Verdana" w:cs="Verdana"/>
          <w:szCs w:val="20"/>
          <w:lang w:val="es-ES"/>
        </w:rPr>
        <w:t>cuc</w:t>
      </w:r>
      <w:r w:rsidRPr="00761EFF">
        <w:rPr>
          <w:rFonts w:eastAsia="Verdana" w:cs="Verdana"/>
          <w:spacing w:val="1"/>
          <w:szCs w:val="20"/>
          <w:lang w:val="es-ES"/>
        </w:rPr>
        <w:t>h</w:t>
      </w:r>
      <w:r w:rsidRPr="00761EFF">
        <w:rPr>
          <w:rFonts w:eastAsia="Verdana" w:cs="Verdana"/>
          <w:szCs w:val="20"/>
          <w:lang w:val="es-ES"/>
        </w:rPr>
        <w:t>a</w:t>
      </w:r>
      <w:r w:rsidRPr="00761EFF">
        <w:rPr>
          <w:rFonts w:eastAsia="Verdana" w:cs="Verdana"/>
          <w:spacing w:val="1"/>
          <w:szCs w:val="20"/>
          <w:lang w:val="es-ES"/>
        </w:rPr>
        <w:t>d</w:t>
      </w:r>
      <w:r w:rsidRPr="00761EFF">
        <w:rPr>
          <w:rFonts w:eastAsia="Verdana" w:cs="Verdana"/>
          <w:spacing w:val="-1"/>
          <w:szCs w:val="20"/>
          <w:lang w:val="es-ES"/>
        </w:rPr>
        <w:t>o</w:t>
      </w:r>
      <w:r w:rsidRPr="00761EFF">
        <w:rPr>
          <w:rFonts w:eastAsia="Verdana" w:cs="Verdana"/>
          <w:spacing w:val="2"/>
          <w:szCs w:val="20"/>
          <w:lang w:val="es-ES"/>
        </w:rPr>
        <w:t>s</w:t>
      </w:r>
      <w:r w:rsidRPr="00761EFF">
        <w:rPr>
          <w:rFonts w:eastAsia="Verdana" w:cs="Verdana"/>
          <w:szCs w:val="20"/>
          <w:lang w:val="es-ES"/>
        </w:rPr>
        <w:t xml:space="preserve">, </w:t>
      </w:r>
      <w:r w:rsidRPr="00761EFF">
        <w:rPr>
          <w:rFonts w:eastAsia="Verdana" w:cs="Verdana"/>
          <w:spacing w:val="2"/>
          <w:szCs w:val="20"/>
          <w:lang w:val="es-ES"/>
        </w:rPr>
        <w:t>a</w:t>
      </w:r>
      <w:r w:rsidRPr="00761EFF">
        <w:rPr>
          <w:rFonts w:eastAsia="Verdana" w:cs="Verdana"/>
          <w:szCs w:val="20"/>
          <w:lang w:val="es-ES"/>
        </w:rPr>
        <w:t>sí</w:t>
      </w:r>
      <w:r w:rsidRPr="00761EFF">
        <w:rPr>
          <w:rFonts w:eastAsia="Verdana" w:cs="Verdana"/>
          <w:spacing w:val="11"/>
          <w:szCs w:val="20"/>
          <w:lang w:val="es-ES"/>
        </w:rPr>
        <w:t xml:space="preserve"> </w:t>
      </w:r>
      <w:r w:rsidRPr="00761EFF">
        <w:rPr>
          <w:rFonts w:eastAsia="Verdana" w:cs="Verdana"/>
          <w:szCs w:val="20"/>
          <w:lang w:val="es-ES"/>
        </w:rPr>
        <w:t>c</w:t>
      </w:r>
      <w:r w:rsidRPr="00761EFF">
        <w:rPr>
          <w:rFonts w:eastAsia="Verdana" w:cs="Verdana"/>
          <w:spacing w:val="-2"/>
          <w:szCs w:val="20"/>
          <w:lang w:val="es-ES"/>
        </w:rPr>
        <w:t>o</w:t>
      </w:r>
      <w:r w:rsidRPr="00761EFF">
        <w:rPr>
          <w:rFonts w:eastAsia="Verdana" w:cs="Verdana"/>
          <w:szCs w:val="20"/>
          <w:lang w:val="es-ES"/>
        </w:rPr>
        <w:t>mo</w:t>
      </w:r>
      <w:r w:rsidRPr="00761EFF">
        <w:rPr>
          <w:rFonts w:eastAsia="Verdana" w:cs="Verdana"/>
          <w:spacing w:val="9"/>
          <w:szCs w:val="20"/>
          <w:lang w:val="es-ES"/>
        </w:rPr>
        <w:t xml:space="preserve"> </w:t>
      </w:r>
      <w:r w:rsidRPr="00761EFF">
        <w:rPr>
          <w:rFonts w:eastAsia="Verdana" w:cs="Verdana"/>
          <w:spacing w:val="1"/>
          <w:szCs w:val="20"/>
          <w:lang w:val="es-ES"/>
        </w:rPr>
        <w:t>q</w:t>
      </w:r>
      <w:r w:rsidRPr="00761EFF">
        <w:rPr>
          <w:rFonts w:eastAsia="Verdana" w:cs="Verdana"/>
          <w:spacing w:val="3"/>
          <w:szCs w:val="20"/>
          <w:lang w:val="es-ES"/>
        </w:rPr>
        <w:t>u</w:t>
      </w:r>
      <w:r w:rsidRPr="00761EFF">
        <w:rPr>
          <w:rFonts w:eastAsia="Verdana" w:cs="Verdana"/>
          <w:szCs w:val="20"/>
          <w:lang w:val="es-ES"/>
        </w:rPr>
        <w:t>e</w:t>
      </w:r>
      <w:r w:rsidRPr="00761EFF">
        <w:rPr>
          <w:rFonts w:eastAsia="Verdana" w:cs="Verdana"/>
          <w:spacing w:val="8"/>
          <w:szCs w:val="20"/>
          <w:lang w:val="es-ES"/>
        </w:rPr>
        <w:t xml:space="preserve"> </w:t>
      </w:r>
      <w:r w:rsidRPr="00761EFF">
        <w:rPr>
          <w:rFonts w:eastAsia="Verdana" w:cs="Verdana"/>
          <w:spacing w:val="1"/>
          <w:szCs w:val="20"/>
          <w:lang w:val="es-ES"/>
        </w:rPr>
        <w:t>pu</w:t>
      </w:r>
      <w:r w:rsidRPr="00761EFF">
        <w:rPr>
          <w:rFonts w:eastAsia="Verdana" w:cs="Verdana"/>
          <w:spacing w:val="-1"/>
          <w:szCs w:val="20"/>
          <w:lang w:val="es-ES"/>
        </w:rPr>
        <w:t>e</w:t>
      </w:r>
      <w:r w:rsidRPr="00761EFF">
        <w:rPr>
          <w:rFonts w:eastAsia="Verdana" w:cs="Verdana"/>
          <w:spacing w:val="1"/>
          <w:szCs w:val="20"/>
          <w:lang w:val="es-ES"/>
        </w:rPr>
        <w:t>d</w:t>
      </w:r>
      <w:r w:rsidRPr="00761EFF">
        <w:rPr>
          <w:rFonts w:eastAsia="Verdana" w:cs="Verdana"/>
          <w:szCs w:val="20"/>
          <w:lang w:val="es-ES"/>
        </w:rPr>
        <w:t>an</w:t>
      </w:r>
      <w:r w:rsidRPr="00761EFF">
        <w:rPr>
          <w:rFonts w:eastAsia="Verdana" w:cs="Verdana"/>
          <w:spacing w:val="9"/>
          <w:szCs w:val="20"/>
          <w:lang w:val="es-ES"/>
        </w:rPr>
        <w:t xml:space="preserve"> </w:t>
      </w:r>
      <w:r w:rsidRPr="00761EFF">
        <w:rPr>
          <w:rFonts w:eastAsia="Verdana" w:cs="Verdana"/>
          <w:spacing w:val="1"/>
          <w:szCs w:val="20"/>
          <w:lang w:val="es-ES"/>
        </w:rPr>
        <w:t>p</w:t>
      </w:r>
      <w:r w:rsidRPr="00761EFF">
        <w:rPr>
          <w:rFonts w:eastAsia="Verdana" w:cs="Verdana"/>
          <w:szCs w:val="20"/>
          <w:lang w:val="es-ES"/>
        </w:rPr>
        <w:t>a</w:t>
      </w:r>
      <w:r w:rsidRPr="00761EFF">
        <w:rPr>
          <w:rFonts w:eastAsia="Verdana" w:cs="Verdana"/>
          <w:spacing w:val="-1"/>
          <w:szCs w:val="20"/>
          <w:lang w:val="es-ES"/>
        </w:rPr>
        <w:t>r</w:t>
      </w:r>
      <w:r w:rsidRPr="00761EFF">
        <w:rPr>
          <w:rFonts w:eastAsia="Verdana" w:cs="Verdana"/>
          <w:spacing w:val="1"/>
          <w:szCs w:val="20"/>
          <w:lang w:val="es-ES"/>
        </w:rPr>
        <w:t>t</w:t>
      </w:r>
      <w:r w:rsidRPr="00761EFF">
        <w:rPr>
          <w:rFonts w:eastAsia="Verdana" w:cs="Verdana"/>
          <w:spacing w:val="3"/>
          <w:szCs w:val="20"/>
          <w:lang w:val="es-ES"/>
        </w:rPr>
        <w:t>i</w:t>
      </w:r>
      <w:r w:rsidRPr="00761EFF">
        <w:rPr>
          <w:rFonts w:eastAsia="Verdana" w:cs="Verdana"/>
          <w:szCs w:val="20"/>
          <w:lang w:val="es-ES"/>
        </w:rPr>
        <w:t>c</w:t>
      </w:r>
      <w:r w:rsidRPr="00761EFF">
        <w:rPr>
          <w:rFonts w:eastAsia="Verdana" w:cs="Verdana"/>
          <w:spacing w:val="2"/>
          <w:szCs w:val="20"/>
          <w:lang w:val="es-ES"/>
        </w:rPr>
        <w:t>i</w:t>
      </w:r>
      <w:r w:rsidRPr="00761EFF">
        <w:rPr>
          <w:rFonts w:eastAsia="Verdana" w:cs="Verdana"/>
          <w:spacing w:val="1"/>
          <w:szCs w:val="20"/>
          <w:lang w:val="es-ES"/>
        </w:rPr>
        <w:t>p</w:t>
      </w:r>
      <w:r w:rsidRPr="00761EFF">
        <w:rPr>
          <w:rFonts w:eastAsia="Verdana" w:cs="Verdana"/>
          <w:szCs w:val="20"/>
          <w:lang w:val="es-ES"/>
        </w:rPr>
        <w:t>ar</w:t>
      </w:r>
      <w:r w:rsidRPr="00761EFF">
        <w:rPr>
          <w:rFonts w:eastAsia="Verdana" w:cs="Verdana"/>
          <w:spacing w:val="3"/>
          <w:szCs w:val="20"/>
          <w:lang w:val="es-ES"/>
        </w:rPr>
        <w:t xml:space="preserve"> </w:t>
      </w:r>
      <w:r w:rsidRPr="00761EFF">
        <w:rPr>
          <w:rFonts w:eastAsia="Verdana" w:cs="Verdana"/>
          <w:spacing w:val="1"/>
          <w:szCs w:val="20"/>
          <w:lang w:val="es-ES"/>
        </w:rPr>
        <w:t>du</w:t>
      </w:r>
      <w:r w:rsidRPr="00761EFF">
        <w:rPr>
          <w:rFonts w:eastAsia="Verdana" w:cs="Verdana"/>
          <w:spacing w:val="-1"/>
          <w:szCs w:val="20"/>
          <w:lang w:val="es-ES"/>
        </w:rPr>
        <w:t>r</w:t>
      </w:r>
      <w:r w:rsidRPr="00761EFF">
        <w:rPr>
          <w:rFonts w:eastAsia="Verdana" w:cs="Verdana"/>
          <w:szCs w:val="20"/>
          <w:lang w:val="es-ES"/>
        </w:rPr>
        <w:t>a</w:t>
      </w:r>
      <w:r w:rsidRPr="00761EFF">
        <w:rPr>
          <w:rFonts w:eastAsia="Verdana" w:cs="Verdana"/>
          <w:spacing w:val="1"/>
          <w:szCs w:val="20"/>
          <w:lang w:val="es-ES"/>
        </w:rPr>
        <w:t>nt</w:t>
      </w:r>
      <w:r w:rsidRPr="00761EFF">
        <w:rPr>
          <w:rFonts w:eastAsia="Verdana" w:cs="Verdana"/>
          <w:szCs w:val="20"/>
          <w:lang w:val="es-ES"/>
        </w:rPr>
        <w:t>e</w:t>
      </w:r>
      <w:r w:rsidRPr="00761EFF">
        <w:rPr>
          <w:rFonts w:eastAsia="Verdana" w:cs="Verdana"/>
          <w:spacing w:val="3"/>
          <w:szCs w:val="20"/>
          <w:lang w:val="es-ES"/>
        </w:rPr>
        <w:t xml:space="preserve"> </w:t>
      </w:r>
      <w:r w:rsidRPr="00761EFF">
        <w:rPr>
          <w:rFonts w:eastAsia="Verdana" w:cs="Verdana"/>
          <w:spacing w:val="-1"/>
          <w:szCs w:val="20"/>
          <w:lang w:val="es-ES"/>
        </w:rPr>
        <w:t>e</w:t>
      </w:r>
      <w:r w:rsidRPr="00761EFF">
        <w:rPr>
          <w:rFonts w:eastAsia="Verdana" w:cs="Verdana"/>
          <w:szCs w:val="20"/>
          <w:lang w:val="es-ES"/>
        </w:rPr>
        <w:t xml:space="preserve">l </w:t>
      </w:r>
      <w:r w:rsidRPr="00761EFF">
        <w:rPr>
          <w:rFonts w:eastAsia="Verdana" w:cs="Verdana"/>
          <w:spacing w:val="1"/>
          <w:szCs w:val="20"/>
          <w:lang w:val="es-ES"/>
        </w:rPr>
        <w:t>p</w:t>
      </w:r>
      <w:r w:rsidRPr="00761EFF">
        <w:rPr>
          <w:rFonts w:eastAsia="Verdana" w:cs="Verdana"/>
          <w:spacing w:val="-1"/>
          <w:szCs w:val="20"/>
          <w:lang w:val="es-ES"/>
        </w:rPr>
        <w:t>ro</w:t>
      </w:r>
      <w:r w:rsidRPr="00761EFF">
        <w:rPr>
          <w:rFonts w:eastAsia="Verdana" w:cs="Verdana"/>
          <w:spacing w:val="2"/>
          <w:szCs w:val="20"/>
          <w:lang w:val="es-ES"/>
        </w:rPr>
        <w:t>c</w:t>
      </w:r>
      <w:r w:rsidRPr="00761EFF">
        <w:rPr>
          <w:rFonts w:eastAsia="Verdana" w:cs="Verdana"/>
          <w:spacing w:val="1"/>
          <w:szCs w:val="20"/>
          <w:lang w:val="es-ES"/>
        </w:rPr>
        <w:t>e</w:t>
      </w:r>
      <w:r w:rsidRPr="00761EFF">
        <w:rPr>
          <w:rFonts w:eastAsia="Verdana" w:cs="Verdana"/>
          <w:szCs w:val="20"/>
          <w:lang w:val="es-ES"/>
        </w:rPr>
        <w:t>so</w:t>
      </w:r>
      <w:r w:rsidRPr="00761EFF">
        <w:rPr>
          <w:rFonts w:eastAsia="Verdana" w:cs="Verdana"/>
          <w:spacing w:val="-10"/>
          <w:szCs w:val="20"/>
          <w:lang w:val="es-ES"/>
        </w:rPr>
        <w:t xml:space="preserve"> </w:t>
      </w:r>
      <w:r w:rsidRPr="00761EFF">
        <w:rPr>
          <w:rFonts w:eastAsia="Verdana" w:cs="Verdana"/>
          <w:spacing w:val="2"/>
          <w:szCs w:val="20"/>
          <w:lang w:val="es-ES"/>
        </w:rPr>
        <w:t>d</w:t>
      </w:r>
      <w:r w:rsidRPr="00761EFF">
        <w:rPr>
          <w:rFonts w:eastAsia="Verdana" w:cs="Verdana"/>
          <w:szCs w:val="20"/>
          <w:lang w:val="es-ES"/>
        </w:rPr>
        <w:t>e</w:t>
      </w:r>
      <w:r w:rsidRPr="00761EFF">
        <w:rPr>
          <w:rFonts w:eastAsia="Verdana" w:cs="Verdana"/>
          <w:spacing w:val="-3"/>
          <w:szCs w:val="20"/>
          <w:lang w:val="es-ES"/>
        </w:rPr>
        <w:t xml:space="preserve"> </w:t>
      </w:r>
      <w:r w:rsidRPr="00761EFF">
        <w:rPr>
          <w:rFonts w:eastAsia="Verdana" w:cs="Verdana"/>
          <w:spacing w:val="2"/>
          <w:szCs w:val="20"/>
          <w:lang w:val="es-ES"/>
        </w:rPr>
        <w:t>i</w:t>
      </w:r>
      <w:r w:rsidRPr="00761EFF">
        <w:rPr>
          <w:rFonts w:eastAsia="Verdana" w:cs="Verdana"/>
          <w:spacing w:val="1"/>
          <w:szCs w:val="20"/>
          <w:lang w:val="es-ES"/>
        </w:rPr>
        <w:t>n</w:t>
      </w:r>
      <w:r w:rsidRPr="00761EFF">
        <w:rPr>
          <w:rFonts w:eastAsia="Verdana" w:cs="Verdana"/>
          <w:szCs w:val="20"/>
          <w:lang w:val="es-ES"/>
        </w:rPr>
        <w:t>v</w:t>
      </w:r>
      <w:r w:rsidRPr="00761EFF">
        <w:rPr>
          <w:rFonts w:eastAsia="Verdana" w:cs="Verdana"/>
          <w:spacing w:val="-1"/>
          <w:szCs w:val="20"/>
          <w:lang w:val="es-ES"/>
        </w:rPr>
        <w:t>e</w:t>
      </w:r>
      <w:r w:rsidRPr="00761EFF">
        <w:rPr>
          <w:rFonts w:eastAsia="Verdana" w:cs="Verdana"/>
          <w:szCs w:val="20"/>
          <w:lang w:val="es-ES"/>
        </w:rPr>
        <w:t>st</w:t>
      </w:r>
      <w:r w:rsidRPr="00761EFF">
        <w:rPr>
          <w:rFonts w:eastAsia="Verdana" w:cs="Verdana"/>
          <w:spacing w:val="3"/>
          <w:szCs w:val="20"/>
          <w:lang w:val="es-ES"/>
        </w:rPr>
        <w:t>i</w:t>
      </w:r>
      <w:r w:rsidRPr="00761EFF">
        <w:rPr>
          <w:rFonts w:eastAsia="Verdana" w:cs="Verdana"/>
          <w:spacing w:val="1"/>
          <w:szCs w:val="20"/>
          <w:lang w:val="es-ES"/>
        </w:rPr>
        <w:t>g</w:t>
      </w:r>
      <w:r w:rsidRPr="00761EFF">
        <w:rPr>
          <w:rFonts w:eastAsia="Verdana" w:cs="Verdana"/>
          <w:szCs w:val="20"/>
          <w:lang w:val="es-ES"/>
        </w:rPr>
        <w:t>ac</w:t>
      </w:r>
      <w:r w:rsidRPr="00761EFF">
        <w:rPr>
          <w:rFonts w:eastAsia="Verdana" w:cs="Verdana"/>
          <w:spacing w:val="3"/>
          <w:szCs w:val="20"/>
          <w:lang w:val="es-ES"/>
        </w:rPr>
        <w:t>i</w:t>
      </w:r>
      <w:r w:rsidRPr="00761EFF">
        <w:rPr>
          <w:rFonts w:eastAsia="Verdana" w:cs="Verdana"/>
          <w:spacing w:val="-1"/>
          <w:szCs w:val="20"/>
          <w:lang w:val="es-ES"/>
        </w:rPr>
        <w:t>ó</w:t>
      </w:r>
      <w:r w:rsidRPr="00761EFF">
        <w:rPr>
          <w:rFonts w:eastAsia="Verdana" w:cs="Verdana"/>
          <w:spacing w:val="3"/>
          <w:szCs w:val="20"/>
          <w:lang w:val="es-ES"/>
        </w:rPr>
        <w:t>n</w:t>
      </w:r>
      <w:r>
        <w:rPr>
          <w:rStyle w:val="FootnoteReference"/>
          <w:rFonts w:eastAsia="Verdana"/>
          <w:spacing w:val="3"/>
          <w:lang w:val="es-ES"/>
        </w:rPr>
        <w:footnoteReference w:id="204"/>
      </w:r>
      <w:r>
        <w:rPr>
          <w:rFonts w:eastAsia="Verdana" w:cs="Verdana"/>
          <w:spacing w:val="3"/>
          <w:szCs w:val="20"/>
          <w:lang w:val="es-ES"/>
        </w:rPr>
        <w:t>.</w:t>
      </w:r>
    </w:p>
    <w:p w14:paraId="5FEEEDED" w14:textId="77777777" w:rsidR="00B811D7" w:rsidRDefault="00B811D7" w:rsidP="00B811D7">
      <w:pPr>
        <w:pStyle w:val="ListParagraph"/>
        <w:rPr>
          <w:szCs w:val="20"/>
        </w:rPr>
      </w:pPr>
    </w:p>
    <w:p w14:paraId="6C2A7B6E" w14:textId="4EF11D53" w:rsidR="00B811D7" w:rsidRDefault="00B811D7" w:rsidP="00D6683A">
      <w:pPr>
        <w:numPr>
          <w:ilvl w:val="0"/>
          <w:numId w:val="1"/>
        </w:numPr>
        <w:contextualSpacing/>
        <w:rPr>
          <w:szCs w:val="20"/>
        </w:rPr>
      </w:pPr>
      <w:r w:rsidRPr="00841DC8">
        <w:rPr>
          <w:szCs w:val="20"/>
        </w:rPr>
        <w:t>La Corte ha establecido que, en aras de garantizar su efectividad, en la investigación de violaciones de los derechos humanos se debe</w:t>
      </w:r>
      <w:r w:rsidR="0031746C">
        <w:rPr>
          <w:szCs w:val="20"/>
        </w:rPr>
        <w:t>n</w:t>
      </w:r>
      <w:r w:rsidRPr="00841DC8">
        <w:rPr>
          <w:szCs w:val="20"/>
        </w:rPr>
        <w:t xml:space="preserve"> evitar omisiones en la recaudación de prueba y en el seguimiento de líneas lógicas de investigación</w:t>
      </w:r>
      <w:r w:rsidRPr="00841DC8">
        <w:rPr>
          <w:rStyle w:val="FootnoteReference"/>
        </w:rPr>
        <w:footnoteReference w:id="205"/>
      </w:r>
      <w:r w:rsidRPr="00841DC8">
        <w:rPr>
          <w:szCs w:val="20"/>
        </w:rPr>
        <w:t>. Al respecto, la Corte ha precisado que, cuando los hechos se refieren a la muerte violenta de una persona, la investigación iniciada debe ser conducida de tal forma que pudiese garantizar el debido análisis de las hipótesis de autoría surgidas a raíz de la misma</w:t>
      </w:r>
      <w:r w:rsidRPr="00DA0868">
        <w:rPr>
          <w:rStyle w:val="FootnoteReference"/>
        </w:rPr>
        <w:footnoteReference w:id="206"/>
      </w:r>
      <w:r w:rsidRPr="00841DC8">
        <w:rPr>
          <w:szCs w:val="20"/>
        </w:rPr>
        <w:t>. En este punto, cabe recordar que no corresponde a la Corte analizar las hipótesis de autoría manejadas durante la investigación de los hechos y en consecuencia determinar responsabilidades individuales, cuya definición compete a los tribunales penales internos, sino evaluar las acciones u omisiones de agentes estatales, según la prueba presentada por las partes</w:t>
      </w:r>
      <w:r w:rsidRPr="00DA0868">
        <w:rPr>
          <w:rStyle w:val="FootnoteReference"/>
        </w:rPr>
        <w:footnoteReference w:id="207"/>
      </w:r>
      <w:r w:rsidRPr="00841DC8">
        <w:rPr>
          <w:szCs w:val="20"/>
        </w:rPr>
        <w:t>. De igual modo, no compete a la Corte sustituir a la jurisdicción interna, estableciendo las modalidades específicas de investigación y juzgamiento en un caso concreto para obtener un mejor o más eficaz resultado, sino constatar si en los pasos efectivamente dados a nivel interno se violaron o no obligaciones internacionales del Estado derivadas de los artículos 8 y 25 de la Convención Americana</w:t>
      </w:r>
      <w:r w:rsidRPr="00DA0868">
        <w:rPr>
          <w:rStyle w:val="FootnoteReference"/>
        </w:rPr>
        <w:footnoteReference w:id="208"/>
      </w:r>
      <w:r w:rsidRPr="00841DC8">
        <w:rPr>
          <w:szCs w:val="20"/>
        </w:rPr>
        <w:t xml:space="preserve">. </w:t>
      </w:r>
    </w:p>
    <w:p w14:paraId="34CE1F1A" w14:textId="77777777" w:rsidR="00B811D7" w:rsidRDefault="00B811D7" w:rsidP="00B811D7">
      <w:pPr>
        <w:contextualSpacing/>
        <w:rPr>
          <w:szCs w:val="20"/>
        </w:rPr>
      </w:pPr>
    </w:p>
    <w:p w14:paraId="628BF0E6" w14:textId="6356328E" w:rsidR="00B811D7" w:rsidRDefault="00B811D7" w:rsidP="00D6683A">
      <w:pPr>
        <w:numPr>
          <w:ilvl w:val="0"/>
          <w:numId w:val="1"/>
        </w:numPr>
        <w:contextualSpacing/>
        <w:rPr>
          <w:szCs w:val="20"/>
        </w:rPr>
      </w:pPr>
      <w:r w:rsidRPr="00841DC8">
        <w:rPr>
          <w:szCs w:val="20"/>
        </w:rPr>
        <w:t>La Corte recuerda que la falta de diligencia tiene como consecuencia que conforme el tiempo vaya transcurriendo, se afect</w:t>
      </w:r>
      <w:r w:rsidR="00217669">
        <w:rPr>
          <w:szCs w:val="20"/>
        </w:rPr>
        <w:t>a</w:t>
      </w:r>
      <w:r w:rsidRPr="00841DC8">
        <w:rPr>
          <w:szCs w:val="20"/>
        </w:rPr>
        <w:t xml:space="preserve"> indebidamente la posibilidad de obtener y presentar pruebas pertinentes que permitan esclarecer los hechos y determinar las responsabilidades que correspondan, con lo cual el Estado contribuye a la impunidad</w:t>
      </w:r>
      <w:r w:rsidRPr="00841DC8">
        <w:rPr>
          <w:rStyle w:val="FootnoteReference"/>
        </w:rPr>
        <w:footnoteReference w:id="209"/>
      </w:r>
      <w:r w:rsidRPr="00841DC8">
        <w:rPr>
          <w:szCs w:val="20"/>
        </w:rPr>
        <w:t>.</w:t>
      </w:r>
    </w:p>
    <w:p w14:paraId="2DA59A32" w14:textId="77777777" w:rsidR="00B811D7" w:rsidRDefault="00B811D7" w:rsidP="00B811D7">
      <w:pPr>
        <w:pStyle w:val="ListParagraph"/>
        <w:rPr>
          <w:szCs w:val="20"/>
        </w:rPr>
      </w:pPr>
    </w:p>
    <w:p w14:paraId="4519468E" w14:textId="77777777" w:rsidR="00BE458F" w:rsidRDefault="00B811D7" w:rsidP="00BE458F">
      <w:pPr>
        <w:numPr>
          <w:ilvl w:val="0"/>
          <w:numId w:val="1"/>
        </w:numPr>
        <w:contextualSpacing/>
        <w:rPr>
          <w:szCs w:val="20"/>
        </w:rPr>
      </w:pPr>
      <w:r w:rsidRPr="003056E0">
        <w:rPr>
          <w:szCs w:val="20"/>
        </w:rPr>
        <w:t>Además, la debida diligencia en una investigación médico-legal de una muerte exige el mantenimiento de la cadena de custodia de todo elemento de prueba forense</w:t>
      </w:r>
      <w:r w:rsidRPr="00DA0868">
        <w:rPr>
          <w:rStyle w:val="FootnoteReference"/>
        </w:rPr>
        <w:footnoteReference w:id="210"/>
      </w:r>
      <w:r w:rsidRPr="00DA0868">
        <w:rPr>
          <w:szCs w:val="20"/>
        </w:rPr>
        <w:t xml:space="preserve">. Ello consiste en llevar un registro escrito preciso, complementado, según corresponda, por </w:t>
      </w:r>
      <w:r w:rsidRPr="00DA0868">
        <w:rPr>
          <w:szCs w:val="20"/>
        </w:rPr>
        <w:lastRenderedPageBreak/>
        <w:t>fotografías y demás elementos gráficos para documentar la historia del elemento de prueba a medida que pasa por las manos de diversos investigadores encargados del caso</w:t>
      </w:r>
      <w:r w:rsidRPr="00DA0868">
        <w:rPr>
          <w:rStyle w:val="FootnoteReference"/>
        </w:rPr>
        <w:footnoteReference w:id="211"/>
      </w:r>
      <w:r w:rsidRPr="00DA0868">
        <w:rPr>
          <w:szCs w:val="20"/>
        </w:rPr>
        <w:t>.</w:t>
      </w:r>
      <w:r w:rsidR="00BE458F">
        <w:rPr>
          <w:szCs w:val="20"/>
        </w:rPr>
        <w:t xml:space="preserve"> </w:t>
      </w:r>
    </w:p>
    <w:p w14:paraId="75B49FFB" w14:textId="77777777" w:rsidR="00B01542" w:rsidRDefault="00B01542" w:rsidP="00B01542">
      <w:pPr>
        <w:pStyle w:val="ListParagraph"/>
        <w:rPr>
          <w:szCs w:val="20"/>
        </w:rPr>
      </w:pPr>
    </w:p>
    <w:p w14:paraId="2D6A5DB1" w14:textId="079CCD2A" w:rsidR="002C766F" w:rsidRPr="002C766F" w:rsidRDefault="002C766F" w:rsidP="002C766F">
      <w:pPr>
        <w:pStyle w:val="BodyText2"/>
      </w:pPr>
      <w:r w:rsidRPr="002C766F">
        <w:t>B.</w:t>
      </w:r>
      <w:r w:rsidR="00FC00B9">
        <w:t>2</w:t>
      </w:r>
      <w:r>
        <w:t>.</w:t>
      </w:r>
      <w:r w:rsidR="002A031A">
        <w:tab/>
      </w:r>
      <w:r w:rsidRPr="002C766F">
        <w:t xml:space="preserve">Estándares sobre independencia de los órganos investigadores en casos de muerte </w:t>
      </w:r>
      <w:r w:rsidR="00856D47">
        <w:t>derivada</w:t>
      </w:r>
      <w:r w:rsidRPr="002C766F">
        <w:t xml:space="preserve"> de intervención policial</w:t>
      </w:r>
    </w:p>
    <w:p w14:paraId="64990C5E" w14:textId="77777777" w:rsidR="002C766F" w:rsidRDefault="002C766F" w:rsidP="00C21A2E">
      <w:pPr>
        <w:pStyle w:val="ListParagraph"/>
        <w:ind w:left="0"/>
        <w:rPr>
          <w:szCs w:val="20"/>
        </w:rPr>
      </w:pPr>
    </w:p>
    <w:p w14:paraId="5E7C4D69" w14:textId="77777777" w:rsidR="00B01542" w:rsidRPr="0077532A" w:rsidRDefault="00B01542" w:rsidP="00BE458F">
      <w:pPr>
        <w:numPr>
          <w:ilvl w:val="0"/>
          <w:numId w:val="1"/>
        </w:numPr>
        <w:contextualSpacing/>
        <w:rPr>
          <w:szCs w:val="20"/>
        </w:rPr>
      </w:pPr>
      <w:r w:rsidRPr="0077532A">
        <w:rPr>
          <w:szCs w:val="20"/>
        </w:rPr>
        <w:t>Respecto a</w:t>
      </w:r>
      <w:r w:rsidR="00B644F1" w:rsidRPr="0077532A">
        <w:rPr>
          <w:szCs w:val="20"/>
        </w:rPr>
        <w:t xml:space="preserve">l rol </w:t>
      </w:r>
      <w:r w:rsidRPr="0077532A">
        <w:rPr>
          <w:szCs w:val="20"/>
        </w:rPr>
        <w:t>de</w:t>
      </w:r>
      <w:r w:rsidR="004922B0">
        <w:rPr>
          <w:szCs w:val="20"/>
        </w:rPr>
        <w:t xml:space="preserve"> los</w:t>
      </w:r>
      <w:r w:rsidRPr="0077532A">
        <w:rPr>
          <w:szCs w:val="20"/>
        </w:rPr>
        <w:t xml:space="preserve"> </w:t>
      </w:r>
      <w:r w:rsidR="00B644F1" w:rsidRPr="0077532A">
        <w:rPr>
          <w:szCs w:val="20"/>
        </w:rPr>
        <w:t xml:space="preserve">órganos </w:t>
      </w:r>
      <w:r w:rsidRPr="0077532A">
        <w:rPr>
          <w:szCs w:val="20"/>
        </w:rPr>
        <w:t xml:space="preserve">encargados de la investigación y </w:t>
      </w:r>
      <w:r w:rsidR="00B644F1" w:rsidRPr="0077532A">
        <w:rPr>
          <w:szCs w:val="20"/>
        </w:rPr>
        <w:t xml:space="preserve">del </w:t>
      </w:r>
      <w:r w:rsidRPr="0077532A">
        <w:rPr>
          <w:szCs w:val="20"/>
        </w:rPr>
        <w:t>proceso penal, la Corte recuerda que todos los órganos que ejerzan funciones de naturaleza materialmente jurisdiccional tienen el deber de adoptar decisiones justas basadas en el respeto pleno a las garantías del debido proceso establecidas en el artículo 8 de la Convención Americana</w:t>
      </w:r>
      <w:r w:rsidRPr="0077532A">
        <w:rPr>
          <w:rStyle w:val="FootnoteReference"/>
        </w:rPr>
        <w:footnoteReference w:id="212"/>
      </w:r>
      <w:r w:rsidRPr="0077532A">
        <w:rPr>
          <w:szCs w:val="20"/>
        </w:rPr>
        <w:t>.</w:t>
      </w:r>
    </w:p>
    <w:p w14:paraId="61B29820" w14:textId="77777777" w:rsidR="00B644F1" w:rsidRPr="0077532A" w:rsidRDefault="00B644F1" w:rsidP="00B644F1">
      <w:pPr>
        <w:pStyle w:val="ListParagraph"/>
        <w:rPr>
          <w:szCs w:val="20"/>
        </w:rPr>
      </w:pPr>
    </w:p>
    <w:p w14:paraId="1B82DB72" w14:textId="77777777" w:rsidR="00B644F1" w:rsidRPr="0077532A" w:rsidRDefault="00B644F1" w:rsidP="00BE458F">
      <w:pPr>
        <w:numPr>
          <w:ilvl w:val="0"/>
          <w:numId w:val="1"/>
        </w:numPr>
        <w:contextualSpacing/>
        <w:rPr>
          <w:szCs w:val="20"/>
        </w:rPr>
      </w:pPr>
      <w:r w:rsidRPr="0077532A">
        <w:rPr>
          <w:szCs w:val="20"/>
          <w:lang w:val="es-CO"/>
        </w:rPr>
        <w:t xml:space="preserve">El Tribunal ha establecido que, </w:t>
      </w:r>
      <w:r w:rsidRPr="0077532A">
        <w:rPr>
          <w:bCs/>
          <w:szCs w:val="20"/>
          <w:lang w:val="es-ES_tradnl"/>
        </w:rPr>
        <w:t>dependiendo de las circunstancias del caso, puede tener que analizar los procedimientos que se vinculan y constituyen el presupuesto de un proceso judicial, particularmente, las tareas de investigación de cuyo resultado depende el inicio y el avance del mismo</w:t>
      </w:r>
      <w:r w:rsidRPr="0077532A">
        <w:rPr>
          <w:bCs/>
          <w:szCs w:val="20"/>
          <w:vertAlign w:val="superscript"/>
          <w:lang w:val="es-ES_tradnl"/>
        </w:rPr>
        <w:footnoteReference w:id="213"/>
      </w:r>
      <w:r w:rsidRPr="0077532A">
        <w:rPr>
          <w:bCs/>
          <w:szCs w:val="20"/>
          <w:lang w:val="es-ES_tradnl"/>
        </w:rPr>
        <w:t>.</w:t>
      </w:r>
    </w:p>
    <w:p w14:paraId="06295366" w14:textId="77777777" w:rsidR="005F5301" w:rsidRPr="0077532A" w:rsidRDefault="005F5301" w:rsidP="008754A1">
      <w:pPr>
        <w:pStyle w:val="ListParagraph"/>
        <w:rPr>
          <w:szCs w:val="20"/>
        </w:rPr>
      </w:pPr>
    </w:p>
    <w:p w14:paraId="7A711F42" w14:textId="77777777" w:rsidR="003C0CFC" w:rsidRPr="0077532A" w:rsidRDefault="008754A1" w:rsidP="003C0CFC">
      <w:pPr>
        <w:numPr>
          <w:ilvl w:val="0"/>
          <w:numId w:val="1"/>
        </w:numPr>
        <w:contextualSpacing/>
        <w:rPr>
          <w:szCs w:val="20"/>
        </w:rPr>
      </w:pPr>
      <w:r w:rsidRPr="0077532A">
        <w:rPr>
          <w:szCs w:val="20"/>
        </w:rPr>
        <w:t xml:space="preserve">Todas </w:t>
      </w:r>
      <w:r w:rsidR="004E2D03" w:rsidRPr="0077532A">
        <w:rPr>
          <w:szCs w:val="20"/>
        </w:rPr>
        <w:t>las exigencias del debido proceso previstas en el artículo 8.1 de la Convención</w:t>
      </w:r>
      <w:r w:rsidRPr="0077532A">
        <w:rPr>
          <w:szCs w:val="20"/>
        </w:rPr>
        <w:t>, así como criterios de independencia e imparcialidad, se extienden también a los órganos no judiciales a los que corresponda la investigación previa al proceso judicial, realizada para determinar las circunstancias de una muerte y la existencia de suficientes indicios para interponer una acción penal. Sin el cumplimiento de estas exigencias, el Estado no podrá posteriormente ejercer de manera efectiva y eficiente su facultad acusatoria y los tribunales no podrán llevar a cabo el proceso judicial que este tipo de violaciones requiere</w:t>
      </w:r>
      <w:r w:rsidRPr="0077532A">
        <w:rPr>
          <w:rStyle w:val="FootnoteReference"/>
        </w:rPr>
        <w:footnoteReference w:id="214"/>
      </w:r>
      <w:r w:rsidRPr="0077532A">
        <w:rPr>
          <w:szCs w:val="20"/>
        </w:rPr>
        <w:t>.</w:t>
      </w:r>
    </w:p>
    <w:p w14:paraId="60C91173" w14:textId="77777777" w:rsidR="003C0CFC" w:rsidRPr="0077532A" w:rsidRDefault="003C0CFC" w:rsidP="003C0CFC">
      <w:pPr>
        <w:pStyle w:val="ListParagraph"/>
        <w:rPr>
          <w:szCs w:val="20"/>
        </w:rPr>
      </w:pPr>
    </w:p>
    <w:p w14:paraId="1CAF46F7" w14:textId="7FDAD35C" w:rsidR="002B4DD8" w:rsidRPr="0077532A" w:rsidRDefault="002B4DD8" w:rsidP="00F91D84">
      <w:pPr>
        <w:numPr>
          <w:ilvl w:val="0"/>
          <w:numId w:val="1"/>
        </w:numPr>
        <w:contextualSpacing/>
        <w:rPr>
          <w:szCs w:val="20"/>
          <w:lang w:val="es-ES"/>
        </w:rPr>
      </w:pPr>
      <w:r w:rsidRPr="0077532A">
        <w:rPr>
          <w:szCs w:val="20"/>
        </w:rPr>
        <w:t xml:space="preserve">En ese sentido, </w:t>
      </w:r>
      <w:r w:rsidR="00B13EF0" w:rsidRPr="0077532A">
        <w:rPr>
          <w:szCs w:val="20"/>
        </w:rPr>
        <w:t xml:space="preserve">los Principios sobre Prevención e Investigación Eficaces </w:t>
      </w:r>
      <w:r w:rsidR="00072FA3" w:rsidRPr="0077532A">
        <w:rPr>
          <w:szCs w:val="20"/>
        </w:rPr>
        <w:t xml:space="preserve">sobre </w:t>
      </w:r>
      <w:r w:rsidR="00B13EF0" w:rsidRPr="0077532A">
        <w:rPr>
          <w:szCs w:val="20"/>
        </w:rPr>
        <w:t>Ejecuciones Extralegales, Arbitrarias o Sumarias, y su Manual (conocidos como Protocolo de Minnesota</w:t>
      </w:r>
      <w:r w:rsidR="00072FA3" w:rsidRPr="0077532A">
        <w:rPr>
          <w:rStyle w:val="FootnoteReference"/>
        </w:rPr>
        <w:footnoteReference w:id="215"/>
      </w:r>
      <w:r w:rsidR="00B13EF0" w:rsidRPr="0077532A">
        <w:rPr>
          <w:szCs w:val="20"/>
        </w:rPr>
        <w:t>), disponen que e</w:t>
      </w:r>
      <w:r w:rsidRPr="0077532A">
        <w:rPr>
          <w:szCs w:val="20"/>
          <w:lang w:val="es-ES"/>
        </w:rPr>
        <w:t xml:space="preserve">n los casos en que se sospeche la participación de </w:t>
      </w:r>
      <w:r w:rsidR="00B13EF0" w:rsidRPr="0077532A">
        <w:rPr>
          <w:szCs w:val="20"/>
          <w:lang w:val="es-ES"/>
        </w:rPr>
        <w:t>funcionarios estatales</w:t>
      </w:r>
      <w:r w:rsidRPr="0077532A">
        <w:rPr>
          <w:szCs w:val="20"/>
          <w:lang w:val="es-ES"/>
        </w:rPr>
        <w:t xml:space="preserve">, </w:t>
      </w:r>
      <w:r w:rsidR="00B13EF0" w:rsidRPr="0077532A">
        <w:rPr>
          <w:szCs w:val="20"/>
          <w:lang w:val="es-ES"/>
        </w:rPr>
        <w:t>“</w:t>
      </w:r>
      <w:r w:rsidRPr="0077532A">
        <w:rPr>
          <w:szCs w:val="20"/>
          <w:lang w:val="es-ES"/>
        </w:rPr>
        <w:t>puede no ser posible una investigación objetiva e imparcial a menos que se cree una comisión indagadora especial</w:t>
      </w:r>
      <w:r w:rsidR="00B13EF0" w:rsidRPr="0077532A">
        <w:rPr>
          <w:szCs w:val="20"/>
          <w:lang w:val="es-ES"/>
        </w:rPr>
        <w:t>”</w:t>
      </w:r>
      <w:r w:rsidRPr="0077532A">
        <w:rPr>
          <w:szCs w:val="20"/>
          <w:lang w:val="es-ES"/>
        </w:rPr>
        <w:t xml:space="preserve">. Entre los factores que </w:t>
      </w:r>
      <w:r w:rsidR="003C0CFC" w:rsidRPr="0077532A">
        <w:rPr>
          <w:szCs w:val="20"/>
          <w:lang w:val="es-ES"/>
        </w:rPr>
        <w:t xml:space="preserve">justifican </w:t>
      </w:r>
      <w:r w:rsidRPr="0077532A">
        <w:rPr>
          <w:szCs w:val="20"/>
          <w:lang w:val="es-ES"/>
        </w:rPr>
        <w:t xml:space="preserve">la creencia de que </w:t>
      </w:r>
      <w:r w:rsidR="003C0CFC" w:rsidRPr="0077532A">
        <w:rPr>
          <w:szCs w:val="20"/>
          <w:lang w:val="es-ES"/>
        </w:rPr>
        <w:t xml:space="preserve">funcionarios estatales participaron </w:t>
      </w:r>
      <w:r w:rsidRPr="0077532A">
        <w:rPr>
          <w:szCs w:val="20"/>
          <w:lang w:val="es-ES"/>
        </w:rPr>
        <w:t>en el homicidio y que deberían inducir a crear una comisión especial imparcial que la investigue figuran</w:t>
      </w:r>
      <w:r w:rsidR="003C0CFC" w:rsidRPr="0077532A">
        <w:rPr>
          <w:szCs w:val="20"/>
          <w:lang w:val="es-ES"/>
        </w:rPr>
        <w:t>, entre otros, c</w:t>
      </w:r>
      <w:r w:rsidRPr="0077532A">
        <w:rPr>
          <w:szCs w:val="20"/>
          <w:lang w:val="es-ES"/>
        </w:rPr>
        <w:t xml:space="preserve">uando la víctima </w:t>
      </w:r>
      <w:r w:rsidR="00B52FEE">
        <w:rPr>
          <w:szCs w:val="20"/>
          <w:lang w:val="es-ES"/>
        </w:rPr>
        <w:t>haya sido</w:t>
      </w:r>
      <w:r w:rsidR="00B52FEE" w:rsidRPr="0077532A">
        <w:rPr>
          <w:szCs w:val="20"/>
          <w:lang w:val="es-ES"/>
        </w:rPr>
        <w:t xml:space="preserve"> </w:t>
      </w:r>
      <w:r w:rsidRPr="0077532A">
        <w:rPr>
          <w:szCs w:val="20"/>
          <w:lang w:val="es-ES"/>
        </w:rPr>
        <w:t>vista por última vez en la custodia de la policía o detenida;</w:t>
      </w:r>
      <w:r w:rsidR="003C0CFC" w:rsidRPr="0077532A">
        <w:rPr>
          <w:szCs w:val="20"/>
          <w:lang w:val="es-ES"/>
        </w:rPr>
        <w:t xml:space="preserve"> c</w:t>
      </w:r>
      <w:r w:rsidRPr="0077532A">
        <w:rPr>
          <w:szCs w:val="20"/>
          <w:lang w:val="es-ES"/>
        </w:rPr>
        <w:t xml:space="preserve">uando el </w:t>
      </w:r>
      <w:r w:rsidRPr="004922B0">
        <w:rPr>
          <w:i/>
          <w:szCs w:val="20"/>
          <w:lang w:val="es-ES"/>
        </w:rPr>
        <w:t>modus operandi</w:t>
      </w:r>
      <w:r w:rsidRPr="0077532A">
        <w:rPr>
          <w:szCs w:val="20"/>
          <w:lang w:val="es-ES"/>
        </w:rPr>
        <w:t xml:space="preserve"> sea reconocidamente imputable a escuadrones de la muerte patrocinados por el gobierno; </w:t>
      </w:r>
      <w:r w:rsidR="003C0CFC" w:rsidRPr="0077532A">
        <w:rPr>
          <w:szCs w:val="20"/>
          <w:lang w:val="es-ES"/>
        </w:rPr>
        <w:t>c</w:t>
      </w:r>
      <w:r w:rsidRPr="0077532A">
        <w:rPr>
          <w:szCs w:val="20"/>
          <w:lang w:val="es-ES"/>
        </w:rPr>
        <w:t>uando personas de</w:t>
      </w:r>
      <w:r w:rsidR="00B52FEE">
        <w:rPr>
          <w:szCs w:val="20"/>
          <w:lang w:val="es-ES"/>
        </w:rPr>
        <w:t>l</w:t>
      </w:r>
      <w:r w:rsidRPr="0077532A">
        <w:rPr>
          <w:szCs w:val="20"/>
          <w:lang w:val="es-ES"/>
        </w:rPr>
        <w:t xml:space="preserve"> gobierno o relacionadas con éste hayan intentado obstruir o retrasar la investigación del homicidio</w:t>
      </w:r>
      <w:r w:rsidR="006C31F8">
        <w:rPr>
          <w:szCs w:val="20"/>
          <w:lang w:val="es-ES"/>
        </w:rPr>
        <w:t>, y</w:t>
      </w:r>
      <w:r w:rsidRPr="0077532A">
        <w:rPr>
          <w:szCs w:val="20"/>
          <w:lang w:val="es-ES"/>
        </w:rPr>
        <w:t xml:space="preserve"> </w:t>
      </w:r>
      <w:r w:rsidR="003C0CFC" w:rsidRPr="0077532A">
        <w:rPr>
          <w:szCs w:val="20"/>
          <w:lang w:val="es-ES"/>
        </w:rPr>
        <w:t>c</w:t>
      </w:r>
      <w:r w:rsidRPr="0077532A">
        <w:rPr>
          <w:szCs w:val="20"/>
          <w:lang w:val="es-ES"/>
        </w:rPr>
        <w:t xml:space="preserve">uando no puedan obtenerse las pruebas físicas o de testigos esenciales a la investigación. </w:t>
      </w:r>
      <w:r w:rsidR="003C0CFC" w:rsidRPr="0077532A">
        <w:rPr>
          <w:szCs w:val="20"/>
          <w:lang w:val="es-ES"/>
        </w:rPr>
        <w:t xml:space="preserve">En dichas situaciones, el párrafo 11 de los </w:t>
      </w:r>
      <w:r w:rsidR="00DA5625" w:rsidRPr="0077532A">
        <w:rPr>
          <w:szCs w:val="20"/>
          <w:lang w:val="es-ES"/>
        </w:rPr>
        <w:t xml:space="preserve">referidos </w:t>
      </w:r>
      <w:r w:rsidR="003C0CFC" w:rsidRPr="0077532A">
        <w:rPr>
          <w:szCs w:val="20"/>
          <w:lang w:val="es-ES"/>
        </w:rPr>
        <w:t xml:space="preserve">Principios </w:t>
      </w:r>
      <w:r w:rsidR="00F91D84" w:rsidRPr="0077532A">
        <w:rPr>
          <w:szCs w:val="20"/>
          <w:lang w:val="es-ES"/>
        </w:rPr>
        <w:t xml:space="preserve">dispone que se establezca una </w:t>
      </w:r>
      <w:r w:rsidRPr="0077532A">
        <w:rPr>
          <w:szCs w:val="20"/>
          <w:lang w:val="es-ES"/>
        </w:rPr>
        <w:t>comisión indagatoria independiente o un procedimiento semejante</w:t>
      </w:r>
      <w:r w:rsidR="00F91D84" w:rsidRPr="0077532A">
        <w:rPr>
          <w:szCs w:val="20"/>
          <w:lang w:val="es-ES"/>
        </w:rPr>
        <w:t xml:space="preserve">. Los investigadores, en esos casos, deben ser imparciales, competentes e independientes. </w:t>
      </w:r>
    </w:p>
    <w:p w14:paraId="0B423193" w14:textId="77777777" w:rsidR="00DA5625" w:rsidRPr="0077532A" w:rsidRDefault="00DA5625" w:rsidP="00DA5625">
      <w:pPr>
        <w:contextualSpacing/>
        <w:rPr>
          <w:szCs w:val="20"/>
          <w:lang w:val="es-ES"/>
        </w:rPr>
      </w:pPr>
    </w:p>
    <w:p w14:paraId="05747E97" w14:textId="3E1203CA" w:rsidR="00163984" w:rsidRDefault="00DA5625" w:rsidP="00F91D84">
      <w:pPr>
        <w:numPr>
          <w:ilvl w:val="0"/>
          <w:numId w:val="1"/>
        </w:numPr>
        <w:contextualSpacing/>
        <w:rPr>
          <w:szCs w:val="20"/>
          <w:lang w:val="es-ES"/>
        </w:rPr>
      </w:pPr>
      <w:r w:rsidRPr="0077532A">
        <w:rPr>
          <w:szCs w:val="20"/>
          <w:lang w:val="es-ES"/>
        </w:rPr>
        <w:t xml:space="preserve">A este respecto, la Corte considera que el elemento esencial de una investigación penal sobre una muerte </w:t>
      </w:r>
      <w:r w:rsidR="0007776B">
        <w:rPr>
          <w:szCs w:val="20"/>
          <w:lang w:val="es-ES"/>
        </w:rPr>
        <w:t>derivada</w:t>
      </w:r>
      <w:r w:rsidRPr="0077532A">
        <w:rPr>
          <w:szCs w:val="20"/>
          <w:lang w:val="es-ES"/>
        </w:rPr>
        <w:t xml:space="preserve"> de intervención policial es la garantía de que el </w:t>
      </w:r>
      <w:r w:rsidR="005D5DA0" w:rsidRPr="0077532A">
        <w:rPr>
          <w:szCs w:val="20"/>
          <w:lang w:val="es-ES"/>
        </w:rPr>
        <w:t xml:space="preserve">órgano investigador sea </w:t>
      </w:r>
      <w:r w:rsidR="007E1235">
        <w:rPr>
          <w:szCs w:val="20"/>
          <w:lang w:val="es-ES"/>
        </w:rPr>
        <w:t xml:space="preserve">independiente de los funcionarios involucrados en el incidente. Esa independencia implica </w:t>
      </w:r>
      <w:r w:rsidR="00163984">
        <w:rPr>
          <w:szCs w:val="20"/>
          <w:lang w:val="es-ES"/>
        </w:rPr>
        <w:t xml:space="preserve">la ausencia de relación institucional o jerárquica, así como su </w:t>
      </w:r>
      <w:r w:rsidR="00163984">
        <w:rPr>
          <w:szCs w:val="20"/>
          <w:lang w:val="es-ES"/>
        </w:rPr>
        <w:lastRenderedPageBreak/>
        <w:t>independencia en la práctica</w:t>
      </w:r>
      <w:r w:rsidR="007E1235">
        <w:rPr>
          <w:rStyle w:val="FootnoteReference"/>
          <w:lang w:val="es-ES"/>
        </w:rPr>
        <w:footnoteReference w:id="216"/>
      </w:r>
      <w:r w:rsidR="007E1235">
        <w:rPr>
          <w:szCs w:val="20"/>
          <w:lang w:val="es-ES"/>
        </w:rPr>
        <w:t xml:space="preserve">. </w:t>
      </w:r>
      <w:r w:rsidR="00CC5042">
        <w:rPr>
          <w:szCs w:val="20"/>
          <w:lang w:val="es-ES"/>
        </w:rPr>
        <w:t xml:space="preserve">En ese sentido, en los supuestos de presuntos delitos </w:t>
      </w:r>
      <w:r w:rsidR="001F5AF8">
        <w:rPr>
          <w:szCs w:val="20"/>
          <w:lang w:val="es-ES"/>
        </w:rPr>
        <w:t xml:space="preserve">graves </w:t>
      </w:r>
      <w:r w:rsidR="00CC5042">
        <w:rPr>
          <w:szCs w:val="20"/>
          <w:lang w:val="es-ES"/>
        </w:rPr>
        <w:t>en que “prima facie” aparezca como posible imputado personal policial, la investigación debe estar a cargo de un órgano</w:t>
      </w:r>
      <w:r w:rsidR="00373110">
        <w:rPr>
          <w:szCs w:val="20"/>
          <w:lang w:val="es-ES"/>
        </w:rPr>
        <w:t xml:space="preserve"> independiente </w:t>
      </w:r>
      <w:r w:rsidR="001F5AF8">
        <w:rPr>
          <w:szCs w:val="20"/>
          <w:lang w:val="es-ES"/>
        </w:rPr>
        <w:t xml:space="preserve">y diferente </w:t>
      </w:r>
      <w:r w:rsidR="00373110">
        <w:rPr>
          <w:szCs w:val="20"/>
          <w:lang w:val="es-ES"/>
        </w:rPr>
        <w:t>de la fuerza policial involucrada en el incidente, tales como una autoridad</w:t>
      </w:r>
      <w:r w:rsidR="00CC5042">
        <w:rPr>
          <w:szCs w:val="20"/>
          <w:lang w:val="es-ES"/>
        </w:rPr>
        <w:t xml:space="preserve"> judicial o el Ministerio Público, asistido por personal policial, técnicos de criminalística y administrativos ajenos al cuerpo de seguridad al que pertenezca el posible imputado o imputados. </w:t>
      </w:r>
    </w:p>
    <w:p w14:paraId="61292472" w14:textId="77777777" w:rsidR="00163984" w:rsidRDefault="00163984" w:rsidP="00163984">
      <w:pPr>
        <w:pStyle w:val="ListParagraph"/>
        <w:rPr>
          <w:szCs w:val="20"/>
          <w:lang w:val="es-ES"/>
        </w:rPr>
      </w:pPr>
    </w:p>
    <w:p w14:paraId="02680F19" w14:textId="0F1699B6" w:rsidR="00343E65" w:rsidRDefault="00163984" w:rsidP="00343E65">
      <w:pPr>
        <w:numPr>
          <w:ilvl w:val="0"/>
          <w:numId w:val="1"/>
        </w:numPr>
        <w:contextualSpacing/>
        <w:rPr>
          <w:szCs w:val="20"/>
          <w:lang w:val="es-ES"/>
        </w:rPr>
      </w:pPr>
      <w:r w:rsidRPr="00343E65">
        <w:rPr>
          <w:szCs w:val="20"/>
          <w:lang w:val="es-ES"/>
        </w:rPr>
        <w:t xml:space="preserve">El Tribunal Europeo de Derechos Humanos ha establecido diversas circunstancias en las cuales la independencia de los investigadores </w:t>
      </w:r>
      <w:r w:rsidR="004922B0">
        <w:rPr>
          <w:szCs w:val="20"/>
          <w:lang w:val="es-ES"/>
        </w:rPr>
        <w:t>puede estar</w:t>
      </w:r>
      <w:r w:rsidRPr="00343E65">
        <w:rPr>
          <w:szCs w:val="20"/>
          <w:lang w:val="es-ES"/>
        </w:rPr>
        <w:t xml:space="preserve"> afectada</w:t>
      </w:r>
      <w:r w:rsidR="00B52FEE">
        <w:rPr>
          <w:szCs w:val="20"/>
          <w:lang w:val="es-ES"/>
        </w:rPr>
        <w:t xml:space="preserve"> en caso de </w:t>
      </w:r>
      <w:r w:rsidR="00343E65" w:rsidRPr="00343E65">
        <w:rPr>
          <w:szCs w:val="20"/>
          <w:lang w:val="es-ES"/>
        </w:rPr>
        <w:t xml:space="preserve">una muerte </w:t>
      </w:r>
      <w:r w:rsidR="00A25EE5">
        <w:rPr>
          <w:szCs w:val="20"/>
          <w:lang w:val="es-ES"/>
        </w:rPr>
        <w:t>derivada</w:t>
      </w:r>
      <w:r w:rsidR="00343E65" w:rsidRPr="00343E65">
        <w:rPr>
          <w:szCs w:val="20"/>
          <w:lang w:val="es-ES"/>
        </w:rPr>
        <w:t xml:space="preserve"> de intervención estatal</w:t>
      </w:r>
      <w:r w:rsidR="002C3A9F" w:rsidRPr="00343E65">
        <w:rPr>
          <w:szCs w:val="20"/>
          <w:vertAlign w:val="superscript"/>
          <w:lang w:val="en-US"/>
        </w:rPr>
        <w:footnoteReference w:id="217"/>
      </w:r>
      <w:r w:rsidR="00324A03">
        <w:rPr>
          <w:szCs w:val="20"/>
          <w:lang w:val="es-ES"/>
        </w:rPr>
        <w:t>.</w:t>
      </w:r>
      <w:r w:rsidR="00CC5042">
        <w:rPr>
          <w:szCs w:val="20"/>
          <w:lang w:val="es-ES"/>
        </w:rPr>
        <w:t xml:space="preserve"> Entre ellas, la Corte destaca supuestos en los cuales</w:t>
      </w:r>
      <w:r w:rsidR="003C2415">
        <w:rPr>
          <w:szCs w:val="20"/>
          <w:lang w:val="es-ES"/>
        </w:rPr>
        <w:t>:</w:t>
      </w:r>
      <w:r w:rsidRPr="00343E65">
        <w:rPr>
          <w:szCs w:val="20"/>
          <w:lang w:val="es-ES"/>
        </w:rPr>
        <w:t xml:space="preserve"> </w:t>
      </w:r>
      <w:r w:rsidR="00343E65" w:rsidRPr="00343E65">
        <w:rPr>
          <w:szCs w:val="20"/>
          <w:lang w:val="es-ES"/>
        </w:rPr>
        <w:t xml:space="preserve">i) </w:t>
      </w:r>
      <w:r w:rsidR="00CC5042">
        <w:rPr>
          <w:szCs w:val="20"/>
          <w:lang w:val="es-ES"/>
        </w:rPr>
        <w:t xml:space="preserve">los </w:t>
      </w:r>
      <w:r w:rsidR="00343E65" w:rsidRPr="00343E65">
        <w:rPr>
          <w:szCs w:val="20"/>
          <w:lang w:val="es-ES"/>
        </w:rPr>
        <w:t xml:space="preserve">mismos </w:t>
      </w:r>
      <w:r w:rsidR="00CC5042">
        <w:rPr>
          <w:szCs w:val="20"/>
          <w:lang w:val="es-ES"/>
        </w:rPr>
        <w:t>policías</w:t>
      </w:r>
      <w:r w:rsidR="00B52FEE">
        <w:rPr>
          <w:szCs w:val="20"/>
          <w:lang w:val="es-ES"/>
        </w:rPr>
        <w:t xml:space="preserve"> investigadores</w:t>
      </w:r>
      <w:r w:rsidR="00CC5042">
        <w:rPr>
          <w:szCs w:val="20"/>
          <w:lang w:val="es-ES"/>
        </w:rPr>
        <w:t xml:space="preserve"> </w:t>
      </w:r>
      <w:r w:rsidR="00B94F81">
        <w:rPr>
          <w:szCs w:val="20"/>
          <w:lang w:val="es-ES"/>
        </w:rPr>
        <w:t xml:space="preserve">son </w:t>
      </w:r>
      <w:r w:rsidR="003C2415">
        <w:rPr>
          <w:szCs w:val="20"/>
          <w:lang w:val="es-ES"/>
        </w:rPr>
        <w:t xml:space="preserve">potencialmente </w:t>
      </w:r>
      <w:r w:rsidR="00B94F81">
        <w:rPr>
          <w:szCs w:val="20"/>
          <w:lang w:val="es-ES"/>
        </w:rPr>
        <w:t>sospechosos</w:t>
      </w:r>
      <w:r w:rsidR="00343E65" w:rsidRPr="00343E65">
        <w:rPr>
          <w:szCs w:val="20"/>
          <w:lang w:val="es-ES"/>
        </w:rPr>
        <w:t xml:space="preserve">; ii) </w:t>
      </w:r>
      <w:r w:rsidR="004922B0">
        <w:rPr>
          <w:szCs w:val="20"/>
          <w:lang w:val="es-ES"/>
        </w:rPr>
        <w:t>son</w:t>
      </w:r>
      <w:r w:rsidR="00343E65" w:rsidRPr="00343E65">
        <w:rPr>
          <w:szCs w:val="20"/>
          <w:lang w:val="es-ES"/>
        </w:rPr>
        <w:t xml:space="preserve"> colegas de los acusados; </w:t>
      </w:r>
      <w:r w:rsidR="00343E65">
        <w:rPr>
          <w:szCs w:val="20"/>
          <w:lang w:val="es-ES"/>
        </w:rPr>
        <w:t xml:space="preserve">iii) </w:t>
      </w:r>
      <w:r w:rsidR="004922B0">
        <w:rPr>
          <w:szCs w:val="20"/>
          <w:lang w:val="es-ES"/>
        </w:rPr>
        <w:t xml:space="preserve">tienen </w:t>
      </w:r>
      <w:r w:rsidR="00343E65">
        <w:rPr>
          <w:szCs w:val="20"/>
          <w:lang w:val="es-ES"/>
        </w:rPr>
        <w:t xml:space="preserve">una relación jerárquica con los acusados; </w:t>
      </w:r>
      <w:r w:rsidR="002D1979">
        <w:rPr>
          <w:szCs w:val="20"/>
          <w:lang w:val="es-ES"/>
        </w:rPr>
        <w:t xml:space="preserve">o iv) que la conducta de los órganos investigadores indique una falta de independencia, como la falla </w:t>
      </w:r>
      <w:r w:rsidR="003C2415">
        <w:rPr>
          <w:szCs w:val="20"/>
          <w:lang w:val="es-ES"/>
        </w:rPr>
        <w:t>en</w:t>
      </w:r>
      <w:r w:rsidR="002D1979">
        <w:rPr>
          <w:szCs w:val="20"/>
          <w:lang w:val="es-ES"/>
        </w:rPr>
        <w:t xml:space="preserve"> adoptar determinadas medidas fundamentales para </w:t>
      </w:r>
      <w:r w:rsidR="003C2415">
        <w:rPr>
          <w:szCs w:val="20"/>
          <w:lang w:val="es-ES"/>
        </w:rPr>
        <w:t>aclara</w:t>
      </w:r>
      <w:r w:rsidR="002D1979">
        <w:rPr>
          <w:szCs w:val="20"/>
          <w:lang w:val="es-ES"/>
        </w:rPr>
        <w:t xml:space="preserve">r el caso y, </w:t>
      </w:r>
      <w:r w:rsidR="00D263DB">
        <w:rPr>
          <w:szCs w:val="20"/>
          <w:lang w:val="es-ES"/>
        </w:rPr>
        <w:t>cuando corresponda</w:t>
      </w:r>
      <w:r w:rsidR="002D1979">
        <w:rPr>
          <w:szCs w:val="20"/>
          <w:lang w:val="es-ES"/>
        </w:rPr>
        <w:t xml:space="preserve">, sancionar a los responsables; v) un peso excesivo concedido a la versión de los acusados; vi) la omisión </w:t>
      </w:r>
      <w:r w:rsidR="00D263DB">
        <w:rPr>
          <w:szCs w:val="20"/>
          <w:lang w:val="es-ES"/>
        </w:rPr>
        <w:t xml:space="preserve">en </w:t>
      </w:r>
      <w:r w:rsidR="002D1979">
        <w:rPr>
          <w:szCs w:val="20"/>
          <w:lang w:val="es-ES"/>
        </w:rPr>
        <w:t xml:space="preserve">explorar determinadas líneas de investigación que eran claramente necesarias, o vii) inercia excesiva. </w:t>
      </w:r>
    </w:p>
    <w:p w14:paraId="6D17D1D9" w14:textId="77777777" w:rsidR="002C3A9F" w:rsidRDefault="002C3A9F" w:rsidP="002C3A9F">
      <w:pPr>
        <w:pStyle w:val="ListParagraph"/>
        <w:rPr>
          <w:szCs w:val="20"/>
          <w:lang w:val="es-ES"/>
        </w:rPr>
      </w:pPr>
    </w:p>
    <w:p w14:paraId="45DA72A3" w14:textId="1EA39A10" w:rsidR="00343E65" w:rsidRDefault="002C3A9F" w:rsidP="00343E65">
      <w:pPr>
        <w:numPr>
          <w:ilvl w:val="0"/>
          <w:numId w:val="1"/>
        </w:numPr>
        <w:contextualSpacing/>
        <w:rPr>
          <w:szCs w:val="20"/>
          <w:lang w:val="es-ES"/>
        </w:rPr>
      </w:pPr>
      <w:r w:rsidRPr="002C3A9F">
        <w:rPr>
          <w:szCs w:val="20"/>
          <w:lang w:val="es-ES"/>
        </w:rPr>
        <w:t xml:space="preserve">Lo anterior no significa que el órgano investigador </w:t>
      </w:r>
      <w:r w:rsidR="004922B0">
        <w:rPr>
          <w:szCs w:val="20"/>
          <w:lang w:val="es-ES"/>
        </w:rPr>
        <w:t>debe ser</w:t>
      </w:r>
      <w:r w:rsidRPr="002C3A9F">
        <w:rPr>
          <w:szCs w:val="20"/>
          <w:lang w:val="es-ES"/>
        </w:rPr>
        <w:t xml:space="preserve"> absolutamente independiente, pero </w:t>
      </w:r>
      <w:r w:rsidR="00ED34BA">
        <w:rPr>
          <w:szCs w:val="20"/>
          <w:lang w:val="es-ES"/>
        </w:rPr>
        <w:t>debe ser</w:t>
      </w:r>
      <w:r w:rsidRPr="002C3A9F">
        <w:rPr>
          <w:szCs w:val="20"/>
          <w:lang w:val="es-ES"/>
        </w:rPr>
        <w:t xml:space="preserve"> “suficientemente independiente de las personas o estructuras cuya responsabilidad está siendo </w:t>
      </w:r>
      <w:r w:rsidRPr="00241F71">
        <w:rPr>
          <w:szCs w:val="20"/>
          <w:lang w:val="es-ES"/>
        </w:rPr>
        <w:t>atribuida</w:t>
      </w:r>
      <w:r w:rsidRPr="002C3A9F">
        <w:rPr>
          <w:szCs w:val="20"/>
          <w:lang w:val="es-ES"/>
        </w:rPr>
        <w:t xml:space="preserve">” en el caso concreto. La determinación del grado de independencia se hace a la luz de todas las circunstancias </w:t>
      </w:r>
      <w:r w:rsidR="005F69F4">
        <w:rPr>
          <w:szCs w:val="20"/>
          <w:lang w:val="es-ES"/>
        </w:rPr>
        <w:t>d</w:t>
      </w:r>
      <w:r w:rsidRPr="002C3A9F">
        <w:rPr>
          <w:szCs w:val="20"/>
          <w:lang w:val="es-ES"/>
        </w:rPr>
        <w:t>el caso</w:t>
      </w:r>
      <w:r w:rsidRPr="002C3A9F">
        <w:rPr>
          <w:szCs w:val="20"/>
          <w:vertAlign w:val="superscript"/>
          <w:lang w:val="en-US"/>
        </w:rPr>
        <w:footnoteReference w:id="218"/>
      </w:r>
      <w:r w:rsidRPr="002C3A9F">
        <w:rPr>
          <w:szCs w:val="20"/>
          <w:lang w:val="es-ES"/>
        </w:rPr>
        <w:t>.</w:t>
      </w:r>
    </w:p>
    <w:p w14:paraId="686CAAE8" w14:textId="77777777" w:rsidR="002C766F" w:rsidRDefault="002C766F" w:rsidP="002C766F">
      <w:pPr>
        <w:pStyle w:val="ListParagraph"/>
        <w:rPr>
          <w:szCs w:val="20"/>
          <w:lang w:val="es-ES"/>
        </w:rPr>
      </w:pPr>
    </w:p>
    <w:p w14:paraId="2BE5825D" w14:textId="02E75E90" w:rsidR="002C766F" w:rsidRDefault="002C766F" w:rsidP="002C766F">
      <w:pPr>
        <w:numPr>
          <w:ilvl w:val="0"/>
          <w:numId w:val="1"/>
        </w:numPr>
        <w:contextualSpacing/>
        <w:rPr>
          <w:szCs w:val="20"/>
          <w:lang w:val="es-ES"/>
        </w:rPr>
      </w:pPr>
      <w:r w:rsidRPr="002C766F">
        <w:rPr>
          <w:szCs w:val="20"/>
          <w:lang w:val="es-ES"/>
        </w:rPr>
        <w:t xml:space="preserve">Si la independencia </w:t>
      </w:r>
      <w:r w:rsidR="001523D3">
        <w:rPr>
          <w:szCs w:val="20"/>
          <w:lang w:val="es-ES"/>
        </w:rPr>
        <w:t xml:space="preserve">o la imparcialidad </w:t>
      </w:r>
      <w:r w:rsidR="00D263DB">
        <w:rPr>
          <w:szCs w:val="20"/>
          <w:lang w:val="es-ES"/>
        </w:rPr>
        <w:t xml:space="preserve">del órgano investigador </w:t>
      </w:r>
      <w:r w:rsidR="001523D3">
        <w:rPr>
          <w:szCs w:val="20"/>
          <w:lang w:val="es-ES"/>
        </w:rPr>
        <w:t>son</w:t>
      </w:r>
      <w:r w:rsidRPr="002C766F">
        <w:rPr>
          <w:szCs w:val="20"/>
          <w:lang w:val="es-ES"/>
        </w:rPr>
        <w:t xml:space="preserve"> cuestionada</w:t>
      </w:r>
      <w:r w:rsidR="001523D3">
        <w:rPr>
          <w:szCs w:val="20"/>
          <w:lang w:val="es-ES"/>
        </w:rPr>
        <w:t>s</w:t>
      </w:r>
      <w:r w:rsidRPr="002C766F">
        <w:rPr>
          <w:szCs w:val="20"/>
          <w:lang w:val="es-ES"/>
        </w:rPr>
        <w:t>, el Tribunal debe ejercer un escrutinio más estricto para verificar si la investigación fue realizada de manera independiente e imparcial. Asimismo, se debe examinar si, y hasta qué medida, la alegada falta de independencia e imparcialidad impactó la efectividad del procedimiento para determinar lo ocurrido y sancionar a los responsables</w:t>
      </w:r>
      <w:r w:rsidRPr="002C766F">
        <w:rPr>
          <w:szCs w:val="20"/>
          <w:vertAlign w:val="superscript"/>
          <w:lang w:val="en-US"/>
        </w:rPr>
        <w:footnoteReference w:id="219"/>
      </w:r>
      <w:r w:rsidRPr="002C766F">
        <w:rPr>
          <w:szCs w:val="20"/>
          <w:lang w:val="es-ES"/>
        </w:rPr>
        <w:t>.</w:t>
      </w:r>
      <w:r w:rsidR="001B5F5C">
        <w:rPr>
          <w:szCs w:val="20"/>
          <w:lang w:val="es-ES"/>
        </w:rPr>
        <w:t xml:space="preserve"> </w:t>
      </w:r>
      <w:r w:rsidR="001B5F5C" w:rsidRPr="00A4067C">
        <w:rPr>
          <w:szCs w:val="20"/>
          <w:lang w:val="es-ES"/>
        </w:rPr>
        <w:t>Algunos criterios esenciales, los cuales están interrelacionados, deben ser observados</w:t>
      </w:r>
      <w:r w:rsidR="00E66982">
        <w:rPr>
          <w:szCs w:val="20"/>
          <w:lang w:val="es-ES"/>
        </w:rPr>
        <w:t xml:space="preserve"> para establecer la efectividad de la investigación en esos casos</w:t>
      </w:r>
      <w:r w:rsidR="001B5F5C" w:rsidRPr="00A4067C">
        <w:rPr>
          <w:szCs w:val="20"/>
          <w:lang w:val="es-ES"/>
        </w:rPr>
        <w:t xml:space="preserve">: i) la adecuación de las medidas de investigación; ii) la celeridad de la misma, y iii) la participación de la familia de la persona muerta y </w:t>
      </w:r>
      <w:r w:rsidR="00D263DB">
        <w:rPr>
          <w:szCs w:val="20"/>
          <w:lang w:val="es-ES"/>
        </w:rPr>
        <w:t xml:space="preserve">iv) </w:t>
      </w:r>
      <w:r w:rsidR="001B5F5C" w:rsidRPr="00A4067C">
        <w:rPr>
          <w:szCs w:val="20"/>
          <w:lang w:val="es-ES"/>
        </w:rPr>
        <w:t>la independencia de la investigación</w:t>
      </w:r>
      <w:r w:rsidRPr="00A4067C">
        <w:rPr>
          <w:szCs w:val="20"/>
          <w:vertAlign w:val="superscript"/>
          <w:lang w:val="en-US"/>
        </w:rPr>
        <w:footnoteReference w:id="220"/>
      </w:r>
      <w:r w:rsidRPr="00A4067C">
        <w:rPr>
          <w:szCs w:val="20"/>
          <w:lang w:val="es-ES"/>
        </w:rPr>
        <w:t>.</w:t>
      </w:r>
      <w:r w:rsidR="00E66982">
        <w:rPr>
          <w:szCs w:val="20"/>
          <w:lang w:val="es-ES"/>
        </w:rPr>
        <w:t xml:space="preserve"> Asimismo, en casos de muerte provocada por intervención de </w:t>
      </w:r>
      <w:r w:rsidR="00D263DB">
        <w:rPr>
          <w:szCs w:val="20"/>
          <w:lang w:val="es-ES"/>
        </w:rPr>
        <w:t xml:space="preserve">un </w:t>
      </w:r>
      <w:r w:rsidR="00E66982">
        <w:rPr>
          <w:szCs w:val="20"/>
          <w:lang w:val="es-ES"/>
        </w:rPr>
        <w:t xml:space="preserve">agente policial, la investigación </w:t>
      </w:r>
      <w:r w:rsidR="00D263DB">
        <w:rPr>
          <w:szCs w:val="20"/>
          <w:lang w:val="es-ES"/>
        </w:rPr>
        <w:t xml:space="preserve">para ser efectiva </w:t>
      </w:r>
      <w:r w:rsidR="00E66982">
        <w:rPr>
          <w:szCs w:val="20"/>
          <w:lang w:val="es-ES"/>
        </w:rPr>
        <w:t xml:space="preserve">debe ser capaz de demostrar </w:t>
      </w:r>
      <w:r w:rsidR="00822D9E">
        <w:rPr>
          <w:szCs w:val="20"/>
          <w:lang w:val="es-ES"/>
        </w:rPr>
        <w:t xml:space="preserve">si el uso de la fuerza fue o no justificado en razón de las circunstancias. </w:t>
      </w:r>
      <w:r w:rsidR="00822D9E">
        <w:rPr>
          <w:szCs w:val="20"/>
          <w:lang w:val="es-ES"/>
        </w:rPr>
        <w:lastRenderedPageBreak/>
        <w:t>En ese tipo de casos, a las autoridades domesticas debe aplicarse un escrutinio particularmente riguroso en lo que se refiere a la investigación.</w:t>
      </w:r>
    </w:p>
    <w:p w14:paraId="1EC6FBD6" w14:textId="77777777" w:rsidR="001B5F5C" w:rsidRDefault="001B5F5C" w:rsidP="001B5F5C">
      <w:pPr>
        <w:pStyle w:val="ListParagraph"/>
        <w:rPr>
          <w:szCs w:val="20"/>
          <w:lang w:val="es-ES"/>
        </w:rPr>
      </w:pPr>
    </w:p>
    <w:p w14:paraId="52B7F03F" w14:textId="08A69AF3" w:rsidR="00064EE6" w:rsidRPr="003A6273" w:rsidRDefault="00064EE6" w:rsidP="004922B0">
      <w:pPr>
        <w:numPr>
          <w:ilvl w:val="0"/>
          <w:numId w:val="1"/>
        </w:numPr>
        <w:contextualSpacing/>
        <w:rPr>
          <w:szCs w:val="20"/>
        </w:rPr>
      </w:pPr>
      <w:r>
        <w:rPr>
          <w:szCs w:val="20"/>
          <w:lang w:val="es-ES"/>
        </w:rPr>
        <w:t>Finalmente, en lo que respecta a la intervención de órganos de supervisión de la investigación o del poder judicial, es necesario hacer notar que en algunas ocasiones las fallas de la investigación pueden ser remediadas, pero en otros casos eso no es posible en virtud del estado avanzado de la misma y de la magnitud de las falencias ocasionadas por el órgano investigador</w:t>
      </w:r>
      <w:r w:rsidRPr="002C766F">
        <w:rPr>
          <w:szCs w:val="20"/>
          <w:vertAlign w:val="superscript"/>
        </w:rPr>
        <w:footnoteReference w:id="221"/>
      </w:r>
      <w:r w:rsidRPr="002C766F">
        <w:rPr>
          <w:szCs w:val="20"/>
        </w:rPr>
        <w:t>.</w:t>
      </w:r>
      <w:r w:rsidR="003A6273">
        <w:rPr>
          <w:szCs w:val="20"/>
        </w:rPr>
        <w:t xml:space="preserve"> </w:t>
      </w:r>
    </w:p>
    <w:p w14:paraId="758880DE" w14:textId="77777777" w:rsidR="004922B0" w:rsidRPr="004922B0" w:rsidRDefault="004922B0" w:rsidP="004922B0">
      <w:pPr>
        <w:pStyle w:val="ListParagraph"/>
        <w:ind w:left="0"/>
        <w:rPr>
          <w:b/>
          <w:szCs w:val="20"/>
          <w:lang w:val="es-ES"/>
        </w:rPr>
      </w:pPr>
    </w:p>
    <w:p w14:paraId="10C4B8A4" w14:textId="322E18A0" w:rsidR="00FC00B9" w:rsidRPr="002D0BC9" w:rsidRDefault="00FC00B9" w:rsidP="00123780">
      <w:pPr>
        <w:pStyle w:val="TOC2"/>
      </w:pPr>
      <w:bookmarkStart w:id="413" w:name="_Toc469404514"/>
      <w:bookmarkStart w:id="414" w:name="_Toc472608956"/>
      <w:r>
        <w:t>B.3</w:t>
      </w:r>
      <w:r w:rsidR="00CE18D4">
        <w:t>.</w:t>
      </w:r>
      <w:r w:rsidR="002A031A">
        <w:tab/>
      </w:r>
      <w:r w:rsidRPr="002D0BC9">
        <w:t>El efecto de los “autos de resistencia al arresto” en las investigaciones</w:t>
      </w:r>
      <w:bookmarkEnd w:id="413"/>
      <w:bookmarkEnd w:id="414"/>
    </w:p>
    <w:p w14:paraId="65EC25F2" w14:textId="77777777" w:rsidR="00FC00B9" w:rsidRPr="00053FAF" w:rsidRDefault="00FC00B9" w:rsidP="00FC00B9">
      <w:pPr>
        <w:pStyle w:val="ListParagraph"/>
        <w:ind w:left="0"/>
        <w:rPr>
          <w:rFonts w:cs="Arial"/>
          <w:color w:val="000000"/>
          <w:szCs w:val="20"/>
          <w:bdr w:val="none" w:sz="0" w:space="0" w:color="auto" w:frame="1"/>
          <w:shd w:val="clear" w:color="auto" w:fill="EEEEEE"/>
          <w:lang w:val="es-ES"/>
        </w:rPr>
      </w:pPr>
    </w:p>
    <w:p w14:paraId="2F78A1DC" w14:textId="4A226589" w:rsidR="00FC00B9" w:rsidRPr="00BA50E9" w:rsidRDefault="00FC00B9" w:rsidP="00FC00B9">
      <w:pPr>
        <w:pStyle w:val="ListParagraph"/>
        <w:numPr>
          <w:ilvl w:val="0"/>
          <w:numId w:val="1"/>
        </w:numPr>
        <w:rPr>
          <w:rFonts w:cs="Arial"/>
          <w:color w:val="000000"/>
          <w:szCs w:val="20"/>
          <w:bdr w:val="none" w:sz="0" w:space="0" w:color="auto" w:frame="1"/>
          <w:shd w:val="clear" w:color="auto" w:fill="EEEEEE"/>
          <w:lang w:val="es-ES"/>
        </w:rPr>
      </w:pPr>
      <w:r w:rsidRPr="00C33085">
        <w:rPr>
          <w:szCs w:val="20"/>
          <w:lang w:val="es-ES"/>
        </w:rPr>
        <w:t>La</w:t>
      </w:r>
      <w:r>
        <w:rPr>
          <w:szCs w:val="20"/>
          <w:lang w:val="es-ES"/>
        </w:rPr>
        <w:t xml:space="preserve"> Corte recuerda que la</w:t>
      </w:r>
      <w:r w:rsidR="001F4F35">
        <w:rPr>
          <w:szCs w:val="20"/>
          <w:lang w:val="es-ES"/>
        </w:rPr>
        <w:t>s</w:t>
      </w:r>
      <w:r>
        <w:rPr>
          <w:szCs w:val="20"/>
          <w:lang w:val="es-ES"/>
        </w:rPr>
        <w:t xml:space="preserve"> investigaci</w:t>
      </w:r>
      <w:r w:rsidR="001F4F35">
        <w:rPr>
          <w:szCs w:val="20"/>
          <w:lang w:val="es-ES"/>
        </w:rPr>
        <w:t>ones</w:t>
      </w:r>
      <w:r>
        <w:rPr>
          <w:szCs w:val="20"/>
          <w:lang w:val="es-ES"/>
        </w:rPr>
        <w:t xml:space="preserve"> de los hechos de </w:t>
      </w:r>
      <w:r w:rsidR="001F4F35">
        <w:rPr>
          <w:szCs w:val="20"/>
          <w:lang w:val="es-ES"/>
        </w:rPr>
        <w:t>ambas</w:t>
      </w:r>
      <w:r>
        <w:rPr>
          <w:szCs w:val="20"/>
          <w:lang w:val="es-ES"/>
        </w:rPr>
        <w:t xml:space="preserve"> redada</w:t>
      </w:r>
      <w:r w:rsidR="001F4F35">
        <w:rPr>
          <w:szCs w:val="20"/>
          <w:lang w:val="es-ES"/>
        </w:rPr>
        <w:t>s</w:t>
      </w:r>
      <w:r>
        <w:rPr>
          <w:szCs w:val="20"/>
          <w:lang w:val="es-ES"/>
        </w:rPr>
        <w:t xml:space="preserve"> policial</w:t>
      </w:r>
      <w:r w:rsidR="001F4F35">
        <w:rPr>
          <w:szCs w:val="20"/>
          <w:lang w:val="es-ES"/>
        </w:rPr>
        <w:t>es</w:t>
      </w:r>
      <w:r>
        <w:rPr>
          <w:szCs w:val="20"/>
          <w:lang w:val="es-ES"/>
        </w:rPr>
        <w:t xml:space="preserve"> de octubre de 1994 </w:t>
      </w:r>
      <w:r w:rsidR="001F4F35">
        <w:rPr>
          <w:szCs w:val="20"/>
          <w:lang w:val="es-ES"/>
        </w:rPr>
        <w:t xml:space="preserve">y mayo de 1995 </w:t>
      </w:r>
      <w:r>
        <w:rPr>
          <w:szCs w:val="20"/>
          <w:lang w:val="es-ES"/>
        </w:rPr>
        <w:t>en la Favela Nova Brasilia comenz</w:t>
      </w:r>
      <w:r w:rsidR="001F4F35">
        <w:rPr>
          <w:szCs w:val="20"/>
          <w:lang w:val="es-ES"/>
        </w:rPr>
        <w:t>aron</w:t>
      </w:r>
      <w:r>
        <w:rPr>
          <w:szCs w:val="20"/>
          <w:lang w:val="es-ES"/>
        </w:rPr>
        <w:t xml:space="preserve"> con el levantamiento de “autos de resistencia al arresto” para registrar las muertes de las personas que habían perdido la vida durante la redada (</w:t>
      </w:r>
      <w:r w:rsidRPr="00BA50E9">
        <w:rPr>
          <w:i/>
          <w:szCs w:val="20"/>
          <w:lang w:val="es-ES"/>
        </w:rPr>
        <w:t>supra</w:t>
      </w:r>
      <w:r>
        <w:rPr>
          <w:szCs w:val="20"/>
          <w:lang w:val="es-ES"/>
        </w:rPr>
        <w:t xml:space="preserve"> </w:t>
      </w:r>
      <w:proofErr w:type="spellStart"/>
      <w:r>
        <w:rPr>
          <w:szCs w:val="20"/>
          <w:lang w:val="es-ES"/>
        </w:rPr>
        <w:t>párr</w:t>
      </w:r>
      <w:r w:rsidR="002B020B">
        <w:rPr>
          <w:szCs w:val="20"/>
          <w:lang w:val="es-ES"/>
        </w:rPr>
        <w:t>s</w:t>
      </w:r>
      <w:proofErr w:type="spellEnd"/>
      <w:r>
        <w:rPr>
          <w:szCs w:val="20"/>
          <w:lang w:val="es-ES"/>
        </w:rPr>
        <w:t xml:space="preserve">. </w:t>
      </w:r>
      <w:r w:rsidR="002B020B">
        <w:rPr>
          <w:szCs w:val="20"/>
          <w:lang w:val="es-ES"/>
        </w:rPr>
        <w:t>12</w:t>
      </w:r>
      <w:r w:rsidR="00CC36D9">
        <w:rPr>
          <w:szCs w:val="20"/>
          <w:lang w:val="es-ES"/>
        </w:rPr>
        <w:t>0</w:t>
      </w:r>
      <w:r w:rsidR="002B020B">
        <w:rPr>
          <w:szCs w:val="20"/>
          <w:lang w:val="es-ES"/>
        </w:rPr>
        <w:t xml:space="preserve"> y 13</w:t>
      </w:r>
      <w:r w:rsidR="00CC36D9">
        <w:rPr>
          <w:szCs w:val="20"/>
          <w:lang w:val="es-ES"/>
        </w:rPr>
        <w:t>1</w:t>
      </w:r>
      <w:r>
        <w:rPr>
          <w:szCs w:val="20"/>
          <w:lang w:val="es-ES"/>
        </w:rPr>
        <w:t xml:space="preserve">). Si bien esos hechos se encuentran fuera de la competencia temporal de la Corte, el efecto que tuvieron los “autos de resistencia al arresto” impactó toda la investigación, con consecuencias que subsistieron a lo largo del tiempo y que fueron determinantes para la falta de debida diligencia en las investigaciones. </w:t>
      </w:r>
    </w:p>
    <w:p w14:paraId="41E652CF" w14:textId="77777777" w:rsidR="00FC00B9" w:rsidRPr="00BA50E9" w:rsidRDefault="00FC00B9" w:rsidP="00FC00B9">
      <w:pPr>
        <w:pStyle w:val="ListParagraph"/>
        <w:ind w:left="0"/>
        <w:rPr>
          <w:rFonts w:cs="Arial"/>
          <w:color w:val="000000"/>
          <w:szCs w:val="20"/>
          <w:bdr w:val="none" w:sz="0" w:space="0" w:color="auto" w:frame="1"/>
          <w:shd w:val="clear" w:color="auto" w:fill="EEEEEE"/>
          <w:lang w:val="es-ES"/>
        </w:rPr>
      </w:pPr>
    </w:p>
    <w:p w14:paraId="3C039987" w14:textId="1015EB77" w:rsidR="00FC00B9" w:rsidRPr="004B0FF9" w:rsidRDefault="00FC00B9" w:rsidP="00FC00B9">
      <w:pPr>
        <w:pStyle w:val="ListParagraph"/>
        <w:numPr>
          <w:ilvl w:val="0"/>
          <w:numId w:val="1"/>
        </w:numPr>
        <w:rPr>
          <w:rFonts w:cs="Arial"/>
          <w:color w:val="000000"/>
          <w:szCs w:val="20"/>
          <w:bdr w:val="none" w:sz="0" w:space="0" w:color="auto" w:frame="1"/>
          <w:shd w:val="clear" w:color="auto" w:fill="EEEEEE"/>
          <w:lang w:val="es-ES"/>
        </w:rPr>
      </w:pPr>
      <w:r w:rsidRPr="00C33085">
        <w:rPr>
          <w:szCs w:val="20"/>
          <w:lang w:val="es-ES"/>
        </w:rPr>
        <w:t xml:space="preserve"> </w:t>
      </w:r>
      <w:r>
        <w:rPr>
          <w:szCs w:val="20"/>
          <w:lang w:val="es-ES"/>
        </w:rPr>
        <w:t xml:space="preserve">Al respecto, </w:t>
      </w:r>
      <w:r w:rsidRPr="001B2332">
        <w:rPr>
          <w:szCs w:val="20"/>
          <w:lang w:val="es-ES"/>
        </w:rPr>
        <w:t>varios peritajes y declaraciones testimoniales aportadas al presente caso,</w:t>
      </w:r>
      <w:r>
        <w:rPr>
          <w:szCs w:val="20"/>
          <w:lang w:val="es-ES"/>
        </w:rPr>
        <w:t xml:space="preserve"> así como la </w:t>
      </w:r>
      <w:r w:rsidRPr="00C33085">
        <w:rPr>
          <w:szCs w:val="20"/>
          <w:lang w:val="es-ES"/>
        </w:rPr>
        <w:t xml:space="preserve">Defensoría Pública del </w:t>
      </w:r>
      <w:r w:rsidR="003E7EA4">
        <w:rPr>
          <w:szCs w:val="20"/>
          <w:lang w:val="es-ES"/>
        </w:rPr>
        <w:t>E</w:t>
      </w:r>
      <w:r w:rsidRPr="00C33085">
        <w:rPr>
          <w:szCs w:val="20"/>
          <w:lang w:val="es-ES"/>
        </w:rPr>
        <w:t>stado de São Paulo indicó e</w:t>
      </w:r>
      <w:r>
        <w:rPr>
          <w:szCs w:val="20"/>
          <w:lang w:val="es-ES"/>
        </w:rPr>
        <w:t>n</w:t>
      </w:r>
      <w:r w:rsidRPr="00C33085">
        <w:rPr>
          <w:szCs w:val="20"/>
          <w:lang w:val="es-ES"/>
        </w:rPr>
        <w:t xml:space="preserve"> su escrito de </w:t>
      </w:r>
      <w:proofErr w:type="spellStart"/>
      <w:r w:rsidRPr="00C33085">
        <w:rPr>
          <w:i/>
          <w:szCs w:val="20"/>
          <w:lang w:val="es-ES"/>
        </w:rPr>
        <w:t>amicus</w:t>
      </w:r>
      <w:proofErr w:type="spellEnd"/>
      <w:r w:rsidRPr="00C33085">
        <w:rPr>
          <w:i/>
          <w:szCs w:val="20"/>
          <w:lang w:val="es-ES"/>
        </w:rPr>
        <w:t xml:space="preserve"> </w:t>
      </w:r>
      <w:proofErr w:type="spellStart"/>
      <w:r w:rsidRPr="00C33085">
        <w:rPr>
          <w:i/>
          <w:szCs w:val="20"/>
          <w:lang w:val="es-ES"/>
        </w:rPr>
        <w:t>curiae</w:t>
      </w:r>
      <w:proofErr w:type="spellEnd"/>
      <w:r>
        <w:rPr>
          <w:i/>
          <w:szCs w:val="20"/>
          <w:lang w:val="es-ES"/>
        </w:rPr>
        <w:t>,</w:t>
      </w:r>
      <w:r w:rsidRPr="00C33085">
        <w:rPr>
          <w:szCs w:val="20"/>
          <w:lang w:val="es-ES"/>
        </w:rPr>
        <w:t xml:space="preserve"> </w:t>
      </w:r>
      <w:r>
        <w:rPr>
          <w:szCs w:val="20"/>
        </w:rPr>
        <w:t xml:space="preserve">en Brasil se ha vuelto una práctica habitual que los informes sobre muertes ocasionadas por la policía se registren como “resistencia seguida de muerte”, y que en Río de Janeiro se usa la expresión “autos de resistencia” para referirse al mismo hecho. De acuerdo con </w:t>
      </w:r>
      <w:r>
        <w:rPr>
          <w:szCs w:val="20"/>
          <w:lang w:val="es-ES"/>
        </w:rPr>
        <w:t xml:space="preserve">la </w:t>
      </w:r>
      <w:r w:rsidRPr="00C33085">
        <w:rPr>
          <w:szCs w:val="20"/>
          <w:lang w:val="es-ES"/>
        </w:rPr>
        <w:t>Defensoría Pública</w:t>
      </w:r>
      <w:r>
        <w:rPr>
          <w:szCs w:val="20"/>
          <w:lang w:val="es-ES"/>
        </w:rPr>
        <w:t>,</w:t>
      </w:r>
      <w:r>
        <w:rPr>
          <w:szCs w:val="20"/>
        </w:rPr>
        <w:t xml:space="preserve"> ese es el </w:t>
      </w:r>
      <w:r w:rsidRPr="005C7A7A">
        <w:rPr>
          <w:szCs w:val="20"/>
          <w:lang w:val="es-ES_tradnl"/>
        </w:rPr>
        <w:t>es</w:t>
      </w:r>
      <w:r>
        <w:rPr>
          <w:szCs w:val="20"/>
          <w:lang w:val="es-ES_tradnl"/>
        </w:rPr>
        <w:t>c</w:t>
      </w:r>
      <w:r w:rsidRPr="005C7A7A">
        <w:rPr>
          <w:szCs w:val="20"/>
          <w:lang w:val="es-ES_tradnl"/>
        </w:rPr>
        <w:t>enario</w:t>
      </w:r>
      <w:r>
        <w:rPr>
          <w:szCs w:val="20"/>
        </w:rPr>
        <w:t xml:space="preserve"> ideal para los agentes que pretenden dar un aspecto de legalidad a las ejecuciones sumarias que practican</w:t>
      </w:r>
      <w:r>
        <w:rPr>
          <w:rStyle w:val="FootnoteReference"/>
        </w:rPr>
        <w:footnoteReference w:id="222"/>
      </w:r>
      <w:r>
        <w:rPr>
          <w:szCs w:val="20"/>
        </w:rPr>
        <w:t>.</w:t>
      </w:r>
      <w:r>
        <w:rPr>
          <w:b/>
          <w:szCs w:val="20"/>
        </w:rPr>
        <w:t xml:space="preserve"> </w:t>
      </w:r>
    </w:p>
    <w:p w14:paraId="7125B113" w14:textId="77777777" w:rsidR="00FC00B9" w:rsidRPr="004B0FF9" w:rsidRDefault="00FC00B9" w:rsidP="00FC00B9">
      <w:pPr>
        <w:pStyle w:val="ListParagraph"/>
        <w:rPr>
          <w:rFonts w:cs="Arial"/>
          <w:color w:val="000000"/>
          <w:szCs w:val="20"/>
          <w:bdr w:val="none" w:sz="0" w:space="0" w:color="auto" w:frame="1"/>
          <w:shd w:val="clear" w:color="auto" w:fill="EEEEEE"/>
          <w:lang w:val="es-ES"/>
        </w:rPr>
      </w:pPr>
    </w:p>
    <w:p w14:paraId="4E07085C" w14:textId="4A0A6EB2" w:rsidR="00FC00B9" w:rsidRPr="007445D7" w:rsidRDefault="00FC00B9" w:rsidP="00FC00B9">
      <w:pPr>
        <w:pStyle w:val="ListParagraph"/>
        <w:numPr>
          <w:ilvl w:val="0"/>
          <w:numId w:val="1"/>
        </w:numPr>
        <w:rPr>
          <w:b/>
          <w:i/>
        </w:rPr>
      </w:pPr>
      <w:r>
        <w:rPr>
          <w:szCs w:val="20"/>
          <w:lang w:val="es-ES"/>
        </w:rPr>
        <w:t xml:space="preserve">De igual </w:t>
      </w:r>
      <w:r w:rsidRPr="001F4F35">
        <w:rPr>
          <w:szCs w:val="20"/>
          <w:lang w:val="es-ES"/>
        </w:rPr>
        <w:t xml:space="preserve">manera, el perito </w:t>
      </w:r>
      <w:proofErr w:type="spellStart"/>
      <w:r w:rsidRPr="001F4F35">
        <w:t>Caetano</w:t>
      </w:r>
      <w:proofErr w:type="spellEnd"/>
      <w:r w:rsidRPr="001F4F35">
        <w:t xml:space="preserve"> </w:t>
      </w:r>
      <w:proofErr w:type="spellStart"/>
      <w:r w:rsidRPr="001F4F35">
        <w:t>Lagrasta</w:t>
      </w:r>
      <w:proofErr w:type="spellEnd"/>
      <w:r w:rsidRPr="007445D7">
        <w:t xml:space="preserve"> indicó que los “autos de resistencia” son clasificados desde el primer momento como la ocurrencia de un enfrentamiento que tuvo como resultado la muerte de una persona; es decir</w:t>
      </w:r>
      <w:r w:rsidR="00D263DB">
        <w:t>,</w:t>
      </w:r>
      <w:r w:rsidRPr="007445D7">
        <w:t xml:space="preserve"> se parte del supuesto de que el policía respondió proporcionalmente a una</w:t>
      </w:r>
      <w:r>
        <w:t xml:space="preserve"> amenaza</w:t>
      </w:r>
      <w:r w:rsidRPr="007445D7">
        <w:t xml:space="preserve"> o </w:t>
      </w:r>
      <w:r w:rsidR="00B530AA">
        <w:t xml:space="preserve">agresión </w:t>
      </w:r>
      <w:r w:rsidRPr="007445D7">
        <w:t>por parte de la víctima que murió. Cuando una muerte es clasificada con estos “autos de resistencia”</w:t>
      </w:r>
      <w:r>
        <w:t>,</w:t>
      </w:r>
      <w:r w:rsidRPr="007445D7">
        <w:t xml:space="preserve"> rara vez </w:t>
      </w:r>
      <w:r w:rsidR="00D263DB">
        <w:t xml:space="preserve">es </w:t>
      </w:r>
      <w:r w:rsidRPr="007445D7">
        <w:t>investigad</w:t>
      </w:r>
      <w:r w:rsidR="00D263DB">
        <w:t>a</w:t>
      </w:r>
      <w:r w:rsidRPr="007445D7">
        <w:t xml:space="preserve"> con </w:t>
      </w:r>
      <w:r w:rsidR="00D263DB">
        <w:t>diligencia</w:t>
      </w:r>
      <w:r w:rsidRPr="007445D7">
        <w:t xml:space="preserve">; por el </w:t>
      </w:r>
      <w:r>
        <w:t xml:space="preserve">contrario, las investigaciones </w:t>
      </w:r>
      <w:r w:rsidRPr="007445D7">
        <w:t xml:space="preserve">acostumbran criminalizar a la víctima, </w:t>
      </w:r>
      <w:r w:rsidR="00B530AA">
        <w:t xml:space="preserve">pues </w:t>
      </w:r>
      <w:r w:rsidRPr="007445D7">
        <w:t>muchas veces las investigaciones se llevan a cabo con el propósito de determinar el crimen que supuestamente habría cometido la persona que murió. A pesar de que pueda haber indicios de ejecuciones sumarias, estos suelen ser ignorados por las autoridades.</w:t>
      </w:r>
      <w:r>
        <w:t xml:space="preserve"> </w:t>
      </w:r>
      <w:r w:rsidR="001F4F35">
        <w:t xml:space="preserve">Diversos especialistas brasileños e internacionales, organizaciones de derechos humanos y organismos internacionales de protección de derechos humanos se han referido a ese fenómeno, lo que la Corte destacó en los párrafos </w:t>
      </w:r>
      <w:r w:rsidR="003E7EA4">
        <w:t>10</w:t>
      </w:r>
      <w:r w:rsidR="00CC36D9">
        <w:t>4</w:t>
      </w:r>
      <w:r w:rsidR="001F4F35">
        <w:t xml:space="preserve"> a </w:t>
      </w:r>
      <w:r w:rsidR="003E7EA4">
        <w:t>11</w:t>
      </w:r>
      <w:r w:rsidR="00CC36D9">
        <w:t>2</w:t>
      </w:r>
      <w:r w:rsidR="001F4F35">
        <w:t xml:space="preserve"> </w:t>
      </w:r>
      <w:r w:rsidR="001F4F35">
        <w:rPr>
          <w:i/>
        </w:rPr>
        <w:t>supra</w:t>
      </w:r>
      <w:r w:rsidR="001F4F35">
        <w:t>.</w:t>
      </w:r>
    </w:p>
    <w:p w14:paraId="7ED87EF8" w14:textId="77777777" w:rsidR="00FC00B9" w:rsidRPr="007445D7" w:rsidRDefault="00FC00B9" w:rsidP="00FC00B9">
      <w:pPr>
        <w:pStyle w:val="ListParagraph"/>
        <w:rPr>
          <w:b/>
          <w:i/>
        </w:rPr>
      </w:pPr>
    </w:p>
    <w:p w14:paraId="528BF038" w14:textId="08EB72F3" w:rsidR="00FC00B9" w:rsidRPr="00341017" w:rsidRDefault="00FC00B9" w:rsidP="00FC00B9">
      <w:pPr>
        <w:pStyle w:val="ListParagraph"/>
        <w:numPr>
          <w:ilvl w:val="0"/>
          <w:numId w:val="1"/>
        </w:numPr>
        <w:rPr>
          <w:b/>
          <w:i/>
        </w:rPr>
      </w:pPr>
      <w:r>
        <w:t>La Corte nota que</w:t>
      </w:r>
      <w:r w:rsidR="006C31F8">
        <w:t>,</w:t>
      </w:r>
      <w:r>
        <w:t xml:space="preserve"> en el presente caso, las investigaciones por las muertes ocurridas en ambas redadas comenzaron con la presunción de que los agentes de policía se encontraban en cumplimiento de la ley, y que las muertes habrían sido resultado de los enfrentamientos que habrían ocurrido durante la</w:t>
      </w:r>
      <w:r w:rsidR="004360A1">
        <w:t>s</w:t>
      </w:r>
      <w:r>
        <w:t xml:space="preserve"> redada</w:t>
      </w:r>
      <w:r w:rsidR="004360A1">
        <w:t>s</w:t>
      </w:r>
      <w:r>
        <w:t xml:space="preserve">. Además, las líneas de </w:t>
      </w:r>
      <w:r>
        <w:lastRenderedPageBreak/>
        <w:t>investigación estuvieron dirigidas a determinar la responsabilidad de las personas que habían sido ejecutadas, enfocándose en determinar si contaban con antecedentes penales o si serían responsables de agredir o atentar contra la vida de los agentes de policía, lo que coincide con el contexto en el cual ocurrieron los hechos (</w:t>
      </w:r>
      <w:r>
        <w:rPr>
          <w:i/>
        </w:rPr>
        <w:t xml:space="preserve">supra </w:t>
      </w:r>
      <w:proofErr w:type="spellStart"/>
      <w:r>
        <w:t>párrs</w:t>
      </w:r>
      <w:proofErr w:type="spellEnd"/>
      <w:r>
        <w:t xml:space="preserve">. </w:t>
      </w:r>
      <w:r w:rsidR="00CC36D9">
        <w:t>102</w:t>
      </w:r>
      <w:r>
        <w:t xml:space="preserve"> a </w:t>
      </w:r>
      <w:r w:rsidR="004360A1">
        <w:t>11</w:t>
      </w:r>
      <w:r w:rsidR="00CC36D9">
        <w:t>0</w:t>
      </w:r>
      <w:r>
        <w:t>) y la impunidad en ese tipo de casos.</w:t>
      </w:r>
    </w:p>
    <w:p w14:paraId="5D8B858F" w14:textId="77777777" w:rsidR="00FC00B9" w:rsidRPr="00341017" w:rsidRDefault="00FC00B9" w:rsidP="00FC00B9">
      <w:pPr>
        <w:pStyle w:val="ListParagraph"/>
        <w:rPr>
          <w:b/>
          <w:i/>
        </w:rPr>
      </w:pPr>
    </w:p>
    <w:p w14:paraId="4C8FAA65" w14:textId="3C92BA6D" w:rsidR="00FC00B9" w:rsidRPr="00400514" w:rsidRDefault="00FC00B9" w:rsidP="00FC00B9">
      <w:pPr>
        <w:pStyle w:val="ListParagraph"/>
        <w:numPr>
          <w:ilvl w:val="0"/>
          <w:numId w:val="1"/>
        </w:numPr>
        <w:rPr>
          <w:b/>
          <w:i/>
        </w:rPr>
      </w:pPr>
      <w:r>
        <w:t>Esta tendencia en las investigaciones trajo como consecuencia la consideración de que las personas ejecutadas habrían incurrido en actividades delictivas que coloca</w:t>
      </w:r>
      <w:r w:rsidR="004360A1">
        <w:t>ron</w:t>
      </w:r>
      <w:r>
        <w:t xml:space="preserve"> a los agentes de policía en la necesidad de defenderse y, en este caso, disparar contra ellos. Esta noción rigió la dinámica de las investigaciones hasta el final, provocando que existiera una </w:t>
      </w:r>
      <w:proofErr w:type="spellStart"/>
      <w:r>
        <w:t>revictimización</w:t>
      </w:r>
      <w:proofErr w:type="spellEnd"/>
      <w:r>
        <w:t xml:space="preserve"> contra las personas ejecutadas y contra sus familiares, y que la</w:t>
      </w:r>
      <w:r w:rsidR="00AB642D">
        <w:t>s circunstancias de las muertes</w:t>
      </w:r>
      <w:r>
        <w:t xml:space="preserve"> no fueran esclarecidas.</w:t>
      </w:r>
    </w:p>
    <w:p w14:paraId="3E88D0AA" w14:textId="77777777" w:rsidR="00FC00B9" w:rsidRPr="00400514" w:rsidRDefault="00FC00B9" w:rsidP="00FC00B9">
      <w:pPr>
        <w:pStyle w:val="ListParagraph"/>
        <w:rPr>
          <w:b/>
          <w:i/>
        </w:rPr>
      </w:pPr>
    </w:p>
    <w:p w14:paraId="21B9D9C9" w14:textId="7FFE0697" w:rsidR="00FC00B9" w:rsidRPr="007445D7" w:rsidRDefault="00FC00B9" w:rsidP="00FC00B9">
      <w:pPr>
        <w:pStyle w:val="ListParagraph"/>
        <w:numPr>
          <w:ilvl w:val="0"/>
          <w:numId w:val="1"/>
        </w:numPr>
        <w:rPr>
          <w:b/>
          <w:i/>
        </w:rPr>
      </w:pPr>
      <w:r>
        <w:rPr>
          <w:rFonts w:cs="Arial"/>
          <w:noProof/>
          <w:szCs w:val="20"/>
        </w:rPr>
        <w:t>El registro de las ejecuciones como “resistencias al arresto” tenía un claro efecto en las investigaciones, en la gravedad con que se asumían los hechos y en la importancia que se concedía a la identificación y sanción de los responsables. A continuación la Corte evaluará como esa situación generó un impacto en las investigaciones seguidas en relación con los hechos ya reconocidos por el Estado (</w:t>
      </w:r>
      <w:r>
        <w:rPr>
          <w:rFonts w:cs="Arial"/>
          <w:i/>
          <w:noProof/>
          <w:szCs w:val="20"/>
        </w:rPr>
        <w:t xml:space="preserve">supra </w:t>
      </w:r>
      <w:r>
        <w:rPr>
          <w:rFonts w:cs="Arial"/>
          <w:noProof/>
          <w:szCs w:val="20"/>
        </w:rPr>
        <w:t xml:space="preserve">párr. </w:t>
      </w:r>
      <w:r w:rsidR="00CC36D9">
        <w:rPr>
          <w:rFonts w:cs="Arial"/>
          <w:noProof/>
          <w:szCs w:val="20"/>
        </w:rPr>
        <w:t>101</w:t>
      </w:r>
      <w:r>
        <w:rPr>
          <w:rFonts w:cs="Arial"/>
          <w:noProof/>
          <w:szCs w:val="20"/>
        </w:rPr>
        <w:t>).</w:t>
      </w:r>
    </w:p>
    <w:p w14:paraId="71E4A731" w14:textId="77777777" w:rsidR="00FC00B9" w:rsidRPr="002D0BC9" w:rsidRDefault="00FC00B9" w:rsidP="00FC00B9">
      <w:pPr>
        <w:pStyle w:val="HTMLPreformatted"/>
        <w:contextualSpacing/>
        <w:rPr>
          <w:rFonts w:ascii="Verdana" w:eastAsiaTheme="minorHAnsi" w:hAnsi="Verdana" w:cstheme="minorBidi"/>
          <w:spacing w:val="-3"/>
          <w:lang w:val="es-ES" w:eastAsia="en-US"/>
        </w:rPr>
      </w:pPr>
    </w:p>
    <w:p w14:paraId="6BEF0553" w14:textId="40C5E534" w:rsidR="00FC00B9" w:rsidRPr="001157E2" w:rsidRDefault="00FC00B9" w:rsidP="00123780">
      <w:pPr>
        <w:pStyle w:val="TOC2"/>
      </w:pPr>
      <w:bookmarkStart w:id="415" w:name="_Toc469404515"/>
      <w:bookmarkStart w:id="416" w:name="_Toc472608957"/>
      <w:r w:rsidRPr="002B682F">
        <w:t>B.</w:t>
      </w:r>
      <w:r>
        <w:t>4</w:t>
      </w:r>
      <w:r w:rsidR="00CE18D4">
        <w:t>.</w:t>
      </w:r>
      <w:r w:rsidRPr="002B682F">
        <w:t xml:space="preserve"> </w:t>
      </w:r>
      <w:r w:rsidR="002A031A">
        <w:tab/>
      </w:r>
      <w:r w:rsidRPr="002B682F">
        <w:t xml:space="preserve">La alegada violación a las garantías judiciales y protección judicial de los familiares de las víctimas </w:t>
      </w:r>
      <w:r w:rsidRPr="00072FA3">
        <w:rPr>
          <w:spacing w:val="-3"/>
        </w:rPr>
        <w:t>muertas</w:t>
      </w:r>
      <w:r>
        <w:rPr>
          <w:spacing w:val="-3"/>
        </w:rPr>
        <w:t xml:space="preserve"> en </w:t>
      </w:r>
      <w:r w:rsidRPr="002B682F">
        <w:t>la</w:t>
      </w:r>
      <w:r w:rsidR="00D1722B">
        <w:t>s</w:t>
      </w:r>
      <w:r w:rsidRPr="002B682F">
        <w:t xml:space="preserve"> redada</w:t>
      </w:r>
      <w:r w:rsidR="00D1722B">
        <w:t>s</w:t>
      </w:r>
      <w:r w:rsidRPr="002B682F">
        <w:t xml:space="preserve"> de 1994</w:t>
      </w:r>
      <w:bookmarkEnd w:id="415"/>
      <w:r w:rsidR="00D1722B">
        <w:t xml:space="preserve"> y 1995</w:t>
      </w:r>
      <w:bookmarkEnd w:id="416"/>
    </w:p>
    <w:p w14:paraId="4BAC2B2D" w14:textId="77777777" w:rsidR="00FC00B9" w:rsidRDefault="00FC00B9" w:rsidP="00FC00B9">
      <w:pPr>
        <w:contextualSpacing/>
        <w:rPr>
          <w:i/>
          <w:spacing w:val="-3"/>
          <w:szCs w:val="20"/>
          <w:lang w:val="es-ES"/>
        </w:rPr>
      </w:pPr>
    </w:p>
    <w:p w14:paraId="27013816" w14:textId="3313607C" w:rsidR="00FC00B9" w:rsidRPr="00B524F5" w:rsidRDefault="00FC00B9" w:rsidP="00FC00B9">
      <w:pPr>
        <w:contextualSpacing/>
        <w:rPr>
          <w:i/>
          <w:szCs w:val="20"/>
        </w:rPr>
      </w:pPr>
      <w:r>
        <w:rPr>
          <w:i/>
          <w:spacing w:val="-3"/>
          <w:szCs w:val="20"/>
          <w:lang w:val="es-ES"/>
        </w:rPr>
        <w:t>B.4.1</w:t>
      </w:r>
      <w:r w:rsidR="00CE18D4">
        <w:rPr>
          <w:i/>
          <w:spacing w:val="-3"/>
          <w:szCs w:val="20"/>
          <w:lang w:val="es-ES"/>
        </w:rPr>
        <w:t>.</w:t>
      </w:r>
      <w:r w:rsidR="002A031A">
        <w:rPr>
          <w:i/>
          <w:spacing w:val="-3"/>
          <w:szCs w:val="20"/>
          <w:lang w:val="es-ES"/>
        </w:rPr>
        <w:tab/>
      </w:r>
      <w:r>
        <w:rPr>
          <w:i/>
          <w:spacing w:val="-3"/>
          <w:szCs w:val="20"/>
          <w:lang w:val="es-ES"/>
        </w:rPr>
        <w:t>L</w:t>
      </w:r>
      <w:r w:rsidRPr="00130C74">
        <w:rPr>
          <w:i/>
          <w:spacing w:val="-3"/>
          <w:szCs w:val="20"/>
          <w:lang w:val="es-ES"/>
        </w:rPr>
        <w:t>a debida diligencia</w:t>
      </w:r>
      <w:r>
        <w:rPr>
          <w:i/>
          <w:spacing w:val="-3"/>
          <w:szCs w:val="20"/>
          <w:lang w:val="es-ES"/>
        </w:rPr>
        <w:t xml:space="preserve"> </w:t>
      </w:r>
      <w:r w:rsidRPr="00130C74">
        <w:rPr>
          <w:i/>
          <w:spacing w:val="-3"/>
          <w:szCs w:val="20"/>
          <w:lang w:val="es-ES"/>
        </w:rPr>
        <w:t>en las investigaciones</w:t>
      </w:r>
      <w:r>
        <w:rPr>
          <w:i/>
        </w:rPr>
        <w:t xml:space="preserve"> </w:t>
      </w:r>
      <w:r>
        <w:rPr>
          <w:i/>
          <w:spacing w:val="-3"/>
          <w:szCs w:val="20"/>
          <w:lang w:val="es-ES"/>
        </w:rPr>
        <w:t>relacionadas con la</w:t>
      </w:r>
      <w:r w:rsidR="00CE1ED9">
        <w:rPr>
          <w:i/>
          <w:spacing w:val="-3"/>
          <w:szCs w:val="20"/>
          <w:lang w:val="es-ES"/>
        </w:rPr>
        <w:t>s</w:t>
      </w:r>
      <w:r>
        <w:rPr>
          <w:i/>
          <w:spacing w:val="-3"/>
          <w:szCs w:val="20"/>
          <w:lang w:val="es-ES"/>
        </w:rPr>
        <w:t xml:space="preserve"> redada</w:t>
      </w:r>
      <w:r w:rsidR="00CE1ED9">
        <w:rPr>
          <w:i/>
          <w:spacing w:val="-3"/>
          <w:szCs w:val="20"/>
          <w:lang w:val="es-ES"/>
        </w:rPr>
        <w:t>s</w:t>
      </w:r>
      <w:r>
        <w:rPr>
          <w:i/>
          <w:spacing w:val="-3"/>
          <w:szCs w:val="20"/>
          <w:lang w:val="es-ES"/>
        </w:rPr>
        <w:t xml:space="preserve"> policial</w:t>
      </w:r>
      <w:r w:rsidR="00CE1ED9">
        <w:rPr>
          <w:i/>
          <w:spacing w:val="-3"/>
          <w:szCs w:val="20"/>
          <w:lang w:val="es-ES"/>
        </w:rPr>
        <w:t>es</w:t>
      </w:r>
      <w:r>
        <w:rPr>
          <w:i/>
          <w:spacing w:val="-3"/>
          <w:szCs w:val="20"/>
          <w:lang w:val="es-ES"/>
        </w:rPr>
        <w:t xml:space="preserve"> de 1994</w:t>
      </w:r>
      <w:r w:rsidR="00095913">
        <w:rPr>
          <w:i/>
          <w:spacing w:val="-3"/>
          <w:szCs w:val="20"/>
          <w:lang w:val="es-ES"/>
        </w:rPr>
        <w:t xml:space="preserve"> </w:t>
      </w:r>
      <w:r w:rsidR="00CE1ED9">
        <w:rPr>
          <w:i/>
          <w:spacing w:val="-3"/>
          <w:szCs w:val="20"/>
          <w:lang w:val="es-ES"/>
        </w:rPr>
        <w:t>y 1995</w:t>
      </w:r>
    </w:p>
    <w:p w14:paraId="74D17C8E" w14:textId="77777777" w:rsidR="00FC00B9" w:rsidRPr="00B524F5" w:rsidRDefault="00FC00B9" w:rsidP="00FC00B9">
      <w:pPr>
        <w:contextualSpacing/>
        <w:rPr>
          <w:szCs w:val="20"/>
        </w:rPr>
      </w:pPr>
    </w:p>
    <w:p w14:paraId="23A44840" w14:textId="2CE12503" w:rsidR="00FC00B9" w:rsidRPr="00B5381E" w:rsidRDefault="00FC00B9" w:rsidP="00FC00B9">
      <w:pPr>
        <w:numPr>
          <w:ilvl w:val="0"/>
          <w:numId w:val="1"/>
        </w:numPr>
        <w:contextualSpacing/>
        <w:rPr>
          <w:szCs w:val="20"/>
          <w:lang w:val="es-ES"/>
        </w:rPr>
      </w:pPr>
      <w:r>
        <w:rPr>
          <w:spacing w:val="-3"/>
          <w:szCs w:val="20"/>
          <w:lang w:val="es-ES"/>
        </w:rPr>
        <w:t xml:space="preserve">La Corte recuerda que, </w:t>
      </w:r>
      <w:r w:rsidRPr="00B5381E">
        <w:rPr>
          <w:lang w:val="es-ES"/>
        </w:rPr>
        <w:t>de acuerdo con la prueba</w:t>
      </w:r>
      <w:r>
        <w:rPr>
          <w:lang w:val="es-ES"/>
        </w:rPr>
        <w:t>,</w:t>
      </w:r>
      <w:r w:rsidRPr="00B5381E">
        <w:rPr>
          <w:lang w:val="es-ES"/>
        </w:rPr>
        <w:t xml:space="preserve"> no hubo ning</w:t>
      </w:r>
      <w:r w:rsidR="00B530AA">
        <w:rPr>
          <w:lang w:val="es-ES"/>
        </w:rPr>
        <w:t>u</w:t>
      </w:r>
      <w:r w:rsidRPr="00B5381E">
        <w:rPr>
          <w:lang w:val="es-ES"/>
        </w:rPr>
        <w:t>n</w:t>
      </w:r>
      <w:r w:rsidR="00B530AA">
        <w:rPr>
          <w:lang w:val="es-ES"/>
        </w:rPr>
        <w:t>a actuación</w:t>
      </w:r>
      <w:r w:rsidRPr="00B5381E">
        <w:rPr>
          <w:lang w:val="es-ES"/>
        </w:rPr>
        <w:t xml:space="preserve"> </w:t>
      </w:r>
      <w:r w:rsidR="00225C87">
        <w:rPr>
          <w:lang w:val="es-ES"/>
        </w:rPr>
        <w:t>relevante en la investigación sobre ese incidente</w:t>
      </w:r>
      <w:r w:rsidRPr="00B5381E">
        <w:rPr>
          <w:lang w:val="es-ES"/>
        </w:rPr>
        <w:t xml:space="preserve"> entre 1995 </w:t>
      </w:r>
      <w:r w:rsidR="006C31F8">
        <w:rPr>
          <w:lang w:val="es-ES"/>
        </w:rPr>
        <w:t>y 2002. El 27 de agosto de 2002</w:t>
      </w:r>
      <w:r w:rsidRPr="00B5381E">
        <w:rPr>
          <w:lang w:val="es-ES"/>
        </w:rPr>
        <w:t xml:space="preserve"> el expediente </w:t>
      </w:r>
      <w:r w:rsidR="004E129F">
        <w:rPr>
          <w:lang w:val="es-ES"/>
        </w:rPr>
        <w:t xml:space="preserve">IP No. </w:t>
      </w:r>
      <w:r w:rsidR="00B21CA7">
        <w:rPr>
          <w:lang w:val="es-ES"/>
        </w:rPr>
        <w:t>52/94</w:t>
      </w:r>
      <w:r w:rsidRPr="00B5381E">
        <w:rPr>
          <w:lang w:val="es-ES"/>
        </w:rPr>
        <w:t xml:space="preserve"> fue renumerado con el No. 141/02 </w:t>
      </w:r>
      <w:r w:rsidRPr="00F92ED0">
        <w:rPr>
          <w:lang w:val="es-EC"/>
        </w:rPr>
        <w:t xml:space="preserve">por la </w:t>
      </w:r>
      <w:proofErr w:type="spellStart"/>
      <w:r w:rsidRPr="00AD0CDF">
        <w:rPr>
          <w:i/>
          <w:lang w:val="es-EC"/>
        </w:rPr>
        <w:t>Corregedoria</w:t>
      </w:r>
      <w:proofErr w:type="spellEnd"/>
      <w:r>
        <w:rPr>
          <w:lang w:val="es-EC"/>
        </w:rPr>
        <w:t xml:space="preserve"> Interna de la Policía (</w:t>
      </w:r>
      <w:r w:rsidRPr="00B5381E">
        <w:rPr>
          <w:lang w:val="es-ES"/>
        </w:rPr>
        <w:t>COINPOL</w:t>
      </w:r>
      <w:r>
        <w:rPr>
          <w:lang w:val="es-ES"/>
        </w:rPr>
        <w:t>)</w:t>
      </w:r>
      <w:r w:rsidRPr="00B107EF">
        <w:rPr>
          <w:rStyle w:val="FootnoteReference"/>
        </w:rPr>
        <w:footnoteReference w:id="223"/>
      </w:r>
      <w:r w:rsidRPr="00B5381E">
        <w:rPr>
          <w:lang w:val="es-ES"/>
        </w:rPr>
        <w:t xml:space="preserve">. </w:t>
      </w:r>
      <w:r w:rsidRPr="00F92ED0">
        <w:rPr>
          <w:lang w:val="es-EC"/>
        </w:rPr>
        <w:t>E</w:t>
      </w:r>
      <w:r w:rsidRPr="00F92ED0">
        <w:rPr>
          <w:rFonts w:cs="Times New Roman"/>
          <w:lang w:val="es-ES"/>
        </w:rPr>
        <w:t xml:space="preserve">l 15 de diciembre de 2003 la investigación </w:t>
      </w:r>
      <w:r w:rsidR="004E129F">
        <w:rPr>
          <w:lang w:val="es-EC"/>
        </w:rPr>
        <w:t xml:space="preserve">IP No. </w:t>
      </w:r>
      <w:r w:rsidR="00B21CA7">
        <w:rPr>
          <w:lang w:val="es-EC"/>
        </w:rPr>
        <w:t>187/94</w:t>
      </w:r>
      <w:r w:rsidRPr="00F92ED0">
        <w:rPr>
          <w:lang w:val="es-EC"/>
        </w:rPr>
        <w:t xml:space="preserve"> </w:t>
      </w:r>
      <w:r w:rsidRPr="00F92ED0">
        <w:rPr>
          <w:rFonts w:cs="Times New Roman"/>
          <w:lang w:val="es-ES"/>
        </w:rPr>
        <w:t xml:space="preserve">fue renumerada por la COINPOL con el número </w:t>
      </w:r>
      <w:r w:rsidR="004E129F">
        <w:rPr>
          <w:rFonts w:cs="Times New Roman"/>
          <w:lang w:val="es-ES"/>
        </w:rPr>
        <w:t>IP No. 225/03</w:t>
      </w:r>
      <w:r w:rsidRPr="00F92ED0">
        <w:rPr>
          <w:rFonts w:cs="Times New Roman"/>
          <w:lang w:val="es-ES"/>
        </w:rPr>
        <w:t xml:space="preserve">. </w:t>
      </w:r>
      <w:r w:rsidRPr="00B5381E">
        <w:rPr>
          <w:lang w:val="es-ES"/>
        </w:rPr>
        <w:t xml:space="preserve">Entre el 22 de enero de 2004 y el 26 de febrero de 2007 se presentaron varias solicitudes para el otorgamiento de plazos para </w:t>
      </w:r>
      <w:r>
        <w:rPr>
          <w:lang w:val="es-ES"/>
        </w:rPr>
        <w:t>dar cumplimiento a</w:t>
      </w:r>
      <w:r w:rsidRPr="00B5381E">
        <w:rPr>
          <w:lang w:val="es-ES"/>
        </w:rPr>
        <w:t xml:space="preserve"> distintas diligencias ordenadas</w:t>
      </w:r>
      <w:r>
        <w:rPr>
          <w:rStyle w:val="FootnoteReference"/>
        </w:rPr>
        <w:footnoteReference w:id="224"/>
      </w:r>
      <w:r w:rsidRPr="00B5381E">
        <w:rPr>
          <w:lang w:val="es-ES"/>
        </w:rPr>
        <w:t>.</w:t>
      </w:r>
    </w:p>
    <w:p w14:paraId="7074920B" w14:textId="77777777" w:rsidR="00FC00B9" w:rsidRDefault="00FC00B9" w:rsidP="00FC00B9">
      <w:pPr>
        <w:pStyle w:val="ListParagraph"/>
        <w:rPr>
          <w:szCs w:val="20"/>
        </w:rPr>
      </w:pPr>
    </w:p>
    <w:p w14:paraId="4313A52F" w14:textId="772AD33A" w:rsidR="00FC00B9" w:rsidRPr="00B5381E" w:rsidRDefault="00FC00B9" w:rsidP="00FC00B9">
      <w:pPr>
        <w:numPr>
          <w:ilvl w:val="0"/>
          <w:numId w:val="1"/>
        </w:numPr>
        <w:contextualSpacing/>
        <w:rPr>
          <w:szCs w:val="20"/>
          <w:lang w:val="es-ES"/>
        </w:rPr>
      </w:pPr>
      <w:r>
        <w:rPr>
          <w:lang w:val="es-EC"/>
        </w:rPr>
        <w:t>En e</w:t>
      </w:r>
      <w:r w:rsidRPr="005009E3">
        <w:rPr>
          <w:lang w:val="es-EC"/>
        </w:rPr>
        <w:t xml:space="preserve">l 2007 </w:t>
      </w:r>
      <w:r>
        <w:rPr>
          <w:lang w:val="es-EC"/>
        </w:rPr>
        <w:t xml:space="preserve">el </w:t>
      </w:r>
      <w:r w:rsidR="004E129F">
        <w:rPr>
          <w:lang w:val="es-EC"/>
        </w:rPr>
        <w:t xml:space="preserve">IP No. </w:t>
      </w:r>
      <w:r w:rsidR="00B21CA7">
        <w:rPr>
          <w:lang w:val="es-EC"/>
        </w:rPr>
        <w:t>187/94</w:t>
      </w:r>
      <w:r>
        <w:rPr>
          <w:lang w:val="es-EC"/>
        </w:rPr>
        <w:t xml:space="preserve"> y el </w:t>
      </w:r>
      <w:r w:rsidR="004E129F">
        <w:rPr>
          <w:lang w:val="es-EC"/>
        </w:rPr>
        <w:t xml:space="preserve">IP No. </w:t>
      </w:r>
      <w:r w:rsidR="00B21CA7">
        <w:rPr>
          <w:lang w:val="es-EC"/>
        </w:rPr>
        <w:t>52/94</w:t>
      </w:r>
      <w:r w:rsidRPr="005009E3">
        <w:rPr>
          <w:lang w:val="es-EC"/>
        </w:rPr>
        <w:t xml:space="preserve"> se agruparon en el </w:t>
      </w:r>
      <w:r w:rsidR="004E129F">
        <w:rPr>
          <w:lang w:val="es-EC"/>
        </w:rPr>
        <w:t>IP No. 141/02</w:t>
      </w:r>
      <w:r w:rsidRPr="005009E3">
        <w:rPr>
          <w:lang w:val="es-EC"/>
        </w:rPr>
        <w:t xml:space="preserve"> de la </w:t>
      </w:r>
      <w:r w:rsidRPr="00B5381E">
        <w:rPr>
          <w:lang w:val="es-ES"/>
        </w:rPr>
        <w:t>COINPOL</w:t>
      </w:r>
      <w:r w:rsidRPr="00B107EF">
        <w:rPr>
          <w:rStyle w:val="FootnoteReference"/>
          <w:lang w:val="es-EC"/>
        </w:rPr>
        <w:footnoteReference w:id="225"/>
      </w:r>
      <w:r w:rsidRPr="005009E3">
        <w:rPr>
          <w:lang w:val="es-EC"/>
        </w:rPr>
        <w:t xml:space="preserve">.  </w:t>
      </w:r>
      <w:r>
        <w:rPr>
          <w:lang w:val="es-EC"/>
        </w:rPr>
        <w:t>E</w:t>
      </w:r>
      <w:r w:rsidRPr="00CB0BE6">
        <w:rPr>
          <w:lang w:val="es-EC"/>
        </w:rPr>
        <w:t xml:space="preserve">l 15 de febrero de 2008 el </w:t>
      </w:r>
      <w:r w:rsidRPr="00B5381E">
        <w:rPr>
          <w:lang w:val="es-ES"/>
        </w:rPr>
        <w:t>Jefe de Policía que estuvo a cargo de la redada policial fue citado para rendir su declaración sobre los hechos</w:t>
      </w:r>
      <w:r w:rsidRPr="0062404F">
        <w:rPr>
          <w:rStyle w:val="FootnoteReference"/>
        </w:rPr>
        <w:footnoteReference w:id="226"/>
      </w:r>
      <w:r>
        <w:rPr>
          <w:lang w:val="es-ES"/>
        </w:rPr>
        <w:t>,</w:t>
      </w:r>
      <w:r w:rsidRPr="00B5381E">
        <w:rPr>
          <w:lang w:val="es-ES"/>
        </w:rPr>
        <w:t xml:space="preserve"> y el 19 de septiembre de 2008 una orden de citación determinó la búsqueda de los familiares de las víctimas </w:t>
      </w:r>
      <w:r>
        <w:rPr>
          <w:lang w:val="es-ES"/>
        </w:rPr>
        <w:t>muertas</w:t>
      </w:r>
      <w:r>
        <w:rPr>
          <w:rStyle w:val="FootnoteReference"/>
        </w:rPr>
        <w:footnoteReference w:id="227"/>
      </w:r>
      <w:r w:rsidRPr="00B5381E">
        <w:rPr>
          <w:lang w:val="es-ES"/>
        </w:rPr>
        <w:t>.</w:t>
      </w:r>
    </w:p>
    <w:p w14:paraId="63B4D935" w14:textId="77777777" w:rsidR="00FC00B9" w:rsidRDefault="00FC00B9" w:rsidP="00FC00B9">
      <w:pPr>
        <w:pStyle w:val="ListParagraph"/>
        <w:rPr>
          <w:szCs w:val="20"/>
        </w:rPr>
      </w:pPr>
    </w:p>
    <w:p w14:paraId="2BFDBDFE" w14:textId="455BB4A2" w:rsidR="00FC00B9" w:rsidRPr="00B5381E" w:rsidRDefault="00FC00B9" w:rsidP="00FC00B9">
      <w:pPr>
        <w:numPr>
          <w:ilvl w:val="0"/>
          <w:numId w:val="1"/>
        </w:numPr>
        <w:contextualSpacing/>
        <w:rPr>
          <w:szCs w:val="20"/>
          <w:lang w:val="es-ES"/>
        </w:rPr>
      </w:pPr>
      <w:r>
        <w:rPr>
          <w:lang w:val="es-EC"/>
        </w:rPr>
        <w:t>El 18</w:t>
      </w:r>
      <w:r w:rsidRPr="00E955CD">
        <w:rPr>
          <w:lang w:val="es-EC"/>
        </w:rPr>
        <w:t xml:space="preserve"> de agosto</w:t>
      </w:r>
      <w:r>
        <w:rPr>
          <w:lang w:val="es-EC"/>
        </w:rPr>
        <w:t xml:space="preserve"> de 2009</w:t>
      </w:r>
      <w:r w:rsidRPr="00E955CD">
        <w:rPr>
          <w:lang w:val="es-EC"/>
        </w:rPr>
        <w:t xml:space="preserve"> fue </w:t>
      </w:r>
      <w:r>
        <w:rPr>
          <w:lang w:val="es-EC"/>
        </w:rPr>
        <w:t>enviado al Ministerio Público</w:t>
      </w:r>
      <w:r w:rsidRPr="00E955CD">
        <w:rPr>
          <w:lang w:val="es-EC"/>
        </w:rPr>
        <w:t xml:space="preserve"> el informe final, señalando que se extinguía la acción penal, aplicándose la prescripción por el paso del tiempo</w:t>
      </w:r>
      <w:r>
        <w:rPr>
          <w:rStyle w:val="FootnoteReference"/>
          <w:lang w:val="es-EC"/>
        </w:rPr>
        <w:footnoteReference w:id="228"/>
      </w:r>
      <w:r w:rsidRPr="00E955CD">
        <w:rPr>
          <w:lang w:val="es-EC"/>
        </w:rPr>
        <w:t xml:space="preserve">. </w:t>
      </w:r>
      <w:r w:rsidRPr="00566A41">
        <w:rPr>
          <w:lang w:val="es-EC"/>
        </w:rPr>
        <w:t>El 1 de octubre de 2009 el Ministerio Público solicitó el archivo del caso “en razón de la inevitable extinción de punibilidad por la prescripción”</w:t>
      </w:r>
      <w:r>
        <w:rPr>
          <w:rStyle w:val="FootnoteReference"/>
          <w:lang w:val="es-EC"/>
        </w:rPr>
        <w:footnoteReference w:id="229"/>
      </w:r>
      <w:r w:rsidRPr="00566A41">
        <w:rPr>
          <w:lang w:val="es-EC"/>
        </w:rPr>
        <w:t xml:space="preserve">. El 3 de noviembre de 2009 el Juez del 31º </w:t>
      </w:r>
      <w:r w:rsidRPr="00566A41">
        <w:rPr>
          <w:lang w:val="es-EC"/>
        </w:rPr>
        <w:lastRenderedPageBreak/>
        <w:t xml:space="preserve">Juzgado Penal del Estado de Río de Janeiro, basándose en las consideraciones del Ministerio Público, determinó el archivo del expediente </w:t>
      </w:r>
      <w:r w:rsidR="004E129F">
        <w:rPr>
          <w:lang w:val="es-EC"/>
        </w:rPr>
        <w:t>IP No. 141/02</w:t>
      </w:r>
      <w:r w:rsidR="00225C87">
        <w:rPr>
          <w:rStyle w:val="FootnoteReference"/>
          <w:lang w:val="es-EC"/>
        </w:rPr>
        <w:footnoteReference w:id="230"/>
      </w:r>
      <w:r w:rsidRPr="00566A41">
        <w:rPr>
          <w:lang w:val="es-EC"/>
        </w:rPr>
        <w:t>.</w:t>
      </w:r>
    </w:p>
    <w:p w14:paraId="406E76CA" w14:textId="77777777" w:rsidR="00FC00B9" w:rsidRPr="00225C87" w:rsidRDefault="00FC00B9" w:rsidP="00FC00B9">
      <w:pPr>
        <w:pStyle w:val="ListParagraph"/>
        <w:rPr>
          <w:szCs w:val="20"/>
          <w:lang w:val="es-ES"/>
        </w:rPr>
      </w:pPr>
    </w:p>
    <w:p w14:paraId="68D00217" w14:textId="77777777" w:rsidR="00FC00B9" w:rsidRPr="00262C14" w:rsidRDefault="00225C87" w:rsidP="00FC00B9">
      <w:pPr>
        <w:numPr>
          <w:ilvl w:val="0"/>
          <w:numId w:val="1"/>
        </w:numPr>
        <w:contextualSpacing/>
        <w:rPr>
          <w:szCs w:val="20"/>
          <w:lang w:val="es-ES"/>
        </w:rPr>
      </w:pPr>
      <w:r>
        <w:rPr>
          <w:rFonts w:eastAsia="SimSun" w:cs="Times New Roman"/>
          <w:lang w:val="es-ES" w:eastAsia="zh-CN"/>
        </w:rPr>
        <w:t xml:space="preserve">Como consecuencia de la </w:t>
      </w:r>
      <w:r w:rsidR="00FC00B9">
        <w:rPr>
          <w:rFonts w:eastAsia="SimSun" w:cs="Times New Roman"/>
          <w:lang w:val="es-ES" w:eastAsia="zh-CN"/>
        </w:rPr>
        <w:t xml:space="preserve">emisión del Informe de Fondo No. 141/11 </w:t>
      </w:r>
      <w:r>
        <w:rPr>
          <w:rFonts w:eastAsia="SimSun" w:cs="Times New Roman"/>
          <w:lang w:val="es-ES" w:eastAsia="zh-CN"/>
        </w:rPr>
        <w:t xml:space="preserve">por parte de </w:t>
      </w:r>
      <w:r w:rsidR="00FC00B9">
        <w:rPr>
          <w:rFonts w:eastAsia="SimSun" w:cs="Times New Roman"/>
          <w:lang w:val="es-ES" w:eastAsia="zh-CN"/>
        </w:rPr>
        <w:t>la Comisión Interamericana</w:t>
      </w:r>
      <w:r>
        <w:rPr>
          <w:rFonts w:eastAsia="SimSun" w:cs="Times New Roman"/>
          <w:lang w:val="es-ES" w:eastAsia="zh-CN"/>
        </w:rPr>
        <w:t xml:space="preserve"> y su notificación al Estado brasileño, en marzo </w:t>
      </w:r>
      <w:r w:rsidRPr="000C0937">
        <w:rPr>
          <w:rFonts w:eastAsia="SimSun" w:cs="Times New Roman"/>
          <w:lang w:val="es-ES" w:eastAsia="zh-CN"/>
        </w:rPr>
        <w:t>de 2013 el Ministerio Público</w:t>
      </w:r>
      <w:r w:rsidR="00FC00B9">
        <w:rPr>
          <w:rFonts w:eastAsia="SimSun" w:cs="Times New Roman"/>
          <w:lang w:val="es-ES" w:eastAsia="zh-CN"/>
        </w:rPr>
        <w:t xml:space="preserve"> solicitó el desarchivo de la investigación sobre los 13 homicidios ocu</w:t>
      </w:r>
      <w:r>
        <w:rPr>
          <w:rFonts w:eastAsia="SimSun" w:cs="Times New Roman"/>
          <w:lang w:val="es-ES" w:eastAsia="zh-CN"/>
        </w:rPr>
        <w:t xml:space="preserve">rridos el 18 de octubre de 2014. Posteriormente, </w:t>
      </w:r>
      <w:r w:rsidR="00FC00B9">
        <w:rPr>
          <w:rFonts w:eastAsia="SimSun" w:cs="Times New Roman"/>
          <w:lang w:val="es-ES" w:eastAsia="zh-CN"/>
        </w:rPr>
        <w:t xml:space="preserve">el 16 de mayo de 2013 </w:t>
      </w:r>
      <w:r>
        <w:rPr>
          <w:rFonts w:eastAsia="SimSun" w:cs="Times New Roman"/>
          <w:lang w:val="es-ES" w:eastAsia="zh-CN"/>
        </w:rPr>
        <w:t xml:space="preserve">el Ministerio Público </w:t>
      </w:r>
      <w:r w:rsidR="00FC00B9" w:rsidRPr="000C0937">
        <w:rPr>
          <w:rFonts w:eastAsia="SimSun" w:cs="Times New Roman"/>
          <w:lang w:val="es-ES" w:eastAsia="zh-CN"/>
        </w:rPr>
        <w:t xml:space="preserve">inició una acción penal en contra de seis involucrados en el operativo de la Favela Nova Brasilia. </w:t>
      </w:r>
      <w:r w:rsidR="00FC00B9" w:rsidRPr="00262C14">
        <w:rPr>
          <w:lang w:val="es-EC"/>
        </w:rPr>
        <w:t>El 21 de mayo de 2013 el 1º Juzgado Penal admitió la denuncia y ordenó la práctica de diversas diligencias</w:t>
      </w:r>
      <w:r w:rsidR="00FC00B9">
        <w:rPr>
          <w:rStyle w:val="FootnoteReference"/>
          <w:lang w:val="es-EC"/>
        </w:rPr>
        <w:footnoteReference w:id="231"/>
      </w:r>
      <w:r w:rsidR="00FC00B9" w:rsidRPr="00262C14">
        <w:rPr>
          <w:lang w:val="es-EC"/>
        </w:rPr>
        <w:t>. El 18 de diciembre de 2013 fue realizada una audiencia de instrucción y juzgamiento</w:t>
      </w:r>
      <w:r w:rsidR="00FC00B9">
        <w:rPr>
          <w:rStyle w:val="FootnoteReference"/>
          <w:lang w:val="es-EC"/>
        </w:rPr>
        <w:footnoteReference w:id="232"/>
      </w:r>
      <w:r w:rsidR="00FC00B9" w:rsidRPr="00262C14">
        <w:rPr>
          <w:lang w:val="es-EC"/>
        </w:rPr>
        <w:t>. El 17 de enero de 2014 el Ministerio Público requirió que fueran localizadas J.F.C, C.S.S. y L.R.J.</w:t>
      </w:r>
      <w:r w:rsidR="00FC00B9">
        <w:rPr>
          <w:rStyle w:val="FootnoteReference"/>
          <w:lang w:val="es-EC"/>
        </w:rPr>
        <w:footnoteReference w:id="233"/>
      </w:r>
      <w:r w:rsidR="00FC00B9" w:rsidRPr="00262C14">
        <w:rPr>
          <w:lang w:val="es-EC"/>
        </w:rPr>
        <w:t>. El 7 de julio de 2014 se realizó la continuación de la audiencia de instrucción y juzgamiento</w:t>
      </w:r>
      <w:r w:rsidR="00FC00B9">
        <w:rPr>
          <w:rStyle w:val="FootnoteReference"/>
          <w:lang w:val="es-EC"/>
        </w:rPr>
        <w:footnoteReference w:id="234"/>
      </w:r>
      <w:r w:rsidR="00FC00B9" w:rsidRPr="00262C14">
        <w:rPr>
          <w:lang w:val="es-EC"/>
        </w:rPr>
        <w:t xml:space="preserve">. </w:t>
      </w:r>
    </w:p>
    <w:p w14:paraId="0EED1CFA" w14:textId="77777777" w:rsidR="00FC00B9" w:rsidRDefault="00FC00B9" w:rsidP="00FC00B9">
      <w:pPr>
        <w:pStyle w:val="ListParagraph"/>
        <w:rPr>
          <w:szCs w:val="20"/>
        </w:rPr>
      </w:pPr>
    </w:p>
    <w:p w14:paraId="397D5686" w14:textId="77777777" w:rsidR="00FC00B9" w:rsidRPr="0094117C" w:rsidRDefault="00FC00B9" w:rsidP="00FC00B9">
      <w:pPr>
        <w:numPr>
          <w:ilvl w:val="0"/>
          <w:numId w:val="1"/>
        </w:numPr>
        <w:contextualSpacing/>
        <w:rPr>
          <w:szCs w:val="20"/>
          <w:lang w:val="es-ES"/>
        </w:rPr>
      </w:pPr>
      <w:r w:rsidRPr="00DE4D64">
        <w:rPr>
          <w:lang w:val="es-EC"/>
        </w:rPr>
        <w:t>El 1</w:t>
      </w:r>
      <w:r>
        <w:rPr>
          <w:lang w:val="es-EC"/>
        </w:rPr>
        <w:t xml:space="preserve">º </w:t>
      </w:r>
      <w:r w:rsidRPr="00DE4D64">
        <w:rPr>
          <w:lang w:val="es-EC"/>
        </w:rPr>
        <w:t>de septiembre de 2014 el Ministerio Público requirió nuevamente la práctica de diligencias para localizar a J.F.C, C.S.S. y L.R.J., quienes no habían podido ser localizadas</w:t>
      </w:r>
      <w:r>
        <w:rPr>
          <w:rStyle w:val="FootnoteReference"/>
          <w:lang w:val="es-EC"/>
        </w:rPr>
        <w:footnoteReference w:id="235"/>
      </w:r>
      <w:r w:rsidRPr="00DE4D64">
        <w:rPr>
          <w:lang w:val="es-EC"/>
        </w:rPr>
        <w:t>. El 23 de octubre de 2014 L.R.J. fue contactada por teléfono</w:t>
      </w:r>
      <w:r>
        <w:rPr>
          <w:rStyle w:val="FootnoteReference"/>
          <w:lang w:val="es-EC"/>
        </w:rPr>
        <w:footnoteReference w:id="236"/>
      </w:r>
      <w:r w:rsidRPr="00DE4D64">
        <w:rPr>
          <w:lang w:val="es-EC"/>
        </w:rPr>
        <w:t xml:space="preserve">. El 27 de marzo de 2015 el Ministerio Público solicitó la citación de L.R.J. en el domicilio que había informado, así como  la expedición de oficios en que constara el número de </w:t>
      </w:r>
      <w:r>
        <w:rPr>
          <w:lang w:val="es-EC"/>
        </w:rPr>
        <w:t>registro civil (CPF)</w:t>
      </w:r>
      <w:r w:rsidRPr="00DE4D64">
        <w:rPr>
          <w:lang w:val="es-EC"/>
        </w:rPr>
        <w:t xml:space="preserve"> de C.S.S.</w:t>
      </w:r>
      <w:r>
        <w:rPr>
          <w:rStyle w:val="FootnoteReference"/>
          <w:lang w:val="es-EC"/>
        </w:rPr>
        <w:footnoteReference w:id="237"/>
      </w:r>
      <w:r w:rsidRPr="00DE4D64">
        <w:rPr>
          <w:lang w:val="es-EC"/>
        </w:rPr>
        <w:t>; y el 8 de abril de 2015 se ordenó la tramitación de estas solicitudes</w:t>
      </w:r>
      <w:r>
        <w:rPr>
          <w:rStyle w:val="FootnoteReference"/>
          <w:lang w:val="es-EC"/>
        </w:rPr>
        <w:footnoteReference w:id="238"/>
      </w:r>
      <w:r w:rsidRPr="00DE4D64">
        <w:rPr>
          <w:lang w:val="es-EC"/>
        </w:rPr>
        <w:t xml:space="preserve">. </w:t>
      </w:r>
      <w:r w:rsidRPr="00943DBF">
        <w:rPr>
          <w:lang w:val="es-EC"/>
        </w:rPr>
        <w:t xml:space="preserve">El 2 de agosto de 2016 se llevó a cabo una audiencia en la que C.S.S. declaró como testigo y L.R.J. presentó su examen médico; J.F.C. no fue localizada. </w:t>
      </w:r>
    </w:p>
    <w:p w14:paraId="186D12E5" w14:textId="77777777" w:rsidR="00FC00B9" w:rsidRDefault="00FC00B9" w:rsidP="00FC00B9">
      <w:pPr>
        <w:pStyle w:val="ListParagraph"/>
        <w:rPr>
          <w:szCs w:val="20"/>
          <w:lang w:val="es-ES"/>
        </w:rPr>
      </w:pPr>
    </w:p>
    <w:p w14:paraId="2B7AA838" w14:textId="0CBDBABB" w:rsidR="00FC00B9" w:rsidRDefault="00FC00B9" w:rsidP="00FC00B9">
      <w:pPr>
        <w:numPr>
          <w:ilvl w:val="0"/>
          <w:numId w:val="1"/>
        </w:numPr>
        <w:contextualSpacing/>
        <w:rPr>
          <w:szCs w:val="20"/>
          <w:lang w:val="es-ES"/>
        </w:rPr>
      </w:pPr>
      <w:r>
        <w:rPr>
          <w:szCs w:val="20"/>
          <w:lang w:val="es-ES"/>
        </w:rPr>
        <w:t xml:space="preserve">Respecto de lo anterior, la Corte nota que </w:t>
      </w:r>
      <w:r w:rsidR="00FF5B4D" w:rsidRPr="0094117C">
        <w:rPr>
          <w:lang w:val="es-ES"/>
        </w:rPr>
        <w:t>hasta la fecha</w:t>
      </w:r>
      <w:r w:rsidR="00FF5B4D">
        <w:rPr>
          <w:szCs w:val="20"/>
          <w:lang w:val="es-ES"/>
        </w:rPr>
        <w:t xml:space="preserve"> </w:t>
      </w:r>
      <w:r>
        <w:rPr>
          <w:szCs w:val="20"/>
          <w:lang w:val="es-ES"/>
        </w:rPr>
        <w:t>l</w:t>
      </w:r>
      <w:r w:rsidRPr="0094117C">
        <w:rPr>
          <w:lang w:val="es-ES"/>
        </w:rPr>
        <w:t xml:space="preserve">as investigaciones sobre las muertes de las 13 </w:t>
      </w:r>
      <w:r>
        <w:rPr>
          <w:lang w:val="es-ES"/>
        </w:rPr>
        <w:t>personas muertas</w:t>
      </w:r>
      <w:r w:rsidR="000F04AC">
        <w:rPr>
          <w:lang w:val="es-ES"/>
        </w:rPr>
        <w:t xml:space="preserve"> durante el operativo de 1994</w:t>
      </w:r>
      <w:r w:rsidRPr="0094117C">
        <w:rPr>
          <w:lang w:val="es-ES"/>
        </w:rPr>
        <w:t xml:space="preserve"> no han esclarecido </w:t>
      </w:r>
      <w:r w:rsidR="00FF5B4D">
        <w:rPr>
          <w:lang w:val="es-ES"/>
        </w:rPr>
        <w:t xml:space="preserve">los hechos </w:t>
      </w:r>
      <w:r>
        <w:rPr>
          <w:lang w:val="es-ES"/>
        </w:rPr>
        <w:t>y nadie fue sancionado</w:t>
      </w:r>
      <w:r w:rsidRPr="0094117C">
        <w:rPr>
          <w:lang w:val="es-ES"/>
        </w:rPr>
        <w:t>.</w:t>
      </w:r>
      <w:r>
        <w:rPr>
          <w:lang w:val="es-ES"/>
        </w:rPr>
        <w:t xml:space="preserve"> En primer lugar, la Corte destaca los prolongados períodos de tiempo sin que se realizaran actuaciones relevantes en las investigaciones. Entre 1996 y 2000 no se llevó a cabo ninguna actuación; en 2000 se ordenó la práctica de una diligencia; en 2002 y 2003 se renumeraron los expedientes; entre 2004 y 2007 </w:t>
      </w:r>
      <w:r w:rsidRPr="00B5381E">
        <w:rPr>
          <w:lang w:val="es-ES"/>
        </w:rPr>
        <w:t xml:space="preserve">se </w:t>
      </w:r>
      <w:r>
        <w:rPr>
          <w:lang w:val="es-ES"/>
        </w:rPr>
        <w:t>otorgaron varios</w:t>
      </w:r>
      <w:r w:rsidRPr="00B5381E">
        <w:rPr>
          <w:lang w:val="es-ES"/>
        </w:rPr>
        <w:t xml:space="preserve"> plazos</w:t>
      </w:r>
      <w:r>
        <w:rPr>
          <w:lang w:val="es-ES"/>
        </w:rPr>
        <w:t xml:space="preserve">; en 2007 finalmente se unieron los dos procesos que se seguían en paralelo; en 2008 se realizaron diligencias poco relevantes, y finalmente en 2009 </w:t>
      </w:r>
      <w:r>
        <w:rPr>
          <w:lang w:val="es-EC"/>
        </w:rPr>
        <w:t>se extinguió</w:t>
      </w:r>
      <w:r w:rsidRPr="00E955CD">
        <w:rPr>
          <w:lang w:val="es-EC"/>
        </w:rPr>
        <w:t xml:space="preserve"> la acción penal, aplicándose la prescripción por el paso del tiempo</w:t>
      </w:r>
      <w:r>
        <w:rPr>
          <w:lang w:val="es-EC"/>
        </w:rPr>
        <w:t>.</w:t>
      </w:r>
      <w:r>
        <w:rPr>
          <w:szCs w:val="20"/>
          <w:lang w:val="es-ES"/>
        </w:rPr>
        <w:t xml:space="preserve"> </w:t>
      </w:r>
      <w:r w:rsidRPr="00C42E8E">
        <w:rPr>
          <w:szCs w:val="20"/>
          <w:lang w:val="es-ES"/>
        </w:rPr>
        <w:t xml:space="preserve">La reapertura del expediente en 2013 </w:t>
      </w:r>
      <w:r w:rsidR="00F413E5">
        <w:rPr>
          <w:szCs w:val="20"/>
          <w:lang w:val="es-ES"/>
        </w:rPr>
        <w:t xml:space="preserve">representa un paso importante, pero </w:t>
      </w:r>
      <w:r w:rsidRPr="00C42E8E">
        <w:rPr>
          <w:szCs w:val="20"/>
          <w:lang w:val="es-ES"/>
        </w:rPr>
        <w:t xml:space="preserve">tampoco ha </w:t>
      </w:r>
      <w:r w:rsidR="00F413E5">
        <w:rPr>
          <w:szCs w:val="20"/>
          <w:lang w:val="es-ES"/>
        </w:rPr>
        <w:t xml:space="preserve">representado </w:t>
      </w:r>
      <w:r w:rsidRPr="00C42E8E">
        <w:rPr>
          <w:szCs w:val="20"/>
          <w:lang w:val="es-ES"/>
        </w:rPr>
        <w:t xml:space="preserve">un avance </w:t>
      </w:r>
      <w:r>
        <w:rPr>
          <w:szCs w:val="20"/>
          <w:lang w:val="es-ES"/>
        </w:rPr>
        <w:t xml:space="preserve">significativo o decisivo </w:t>
      </w:r>
      <w:r w:rsidRPr="00C42E8E">
        <w:rPr>
          <w:szCs w:val="20"/>
          <w:lang w:val="es-ES"/>
        </w:rPr>
        <w:t xml:space="preserve">en </w:t>
      </w:r>
      <w:r w:rsidR="00F413E5">
        <w:rPr>
          <w:szCs w:val="20"/>
          <w:lang w:val="es-ES"/>
        </w:rPr>
        <w:t>la investigación y el proceso penal</w:t>
      </w:r>
      <w:r>
        <w:rPr>
          <w:szCs w:val="20"/>
          <w:lang w:val="es-ES"/>
        </w:rPr>
        <w:t>.</w:t>
      </w:r>
    </w:p>
    <w:p w14:paraId="1B943BB2" w14:textId="77777777" w:rsidR="00FC00B9" w:rsidRPr="00DA2437" w:rsidRDefault="00FC00B9" w:rsidP="00FC00B9">
      <w:pPr>
        <w:contextualSpacing/>
        <w:rPr>
          <w:szCs w:val="20"/>
          <w:lang w:val="es-ES"/>
        </w:rPr>
      </w:pPr>
    </w:p>
    <w:p w14:paraId="20C2DCDB" w14:textId="29937437" w:rsidR="00FC00B9" w:rsidRPr="002B65A9" w:rsidRDefault="00FC00B9" w:rsidP="00FC00B9">
      <w:pPr>
        <w:numPr>
          <w:ilvl w:val="0"/>
          <w:numId w:val="1"/>
        </w:numPr>
        <w:contextualSpacing/>
        <w:rPr>
          <w:szCs w:val="20"/>
        </w:rPr>
      </w:pPr>
      <w:r w:rsidRPr="00203A82">
        <w:rPr>
          <w:szCs w:val="20"/>
        </w:rPr>
        <w:t xml:space="preserve">La Corte estima que se produjo una demora en el desarrollo del proceso, </w:t>
      </w:r>
      <w:r>
        <w:rPr>
          <w:szCs w:val="20"/>
        </w:rPr>
        <w:t>como consecuencia principalmente de la falta de acción de las autoridades</w:t>
      </w:r>
      <w:r w:rsidR="00F413E5">
        <w:rPr>
          <w:szCs w:val="20"/>
        </w:rPr>
        <w:t>, lo</w:t>
      </w:r>
      <w:r>
        <w:rPr>
          <w:szCs w:val="20"/>
        </w:rPr>
        <w:t xml:space="preserve"> que trajo como consecuencia largos períodos de inactividad en las investigaciones</w:t>
      </w:r>
      <w:r w:rsidR="006664D0">
        <w:rPr>
          <w:szCs w:val="20"/>
        </w:rPr>
        <w:t>,</w:t>
      </w:r>
      <w:r>
        <w:rPr>
          <w:szCs w:val="20"/>
        </w:rPr>
        <w:t xml:space="preserve"> y el incumplimiento de diligencias ordenadas </w:t>
      </w:r>
      <w:r w:rsidR="00B530AA">
        <w:rPr>
          <w:szCs w:val="20"/>
        </w:rPr>
        <w:t xml:space="preserve">pero </w:t>
      </w:r>
      <w:r>
        <w:rPr>
          <w:szCs w:val="20"/>
        </w:rPr>
        <w:t xml:space="preserve">que no eran llevadas a cabo. Al respecto, </w:t>
      </w:r>
      <w:r w:rsidRPr="00134911">
        <w:rPr>
          <w:szCs w:val="20"/>
        </w:rPr>
        <w:t xml:space="preserve">el Estado no ha demostrado que haya existido una justificación para la inacción de </w:t>
      </w:r>
      <w:r>
        <w:rPr>
          <w:szCs w:val="20"/>
        </w:rPr>
        <w:t>sus</w:t>
      </w:r>
      <w:r w:rsidRPr="00134911">
        <w:rPr>
          <w:szCs w:val="20"/>
        </w:rPr>
        <w:t xml:space="preserve"> autoridades judiciales,</w:t>
      </w:r>
      <w:r>
        <w:rPr>
          <w:szCs w:val="20"/>
        </w:rPr>
        <w:t xml:space="preserve"> ni para</w:t>
      </w:r>
      <w:r w:rsidRPr="00134911">
        <w:rPr>
          <w:szCs w:val="20"/>
        </w:rPr>
        <w:t xml:space="preserve"> los largos espacios de tiempo </w:t>
      </w:r>
      <w:r>
        <w:rPr>
          <w:szCs w:val="20"/>
        </w:rPr>
        <w:t>en los que no existieron actuaciones</w:t>
      </w:r>
      <w:r w:rsidRPr="00134911">
        <w:rPr>
          <w:szCs w:val="20"/>
        </w:rPr>
        <w:t xml:space="preserve">. </w:t>
      </w:r>
    </w:p>
    <w:p w14:paraId="6E9F7215" w14:textId="77777777" w:rsidR="00FC00B9" w:rsidRDefault="00FC00B9" w:rsidP="00FC00B9">
      <w:pPr>
        <w:pStyle w:val="ListParagraph"/>
        <w:rPr>
          <w:szCs w:val="20"/>
        </w:rPr>
      </w:pPr>
    </w:p>
    <w:p w14:paraId="75E87621" w14:textId="37A727F4" w:rsidR="00FC00B9" w:rsidRDefault="00FC00B9" w:rsidP="00FC00B9">
      <w:pPr>
        <w:numPr>
          <w:ilvl w:val="0"/>
          <w:numId w:val="1"/>
        </w:numPr>
        <w:contextualSpacing/>
        <w:rPr>
          <w:szCs w:val="20"/>
        </w:rPr>
      </w:pPr>
      <w:r w:rsidRPr="002822C6">
        <w:rPr>
          <w:szCs w:val="20"/>
        </w:rPr>
        <w:lastRenderedPageBreak/>
        <w:t xml:space="preserve">El </w:t>
      </w:r>
      <w:r>
        <w:rPr>
          <w:szCs w:val="20"/>
        </w:rPr>
        <w:t xml:space="preserve">prolongado </w:t>
      </w:r>
      <w:r w:rsidRPr="002822C6">
        <w:rPr>
          <w:szCs w:val="20"/>
        </w:rPr>
        <w:t xml:space="preserve">paso del tiempo </w:t>
      </w:r>
      <w:r>
        <w:rPr>
          <w:szCs w:val="20"/>
        </w:rPr>
        <w:t>sin avances sustantivos en la investigación</w:t>
      </w:r>
      <w:r w:rsidRPr="002822C6">
        <w:rPr>
          <w:szCs w:val="20"/>
        </w:rPr>
        <w:t xml:space="preserve"> eventualmente provocó la prescripción</w:t>
      </w:r>
      <w:r>
        <w:rPr>
          <w:szCs w:val="20"/>
        </w:rPr>
        <w:t xml:space="preserve">, que fue </w:t>
      </w:r>
      <w:r w:rsidRPr="002822C6">
        <w:rPr>
          <w:szCs w:val="20"/>
        </w:rPr>
        <w:t xml:space="preserve">resultado de la falta de diligencia de las autoridades </w:t>
      </w:r>
      <w:r w:rsidRPr="002822C6">
        <w:rPr>
          <w:szCs w:val="20"/>
          <w:lang w:val="es-CL"/>
        </w:rPr>
        <w:t>judiciales, sobre quienes recaía la responsabilidad de tomar todas las medidas necesarias para investigar, juzgar y, en su caso, sancionar a los responsables</w:t>
      </w:r>
      <w:r w:rsidRPr="00E90FA0">
        <w:rPr>
          <w:rStyle w:val="FootnoteReference"/>
          <w:lang w:val="es-CL"/>
        </w:rPr>
        <w:footnoteReference w:id="239"/>
      </w:r>
      <w:r w:rsidRPr="002822C6">
        <w:rPr>
          <w:szCs w:val="20"/>
        </w:rPr>
        <w:t>, y como tal es una cuestión que es atribuible al Estado.</w:t>
      </w:r>
      <w:r w:rsidR="00F413E5">
        <w:rPr>
          <w:szCs w:val="20"/>
        </w:rPr>
        <w:t xml:space="preserve"> La reapertura de la investigación y la superación de la prescr</w:t>
      </w:r>
      <w:r w:rsidR="00B72ABD">
        <w:rPr>
          <w:szCs w:val="20"/>
        </w:rPr>
        <w:t xml:space="preserve">ipción por razones materiales en 2013 </w:t>
      </w:r>
      <w:r w:rsidR="00F413E5">
        <w:rPr>
          <w:szCs w:val="20"/>
        </w:rPr>
        <w:t>y la acción penal en curso desde entonces contra seis policías puede llegar a sancionar a algunos de los responsables, pero está limitada a un número limitado de agentes que participaron en la referida redada.</w:t>
      </w:r>
    </w:p>
    <w:p w14:paraId="7208BC68" w14:textId="77777777" w:rsidR="00FC00B9" w:rsidRDefault="00FC00B9" w:rsidP="00FC00B9">
      <w:pPr>
        <w:pStyle w:val="ListParagraph"/>
        <w:rPr>
          <w:szCs w:val="20"/>
        </w:rPr>
      </w:pPr>
    </w:p>
    <w:p w14:paraId="5430DBB0" w14:textId="1A71158B" w:rsidR="003F7ACF" w:rsidRPr="00DA0F87" w:rsidRDefault="00FC00B9" w:rsidP="003F7ACF">
      <w:pPr>
        <w:numPr>
          <w:ilvl w:val="0"/>
          <w:numId w:val="1"/>
        </w:numPr>
        <w:contextualSpacing/>
        <w:rPr>
          <w:szCs w:val="20"/>
        </w:rPr>
      </w:pPr>
      <w:r w:rsidRPr="00DA0F87">
        <w:rPr>
          <w:szCs w:val="20"/>
        </w:rPr>
        <w:t xml:space="preserve">En el presente caso, la Corte nota que la entidad encargada de conducir las investigaciones (la DRE) era la misma institución a cargo de la redada policial de 18 de octubre de 1994. De esta forma, los agentes de la DRE debían evaluar sus propias actuaciones; lo que no garantizó la </w:t>
      </w:r>
      <w:r w:rsidR="00F413E5" w:rsidRPr="00DA0F87">
        <w:rPr>
          <w:szCs w:val="20"/>
        </w:rPr>
        <w:t>independencia real</w:t>
      </w:r>
      <w:r w:rsidRPr="00DA0F87">
        <w:rPr>
          <w:szCs w:val="20"/>
        </w:rPr>
        <w:t xml:space="preserve"> de la investigación y constituyó un obstáculo significativo para el avance de las </w:t>
      </w:r>
      <w:r w:rsidR="00F413E5" w:rsidRPr="00DA0F87">
        <w:rPr>
          <w:szCs w:val="20"/>
        </w:rPr>
        <w:t>mismas</w:t>
      </w:r>
      <w:r w:rsidRPr="00DA0F87">
        <w:rPr>
          <w:szCs w:val="20"/>
        </w:rPr>
        <w:t xml:space="preserve">, puesto que los agentes tenían </w:t>
      </w:r>
      <w:r w:rsidRPr="00DA0F87">
        <w:rPr>
          <w:rFonts w:cs="Arial"/>
          <w:szCs w:val="20"/>
          <w:lang w:val="es-ES"/>
        </w:rPr>
        <w:t xml:space="preserve">un interés directo y se encontraban directamente involucrados en </w:t>
      </w:r>
      <w:r w:rsidR="00F413E5" w:rsidRPr="00DA0F87">
        <w:rPr>
          <w:rFonts w:cs="Arial"/>
          <w:szCs w:val="20"/>
          <w:lang w:val="es-ES"/>
        </w:rPr>
        <w:t xml:space="preserve">las alegadas ejecuciones extrajudiciales </w:t>
      </w:r>
      <w:r w:rsidRPr="00DA0F87">
        <w:rPr>
          <w:rFonts w:cs="Arial"/>
          <w:szCs w:val="20"/>
          <w:lang w:val="es-ES"/>
        </w:rPr>
        <w:t xml:space="preserve">que debían </w:t>
      </w:r>
      <w:r w:rsidR="00F413E5" w:rsidRPr="00DA0F87">
        <w:rPr>
          <w:rFonts w:cs="Arial"/>
          <w:szCs w:val="20"/>
          <w:lang w:val="es-ES"/>
        </w:rPr>
        <w:t>investigar</w:t>
      </w:r>
      <w:r w:rsidRPr="00DA0F87">
        <w:rPr>
          <w:rFonts w:cs="Arial"/>
          <w:szCs w:val="20"/>
          <w:lang w:val="es-ES"/>
        </w:rPr>
        <w:t>.</w:t>
      </w:r>
      <w:r w:rsidRPr="00DA0F87">
        <w:rPr>
          <w:szCs w:val="20"/>
        </w:rPr>
        <w:t xml:space="preserve"> </w:t>
      </w:r>
      <w:r w:rsidR="006C31F8">
        <w:rPr>
          <w:szCs w:val="20"/>
        </w:rPr>
        <w:t>L</w:t>
      </w:r>
      <w:r w:rsidRPr="00DA0F87">
        <w:rPr>
          <w:szCs w:val="20"/>
        </w:rPr>
        <w:t>a Corte considera que dicha organización no disponía de la objetividad e idoneidad institucional necesaria para garantizar una investigación independiente</w:t>
      </w:r>
      <w:r w:rsidR="00F413E5" w:rsidRPr="00DA0F87">
        <w:rPr>
          <w:szCs w:val="20"/>
        </w:rPr>
        <w:t xml:space="preserve"> e </w:t>
      </w:r>
      <w:r w:rsidRPr="00DA0F87">
        <w:rPr>
          <w:szCs w:val="20"/>
        </w:rPr>
        <w:t xml:space="preserve">imparcial. Es inadmisible que los mismos policías estén a cargo de una investigación contra ellos mismos o sus compañeros de comisaría o departamento. </w:t>
      </w:r>
      <w:r w:rsidRPr="00DA0F87">
        <w:rPr>
          <w:rFonts w:cs="Arial"/>
          <w:szCs w:val="20"/>
          <w:lang w:val="es-ES"/>
        </w:rPr>
        <w:t xml:space="preserve">Lo anterior impactó directamente en la investigación hasta el traslado de la misma a la </w:t>
      </w:r>
      <w:proofErr w:type="spellStart"/>
      <w:r w:rsidRPr="00DA0F87">
        <w:rPr>
          <w:rFonts w:cs="Arial"/>
          <w:i/>
          <w:szCs w:val="20"/>
          <w:lang w:val="es-ES"/>
        </w:rPr>
        <w:t>Corregedoria</w:t>
      </w:r>
      <w:proofErr w:type="spellEnd"/>
      <w:r w:rsidRPr="00DA0F87">
        <w:rPr>
          <w:rFonts w:cs="Arial"/>
          <w:szCs w:val="20"/>
          <w:lang w:val="es-ES"/>
        </w:rPr>
        <w:t xml:space="preserve"> de la Policía Civil (COINPOL) en el año 2002 y repercutió negativamente hasta los días actuales en razón de la falta de seriedad y diligencia en la investigación inicial. </w:t>
      </w:r>
    </w:p>
    <w:p w14:paraId="7168DD28" w14:textId="77777777" w:rsidR="003F7ACF" w:rsidRPr="00DA0F87" w:rsidRDefault="003F7ACF" w:rsidP="003F7ACF">
      <w:pPr>
        <w:contextualSpacing/>
        <w:rPr>
          <w:szCs w:val="20"/>
        </w:rPr>
      </w:pPr>
    </w:p>
    <w:p w14:paraId="5EF928C9" w14:textId="7D1C9566" w:rsidR="00ED14ED" w:rsidRPr="00DA0F87" w:rsidRDefault="003F7ACF" w:rsidP="003F7ACF">
      <w:pPr>
        <w:numPr>
          <w:ilvl w:val="0"/>
          <w:numId w:val="1"/>
        </w:numPr>
        <w:contextualSpacing/>
        <w:rPr>
          <w:szCs w:val="20"/>
        </w:rPr>
      </w:pPr>
      <w:r w:rsidRPr="00DA0F87">
        <w:rPr>
          <w:szCs w:val="20"/>
        </w:rPr>
        <w:t xml:space="preserve">La falta de independencia </w:t>
      </w:r>
      <w:r w:rsidR="00550706" w:rsidRPr="00DA0F87">
        <w:rPr>
          <w:szCs w:val="20"/>
        </w:rPr>
        <w:t xml:space="preserve">concreta </w:t>
      </w:r>
      <w:r w:rsidRPr="00DA0F87">
        <w:rPr>
          <w:szCs w:val="20"/>
        </w:rPr>
        <w:t xml:space="preserve">de los investigadores es evidente del análisis de </w:t>
      </w:r>
      <w:r w:rsidR="00550706" w:rsidRPr="00DA0F87">
        <w:rPr>
          <w:szCs w:val="20"/>
        </w:rPr>
        <w:t xml:space="preserve">su relación directa con los homicidas, </w:t>
      </w:r>
      <w:r w:rsidRPr="00DA0F87">
        <w:rPr>
          <w:szCs w:val="20"/>
        </w:rPr>
        <w:t>sus actuaciones sesgadas, parcializadas y la excesiva morosidad en los procedimientos</w:t>
      </w:r>
      <w:r w:rsidR="00550706" w:rsidRPr="00DA0F87">
        <w:rPr>
          <w:szCs w:val="20"/>
          <w:lang w:val="es-ES"/>
        </w:rPr>
        <w:t>.</w:t>
      </w:r>
      <w:r w:rsidRPr="00DA0F87">
        <w:rPr>
          <w:szCs w:val="20"/>
        </w:rPr>
        <w:t xml:space="preserve"> La policía civil fue incapaz de realizar las mínimas diligencias necesarias para establecer la verdad sobre lo ocurrido e instruir el proceso penal contra los homicidas. En el caso concreto la Corte observa una serie de alertas respecto de la seriedad de las conductas realizadas por los agentes policiales, como las conclusiones de la Comisión de Investigación Especial y posteriormente la intervención del Ministerio Público en el año 2013. Sin perjuicio de lo anterior, dichas acciones fueron demasiado tímidas para superar las fallas </w:t>
      </w:r>
      <w:r w:rsidR="00ED14ED" w:rsidRPr="00DA0F87">
        <w:rPr>
          <w:szCs w:val="20"/>
        </w:rPr>
        <w:t>producidas desde el 18 de octubre de 1994 hasta marzo de 2013. Asimismo, es importante hacer notar que las falencias y falta de independencia de la policía civil en la investigación de los hechos podría haber sido objeto de supervisión de parte de</w:t>
      </w:r>
      <w:r w:rsidR="00E42A8D">
        <w:rPr>
          <w:szCs w:val="20"/>
        </w:rPr>
        <w:t xml:space="preserve"> la </w:t>
      </w:r>
      <w:proofErr w:type="spellStart"/>
      <w:r w:rsidR="00E42A8D">
        <w:rPr>
          <w:i/>
          <w:szCs w:val="20"/>
        </w:rPr>
        <w:t>Corregedor</w:t>
      </w:r>
      <w:r w:rsidR="00F31439">
        <w:rPr>
          <w:i/>
          <w:szCs w:val="20"/>
        </w:rPr>
        <w:t>i</w:t>
      </w:r>
      <w:r w:rsidR="00E42A8D">
        <w:rPr>
          <w:i/>
          <w:szCs w:val="20"/>
        </w:rPr>
        <w:t>a</w:t>
      </w:r>
      <w:proofErr w:type="spellEnd"/>
      <w:r w:rsidR="00E42A8D">
        <w:rPr>
          <w:i/>
          <w:szCs w:val="20"/>
        </w:rPr>
        <w:t xml:space="preserve"> </w:t>
      </w:r>
      <w:r w:rsidR="00E42A8D">
        <w:rPr>
          <w:szCs w:val="20"/>
        </w:rPr>
        <w:t>de la Policía Civil, de</w:t>
      </w:r>
      <w:r w:rsidR="00ED14ED" w:rsidRPr="00DA0F87">
        <w:rPr>
          <w:szCs w:val="20"/>
        </w:rPr>
        <w:t xml:space="preserve">l Ministerio Público, e incluso del Poder Judicial, pero dichas instancias no actuaron en el sentido de revisar a fondo la actuación parcializada, ineficiente y sesgada de la policía. </w:t>
      </w:r>
    </w:p>
    <w:p w14:paraId="179E9E88" w14:textId="77777777" w:rsidR="00ED14ED" w:rsidRPr="00DA0F87" w:rsidRDefault="00ED14ED" w:rsidP="00ED14ED">
      <w:pPr>
        <w:contextualSpacing/>
        <w:rPr>
          <w:szCs w:val="20"/>
        </w:rPr>
      </w:pPr>
    </w:p>
    <w:p w14:paraId="3B349662" w14:textId="23BE3D10" w:rsidR="003F7ACF" w:rsidRPr="00DA0F87" w:rsidRDefault="00ED14ED" w:rsidP="003F7ACF">
      <w:pPr>
        <w:numPr>
          <w:ilvl w:val="0"/>
          <w:numId w:val="1"/>
        </w:numPr>
        <w:contextualSpacing/>
        <w:rPr>
          <w:szCs w:val="20"/>
        </w:rPr>
      </w:pPr>
      <w:r w:rsidRPr="00DA0F87">
        <w:rPr>
          <w:szCs w:val="20"/>
        </w:rPr>
        <w:t xml:space="preserve">También es importante notar que ante un contexto de alta letalidad y violencia policial, el Estado tenía la obligación de actuar con más diligencia y seriedad en el presente caso. Los </w:t>
      </w:r>
      <w:r w:rsidR="000A614E" w:rsidRPr="00DA0F87">
        <w:rPr>
          <w:szCs w:val="20"/>
        </w:rPr>
        <w:t xml:space="preserve">exámenes cadavéricos indicaban un altísimo porcentaje de </w:t>
      </w:r>
      <w:r w:rsidR="00E42A8D">
        <w:rPr>
          <w:szCs w:val="20"/>
        </w:rPr>
        <w:t xml:space="preserve">víctimas muertas con </w:t>
      </w:r>
      <w:r w:rsidR="000A614E" w:rsidRPr="00DA0F87">
        <w:rPr>
          <w:szCs w:val="20"/>
        </w:rPr>
        <w:t xml:space="preserve">gran cantidad de disparos a corta distancia. </w:t>
      </w:r>
      <w:r w:rsidR="00DA1FD9">
        <w:rPr>
          <w:szCs w:val="20"/>
        </w:rPr>
        <w:t>E</w:t>
      </w:r>
      <w:r w:rsidR="000A614E" w:rsidRPr="00DA0F87">
        <w:rPr>
          <w:szCs w:val="20"/>
        </w:rPr>
        <w:t>n efecto, una víctima fue asesinada con un disparo en cada uno de sus ojos</w:t>
      </w:r>
      <w:r w:rsidR="000A614E" w:rsidRPr="00DA0F87">
        <w:rPr>
          <w:rStyle w:val="FootnoteReference"/>
        </w:rPr>
        <w:footnoteReference w:id="240"/>
      </w:r>
      <w:r w:rsidR="000A614E" w:rsidRPr="00DA0F87">
        <w:rPr>
          <w:szCs w:val="20"/>
        </w:rPr>
        <w:t xml:space="preserve">. Las investigaciones realizadas por los </w:t>
      </w:r>
      <w:r w:rsidR="00DA1FD9">
        <w:rPr>
          <w:szCs w:val="20"/>
        </w:rPr>
        <w:t>diversos</w:t>
      </w:r>
      <w:r w:rsidR="00DA1FD9" w:rsidRPr="00DA0F87">
        <w:rPr>
          <w:szCs w:val="20"/>
        </w:rPr>
        <w:t xml:space="preserve"> </w:t>
      </w:r>
      <w:r w:rsidR="000A614E" w:rsidRPr="00DA0F87">
        <w:rPr>
          <w:szCs w:val="20"/>
        </w:rPr>
        <w:t>departamentos de la policía civil de Rio de Janeiro no cumplieron con los mínimos estándares de debida diligencia en casos de ejecuciones extrajudiciales y graves violaciones de derechos humanos.</w:t>
      </w:r>
    </w:p>
    <w:p w14:paraId="6B79F24F" w14:textId="77777777" w:rsidR="000A614E" w:rsidRPr="00DA0F87" w:rsidRDefault="000A614E" w:rsidP="000A614E">
      <w:pPr>
        <w:pStyle w:val="ListParagraph"/>
        <w:rPr>
          <w:szCs w:val="20"/>
        </w:rPr>
      </w:pPr>
    </w:p>
    <w:p w14:paraId="4051B031" w14:textId="02ED617C" w:rsidR="000A614E" w:rsidRDefault="000A614E" w:rsidP="003F7ACF">
      <w:pPr>
        <w:numPr>
          <w:ilvl w:val="0"/>
          <w:numId w:val="1"/>
        </w:numPr>
        <w:contextualSpacing/>
        <w:rPr>
          <w:szCs w:val="20"/>
        </w:rPr>
      </w:pPr>
      <w:r w:rsidRPr="00DA0F87">
        <w:rPr>
          <w:szCs w:val="20"/>
        </w:rPr>
        <w:t xml:space="preserve">Por otra parte, </w:t>
      </w:r>
      <w:r w:rsidR="006664D0" w:rsidRPr="00DA0F87">
        <w:rPr>
          <w:szCs w:val="20"/>
        </w:rPr>
        <w:t>aun</w:t>
      </w:r>
      <w:r w:rsidRPr="00DA0F87">
        <w:rPr>
          <w:szCs w:val="20"/>
        </w:rPr>
        <w:t xml:space="preserve"> cuando la actuación de la policía haya sido plagada de </w:t>
      </w:r>
      <w:r w:rsidR="0072586A" w:rsidRPr="00DA0F87">
        <w:rPr>
          <w:szCs w:val="20"/>
        </w:rPr>
        <w:t xml:space="preserve">omisiones y negligencia, otros órganos estatales tuvieron la oportunidad de rectificar la investigación y no lo hicieron. En primer lugar, la </w:t>
      </w:r>
      <w:proofErr w:type="spellStart"/>
      <w:r w:rsidR="0072586A" w:rsidRPr="00DA0F87">
        <w:rPr>
          <w:i/>
          <w:szCs w:val="20"/>
        </w:rPr>
        <w:t>Corregedoria</w:t>
      </w:r>
      <w:proofErr w:type="spellEnd"/>
      <w:r w:rsidR="0072586A" w:rsidRPr="00DA0F87">
        <w:rPr>
          <w:szCs w:val="20"/>
        </w:rPr>
        <w:t xml:space="preserve"> de la Policía Civil demostró ser incapaz de conducir la investigación a partir de 2002</w:t>
      </w:r>
      <w:r w:rsidR="005A6484" w:rsidRPr="00DA0F87">
        <w:rPr>
          <w:szCs w:val="20"/>
        </w:rPr>
        <w:t xml:space="preserve">. Al respecto, el perito João Trajano destacó que hay fuertes indicios de que ese órgano da prevalencia al espíritu </w:t>
      </w:r>
      <w:r w:rsidR="009B4557">
        <w:rPr>
          <w:szCs w:val="20"/>
        </w:rPr>
        <w:t>corporativo</w:t>
      </w:r>
      <w:r w:rsidR="005A6484" w:rsidRPr="00DA0F87">
        <w:rPr>
          <w:szCs w:val="20"/>
        </w:rPr>
        <w:t xml:space="preserve"> y se concentra en averiguar problemas administrativos o disciplina</w:t>
      </w:r>
      <w:r w:rsidR="00B530AA">
        <w:rPr>
          <w:szCs w:val="20"/>
        </w:rPr>
        <w:t>rios</w:t>
      </w:r>
      <w:r w:rsidR="005A6484" w:rsidRPr="00DA0F87">
        <w:rPr>
          <w:szCs w:val="20"/>
        </w:rPr>
        <w:t xml:space="preserve"> y no prioriza graves denuncias de violaciones de derechos humanos y abuso de </w:t>
      </w:r>
      <w:r w:rsidR="009B4557">
        <w:rPr>
          <w:szCs w:val="20"/>
        </w:rPr>
        <w:t>la fuerza en el cumplimiento de sus funciones</w:t>
      </w:r>
      <w:r w:rsidR="005A6484" w:rsidRPr="00DA0F87">
        <w:rPr>
          <w:szCs w:val="20"/>
        </w:rPr>
        <w:t xml:space="preserve">. En resumen, el perito afirmó que las </w:t>
      </w:r>
      <w:proofErr w:type="spellStart"/>
      <w:r w:rsidR="005A6484" w:rsidRPr="00CA3759">
        <w:rPr>
          <w:i/>
          <w:szCs w:val="20"/>
        </w:rPr>
        <w:t>corregedorias</w:t>
      </w:r>
      <w:proofErr w:type="spellEnd"/>
      <w:r w:rsidR="005A6484" w:rsidRPr="00DA0F87">
        <w:rPr>
          <w:szCs w:val="20"/>
        </w:rPr>
        <w:t xml:space="preserve"> “no logran dar cuenta de su misión investigadora y sancionadora”</w:t>
      </w:r>
      <w:r w:rsidR="005A6484" w:rsidRPr="00DA0F87">
        <w:rPr>
          <w:rStyle w:val="FootnoteReference"/>
        </w:rPr>
        <w:footnoteReference w:id="241"/>
      </w:r>
      <w:r w:rsidR="005A6484" w:rsidRPr="00DA0F87">
        <w:rPr>
          <w:szCs w:val="20"/>
        </w:rPr>
        <w:t xml:space="preserve">. </w:t>
      </w:r>
      <w:r w:rsidR="00550706" w:rsidRPr="00DA0F87">
        <w:rPr>
          <w:szCs w:val="20"/>
        </w:rPr>
        <w:t xml:space="preserve">Además, el Ministerio Público tampoco cumplió su función de control de la actividad de investigación de la policía, y aprobó el archivo de la investigación sin verificar la completa falta de diligencia y de independencia en la misma durante más de una década. Por su </w:t>
      </w:r>
      <w:r w:rsidR="009B4557">
        <w:rPr>
          <w:szCs w:val="20"/>
        </w:rPr>
        <w:t>parte</w:t>
      </w:r>
      <w:r w:rsidR="00550706" w:rsidRPr="00DA0F87">
        <w:rPr>
          <w:szCs w:val="20"/>
        </w:rPr>
        <w:t>, el Juez llamado a decidir por el archivo de la investigación en 2009 tampoco realizó un control efectivo de la investigación y se limitó a manifestar estar de acuerdo con la Fiscalía. Lo anterior fue</w:t>
      </w:r>
      <w:r w:rsidR="009B4557">
        <w:rPr>
          <w:szCs w:val="20"/>
        </w:rPr>
        <w:t xml:space="preserve"> </w:t>
      </w:r>
      <w:r w:rsidR="00550706" w:rsidRPr="00DA0F87">
        <w:rPr>
          <w:szCs w:val="20"/>
        </w:rPr>
        <w:t xml:space="preserve">decisivo para la impunidad de los hechos y la falta de protección judicial de los familiares de las personas </w:t>
      </w:r>
      <w:r w:rsidR="00DA0F87" w:rsidRPr="00DA0F87">
        <w:rPr>
          <w:szCs w:val="20"/>
        </w:rPr>
        <w:t>muertas el 18 de octubre de 1994.</w:t>
      </w:r>
    </w:p>
    <w:p w14:paraId="69659AE5" w14:textId="77777777" w:rsidR="006664D0" w:rsidRPr="00854D5F" w:rsidRDefault="006664D0" w:rsidP="006664D0">
      <w:pPr>
        <w:rPr>
          <w:b/>
          <w:szCs w:val="20"/>
        </w:rPr>
      </w:pPr>
    </w:p>
    <w:p w14:paraId="79F42100" w14:textId="4A682F37" w:rsidR="006664D0" w:rsidRPr="0045319D" w:rsidRDefault="006664D0" w:rsidP="006664D0">
      <w:pPr>
        <w:pStyle w:val="Default"/>
        <w:numPr>
          <w:ilvl w:val="0"/>
          <w:numId w:val="1"/>
        </w:numPr>
        <w:jc w:val="both"/>
        <w:rPr>
          <w:rFonts w:ascii="Verdana" w:hAnsi="Verdana"/>
          <w:color w:val="auto"/>
          <w:sz w:val="20"/>
          <w:szCs w:val="20"/>
        </w:rPr>
      </w:pPr>
      <w:r w:rsidRPr="008A6580">
        <w:rPr>
          <w:rFonts w:ascii="Verdana" w:hAnsi="Verdana"/>
          <w:color w:val="auto"/>
          <w:sz w:val="20"/>
          <w:szCs w:val="20"/>
        </w:rPr>
        <w:t>E</w:t>
      </w:r>
      <w:r w:rsidR="00AC19A7">
        <w:rPr>
          <w:rFonts w:ascii="Verdana" w:hAnsi="Verdana"/>
          <w:color w:val="auto"/>
          <w:sz w:val="20"/>
          <w:szCs w:val="20"/>
        </w:rPr>
        <w:t>n lo que respecta a la investigación por los hechos de la redada policial de 1995, la Corte nota que e</w:t>
      </w:r>
      <w:r w:rsidRPr="008A6580">
        <w:rPr>
          <w:rFonts w:ascii="Verdana" w:hAnsi="Verdana"/>
          <w:color w:val="auto"/>
          <w:sz w:val="20"/>
          <w:szCs w:val="20"/>
        </w:rPr>
        <w:t>ntre 1995 y 2000 la investigación no produjo ningún acto relevante (</w:t>
      </w:r>
      <w:r w:rsidRPr="008914A3">
        <w:rPr>
          <w:rFonts w:ascii="Verdana" w:hAnsi="Verdana"/>
          <w:i/>
          <w:color w:val="auto"/>
          <w:sz w:val="20"/>
          <w:szCs w:val="20"/>
        </w:rPr>
        <w:t>supra</w:t>
      </w:r>
      <w:r w:rsidRPr="008A6580">
        <w:rPr>
          <w:rFonts w:ascii="Verdana" w:hAnsi="Verdana"/>
          <w:color w:val="auto"/>
          <w:sz w:val="20"/>
          <w:szCs w:val="20"/>
        </w:rPr>
        <w:t xml:space="preserve"> </w:t>
      </w:r>
      <w:proofErr w:type="spellStart"/>
      <w:r w:rsidRPr="008A6580">
        <w:rPr>
          <w:rFonts w:ascii="Verdana" w:hAnsi="Verdana"/>
          <w:color w:val="auto"/>
          <w:sz w:val="20"/>
          <w:szCs w:val="20"/>
        </w:rPr>
        <w:t>párr</w:t>
      </w:r>
      <w:r w:rsidR="00CC36D9">
        <w:rPr>
          <w:rFonts w:ascii="Verdana" w:hAnsi="Verdana"/>
          <w:color w:val="auto"/>
          <w:sz w:val="20"/>
          <w:szCs w:val="20"/>
        </w:rPr>
        <w:t>s</w:t>
      </w:r>
      <w:proofErr w:type="spellEnd"/>
      <w:r w:rsidRPr="008A6580">
        <w:rPr>
          <w:rFonts w:ascii="Verdana" w:hAnsi="Verdana"/>
          <w:color w:val="auto"/>
          <w:sz w:val="20"/>
          <w:szCs w:val="20"/>
        </w:rPr>
        <w:t xml:space="preserve">. </w:t>
      </w:r>
      <w:r w:rsidR="009B4557">
        <w:rPr>
          <w:rFonts w:ascii="Verdana" w:hAnsi="Verdana"/>
          <w:color w:val="auto"/>
          <w:sz w:val="20"/>
          <w:szCs w:val="20"/>
        </w:rPr>
        <w:t>13</w:t>
      </w:r>
      <w:r w:rsidR="00CC36D9">
        <w:rPr>
          <w:rFonts w:ascii="Verdana" w:hAnsi="Verdana"/>
          <w:color w:val="auto"/>
          <w:sz w:val="20"/>
          <w:szCs w:val="20"/>
        </w:rPr>
        <w:t>0</w:t>
      </w:r>
      <w:r w:rsidR="009B4557">
        <w:rPr>
          <w:rFonts w:ascii="Verdana" w:hAnsi="Verdana"/>
          <w:color w:val="auto"/>
          <w:sz w:val="20"/>
          <w:szCs w:val="20"/>
        </w:rPr>
        <w:t xml:space="preserve"> a 13</w:t>
      </w:r>
      <w:r w:rsidR="00CC36D9">
        <w:rPr>
          <w:rFonts w:ascii="Verdana" w:hAnsi="Verdana"/>
          <w:color w:val="auto"/>
          <w:sz w:val="20"/>
          <w:szCs w:val="20"/>
        </w:rPr>
        <w:t>7</w:t>
      </w:r>
      <w:r w:rsidR="009B4557">
        <w:rPr>
          <w:rFonts w:ascii="Verdana" w:hAnsi="Verdana"/>
          <w:color w:val="auto"/>
          <w:sz w:val="20"/>
          <w:szCs w:val="20"/>
        </w:rPr>
        <w:t xml:space="preserve"> y 1</w:t>
      </w:r>
      <w:r w:rsidR="00CC36D9">
        <w:rPr>
          <w:rFonts w:ascii="Verdana" w:hAnsi="Verdana"/>
          <w:color w:val="auto"/>
          <w:sz w:val="20"/>
          <w:szCs w:val="20"/>
        </w:rPr>
        <w:t>49</w:t>
      </w:r>
      <w:r w:rsidRPr="008A6580">
        <w:rPr>
          <w:rFonts w:ascii="Verdana" w:hAnsi="Verdana"/>
          <w:color w:val="auto"/>
          <w:sz w:val="20"/>
          <w:szCs w:val="20"/>
        </w:rPr>
        <w:t>)</w:t>
      </w:r>
      <w:r w:rsidR="007C0A75">
        <w:rPr>
          <w:rFonts w:ascii="Verdana" w:hAnsi="Verdana"/>
          <w:color w:val="auto"/>
          <w:sz w:val="20"/>
          <w:szCs w:val="20"/>
        </w:rPr>
        <w:t>. E</w:t>
      </w:r>
      <w:r w:rsidRPr="00411FB7">
        <w:rPr>
          <w:rFonts w:ascii="Verdana" w:hAnsi="Verdana"/>
          <w:color w:val="auto"/>
          <w:sz w:val="20"/>
          <w:szCs w:val="20"/>
        </w:rPr>
        <w:t>l 25 de septiembre de 2000</w:t>
      </w:r>
      <w:r>
        <w:rPr>
          <w:rFonts w:ascii="Verdana" w:hAnsi="Verdana"/>
          <w:color w:val="auto"/>
          <w:sz w:val="20"/>
          <w:szCs w:val="20"/>
        </w:rPr>
        <w:t xml:space="preserve"> </w:t>
      </w:r>
      <w:r w:rsidRPr="00411FB7">
        <w:rPr>
          <w:rFonts w:ascii="Verdana" w:hAnsi="Verdana"/>
          <w:color w:val="auto"/>
          <w:sz w:val="20"/>
          <w:szCs w:val="20"/>
        </w:rPr>
        <w:t xml:space="preserve">la experta forense Tania </w:t>
      </w:r>
      <w:proofErr w:type="spellStart"/>
      <w:r w:rsidRPr="00411FB7">
        <w:rPr>
          <w:rFonts w:ascii="Verdana" w:hAnsi="Verdana"/>
          <w:color w:val="auto"/>
          <w:sz w:val="20"/>
          <w:szCs w:val="20"/>
        </w:rPr>
        <w:t>Donati</w:t>
      </w:r>
      <w:proofErr w:type="spellEnd"/>
      <w:r w:rsidRPr="00411FB7">
        <w:rPr>
          <w:rFonts w:ascii="Verdana" w:hAnsi="Verdana"/>
          <w:color w:val="auto"/>
          <w:sz w:val="20"/>
          <w:szCs w:val="20"/>
        </w:rPr>
        <w:t xml:space="preserve"> </w:t>
      </w:r>
      <w:proofErr w:type="spellStart"/>
      <w:r w:rsidRPr="00411FB7">
        <w:rPr>
          <w:rFonts w:ascii="Verdana" w:hAnsi="Verdana"/>
          <w:color w:val="auto"/>
          <w:sz w:val="20"/>
          <w:szCs w:val="20"/>
        </w:rPr>
        <w:t>Paes</w:t>
      </w:r>
      <w:proofErr w:type="spellEnd"/>
      <w:r w:rsidRPr="00411FB7">
        <w:rPr>
          <w:rFonts w:ascii="Verdana" w:hAnsi="Verdana"/>
          <w:color w:val="auto"/>
          <w:sz w:val="20"/>
          <w:szCs w:val="20"/>
        </w:rPr>
        <w:t xml:space="preserve"> Rio presentó un informe pericial sobre las autopsias de las </w:t>
      </w:r>
      <w:r>
        <w:rPr>
          <w:rFonts w:ascii="Verdana" w:hAnsi="Verdana"/>
          <w:color w:val="auto"/>
          <w:sz w:val="20"/>
          <w:szCs w:val="20"/>
        </w:rPr>
        <w:t xml:space="preserve">personas </w:t>
      </w:r>
      <w:r w:rsidRPr="0089462D">
        <w:rPr>
          <w:rFonts w:ascii="Verdana" w:hAnsi="Verdana"/>
          <w:color w:val="auto"/>
          <w:sz w:val="20"/>
          <w:szCs w:val="20"/>
        </w:rPr>
        <w:t>ejecutadas</w:t>
      </w:r>
      <w:r w:rsidRPr="0089462D">
        <w:rPr>
          <w:rStyle w:val="FootnoteReference"/>
          <w:color w:val="auto"/>
        </w:rPr>
        <w:footnoteReference w:id="242"/>
      </w:r>
      <w:r w:rsidRPr="0089462D">
        <w:rPr>
          <w:rFonts w:ascii="Verdana" w:hAnsi="Verdana"/>
          <w:color w:val="auto"/>
          <w:sz w:val="20"/>
          <w:szCs w:val="20"/>
        </w:rPr>
        <w:t xml:space="preserve">. </w:t>
      </w:r>
      <w:r w:rsidRPr="0089462D">
        <w:rPr>
          <w:rFonts w:ascii="Verdana" w:hAnsi="Verdana"/>
          <w:sz w:val="20"/>
          <w:szCs w:val="20"/>
        </w:rPr>
        <w:t xml:space="preserve">Posteriormente, entre febrero de 2003 y octubre de 2004 existió un malentendido en el número de identificación de los expedientes. Finalmente, el 30 de noviembre de 2004 el Jefe de la Policía Civil sometió la investigación IP </w:t>
      </w:r>
      <w:r w:rsidR="00FB3CE8">
        <w:rPr>
          <w:rFonts w:ascii="Verdana" w:hAnsi="Verdana"/>
          <w:sz w:val="20"/>
          <w:szCs w:val="20"/>
        </w:rPr>
        <w:t xml:space="preserve">No. </w:t>
      </w:r>
      <w:r w:rsidRPr="0089462D">
        <w:rPr>
          <w:rFonts w:ascii="Verdana" w:hAnsi="Verdana"/>
          <w:sz w:val="20"/>
          <w:szCs w:val="20"/>
        </w:rPr>
        <w:t>120/01 a la competencia de la COINPOL</w:t>
      </w:r>
      <w:r w:rsidRPr="0089462D">
        <w:rPr>
          <w:rStyle w:val="FootnoteReference"/>
        </w:rPr>
        <w:footnoteReference w:id="243"/>
      </w:r>
      <w:r w:rsidR="006C31F8">
        <w:rPr>
          <w:rFonts w:ascii="Verdana" w:hAnsi="Verdana"/>
          <w:sz w:val="20"/>
          <w:szCs w:val="20"/>
        </w:rPr>
        <w:t>. El 29 de diciembre de 2004</w:t>
      </w:r>
      <w:r w:rsidRPr="0089462D">
        <w:rPr>
          <w:rFonts w:ascii="Verdana" w:hAnsi="Verdana"/>
          <w:sz w:val="20"/>
          <w:szCs w:val="20"/>
        </w:rPr>
        <w:t xml:space="preserve"> esta investigación policial recibió un nuevo número: IP </w:t>
      </w:r>
      <w:r w:rsidR="00FB3CE8">
        <w:rPr>
          <w:rFonts w:ascii="Verdana" w:hAnsi="Verdana"/>
          <w:sz w:val="20"/>
          <w:szCs w:val="20"/>
        </w:rPr>
        <w:t xml:space="preserve">No. </w:t>
      </w:r>
      <w:r w:rsidRPr="0089462D">
        <w:rPr>
          <w:rFonts w:ascii="Verdana" w:hAnsi="Verdana"/>
          <w:sz w:val="20"/>
          <w:szCs w:val="20"/>
        </w:rPr>
        <w:t>217/04</w:t>
      </w:r>
      <w:r w:rsidRPr="0089462D">
        <w:rPr>
          <w:rStyle w:val="FootnoteReference"/>
        </w:rPr>
        <w:footnoteReference w:id="244"/>
      </w:r>
      <w:r w:rsidRPr="0089462D">
        <w:rPr>
          <w:rFonts w:ascii="Verdana" w:hAnsi="Verdana" w:cs="Times New Roman"/>
          <w:sz w:val="20"/>
          <w:szCs w:val="20"/>
        </w:rPr>
        <w:t xml:space="preserve">. </w:t>
      </w:r>
      <w:r w:rsidRPr="0089462D">
        <w:rPr>
          <w:rFonts w:ascii="Verdana" w:hAnsi="Verdana"/>
          <w:sz w:val="20"/>
          <w:szCs w:val="20"/>
        </w:rPr>
        <w:t xml:space="preserve">El 27 de enero de 2005 el Jefe de Policía de la COINPOL a cargo de la investigación solicitó la búsqueda judicial, relativa a la existencia, o no, de procedimientos civiles presentados contra el estado de Río de Janeiro por parte de los familiares de las </w:t>
      </w:r>
      <w:r>
        <w:rPr>
          <w:rFonts w:ascii="Verdana" w:hAnsi="Verdana"/>
          <w:sz w:val="20"/>
          <w:szCs w:val="20"/>
        </w:rPr>
        <w:t>víctimas muertas</w:t>
      </w:r>
      <w:r w:rsidRPr="0089462D">
        <w:rPr>
          <w:rStyle w:val="FootnoteReference"/>
        </w:rPr>
        <w:footnoteReference w:id="245"/>
      </w:r>
      <w:r w:rsidRPr="0089462D">
        <w:rPr>
          <w:rFonts w:ascii="Verdana" w:hAnsi="Verdana" w:cs="Times New Roman"/>
          <w:sz w:val="20"/>
          <w:szCs w:val="20"/>
        </w:rPr>
        <w:t xml:space="preserve">. </w:t>
      </w:r>
    </w:p>
    <w:p w14:paraId="25A2E6BA" w14:textId="77777777" w:rsidR="006664D0" w:rsidRDefault="006664D0" w:rsidP="006664D0">
      <w:pPr>
        <w:pStyle w:val="ListParagraph"/>
        <w:ind w:left="0"/>
        <w:rPr>
          <w:szCs w:val="20"/>
        </w:rPr>
      </w:pPr>
    </w:p>
    <w:p w14:paraId="757A2C6F" w14:textId="19E831F1" w:rsidR="006664D0" w:rsidRPr="00B7354D" w:rsidRDefault="006664D0" w:rsidP="006664D0">
      <w:pPr>
        <w:pStyle w:val="Default"/>
        <w:numPr>
          <w:ilvl w:val="0"/>
          <w:numId w:val="1"/>
        </w:numPr>
        <w:jc w:val="both"/>
        <w:rPr>
          <w:rFonts w:ascii="Verdana" w:hAnsi="Verdana"/>
          <w:sz w:val="20"/>
          <w:szCs w:val="20"/>
        </w:rPr>
      </w:pPr>
      <w:r w:rsidRPr="00B7354D">
        <w:rPr>
          <w:rFonts w:ascii="Verdana" w:hAnsi="Verdana"/>
          <w:sz w:val="20"/>
          <w:szCs w:val="20"/>
          <w:lang w:val="es-ES"/>
        </w:rPr>
        <w:t>El plazo para completar la investigación policial venció en múltiples ocasiones entre abril de 2006 y junio de 2008, y dicho plazo fue renovado sucesivamente sin avances en las diligencias</w:t>
      </w:r>
      <w:r w:rsidRPr="00B7354D">
        <w:rPr>
          <w:rStyle w:val="FootnoteReference"/>
        </w:rPr>
        <w:footnoteReference w:id="246"/>
      </w:r>
      <w:r w:rsidRPr="00B7354D">
        <w:rPr>
          <w:rFonts w:ascii="Verdana" w:hAnsi="Verdana"/>
          <w:sz w:val="20"/>
          <w:szCs w:val="20"/>
          <w:lang w:val="es-ES"/>
        </w:rPr>
        <w:t>. Finalmente, el 23 de septiembre de 2008 el Jefe de Policía a cargo de esta investigación emitió un informe concluyendo que “habiendo transcurrido casi trece años de investigación, el expediente indica que hubo un enfrentamiento armado del que, debido a las complejidades inherentes a una ‘guerra’, resultaron personas muertas y heridas”</w:t>
      </w:r>
      <w:r w:rsidRPr="00B7354D">
        <w:rPr>
          <w:rStyle w:val="FootnoteReference"/>
          <w:lang w:val="es-ES"/>
        </w:rPr>
        <w:footnoteReference w:id="247"/>
      </w:r>
      <w:r w:rsidRPr="00B7354D">
        <w:rPr>
          <w:rFonts w:ascii="Verdana" w:hAnsi="Verdana"/>
          <w:sz w:val="20"/>
          <w:szCs w:val="20"/>
          <w:lang w:val="es-ES"/>
        </w:rPr>
        <w:t xml:space="preserve">. </w:t>
      </w:r>
      <w:r w:rsidRPr="00B7354D">
        <w:rPr>
          <w:rFonts w:ascii="Verdana" w:hAnsi="Verdana"/>
          <w:sz w:val="20"/>
          <w:szCs w:val="20"/>
        </w:rPr>
        <w:t xml:space="preserve">El </w:t>
      </w:r>
      <w:r w:rsidR="00FB3CE8">
        <w:rPr>
          <w:rFonts w:ascii="Verdana" w:hAnsi="Verdana"/>
          <w:sz w:val="20"/>
          <w:szCs w:val="20"/>
        </w:rPr>
        <w:t xml:space="preserve">1º </w:t>
      </w:r>
      <w:r w:rsidRPr="00B7354D">
        <w:rPr>
          <w:rFonts w:ascii="Verdana" w:hAnsi="Verdana"/>
          <w:sz w:val="20"/>
          <w:szCs w:val="20"/>
        </w:rPr>
        <w:t>de octubre de 2008 el expediente fue enviado al Ministerio Público</w:t>
      </w:r>
      <w:r w:rsidRPr="00B7354D">
        <w:rPr>
          <w:rStyle w:val="FootnoteReference"/>
        </w:rPr>
        <w:footnoteReference w:id="248"/>
      </w:r>
      <w:r w:rsidRPr="00B7354D">
        <w:rPr>
          <w:rFonts w:ascii="Verdana" w:hAnsi="Verdana"/>
          <w:sz w:val="20"/>
          <w:szCs w:val="20"/>
        </w:rPr>
        <w:t>, que solicitó su archivo el 1 de junio de 2009</w:t>
      </w:r>
      <w:r w:rsidRPr="00B7354D">
        <w:rPr>
          <w:rStyle w:val="FootnoteReference"/>
        </w:rPr>
        <w:footnoteReference w:id="249"/>
      </w:r>
      <w:r w:rsidRPr="00B7354D">
        <w:rPr>
          <w:rFonts w:ascii="Verdana" w:hAnsi="Verdana"/>
          <w:sz w:val="20"/>
          <w:szCs w:val="20"/>
        </w:rPr>
        <w:t>. El 18 de junio de 2009 el Juez del 3º Juzgado Penal decidió archivar el proceso</w:t>
      </w:r>
      <w:r>
        <w:rPr>
          <w:rFonts w:ascii="Verdana" w:hAnsi="Verdana"/>
          <w:sz w:val="20"/>
          <w:szCs w:val="20"/>
        </w:rPr>
        <w:t xml:space="preserve"> con una decisión de una palabra: “Arch</w:t>
      </w:r>
      <w:r w:rsidR="00F35B7E">
        <w:rPr>
          <w:rFonts w:ascii="Verdana" w:hAnsi="Verdana"/>
          <w:sz w:val="20"/>
          <w:szCs w:val="20"/>
        </w:rPr>
        <w:t>í</w:t>
      </w:r>
      <w:r>
        <w:rPr>
          <w:rFonts w:ascii="Verdana" w:hAnsi="Verdana"/>
          <w:sz w:val="20"/>
          <w:szCs w:val="20"/>
        </w:rPr>
        <w:t>vese”</w:t>
      </w:r>
      <w:r w:rsidRPr="00B7354D">
        <w:rPr>
          <w:rStyle w:val="FootnoteReference"/>
        </w:rPr>
        <w:footnoteReference w:id="250"/>
      </w:r>
      <w:r w:rsidRPr="00B7354D">
        <w:rPr>
          <w:rFonts w:ascii="Verdana" w:hAnsi="Verdana"/>
          <w:sz w:val="20"/>
          <w:szCs w:val="20"/>
        </w:rPr>
        <w:t>.</w:t>
      </w:r>
      <w:r>
        <w:rPr>
          <w:rFonts w:ascii="Verdana" w:hAnsi="Verdana"/>
          <w:sz w:val="20"/>
          <w:szCs w:val="20"/>
        </w:rPr>
        <w:t xml:space="preserve"> </w:t>
      </w:r>
    </w:p>
    <w:p w14:paraId="6B07875F" w14:textId="77777777" w:rsidR="006664D0" w:rsidRDefault="006664D0" w:rsidP="006664D0">
      <w:pPr>
        <w:pStyle w:val="ListParagraph"/>
        <w:ind w:left="0"/>
        <w:rPr>
          <w:szCs w:val="20"/>
        </w:rPr>
      </w:pPr>
    </w:p>
    <w:p w14:paraId="1AE13AD4" w14:textId="77777777" w:rsidR="006664D0" w:rsidRPr="003446E2" w:rsidRDefault="006664D0" w:rsidP="006664D0">
      <w:pPr>
        <w:pStyle w:val="Default"/>
        <w:numPr>
          <w:ilvl w:val="0"/>
          <w:numId w:val="1"/>
        </w:numPr>
        <w:jc w:val="both"/>
        <w:rPr>
          <w:rFonts w:ascii="Verdana" w:hAnsi="Verdana"/>
          <w:sz w:val="20"/>
          <w:szCs w:val="20"/>
        </w:rPr>
      </w:pPr>
      <w:r w:rsidRPr="003446E2">
        <w:rPr>
          <w:rFonts w:ascii="Verdana" w:hAnsi="Verdana"/>
          <w:sz w:val="20"/>
          <w:szCs w:val="20"/>
        </w:rPr>
        <w:t>El 31 de octubre de 2012</w:t>
      </w:r>
      <w:r>
        <w:rPr>
          <w:rFonts w:ascii="Verdana" w:hAnsi="Verdana"/>
          <w:sz w:val="20"/>
          <w:szCs w:val="20"/>
        </w:rPr>
        <w:t>, como consecuencia de la emisión del Informe de Fondo No. 141/11 de la Comisión Interamericana y su notificación al Estado brasileño,</w:t>
      </w:r>
      <w:r w:rsidRPr="003446E2">
        <w:rPr>
          <w:rFonts w:ascii="Verdana" w:hAnsi="Verdana"/>
          <w:sz w:val="20"/>
          <w:szCs w:val="20"/>
        </w:rPr>
        <w:t xml:space="preserve"> el Ministerio Público presentó un informe sobre la posibilidad de desarchivar la investigación, indicando que habían existido fallas en la conducción de</w:t>
      </w:r>
      <w:r>
        <w:rPr>
          <w:rFonts w:ascii="Verdana" w:hAnsi="Verdana"/>
          <w:sz w:val="20"/>
          <w:szCs w:val="20"/>
        </w:rPr>
        <w:t xml:space="preserve"> </w:t>
      </w:r>
      <w:r w:rsidRPr="003446E2">
        <w:rPr>
          <w:rFonts w:ascii="Verdana" w:hAnsi="Verdana"/>
          <w:sz w:val="20"/>
          <w:szCs w:val="20"/>
        </w:rPr>
        <w:t>l</w:t>
      </w:r>
      <w:r>
        <w:rPr>
          <w:rFonts w:ascii="Verdana" w:hAnsi="Verdana"/>
          <w:sz w:val="20"/>
          <w:szCs w:val="20"/>
        </w:rPr>
        <w:t>a</w:t>
      </w:r>
      <w:r w:rsidRPr="003446E2">
        <w:rPr>
          <w:rFonts w:ascii="Verdana" w:hAnsi="Verdana"/>
          <w:sz w:val="20"/>
          <w:szCs w:val="20"/>
        </w:rPr>
        <w:t xml:space="preserve"> mism</w:t>
      </w:r>
      <w:r>
        <w:rPr>
          <w:rFonts w:ascii="Verdana" w:hAnsi="Verdana"/>
          <w:sz w:val="20"/>
          <w:szCs w:val="20"/>
        </w:rPr>
        <w:t>a</w:t>
      </w:r>
      <w:r w:rsidRPr="003446E2">
        <w:rPr>
          <w:rStyle w:val="FootnoteReference"/>
        </w:rPr>
        <w:footnoteReference w:id="251"/>
      </w:r>
      <w:r w:rsidRPr="003446E2">
        <w:rPr>
          <w:rFonts w:ascii="Verdana" w:hAnsi="Verdana"/>
          <w:sz w:val="20"/>
          <w:szCs w:val="20"/>
        </w:rPr>
        <w:t xml:space="preserve">. El 11 de diciembre de 2012 el Juez del 3º Juzgado Penal resolvió que no era posible </w:t>
      </w:r>
      <w:proofErr w:type="spellStart"/>
      <w:r w:rsidRPr="003446E2">
        <w:rPr>
          <w:rFonts w:ascii="Verdana" w:hAnsi="Verdana"/>
          <w:sz w:val="20"/>
          <w:szCs w:val="20"/>
        </w:rPr>
        <w:t>desarchivarl</w:t>
      </w:r>
      <w:r>
        <w:rPr>
          <w:rFonts w:ascii="Verdana" w:hAnsi="Verdana"/>
          <w:sz w:val="20"/>
          <w:szCs w:val="20"/>
        </w:rPr>
        <w:t>a</w:t>
      </w:r>
      <w:proofErr w:type="spellEnd"/>
      <w:r w:rsidRPr="003446E2">
        <w:rPr>
          <w:rStyle w:val="FootnoteReference"/>
        </w:rPr>
        <w:footnoteReference w:id="252"/>
      </w:r>
      <w:r w:rsidRPr="003446E2">
        <w:rPr>
          <w:rFonts w:ascii="Verdana" w:hAnsi="Verdana"/>
          <w:sz w:val="20"/>
          <w:szCs w:val="20"/>
        </w:rPr>
        <w:t>. No obstante, el 10 de enero de 2013 el Procurador General de Justicia dio competencia al Ministerio Público para investigar</w:t>
      </w:r>
      <w:r w:rsidRPr="003446E2">
        <w:rPr>
          <w:rStyle w:val="FootnoteReference"/>
        </w:rPr>
        <w:footnoteReference w:id="253"/>
      </w:r>
      <w:r w:rsidRPr="003446E2">
        <w:rPr>
          <w:rFonts w:ascii="Verdana" w:hAnsi="Verdana"/>
          <w:sz w:val="20"/>
          <w:szCs w:val="20"/>
        </w:rPr>
        <w:t>. El 9 de julio de 2013 la División de Homicidios abrió una nueva investigación policial</w:t>
      </w:r>
      <w:r w:rsidRPr="003446E2">
        <w:rPr>
          <w:rStyle w:val="FootnoteReference"/>
        </w:rPr>
        <w:footnoteReference w:id="254"/>
      </w:r>
      <w:r w:rsidRPr="003446E2">
        <w:rPr>
          <w:rFonts w:ascii="Verdana" w:hAnsi="Verdana"/>
          <w:sz w:val="20"/>
          <w:szCs w:val="20"/>
        </w:rPr>
        <w:t>.</w:t>
      </w:r>
    </w:p>
    <w:p w14:paraId="4D9A9F79" w14:textId="77777777" w:rsidR="006664D0" w:rsidRPr="003446E2" w:rsidRDefault="006664D0" w:rsidP="006664D0">
      <w:pPr>
        <w:pStyle w:val="ListParagraph"/>
        <w:ind w:left="0"/>
        <w:rPr>
          <w:szCs w:val="20"/>
        </w:rPr>
      </w:pPr>
    </w:p>
    <w:p w14:paraId="3FE4B13C" w14:textId="77777777" w:rsidR="006664D0" w:rsidRPr="003446E2" w:rsidRDefault="006664D0" w:rsidP="006664D0">
      <w:pPr>
        <w:pStyle w:val="Default"/>
        <w:numPr>
          <w:ilvl w:val="0"/>
          <w:numId w:val="1"/>
        </w:numPr>
        <w:jc w:val="both"/>
        <w:rPr>
          <w:rFonts w:ascii="Verdana" w:hAnsi="Verdana"/>
          <w:sz w:val="20"/>
          <w:szCs w:val="20"/>
        </w:rPr>
      </w:pPr>
      <w:r w:rsidRPr="003446E2">
        <w:rPr>
          <w:rFonts w:ascii="Verdana" w:hAnsi="Verdana"/>
          <w:sz w:val="20"/>
          <w:szCs w:val="20"/>
        </w:rPr>
        <w:t>Como parte de la investigación policial, el 11 de julio de 2013 se solicitó a la División de Fiscalización de Armas y Explosivos (DFAE) el envío del historial de armas</w:t>
      </w:r>
      <w:r w:rsidRPr="003446E2">
        <w:rPr>
          <w:rStyle w:val="FootnoteReference"/>
        </w:rPr>
        <w:footnoteReference w:id="255"/>
      </w:r>
      <w:r w:rsidRPr="003446E2">
        <w:rPr>
          <w:rFonts w:ascii="Verdana" w:hAnsi="Verdana"/>
          <w:sz w:val="20"/>
          <w:szCs w:val="20"/>
        </w:rPr>
        <w:t>. El 21 de octubre de 2014 el Ministerio Público presentó el informe de las diligencias de análisis a los armamentos</w:t>
      </w:r>
      <w:r w:rsidRPr="003446E2">
        <w:rPr>
          <w:rStyle w:val="FootnoteReference"/>
        </w:rPr>
        <w:footnoteReference w:id="256"/>
      </w:r>
      <w:r w:rsidRPr="003446E2">
        <w:rPr>
          <w:rFonts w:ascii="Verdana" w:hAnsi="Verdana"/>
          <w:sz w:val="20"/>
          <w:szCs w:val="20"/>
        </w:rPr>
        <w:t>. Entre noviembre de 2014 y mayo de 2015 se realizaron diligencias relativas a las armas empleadas en la incursión policial</w:t>
      </w:r>
      <w:r w:rsidRPr="003446E2">
        <w:rPr>
          <w:rStyle w:val="FootnoteReference"/>
        </w:rPr>
        <w:footnoteReference w:id="257"/>
      </w:r>
      <w:r w:rsidRPr="003446E2">
        <w:rPr>
          <w:rFonts w:ascii="Verdana" w:hAnsi="Verdana"/>
          <w:sz w:val="20"/>
          <w:szCs w:val="20"/>
        </w:rPr>
        <w:t xml:space="preserve">. Finalmente, el 7 de mayo de 2015 </w:t>
      </w:r>
      <w:r>
        <w:rPr>
          <w:rFonts w:ascii="Verdana" w:hAnsi="Verdana"/>
          <w:sz w:val="20"/>
          <w:szCs w:val="20"/>
        </w:rPr>
        <w:t xml:space="preserve">el 3º Juzgado Penal decidió por el archivo </w:t>
      </w:r>
      <w:r w:rsidRPr="003446E2">
        <w:rPr>
          <w:rFonts w:ascii="Verdana" w:hAnsi="Verdana"/>
          <w:sz w:val="20"/>
          <w:szCs w:val="20"/>
        </w:rPr>
        <w:t>de la acción penal y la invalidez de las pruebas producidas después del desarchivo del expediente hecho por el Ministerio Público, por estar en contravención de lo decidido por el Poder Judicial</w:t>
      </w:r>
      <w:r w:rsidRPr="003446E2">
        <w:rPr>
          <w:rStyle w:val="FootnoteReference"/>
        </w:rPr>
        <w:footnoteReference w:id="258"/>
      </w:r>
      <w:r w:rsidRPr="003446E2">
        <w:rPr>
          <w:rFonts w:ascii="Verdana" w:hAnsi="Verdana"/>
          <w:sz w:val="20"/>
          <w:szCs w:val="20"/>
        </w:rPr>
        <w:t xml:space="preserve">. </w:t>
      </w:r>
      <w:r w:rsidRPr="003446E2">
        <w:rPr>
          <w:rFonts w:ascii="Verdana" w:hAnsi="Verdana"/>
          <w:sz w:val="20"/>
          <w:szCs w:val="20"/>
          <w:lang w:val="es-ES"/>
        </w:rPr>
        <w:t xml:space="preserve">La investigación sobre las 13 muertes en la incursión policial de 8 de mayo de 1995 continúa </w:t>
      </w:r>
      <w:r>
        <w:rPr>
          <w:rFonts w:ascii="Verdana" w:hAnsi="Verdana"/>
          <w:sz w:val="20"/>
          <w:szCs w:val="20"/>
          <w:lang w:val="es-ES"/>
        </w:rPr>
        <w:t>archivada</w:t>
      </w:r>
      <w:r w:rsidRPr="003446E2">
        <w:rPr>
          <w:rFonts w:ascii="Verdana" w:hAnsi="Verdana"/>
          <w:sz w:val="20"/>
          <w:szCs w:val="20"/>
          <w:lang w:val="es-ES"/>
        </w:rPr>
        <w:t>.</w:t>
      </w:r>
    </w:p>
    <w:p w14:paraId="43702130" w14:textId="77777777" w:rsidR="006664D0" w:rsidRPr="0014172E" w:rsidRDefault="006664D0" w:rsidP="006664D0">
      <w:pPr>
        <w:rPr>
          <w:szCs w:val="20"/>
          <w:lang w:val="es-ES"/>
        </w:rPr>
      </w:pPr>
    </w:p>
    <w:p w14:paraId="3FB618D6" w14:textId="77777777" w:rsidR="006664D0" w:rsidRDefault="006664D0" w:rsidP="006664D0">
      <w:pPr>
        <w:numPr>
          <w:ilvl w:val="0"/>
          <w:numId w:val="1"/>
        </w:numPr>
        <w:contextualSpacing/>
        <w:rPr>
          <w:szCs w:val="20"/>
          <w:lang w:val="es-ES"/>
        </w:rPr>
      </w:pPr>
      <w:r>
        <w:rPr>
          <w:szCs w:val="20"/>
          <w:lang w:val="es-ES"/>
        </w:rPr>
        <w:t xml:space="preserve">Respecto de la fase de investigación, la Corte </w:t>
      </w:r>
      <w:r>
        <w:rPr>
          <w:lang w:val="es-ES"/>
        </w:rPr>
        <w:t>destaca la ausencia de diligencias relevantes dentro del proceso y la negligencia de los órganos investigadores</w:t>
      </w:r>
      <w:r>
        <w:rPr>
          <w:szCs w:val="20"/>
          <w:lang w:val="es-ES"/>
        </w:rPr>
        <w:t>. Los plazos para la realización de diligencias vencieron en numerosas ocasiones sin que hubiera avances en las mismas. Las pruebas fueron analizadas de manera superficial y las autoridades no dieron el impulso procesal necesario a la investigación. Como consecuencia de la falta de mínima diligencia, ningún agente fue denunciado ni procesado a partir de dichas investigaciones.</w:t>
      </w:r>
    </w:p>
    <w:p w14:paraId="47E3A0E2" w14:textId="77777777" w:rsidR="006664D0" w:rsidRDefault="006664D0" w:rsidP="006664D0">
      <w:pPr>
        <w:pStyle w:val="ListParagraph"/>
        <w:rPr>
          <w:szCs w:val="20"/>
          <w:lang w:val="es-ES"/>
        </w:rPr>
      </w:pPr>
    </w:p>
    <w:p w14:paraId="029FE176" w14:textId="6A8BF772" w:rsidR="006664D0" w:rsidRPr="003C445E" w:rsidRDefault="006664D0" w:rsidP="006664D0">
      <w:pPr>
        <w:numPr>
          <w:ilvl w:val="0"/>
          <w:numId w:val="1"/>
        </w:numPr>
        <w:contextualSpacing/>
        <w:rPr>
          <w:szCs w:val="20"/>
          <w:lang w:val="es-ES"/>
        </w:rPr>
      </w:pPr>
      <w:r>
        <w:rPr>
          <w:szCs w:val="20"/>
          <w:lang w:val="es-ES"/>
        </w:rPr>
        <w:t xml:space="preserve">La falta de avances en la investigación tuvo como consecuencia que finalmente </w:t>
      </w:r>
      <w:r w:rsidRPr="00B7354D">
        <w:rPr>
          <w:szCs w:val="20"/>
          <w:lang w:val="es-ES"/>
        </w:rPr>
        <w:t xml:space="preserve">el Jefe de Policía a cargo </w:t>
      </w:r>
      <w:r>
        <w:rPr>
          <w:szCs w:val="20"/>
          <w:lang w:val="es-ES"/>
        </w:rPr>
        <w:t xml:space="preserve">emitiera un informe concluyendo que </w:t>
      </w:r>
      <w:r w:rsidRPr="00B7354D">
        <w:rPr>
          <w:szCs w:val="20"/>
          <w:lang w:val="es-ES"/>
        </w:rPr>
        <w:t>el expediente indica</w:t>
      </w:r>
      <w:r>
        <w:rPr>
          <w:szCs w:val="20"/>
          <w:lang w:val="es-ES"/>
        </w:rPr>
        <w:t>ba</w:t>
      </w:r>
      <w:r w:rsidRPr="00B7354D">
        <w:rPr>
          <w:szCs w:val="20"/>
          <w:lang w:val="es-ES"/>
        </w:rPr>
        <w:t xml:space="preserve"> que </w:t>
      </w:r>
      <w:r>
        <w:rPr>
          <w:szCs w:val="20"/>
          <w:lang w:val="es-ES"/>
        </w:rPr>
        <w:t>había habido</w:t>
      </w:r>
      <w:r w:rsidRPr="00B7354D">
        <w:rPr>
          <w:szCs w:val="20"/>
          <w:lang w:val="es-ES"/>
        </w:rPr>
        <w:t xml:space="preserve"> un enfrentamiento armado del que, debido a las </w:t>
      </w:r>
      <w:r>
        <w:rPr>
          <w:szCs w:val="20"/>
          <w:lang w:val="es-ES"/>
        </w:rPr>
        <w:t xml:space="preserve">complejidades inherentes a una </w:t>
      </w:r>
      <w:r w:rsidR="008007CB">
        <w:rPr>
          <w:szCs w:val="20"/>
          <w:lang w:val="es-ES"/>
        </w:rPr>
        <w:t>“</w:t>
      </w:r>
      <w:r w:rsidRPr="00B7354D">
        <w:rPr>
          <w:szCs w:val="20"/>
          <w:lang w:val="es-ES"/>
        </w:rPr>
        <w:t>guerra</w:t>
      </w:r>
      <w:r w:rsidR="008007CB">
        <w:rPr>
          <w:szCs w:val="20"/>
          <w:lang w:val="es-ES"/>
        </w:rPr>
        <w:t>”</w:t>
      </w:r>
      <w:r w:rsidRPr="00B7354D">
        <w:rPr>
          <w:szCs w:val="20"/>
          <w:lang w:val="es-ES"/>
        </w:rPr>
        <w:t>, result</w:t>
      </w:r>
      <w:r>
        <w:rPr>
          <w:szCs w:val="20"/>
          <w:lang w:val="es-ES"/>
        </w:rPr>
        <w:t>aron personas muertas y heridas (</w:t>
      </w:r>
      <w:r w:rsidRPr="003C445E">
        <w:rPr>
          <w:i/>
          <w:szCs w:val="20"/>
          <w:lang w:val="es-ES"/>
        </w:rPr>
        <w:t>supra</w:t>
      </w:r>
      <w:r>
        <w:rPr>
          <w:szCs w:val="20"/>
          <w:lang w:val="es-ES"/>
        </w:rPr>
        <w:t xml:space="preserve"> párr. </w:t>
      </w:r>
      <w:r w:rsidR="00996576">
        <w:rPr>
          <w:szCs w:val="20"/>
          <w:lang w:val="es-ES"/>
        </w:rPr>
        <w:t>21</w:t>
      </w:r>
      <w:r w:rsidR="00CC36D9">
        <w:rPr>
          <w:szCs w:val="20"/>
          <w:lang w:val="es-ES"/>
        </w:rPr>
        <w:t>1</w:t>
      </w:r>
      <w:r>
        <w:rPr>
          <w:szCs w:val="20"/>
          <w:lang w:val="es-ES"/>
        </w:rPr>
        <w:t>). Esta conclusión culminó la serie de actuaciones que se habían realizado con la finalidad de comprobar que las muertes habían ocurrido en el contexto de un enfrentamiento, por lo que no existiría responsabilidad de los agentes policiales.</w:t>
      </w:r>
    </w:p>
    <w:p w14:paraId="4A9919CC" w14:textId="77777777" w:rsidR="006664D0" w:rsidRPr="00245665" w:rsidRDefault="006664D0" w:rsidP="006664D0">
      <w:pPr>
        <w:contextualSpacing/>
        <w:rPr>
          <w:szCs w:val="20"/>
        </w:rPr>
      </w:pPr>
    </w:p>
    <w:p w14:paraId="6E7F8E36" w14:textId="78B370E9" w:rsidR="006664D0" w:rsidRPr="00DA0F87" w:rsidRDefault="006664D0" w:rsidP="006664D0">
      <w:pPr>
        <w:numPr>
          <w:ilvl w:val="0"/>
          <w:numId w:val="1"/>
        </w:numPr>
        <w:contextualSpacing/>
        <w:rPr>
          <w:szCs w:val="20"/>
        </w:rPr>
      </w:pPr>
      <w:r w:rsidRPr="008C78FD">
        <w:rPr>
          <w:rFonts w:cs="Arial"/>
          <w:szCs w:val="20"/>
          <w:lang w:val="es-ES"/>
        </w:rPr>
        <w:t>Respecto de estas tendencias en la conducción de las investigaciones</w:t>
      </w:r>
      <w:r w:rsidR="008C78FD" w:rsidRPr="008C78FD">
        <w:rPr>
          <w:rFonts w:cs="Arial"/>
          <w:szCs w:val="20"/>
          <w:lang w:val="es-ES"/>
        </w:rPr>
        <w:t xml:space="preserve"> referidas anteriormente</w:t>
      </w:r>
      <w:r w:rsidRPr="008C78FD">
        <w:rPr>
          <w:rFonts w:cs="Arial"/>
          <w:szCs w:val="20"/>
          <w:lang w:val="es-ES"/>
        </w:rPr>
        <w:t>, como ya se indicó,</w:t>
      </w:r>
      <w:r w:rsidRPr="007401D8">
        <w:rPr>
          <w:rFonts w:cs="Arial"/>
          <w:szCs w:val="20"/>
          <w:lang w:val="es-ES"/>
        </w:rPr>
        <w:t xml:space="preserve"> se exige del órgano investigador de una muerte </w:t>
      </w:r>
      <w:r w:rsidR="00800B1E">
        <w:rPr>
          <w:rFonts w:cs="Arial"/>
          <w:szCs w:val="20"/>
          <w:lang w:val="es-ES"/>
        </w:rPr>
        <w:t xml:space="preserve">producida por una </w:t>
      </w:r>
      <w:r w:rsidRPr="007401D8">
        <w:rPr>
          <w:rFonts w:cs="Arial"/>
          <w:szCs w:val="20"/>
          <w:lang w:val="es-ES"/>
        </w:rPr>
        <w:t xml:space="preserve">intervención policial la independencia real y concreta en relación </w:t>
      </w:r>
      <w:r w:rsidR="006938BF">
        <w:rPr>
          <w:rFonts w:cs="Arial"/>
          <w:szCs w:val="20"/>
          <w:lang w:val="es-ES"/>
        </w:rPr>
        <w:t>con</w:t>
      </w:r>
      <w:r w:rsidRPr="007401D8">
        <w:rPr>
          <w:rFonts w:cs="Arial"/>
          <w:szCs w:val="20"/>
          <w:lang w:val="es-ES"/>
        </w:rPr>
        <w:t xml:space="preserve"> los supuestos homicidas (</w:t>
      </w:r>
      <w:r w:rsidRPr="007401D8">
        <w:rPr>
          <w:rFonts w:cs="Arial"/>
          <w:i/>
          <w:szCs w:val="20"/>
          <w:lang w:val="es-ES"/>
        </w:rPr>
        <w:t xml:space="preserve">supra </w:t>
      </w:r>
      <w:proofErr w:type="spellStart"/>
      <w:r w:rsidRPr="007401D8">
        <w:rPr>
          <w:rFonts w:cs="Arial"/>
          <w:szCs w:val="20"/>
          <w:lang w:val="es-ES"/>
        </w:rPr>
        <w:t>párrs</w:t>
      </w:r>
      <w:proofErr w:type="spellEnd"/>
      <w:r w:rsidRPr="007401D8">
        <w:rPr>
          <w:rFonts w:cs="Arial"/>
          <w:szCs w:val="20"/>
          <w:lang w:val="es-ES"/>
        </w:rPr>
        <w:t xml:space="preserve">. </w:t>
      </w:r>
      <w:r w:rsidR="00CC36D9">
        <w:rPr>
          <w:rFonts w:cs="Arial"/>
          <w:szCs w:val="20"/>
          <w:lang w:val="es-ES"/>
        </w:rPr>
        <w:t>183</w:t>
      </w:r>
      <w:r w:rsidRPr="007401D8">
        <w:rPr>
          <w:rFonts w:cs="Arial"/>
          <w:szCs w:val="20"/>
          <w:lang w:val="es-ES"/>
        </w:rPr>
        <w:t xml:space="preserve"> a </w:t>
      </w:r>
      <w:r w:rsidR="00B31C78">
        <w:rPr>
          <w:rFonts w:cs="Arial"/>
          <w:szCs w:val="20"/>
          <w:lang w:val="es-ES"/>
        </w:rPr>
        <w:t>19</w:t>
      </w:r>
      <w:r w:rsidR="00CC36D9">
        <w:rPr>
          <w:rFonts w:cs="Arial"/>
          <w:szCs w:val="20"/>
          <w:lang w:val="es-ES"/>
        </w:rPr>
        <w:t>1</w:t>
      </w:r>
      <w:r w:rsidRPr="007401D8">
        <w:rPr>
          <w:rFonts w:cs="Arial"/>
          <w:szCs w:val="20"/>
          <w:lang w:val="es-ES"/>
        </w:rPr>
        <w:t>)</w:t>
      </w:r>
      <w:r w:rsidR="006938BF">
        <w:rPr>
          <w:rFonts w:cs="Arial"/>
          <w:szCs w:val="20"/>
          <w:lang w:val="es-ES"/>
        </w:rPr>
        <w:t xml:space="preserve">, </w:t>
      </w:r>
      <w:r w:rsidR="00373110">
        <w:rPr>
          <w:rFonts w:cs="Arial"/>
          <w:szCs w:val="20"/>
          <w:lang w:val="es-ES"/>
        </w:rPr>
        <w:t>tal</w:t>
      </w:r>
      <w:r w:rsidR="00800B1E">
        <w:rPr>
          <w:rFonts w:cs="Arial"/>
          <w:szCs w:val="20"/>
          <w:lang w:val="es-ES"/>
        </w:rPr>
        <w:t>es</w:t>
      </w:r>
      <w:r w:rsidR="00373110">
        <w:rPr>
          <w:rFonts w:cs="Arial"/>
          <w:szCs w:val="20"/>
          <w:lang w:val="es-ES"/>
        </w:rPr>
        <w:t xml:space="preserve"> como una autoridad </w:t>
      </w:r>
      <w:r w:rsidR="006938BF">
        <w:rPr>
          <w:rFonts w:cs="Arial"/>
          <w:szCs w:val="20"/>
          <w:lang w:val="es-ES"/>
        </w:rPr>
        <w:t>judicial o el Ministerio Público, asistido por personal policial, técnico y administrativo ajeno al cuerpo de seguridad al que pertenezca el posible inculpado</w:t>
      </w:r>
      <w:r w:rsidRPr="007401D8">
        <w:rPr>
          <w:rFonts w:cs="Arial"/>
          <w:szCs w:val="20"/>
          <w:lang w:val="es-ES"/>
        </w:rPr>
        <w:t>. Asimismo, es exigible que los agentes que intervienen en la investigación demuestren garantías suficientes de índole objetiva</w:t>
      </w:r>
      <w:r w:rsidRPr="006A12B5">
        <w:rPr>
          <w:rFonts w:cs="Arial"/>
          <w:szCs w:val="20"/>
          <w:lang w:val="es-ES"/>
        </w:rPr>
        <w:t xml:space="preserve"> que </w:t>
      </w:r>
      <w:r w:rsidRPr="006A12B5">
        <w:t>inspiren la confianza necesaria a las partes en el caso, así como a los ciudadanos en una sociedad democrática</w:t>
      </w:r>
      <w:r w:rsidRPr="006A12B5">
        <w:rPr>
          <w:rStyle w:val="FootnoteReference"/>
        </w:rPr>
        <w:footnoteReference w:id="259"/>
      </w:r>
      <w:r w:rsidRPr="006A12B5">
        <w:t>.</w:t>
      </w:r>
      <w:r w:rsidRPr="006A12B5">
        <w:rPr>
          <w:rFonts w:cs="Arial"/>
          <w:szCs w:val="20"/>
          <w:lang w:val="es-ES"/>
        </w:rPr>
        <w:t xml:space="preserve"> </w:t>
      </w:r>
      <w:r>
        <w:rPr>
          <w:rFonts w:cs="Arial"/>
          <w:szCs w:val="20"/>
          <w:lang w:val="es-ES"/>
        </w:rPr>
        <w:lastRenderedPageBreak/>
        <w:t>Con relación a la investigación de la redada de 1995, al igual que sucedió con las investigaciones respecto de la redada de 1994, la autoridad que estuvo a cargo de la investigación fue la misma dependencia que estuvo encargada del operativo de la redada policial de 8 de mayo de 1995.</w:t>
      </w:r>
      <w:r>
        <w:rPr>
          <w:szCs w:val="20"/>
        </w:rPr>
        <w:t xml:space="preserve"> </w:t>
      </w:r>
      <w:r w:rsidRPr="003B4820">
        <w:rPr>
          <w:rFonts w:cs="Arial"/>
          <w:szCs w:val="20"/>
          <w:lang w:val="es-ES"/>
        </w:rPr>
        <w:t xml:space="preserve">El mismo agente fue encargado de investigar a sus compañeros de la misma institución y de la misma unidad, lo </w:t>
      </w:r>
      <w:r>
        <w:rPr>
          <w:rFonts w:cs="Arial"/>
          <w:szCs w:val="20"/>
          <w:lang w:val="es-ES"/>
        </w:rPr>
        <w:t xml:space="preserve">que representa una vulneración de la garantía de </w:t>
      </w:r>
      <w:r w:rsidRPr="003B4820">
        <w:rPr>
          <w:rFonts w:cs="Arial"/>
          <w:szCs w:val="20"/>
          <w:lang w:val="es-ES"/>
        </w:rPr>
        <w:t>independencia e imparcialidad que eran necesarias para la investigación de las ejecuciones cometidas en la Favela Nova Brasilia.</w:t>
      </w:r>
      <w:r>
        <w:rPr>
          <w:rFonts w:cs="Arial"/>
          <w:szCs w:val="20"/>
          <w:lang w:val="es-ES"/>
        </w:rPr>
        <w:t xml:space="preserve"> </w:t>
      </w:r>
      <w:r w:rsidR="002F6F80">
        <w:rPr>
          <w:rFonts w:cs="Arial"/>
          <w:szCs w:val="20"/>
          <w:lang w:val="es-ES"/>
        </w:rPr>
        <w:t>Finalmente, a pesar de que se abrió una nueva investigación en 2013, la misma no logró subsanar las fallas de la investigación iniciada en 1995; persistiendo la falta de actuaciones judiciales relevantes y sin concretarse ningún avance sustantivo en el expediente.</w:t>
      </w:r>
    </w:p>
    <w:p w14:paraId="2E7F9C10" w14:textId="77777777" w:rsidR="00920D4D" w:rsidRDefault="00920D4D" w:rsidP="00FF5B4D">
      <w:pPr>
        <w:contextualSpacing/>
        <w:rPr>
          <w:i/>
          <w:spacing w:val="-3"/>
          <w:szCs w:val="20"/>
          <w:lang w:val="es-ES"/>
        </w:rPr>
      </w:pPr>
    </w:p>
    <w:p w14:paraId="7092E1C2" w14:textId="58AC0282" w:rsidR="00FF5B4D" w:rsidRPr="00B524F5" w:rsidRDefault="00741B36" w:rsidP="00FF5B4D">
      <w:pPr>
        <w:contextualSpacing/>
        <w:rPr>
          <w:i/>
          <w:szCs w:val="20"/>
        </w:rPr>
      </w:pPr>
      <w:r>
        <w:rPr>
          <w:i/>
          <w:spacing w:val="-3"/>
          <w:szCs w:val="20"/>
          <w:lang w:val="es-ES"/>
        </w:rPr>
        <w:t>B.4.</w:t>
      </w:r>
      <w:r w:rsidR="00C81885">
        <w:rPr>
          <w:i/>
          <w:spacing w:val="-3"/>
          <w:szCs w:val="20"/>
          <w:lang w:val="es-ES"/>
        </w:rPr>
        <w:t>2</w:t>
      </w:r>
      <w:r w:rsidR="00CE18D4">
        <w:rPr>
          <w:i/>
          <w:spacing w:val="-3"/>
          <w:szCs w:val="20"/>
          <w:lang w:val="es-ES"/>
        </w:rPr>
        <w:t>.</w:t>
      </w:r>
      <w:r w:rsidR="002A031A">
        <w:rPr>
          <w:i/>
          <w:spacing w:val="-3"/>
          <w:szCs w:val="20"/>
          <w:lang w:val="es-ES"/>
        </w:rPr>
        <w:tab/>
      </w:r>
      <w:r w:rsidR="00FF5B4D">
        <w:rPr>
          <w:i/>
          <w:spacing w:val="-3"/>
          <w:szCs w:val="20"/>
          <w:lang w:val="es-ES"/>
        </w:rPr>
        <w:t xml:space="preserve">El </w:t>
      </w:r>
      <w:r w:rsidR="00FF5B4D" w:rsidRPr="00130C74">
        <w:rPr>
          <w:i/>
          <w:spacing w:val="-3"/>
          <w:szCs w:val="20"/>
          <w:lang w:val="es-ES"/>
        </w:rPr>
        <w:t>plazo razonable en las investigaciones</w:t>
      </w:r>
      <w:r w:rsidR="00FF5B4D">
        <w:rPr>
          <w:i/>
        </w:rPr>
        <w:t xml:space="preserve"> </w:t>
      </w:r>
      <w:r w:rsidR="00FF5B4D">
        <w:rPr>
          <w:i/>
          <w:spacing w:val="-3"/>
          <w:szCs w:val="20"/>
          <w:lang w:val="es-ES"/>
        </w:rPr>
        <w:t>relacionadas con la</w:t>
      </w:r>
      <w:r w:rsidR="008D6766">
        <w:rPr>
          <w:i/>
          <w:spacing w:val="-3"/>
          <w:szCs w:val="20"/>
          <w:lang w:val="es-ES"/>
        </w:rPr>
        <w:t>s</w:t>
      </w:r>
      <w:r w:rsidR="00FF5B4D">
        <w:rPr>
          <w:i/>
          <w:spacing w:val="-3"/>
          <w:szCs w:val="20"/>
          <w:lang w:val="es-ES"/>
        </w:rPr>
        <w:t xml:space="preserve"> redada</w:t>
      </w:r>
      <w:r w:rsidR="008D6766">
        <w:rPr>
          <w:i/>
          <w:spacing w:val="-3"/>
          <w:szCs w:val="20"/>
          <w:lang w:val="es-ES"/>
        </w:rPr>
        <w:t>s</w:t>
      </w:r>
      <w:r w:rsidR="00FF5B4D">
        <w:rPr>
          <w:i/>
          <w:spacing w:val="-3"/>
          <w:szCs w:val="20"/>
          <w:lang w:val="es-ES"/>
        </w:rPr>
        <w:t xml:space="preserve"> policial</w:t>
      </w:r>
      <w:r w:rsidR="008D6766">
        <w:rPr>
          <w:i/>
          <w:spacing w:val="-3"/>
          <w:szCs w:val="20"/>
          <w:lang w:val="es-ES"/>
        </w:rPr>
        <w:t>es</w:t>
      </w:r>
      <w:r w:rsidR="00FF5B4D">
        <w:rPr>
          <w:i/>
          <w:spacing w:val="-3"/>
          <w:szCs w:val="20"/>
          <w:lang w:val="es-ES"/>
        </w:rPr>
        <w:t xml:space="preserve"> de 1994</w:t>
      </w:r>
      <w:r w:rsidR="008D6766">
        <w:rPr>
          <w:i/>
          <w:spacing w:val="-3"/>
          <w:szCs w:val="20"/>
          <w:lang w:val="es-ES"/>
        </w:rPr>
        <w:t xml:space="preserve"> y 1995</w:t>
      </w:r>
    </w:p>
    <w:p w14:paraId="4DEBC869" w14:textId="77777777" w:rsidR="00FF5B4D" w:rsidRDefault="00FF5B4D" w:rsidP="00FF5B4D">
      <w:pPr>
        <w:pStyle w:val="ListParagraph"/>
        <w:rPr>
          <w:szCs w:val="20"/>
        </w:rPr>
      </w:pPr>
    </w:p>
    <w:p w14:paraId="69744493" w14:textId="77777777" w:rsidR="00FF5B4D" w:rsidRPr="00583877" w:rsidRDefault="00FF5B4D" w:rsidP="00FF5B4D">
      <w:pPr>
        <w:numPr>
          <w:ilvl w:val="0"/>
          <w:numId w:val="1"/>
        </w:numPr>
        <w:contextualSpacing/>
        <w:rPr>
          <w:szCs w:val="20"/>
        </w:rPr>
      </w:pPr>
      <w:r w:rsidRPr="008348B8">
        <w:rPr>
          <w:szCs w:val="20"/>
          <w:lang w:val="es-ES_tradnl"/>
        </w:rPr>
        <w:t>E</w:t>
      </w:r>
      <w:r w:rsidRPr="008348B8">
        <w:rPr>
          <w:szCs w:val="20"/>
          <w:lang w:val="es-PE"/>
        </w:rPr>
        <w:t>n cuanto a la celeridad del proceso</w:t>
      </w:r>
      <w:r>
        <w:rPr>
          <w:szCs w:val="20"/>
          <w:lang w:val="es-PE"/>
        </w:rPr>
        <w:t>,</w:t>
      </w:r>
      <w:r w:rsidRPr="008348B8">
        <w:rPr>
          <w:szCs w:val="20"/>
          <w:lang w:val="es-PE"/>
        </w:rPr>
        <w:t xml:space="preserve"> este Tribunal ha señalado que el “plazo razonable” al que se refiere el artículo 8.1 de la Convención se debe apreciar en relación con la duración total del procedimiento que se desarrolla hasta que se dicta la sentencia definitiva</w:t>
      </w:r>
      <w:r w:rsidRPr="00E90FA0">
        <w:rPr>
          <w:rStyle w:val="FootnoteReference"/>
          <w:lang w:val="es-PE"/>
        </w:rPr>
        <w:footnoteReference w:id="260"/>
      </w:r>
      <w:r w:rsidRPr="008348B8">
        <w:rPr>
          <w:szCs w:val="20"/>
          <w:lang w:val="es-PE"/>
        </w:rPr>
        <w:t>. El derecho de acceso a la justicia implica que la solución de la controversia se produzca en tiempo razonable</w:t>
      </w:r>
      <w:r w:rsidRPr="00E90FA0">
        <w:rPr>
          <w:rStyle w:val="FootnoteReference"/>
          <w:lang w:val="es-PE"/>
        </w:rPr>
        <w:footnoteReference w:id="261"/>
      </w:r>
      <w:r w:rsidRPr="008348B8">
        <w:rPr>
          <w:szCs w:val="20"/>
          <w:lang w:val="es-PE"/>
        </w:rPr>
        <w:t>, ya que una demora prolongada puede llegar a constituir, por sí misma, una violación de las garantías judiciales</w:t>
      </w:r>
      <w:r w:rsidRPr="00E90FA0">
        <w:rPr>
          <w:rStyle w:val="FootnoteReference"/>
          <w:lang w:val="es-PE"/>
        </w:rPr>
        <w:footnoteReference w:id="262"/>
      </w:r>
      <w:r w:rsidRPr="008348B8">
        <w:rPr>
          <w:szCs w:val="20"/>
          <w:lang w:val="es-PE"/>
        </w:rPr>
        <w:t xml:space="preserve">. </w:t>
      </w:r>
    </w:p>
    <w:p w14:paraId="2C77B2D7" w14:textId="77777777" w:rsidR="00FF5B4D" w:rsidRDefault="00FF5B4D" w:rsidP="00FF5B4D">
      <w:pPr>
        <w:pStyle w:val="ListParagraph"/>
        <w:rPr>
          <w:szCs w:val="20"/>
        </w:rPr>
      </w:pPr>
    </w:p>
    <w:p w14:paraId="0714AA1E" w14:textId="77777777" w:rsidR="00FF5B4D" w:rsidRPr="00C66245" w:rsidRDefault="00FF5B4D" w:rsidP="00FF5B4D">
      <w:pPr>
        <w:numPr>
          <w:ilvl w:val="0"/>
          <w:numId w:val="1"/>
        </w:numPr>
        <w:contextualSpacing/>
        <w:rPr>
          <w:szCs w:val="20"/>
        </w:rPr>
      </w:pPr>
      <w:r w:rsidRPr="00583877">
        <w:rPr>
          <w:rFonts w:cs="Arial"/>
          <w:szCs w:val="20"/>
        </w:rPr>
        <w:t>Respecto al presunto incumplimiento de la garantía judicial de plazo razonable en el proceso penal, la Corte examinará los cuatro criterios establecidos en su jurisprudencia en la materia: i) la complejidad del asunto; ii) la actividad procesal del interesado; iii) la conducta de las autoridades judiciales, y iv) la afectación generada en la situación jurídica de la persona involucrada en el proceso</w:t>
      </w:r>
      <w:r w:rsidRPr="00E90FA0">
        <w:rPr>
          <w:rStyle w:val="FootnoteReference"/>
          <w:rFonts w:cs="Arial"/>
        </w:rPr>
        <w:footnoteReference w:id="263"/>
      </w:r>
      <w:r w:rsidRPr="00583877">
        <w:rPr>
          <w:rFonts w:cs="Arial"/>
          <w:szCs w:val="20"/>
        </w:rPr>
        <w:t>. La Corte recuerda que corresponde al Estado justificar, con fundamento en los criterios señalados, la razón por la cual ha requerido del tiempo transcurrido para tratar el caso y, de no demostrarlo, la Corte tiene amplias atribuciones para hacer su propia estimación al respecto</w:t>
      </w:r>
      <w:r w:rsidRPr="00E90FA0">
        <w:rPr>
          <w:rStyle w:val="FootnoteReference"/>
          <w:rFonts w:cs="Arial"/>
        </w:rPr>
        <w:footnoteReference w:id="264"/>
      </w:r>
      <w:r w:rsidRPr="00583877">
        <w:rPr>
          <w:rFonts w:cs="Arial"/>
          <w:szCs w:val="20"/>
        </w:rPr>
        <w:t xml:space="preserve">. </w:t>
      </w:r>
      <w:r>
        <w:rPr>
          <w:rFonts w:cs="Arial"/>
          <w:szCs w:val="20"/>
        </w:rPr>
        <w:t>El Estado no presentó alegatos específicos sobre esa alegada violación de la Convención.</w:t>
      </w:r>
    </w:p>
    <w:p w14:paraId="3ECEE35E" w14:textId="77777777" w:rsidR="00FF5B4D" w:rsidRDefault="00FF5B4D" w:rsidP="00FF5B4D">
      <w:pPr>
        <w:pStyle w:val="ListParagraph"/>
        <w:rPr>
          <w:szCs w:val="20"/>
        </w:rPr>
      </w:pPr>
    </w:p>
    <w:p w14:paraId="21F555E8" w14:textId="198D527F" w:rsidR="00FF5B4D" w:rsidRPr="00D91E48" w:rsidRDefault="00FF5B4D" w:rsidP="00FF5B4D">
      <w:pPr>
        <w:numPr>
          <w:ilvl w:val="0"/>
          <w:numId w:val="1"/>
        </w:numPr>
        <w:contextualSpacing/>
        <w:rPr>
          <w:szCs w:val="20"/>
        </w:rPr>
      </w:pPr>
      <w:r w:rsidRPr="00C66245">
        <w:rPr>
          <w:rFonts w:cs="Arial"/>
          <w:szCs w:val="20"/>
        </w:rPr>
        <w:t xml:space="preserve">En el presente caso, </w:t>
      </w:r>
      <w:r>
        <w:rPr>
          <w:rFonts w:cs="Arial"/>
          <w:szCs w:val="20"/>
        </w:rPr>
        <w:t xml:space="preserve">la investigación </w:t>
      </w:r>
      <w:r w:rsidRPr="00C66245">
        <w:rPr>
          <w:rFonts w:cs="Arial"/>
          <w:szCs w:val="20"/>
        </w:rPr>
        <w:t xml:space="preserve">sobre la </w:t>
      </w:r>
      <w:r>
        <w:rPr>
          <w:rFonts w:cs="Arial"/>
          <w:szCs w:val="20"/>
        </w:rPr>
        <w:t>redada de 18 de octubre de 1994</w:t>
      </w:r>
      <w:r w:rsidRPr="00C66245">
        <w:rPr>
          <w:rFonts w:cs="Arial"/>
          <w:szCs w:val="20"/>
        </w:rPr>
        <w:t xml:space="preserve"> comenzó </w:t>
      </w:r>
      <w:r>
        <w:rPr>
          <w:rFonts w:cs="Arial"/>
          <w:szCs w:val="20"/>
        </w:rPr>
        <w:t xml:space="preserve">ese mismo día con el Boletín de Ocurrencia No. 523 de la DRE </w:t>
      </w:r>
      <w:r w:rsidRPr="00C66245">
        <w:rPr>
          <w:rFonts w:cs="Arial"/>
          <w:szCs w:val="20"/>
        </w:rPr>
        <w:t>y concluyó con la declaratoria</w:t>
      </w:r>
      <w:r>
        <w:rPr>
          <w:rFonts w:cs="Arial"/>
          <w:szCs w:val="20"/>
        </w:rPr>
        <w:t xml:space="preserve"> de prescripción emitida en 2009</w:t>
      </w:r>
      <w:r w:rsidRPr="00C66245">
        <w:rPr>
          <w:rFonts w:cs="Arial"/>
          <w:szCs w:val="20"/>
        </w:rPr>
        <w:t xml:space="preserve">, por lo que la duración del </w:t>
      </w:r>
      <w:r w:rsidR="00B61675">
        <w:rPr>
          <w:rFonts w:cs="Arial"/>
          <w:szCs w:val="20"/>
        </w:rPr>
        <w:t>procedimiento</w:t>
      </w:r>
      <w:r w:rsidRPr="00C66245">
        <w:rPr>
          <w:rFonts w:cs="Arial"/>
          <w:szCs w:val="20"/>
        </w:rPr>
        <w:t xml:space="preserve"> fue de aproximadamente 1</w:t>
      </w:r>
      <w:r>
        <w:rPr>
          <w:rFonts w:cs="Arial"/>
          <w:szCs w:val="20"/>
        </w:rPr>
        <w:t>5</w:t>
      </w:r>
      <w:r w:rsidRPr="00C66245">
        <w:rPr>
          <w:rFonts w:cs="Arial"/>
          <w:szCs w:val="20"/>
        </w:rPr>
        <w:t xml:space="preserve"> años. </w:t>
      </w:r>
      <w:r>
        <w:rPr>
          <w:rFonts w:cs="Arial"/>
          <w:szCs w:val="20"/>
        </w:rPr>
        <w:t xml:space="preserve">Posteriormente, el proceso fue reabierto en 2013, sin que hasta la fecha de la presente sentencia se haya realizado algún avance procesal relevante. </w:t>
      </w:r>
      <w:r w:rsidRPr="00C66245">
        <w:rPr>
          <w:rFonts w:cs="Arial"/>
          <w:szCs w:val="20"/>
        </w:rPr>
        <w:t xml:space="preserve">En vista de lo anterior, la Corte entrará ahora a determinar si el plazo transcurrido es razonable conforme a los criterios establecidos en su jurisprudencia. </w:t>
      </w:r>
    </w:p>
    <w:p w14:paraId="5BED6711" w14:textId="77777777" w:rsidR="00FF5B4D" w:rsidRDefault="00FF5B4D" w:rsidP="00FF5B4D">
      <w:pPr>
        <w:pStyle w:val="ListParagraph"/>
        <w:rPr>
          <w:szCs w:val="20"/>
        </w:rPr>
      </w:pPr>
    </w:p>
    <w:p w14:paraId="3D97E373" w14:textId="1E6C54B1" w:rsidR="00FF5B4D" w:rsidRPr="00CD2001" w:rsidRDefault="00FF5B4D" w:rsidP="00FF5B4D">
      <w:pPr>
        <w:numPr>
          <w:ilvl w:val="0"/>
          <w:numId w:val="1"/>
        </w:numPr>
        <w:contextualSpacing/>
        <w:rPr>
          <w:szCs w:val="20"/>
        </w:rPr>
      </w:pPr>
      <w:r>
        <w:rPr>
          <w:szCs w:val="20"/>
        </w:rPr>
        <w:t xml:space="preserve">Respecto a la </w:t>
      </w:r>
      <w:r w:rsidRPr="00D91E48">
        <w:rPr>
          <w:szCs w:val="20"/>
        </w:rPr>
        <w:t>complejidad del asunto,</w:t>
      </w:r>
      <w:r>
        <w:rPr>
          <w:szCs w:val="20"/>
        </w:rPr>
        <w:t xml:space="preserve"> e</w:t>
      </w:r>
      <w:r w:rsidRPr="00D91E48">
        <w:rPr>
          <w:rFonts w:cs="Helvetica"/>
          <w:szCs w:val="20"/>
        </w:rPr>
        <w:t>ste Tribunal ha tenido en cuenta diversos criterios para determinar la complejidad de un proceso. Entre ellos, la complejidad de la prueba, la pluralidad de sujetos procesales o la cantidad de víctimas, el tiempo transcurrido desde la violación</w:t>
      </w:r>
      <w:r w:rsidR="00A44383">
        <w:rPr>
          <w:rFonts w:cs="Helvetica"/>
          <w:szCs w:val="20"/>
        </w:rPr>
        <w:t>,</w:t>
      </w:r>
      <w:r w:rsidRPr="00D91E48">
        <w:rPr>
          <w:rFonts w:cs="Helvetica"/>
          <w:szCs w:val="20"/>
        </w:rPr>
        <w:t xml:space="preserve"> las características del recurso consagradas en la legislación interna y el </w:t>
      </w:r>
      <w:r w:rsidRPr="00D91E48">
        <w:rPr>
          <w:rFonts w:cs="Helvetica"/>
          <w:szCs w:val="20"/>
        </w:rPr>
        <w:lastRenderedPageBreak/>
        <w:t>contexto en el que ocurrió la violación</w:t>
      </w:r>
      <w:r w:rsidRPr="00E90FA0">
        <w:rPr>
          <w:rStyle w:val="FootnoteReference"/>
        </w:rPr>
        <w:footnoteReference w:id="265"/>
      </w:r>
      <w:r w:rsidRPr="00D91E48">
        <w:rPr>
          <w:rFonts w:cs="Helvetica"/>
          <w:szCs w:val="20"/>
        </w:rPr>
        <w:t>.</w:t>
      </w:r>
      <w:r>
        <w:rPr>
          <w:szCs w:val="20"/>
        </w:rPr>
        <w:t xml:space="preserve"> En este caso, l</w:t>
      </w:r>
      <w:r w:rsidRPr="00D91E48">
        <w:rPr>
          <w:rFonts w:cs="BookAntiqua"/>
          <w:szCs w:val="20"/>
          <w:lang w:val="es-CO"/>
        </w:rPr>
        <w:t xml:space="preserve">a Corte observa que las características del proceso no </w:t>
      </w:r>
      <w:r w:rsidRPr="00D91E48">
        <w:rPr>
          <w:rFonts w:cs="Helvetica"/>
          <w:szCs w:val="20"/>
          <w:lang w:val="es-CO"/>
        </w:rPr>
        <w:t>configuraban una complejidad particularmente alta</w:t>
      </w:r>
      <w:r>
        <w:rPr>
          <w:rFonts w:cs="Helvetica"/>
          <w:szCs w:val="20"/>
          <w:lang w:val="es-CO"/>
        </w:rPr>
        <w:t>, considerando que las víctimas muertas, así como las que habían sufrido violencia sexual, y los elementos policiales que habían participado en la re</w:t>
      </w:r>
      <w:r w:rsidRPr="00357B4B">
        <w:rPr>
          <w:rFonts w:cs="Helvetica"/>
          <w:szCs w:val="20"/>
          <w:lang w:val="es-CO"/>
        </w:rPr>
        <w:t>dada eran identificables. Además, el operativo fue planificado, coordinado y realizado por funcionarios públicos, quienes incluso reportaron las muertes ocurridas a sus superiores.</w:t>
      </w:r>
      <w:r w:rsidRPr="00D91E48">
        <w:rPr>
          <w:rFonts w:cs="Helvetica"/>
          <w:szCs w:val="20"/>
          <w:lang w:val="es-CO"/>
        </w:rPr>
        <w:t xml:space="preserve"> </w:t>
      </w:r>
    </w:p>
    <w:p w14:paraId="06FD7851" w14:textId="77777777" w:rsidR="00FF5B4D" w:rsidRDefault="00FF5B4D" w:rsidP="00FF5B4D">
      <w:pPr>
        <w:pStyle w:val="ListParagraph"/>
        <w:rPr>
          <w:szCs w:val="20"/>
        </w:rPr>
      </w:pPr>
    </w:p>
    <w:p w14:paraId="44FD5E1E" w14:textId="77777777" w:rsidR="00FF5B4D" w:rsidRPr="005C2FC7" w:rsidRDefault="00FF5B4D" w:rsidP="00FF5B4D">
      <w:pPr>
        <w:numPr>
          <w:ilvl w:val="0"/>
          <w:numId w:val="1"/>
        </w:numPr>
        <w:contextualSpacing/>
        <w:rPr>
          <w:szCs w:val="20"/>
        </w:rPr>
      </w:pPr>
      <w:r w:rsidRPr="00CD2001">
        <w:rPr>
          <w:szCs w:val="20"/>
        </w:rPr>
        <w:t>En lo referente a la a</w:t>
      </w:r>
      <w:r w:rsidRPr="00CD2001">
        <w:t>ctividad procesal del interesado</w:t>
      </w:r>
      <w:r>
        <w:t>,</w:t>
      </w:r>
      <w:r w:rsidRPr="00CD2001">
        <w:rPr>
          <w:szCs w:val="20"/>
        </w:rPr>
        <w:t xml:space="preserve"> </w:t>
      </w:r>
      <w:r w:rsidRPr="005C2FC7">
        <w:rPr>
          <w:szCs w:val="20"/>
        </w:rPr>
        <w:t>la Corte nota que</w:t>
      </w:r>
      <w:r>
        <w:rPr>
          <w:szCs w:val="20"/>
        </w:rPr>
        <w:t xml:space="preserve"> no hay evidencia de que los familiares hubieran realizado acciones que dificultaran el avance de las investigaciones, y por el contrario</w:t>
      </w:r>
      <w:r w:rsidRPr="005C2FC7">
        <w:rPr>
          <w:szCs w:val="20"/>
        </w:rPr>
        <w:t xml:space="preserve"> </w:t>
      </w:r>
      <w:r w:rsidRPr="005C2FC7">
        <w:rPr>
          <w:rFonts w:cs="Arial"/>
          <w:szCs w:val="20"/>
          <w:lang w:val="es-CO"/>
        </w:rPr>
        <w:t>no pudieron participar en las investigaciones llevadas a cabo como c</w:t>
      </w:r>
      <w:r>
        <w:rPr>
          <w:rFonts w:cs="Arial"/>
          <w:szCs w:val="20"/>
          <w:lang w:val="es-CO"/>
        </w:rPr>
        <w:t>onsecuencia de la redada de 1994.</w:t>
      </w:r>
    </w:p>
    <w:p w14:paraId="4710828F" w14:textId="77777777" w:rsidR="00FF5B4D" w:rsidRDefault="00FF5B4D" w:rsidP="00FF5B4D">
      <w:pPr>
        <w:pStyle w:val="ListParagraph"/>
        <w:rPr>
          <w:szCs w:val="20"/>
        </w:rPr>
      </w:pPr>
    </w:p>
    <w:p w14:paraId="5F6D83BC" w14:textId="7BD09FAC" w:rsidR="00FF5B4D" w:rsidRPr="002B65A9" w:rsidRDefault="00FF5B4D" w:rsidP="00FF5B4D">
      <w:pPr>
        <w:numPr>
          <w:ilvl w:val="0"/>
          <w:numId w:val="1"/>
        </w:numPr>
        <w:contextualSpacing/>
        <w:rPr>
          <w:szCs w:val="20"/>
        </w:rPr>
      </w:pPr>
      <w:r>
        <w:rPr>
          <w:rFonts w:cs="Arial"/>
          <w:szCs w:val="20"/>
          <w:lang w:val="es-CO"/>
        </w:rPr>
        <w:t xml:space="preserve">En lo que respecta a la </w:t>
      </w:r>
      <w:r w:rsidRPr="00896F26">
        <w:rPr>
          <w:szCs w:val="20"/>
        </w:rPr>
        <w:t>conducta de las autoridades judiciales</w:t>
      </w:r>
      <w:r>
        <w:rPr>
          <w:szCs w:val="20"/>
        </w:rPr>
        <w:t>, l</w:t>
      </w:r>
      <w:r w:rsidRPr="00896F26">
        <w:rPr>
          <w:rFonts w:cs="Arial"/>
          <w:szCs w:val="20"/>
        </w:rPr>
        <w:t>a</w:t>
      </w:r>
      <w:r w:rsidRPr="00896F26">
        <w:rPr>
          <w:rFonts w:cs="Arial"/>
          <w:szCs w:val="20"/>
          <w:lang w:val="es-CO"/>
        </w:rPr>
        <w:t xml:space="preserve"> Corte </w:t>
      </w:r>
      <w:r>
        <w:rPr>
          <w:rFonts w:cs="Arial"/>
          <w:szCs w:val="20"/>
          <w:lang w:val="es-CO"/>
        </w:rPr>
        <w:t xml:space="preserve">considera </w:t>
      </w:r>
      <w:r w:rsidRPr="00711A42">
        <w:rPr>
          <w:szCs w:val="20"/>
        </w:rPr>
        <w:t xml:space="preserve">que existieron retrasos en </w:t>
      </w:r>
      <w:r>
        <w:rPr>
          <w:szCs w:val="20"/>
        </w:rPr>
        <w:t>las investigaciones que obedecieron a la inactividad de las autoridades, al otorgamiento de prórrogas y a la falta de cumplimiento con diversas diligencias ordenadas</w:t>
      </w:r>
      <w:r w:rsidRPr="00711A42">
        <w:rPr>
          <w:szCs w:val="20"/>
        </w:rPr>
        <w:t>.</w:t>
      </w:r>
      <w:r>
        <w:rPr>
          <w:szCs w:val="20"/>
        </w:rPr>
        <w:t xml:space="preserve"> Todo lo anterior está relacionado con la falta de actuación diligente</w:t>
      </w:r>
      <w:r w:rsidR="00DA0F87">
        <w:rPr>
          <w:szCs w:val="20"/>
        </w:rPr>
        <w:t xml:space="preserve"> y la falta de independencia de</w:t>
      </w:r>
      <w:r>
        <w:rPr>
          <w:szCs w:val="20"/>
        </w:rPr>
        <w:t xml:space="preserve"> las autoridades </w:t>
      </w:r>
      <w:r w:rsidR="00DA0F87">
        <w:rPr>
          <w:szCs w:val="20"/>
        </w:rPr>
        <w:t>encargadas de la investigación</w:t>
      </w:r>
      <w:r>
        <w:rPr>
          <w:szCs w:val="20"/>
        </w:rPr>
        <w:t>.</w:t>
      </w:r>
      <w:r w:rsidRPr="00711A42">
        <w:rPr>
          <w:szCs w:val="20"/>
        </w:rPr>
        <w:t xml:space="preserve"> La Corte considera que </w:t>
      </w:r>
      <w:r w:rsidRPr="00711A42">
        <w:rPr>
          <w:rFonts w:cs="Arial"/>
          <w:szCs w:val="20"/>
        </w:rPr>
        <w:t xml:space="preserve">las autoridades no procuraron en forma diligente que el plazo razonable fuera respetado en </w:t>
      </w:r>
      <w:r w:rsidR="00DA0F87">
        <w:rPr>
          <w:rFonts w:cs="Arial"/>
          <w:szCs w:val="20"/>
        </w:rPr>
        <w:t xml:space="preserve">la investigación y </w:t>
      </w:r>
      <w:r w:rsidRPr="00711A42">
        <w:rPr>
          <w:rFonts w:cs="Arial"/>
          <w:szCs w:val="20"/>
        </w:rPr>
        <w:t>el proceso penal.</w:t>
      </w:r>
      <w:r>
        <w:rPr>
          <w:szCs w:val="20"/>
        </w:rPr>
        <w:t xml:space="preserve"> </w:t>
      </w:r>
    </w:p>
    <w:p w14:paraId="0763B0B2" w14:textId="77777777" w:rsidR="00FF5B4D" w:rsidRPr="00672F14" w:rsidRDefault="00FF5B4D" w:rsidP="00FF5B4D">
      <w:pPr>
        <w:contextualSpacing/>
        <w:rPr>
          <w:szCs w:val="20"/>
        </w:rPr>
      </w:pPr>
    </w:p>
    <w:p w14:paraId="167E57A3" w14:textId="77777777" w:rsidR="00FF5B4D" w:rsidRDefault="00FF5B4D" w:rsidP="00FF5B4D">
      <w:pPr>
        <w:numPr>
          <w:ilvl w:val="0"/>
          <w:numId w:val="1"/>
        </w:numPr>
        <w:contextualSpacing/>
        <w:rPr>
          <w:szCs w:val="20"/>
        </w:rPr>
      </w:pPr>
      <w:r>
        <w:rPr>
          <w:rFonts w:cs="Arial"/>
          <w:szCs w:val="20"/>
        </w:rPr>
        <w:t xml:space="preserve">Por último, en relación con la </w:t>
      </w:r>
      <w:r w:rsidRPr="00672F14">
        <w:rPr>
          <w:rFonts w:cs="Arial"/>
          <w:szCs w:val="20"/>
        </w:rPr>
        <w:t>a</w:t>
      </w:r>
      <w:r w:rsidRPr="00672F14">
        <w:t>fectación generada en la situación jurídica de la persona involucrada en el proceso e impactos en los derechos de la misma</w:t>
      </w:r>
      <w:r>
        <w:t xml:space="preserve">, la Corte </w:t>
      </w:r>
      <w:r w:rsidRPr="00A021FC">
        <w:t>considera, como ha hecho anteriormente</w:t>
      </w:r>
      <w:r>
        <w:rPr>
          <w:rStyle w:val="FootnoteReference"/>
        </w:rPr>
        <w:footnoteReference w:id="266"/>
      </w:r>
      <w:r w:rsidRPr="00A021FC">
        <w:t>, que no es necesario realizar el análisis del mismo para determinar la razonabilidad del plazo de las investigaciones aquí referidas.</w:t>
      </w:r>
    </w:p>
    <w:p w14:paraId="07F4B9D2" w14:textId="77777777" w:rsidR="00FF5B4D" w:rsidRDefault="00FF5B4D" w:rsidP="00FF5B4D">
      <w:pPr>
        <w:pStyle w:val="ListParagraph"/>
        <w:rPr>
          <w:szCs w:val="20"/>
        </w:rPr>
      </w:pPr>
    </w:p>
    <w:p w14:paraId="52896A34" w14:textId="7A87D568" w:rsidR="00FF5B4D" w:rsidRDefault="00FF5B4D" w:rsidP="00FF5B4D">
      <w:pPr>
        <w:numPr>
          <w:ilvl w:val="0"/>
          <w:numId w:val="1"/>
        </w:numPr>
        <w:contextualSpacing/>
        <w:rPr>
          <w:szCs w:val="20"/>
          <w:lang w:val="pt-BR"/>
        </w:rPr>
      </w:pPr>
      <w:r>
        <w:rPr>
          <w:szCs w:val="20"/>
        </w:rPr>
        <w:t xml:space="preserve">A manera de conclusión, la Corte considera que la larga duración de las investigaciones permitió que los familiares de las víctimas muertas </w:t>
      </w:r>
      <w:r>
        <w:rPr>
          <w:rFonts w:cs="Arial"/>
          <w:szCs w:val="20"/>
          <w:lang w:val="es-CO"/>
        </w:rPr>
        <w:t xml:space="preserve">permanecieran en una situación de incertidumbre respecto a </w:t>
      </w:r>
      <w:r w:rsidRPr="00D6683A">
        <w:rPr>
          <w:rFonts w:cs="Arial"/>
          <w:szCs w:val="20"/>
          <w:lang w:val="es-ES"/>
        </w:rPr>
        <w:t xml:space="preserve">los responsables de los hechos de la redada de 1994. </w:t>
      </w:r>
      <w:r w:rsidRPr="00CE18D4">
        <w:rPr>
          <w:szCs w:val="20"/>
          <w:lang w:val="pt-BR"/>
        </w:rPr>
        <w:t>Por todo lo anterior, la Corte concluye que el Estado vulneró las garantías judiciales de debida diligencia y plazo razonable, previstas en el artículo 8.1 de la Convención Americana sobre Derechos Humanos, en relación con el artículo 1.1 del mismo instrumento</w:t>
      </w:r>
      <w:r w:rsidRPr="00BC31D2">
        <w:rPr>
          <w:szCs w:val="20"/>
          <w:lang w:val="pt-BR"/>
        </w:rPr>
        <w:t xml:space="preserve">, </w:t>
      </w:r>
      <w:r w:rsidRPr="00CE18D4">
        <w:rPr>
          <w:szCs w:val="20"/>
          <w:lang w:val="pt-BR"/>
        </w:rPr>
        <w:t>en perjuicio</w:t>
      </w:r>
      <w:r w:rsidRPr="00BC31D2">
        <w:rPr>
          <w:szCs w:val="20"/>
          <w:lang w:val="pt-BR"/>
        </w:rPr>
        <w:t xml:space="preserve"> de Alcides Ram</w:t>
      </w:r>
      <w:r w:rsidRPr="004F42CB">
        <w:rPr>
          <w:szCs w:val="20"/>
          <w:lang w:val="pt-BR"/>
        </w:rPr>
        <w:t xml:space="preserve">os, Thiago da Silva, Alberto </w:t>
      </w:r>
      <w:r>
        <w:rPr>
          <w:szCs w:val="20"/>
          <w:lang w:val="pt-BR"/>
        </w:rPr>
        <w:t>da Silva</w:t>
      </w:r>
      <w:r w:rsidRPr="004F42CB">
        <w:rPr>
          <w:szCs w:val="20"/>
          <w:lang w:val="pt-BR"/>
        </w:rPr>
        <w:t>, Maria das Graças Ramos da Silva, Rosiane dos Santos, Vera Lúcia dos Santos de Miranda, Lucia Helena Neri da Silva, Joyce Neri da Silva Dantas, Edson Faria Neves, Mac Laine Faria Neves, Valdenice Fernandes Vieira, Neuza Ribeiro Raymundo, Eliane Elene Fernandes Vieira, Rogério Genuino dos Santos, Jucelena Rocha dos Santos, Robson Genuino dos Santos Júnior, Norival Pinto Donato, Celia da Cruz Silva, Nilcéia de Oliveira, Diogo Vieira dos Santos, Helena Vian</w:t>
      </w:r>
      <w:r w:rsidR="003D3D8D">
        <w:rPr>
          <w:szCs w:val="20"/>
          <w:lang w:val="pt-BR"/>
        </w:rPr>
        <w:t>n</w:t>
      </w:r>
      <w:r w:rsidRPr="004F42CB">
        <w:rPr>
          <w:szCs w:val="20"/>
          <w:lang w:val="pt-BR"/>
        </w:rPr>
        <w:t>a</w:t>
      </w:r>
      <w:r w:rsidR="003D3D8D">
        <w:rPr>
          <w:szCs w:val="20"/>
          <w:lang w:val="pt-BR"/>
        </w:rPr>
        <w:t xml:space="preserve"> dos Santos</w:t>
      </w:r>
      <w:r w:rsidRPr="004F42CB">
        <w:rPr>
          <w:szCs w:val="20"/>
          <w:lang w:val="pt-BR"/>
        </w:rPr>
        <w:t xml:space="preserve">, Adriana Vianna dos Santos, Sandro Vianna dos Santos, Alessandra Vianna </w:t>
      </w:r>
      <w:r>
        <w:rPr>
          <w:szCs w:val="20"/>
          <w:lang w:val="pt-BR"/>
        </w:rPr>
        <w:t>Vieira</w:t>
      </w:r>
      <w:r w:rsidRPr="004F42CB">
        <w:rPr>
          <w:szCs w:val="20"/>
          <w:lang w:val="pt-BR"/>
        </w:rPr>
        <w:t xml:space="preserve">, Zeferino Marques de Oliveira, Aline da Silva, Efigenia Margarida Alves, Sergio Rosa Mendes, Sonia Maria Mendes, Francisco José de Souza, </w:t>
      </w:r>
      <w:r w:rsidRPr="00C11590">
        <w:rPr>
          <w:szCs w:val="20"/>
          <w:lang w:val="pt-BR"/>
        </w:rPr>
        <w:t>Martinha Martino de Souza</w:t>
      </w:r>
      <w:r w:rsidRPr="004F42CB">
        <w:rPr>
          <w:szCs w:val="20"/>
          <w:lang w:val="pt-BR"/>
        </w:rPr>
        <w:t>, Luiz Henrique de Souza, Ronald Marcos de Souza, João Alves de Moura, Eva Maria dos Santos Moura, João Batista de Souza e Josefa Maria de Souza</w:t>
      </w:r>
      <w:r>
        <w:rPr>
          <w:rStyle w:val="FootnoteReference"/>
        </w:rPr>
        <w:footnoteReference w:id="267"/>
      </w:r>
      <w:r w:rsidR="00DA0F87">
        <w:rPr>
          <w:szCs w:val="20"/>
          <w:lang w:val="pt-BR"/>
        </w:rPr>
        <w:t>.</w:t>
      </w:r>
    </w:p>
    <w:p w14:paraId="5790B90D" w14:textId="77777777" w:rsidR="00295431" w:rsidRPr="00387937" w:rsidRDefault="00295431" w:rsidP="00295431">
      <w:pPr>
        <w:rPr>
          <w:szCs w:val="20"/>
          <w:lang w:val="pt-BR"/>
        </w:rPr>
      </w:pPr>
    </w:p>
    <w:p w14:paraId="66180B13" w14:textId="31BEB8CD" w:rsidR="00295431" w:rsidRPr="00C66245" w:rsidRDefault="00B1098D" w:rsidP="00295431">
      <w:pPr>
        <w:numPr>
          <w:ilvl w:val="0"/>
          <w:numId w:val="1"/>
        </w:numPr>
        <w:contextualSpacing/>
        <w:rPr>
          <w:szCs w:val="20"/>
        </w:rPr>
      </w:pPr>
      <w:r>
        <w:rPr>
          <w:rFonts w:cs="Arial"/>
          <w:szCs w:val="20"/>
        </w:rPr>
        <w:t>En lo que respecta a las investigaciones de la redada de 1995, l</w:t>
      </w:r>
      <w:r w:rsidR="00295431" w:rsidRPr="00583877">
        <w:rPr>
          <w:rFonts w:cs="Arial"/>
          <w:szCs w:val="20"/>
        </w:rPr>
        <w:t>a Corte examinará</w:t>
      </w:r>
      <w:r>
        <w:rPr>
          <w:rFonts w:cs="Arial"/>
          <w:szCs w:val="20"/>
        </w:rPr>
        <w:t xml:space="preserve"> a continuación</w:t>
      </w:r>
      <w:r w:rsidR="00295431">
        <w:rPr>
          <w:rFonts w:cs="Arial"/>
          <w:szCs w:val="20"/>
        </w:rPr>
        <w:t xml:space="preserve">, al igual que </w:t>
      </w:r>
      <w:r>
        <w:rPr>
          <w:rFonts w:cs="Arial"/>
          <w:szCs w:val="20"/>
        </w:rPr>
        <w:t>respecto de</w:t>
      </w:r>
      <w:r w:rsidR="00295431">
        <w:rPr>
          <w:rFonts w:cs="Arial"/>
          <w:szCs w:val="20"/>
        </w:rPr>
        <w:t xml:space="preserve"> las investigaciones de la redada de 1994,</w:t>
      </w:r>
      <w:r w:rsidR="00295431" w:rsidRPr="00583877">
        <w:rPr>
          <w:rFonts w:cs="Arial"/>
          <w:szCs w:val="20"/>
        </w:rPr>
        <w:t xml:space="preserve"> los cuatro criterios establecidos en su jurisprudencia en la materia</w:t>
      </w:r>
      <w:r w:rsidR="00295431">
        <w:rPr>
          <w:rFonts w:cs="Arial"/>
          <w:szCs w:val="20"/>
        </w:rPr>
        <w:t xml:space="preserve"> (</w:t>
      </w:r>
      <w:r w:rsidR="00295431">
        <w:rPr>
          <w:rFonts w:cs="Arial"/>
          <w:i/>
          <w:szCs w:val="20"/>
        </w:rPr>
        <w:t xml:space="preserve">supra </w:t>
      </w:r>
      <w:r w:rsidR="00295431">
        <w:rPr>
          <w:rFonts w:cs="Arial"/>
          <w:szCs w:val="20"/>
        </w:rPr>
        <w:t xml:space="preserve">párr. </w:t>
      </w:r>
      <w:r w:rsidR="00F00A09">
        <w:rPr>
          <w:rFonts w:cs="Arial"/>
          <w:szCs w:val="20"/>
        </w:rPr>
        <w:t>21</w:t>
      </w:r>
      <w:r w:rsidR="00CC36D9">
        <w:rPr>
          <w:rFonts w:cs="Arial"/>
          <w:szCs w:val="20"/>
        </w:rPr>
        <w:t>8</w:t>
      </w:r>
      <w:r w:rsidR="00295431">
        <w:rPr>
          <w:rFonts w:cs="Arial"/>
          <w:szCs w:val="20"/>
        </w:rPr>
        <w:t>)</w:t>
      </w:r>
      <w:r w:rsidR="00295431" w:rsidRPr="00E90FA0">
        <w:rPr>
          <w:rStyle w:val="FootnoteReference"/>
          <w:rFonts w:cs="Arial"/>
        </w:rPr>
        <w:footnoteReference w:id="268"/>
      </w:r>
      <w:r w:rsidR="00295431" w:rsidRPr="00583877">
        <w:rPr>
          <w:rFonts w:cs="Arial"/>
          <w:szCs w:val="20"/>
        </w:rPr>
        <w:t>. La Corte recuerda que corresponde al Estado justificar, con fundamento en los criterios señalados, la razón por la cual ha requerido del tiempo transcurrido para tratar el caso y, de no demostrarlo, la Corte tiene amplias atribuciones para hacer su propia estimación al respecto</w:t>
      </w:r>
      <w:r w:rsidR="00295431" w:rsidRPr="00E90FA0">
        <w:rPr>
          <w:rStyle w:val="FootnoteReference"/>
          <w:rFonts w:cs="Arial"/>
        </w:rPr>
        <w:footnoteReference w:id="269"/>
      </w:r>
      <w:r w:rsidR="00295431" w:rsidRPr="00583877">
        <w:rPr>
          <w:rFonts w:cs="Arial"/>
          <w:szCs w:val="20"/>
        </w:rPr>
        <w:t xml:space="preserve">. </w:t>
      </w:r>
      <w:r w:rsidR="00295431">
        <w:rPr>
          <w:rFonts w:cs="Arial"/>
          <w:szCs w:val="20"/>
        </w:rPr>
        <w:t>El Estado no presentó alegatos específicos sobre la alegada violación de los derechos a las garantías judiciales y a la protección judicial.</w:t>
      </w:r>
    </w:p>
    <w:p w14:paraId="436DD28F" w14:textId="77777777" w:rsidR="00295431" w:rsidRPr="00425718" w:rsidRDefault="00295431" w:rsidP="00295431">
      <w:pPr>
        <w:pStyle w:val="ListParagraph"/>
        <w:ind w:left="0"/>
        <w:rPr>
          <w:szCs w:val="20"/>
        </w:rPr>
      </w:pPr>
    </w:p>
    <w:p w14:paraId="67339F0C" w14:textId="5FB0D744" w:rsidR="00295431" w:rsidRPr="00D91E48" w:rsidRDefault="00160220" w:rsidP="00295431">
      <w:pPr>
        <w:numPr>
          <w:ilvl w:val="0"/>
          <w:numId w:val="1"/>
        </w:numPr>
        <w:contextualSpacing/>
        <w:rPr>
          <w:szCs w:val="20"/>
        </w:rPr>
      </w:pPr>
      <w:r>
        <w:rPr>
          <w:rFonts w:cs="Arial"/>
          <w:szCs w:val="20"/>
        </w:rPr>
        <w:t xml:space="preserve">Al respecto, la Corte recuerda que </w:t>
      </w:r>
      <w:r w:rsidR="00295431">
        <w:rPr>
          <w:rFonts w:cs="Arial"/>
          <w:szCs w:val="20"/>
        </w:rPr>
        <w:t xml:space="preserve">la investigación </w:t>
      </w:r>
      <w:r w:rsidR="00295431" w:rsidRPr="00C66245">
        <w:rPr>
          <w:rFonts w:cs="Arial"/>
          <w:szCs w:val="20"/>
        </w:rPr>
        <w:t xml:space="preserve">sobre la </w:t>
      </w:r>
      <w:r w:rsidR="00295431">
        <w:rPr>
          <w:rFonts w:cs="Arial"/>
          <w:szCs w:val="20"/>
        </w:rPr>
        <w:t>redada de 8 de mayo de 1995</w:t>
      </w:r>
      <w:r w:rsidR="00295431" w:rsidRPr="00C66245">
        <w:rPr>
          <w:rFonts w:cs="Arial"/>
          <w:szCs w:val="20"/>
        </w:rPr>
        <w:t xml:space="preserve"> comenzó </w:t>
      </w:r>
      <w:r w:rsidR="00295431">
        <w:rPr>
          <w:rFonts w:cs="Arial"/>
          <w:szCs w:val="20"/>
        </w:rPr>
        <w:t xml:space="preserve">ese mismo día a través del Boletín de Ocurrencia No. 252 </w:t>
      </w:r>
      <w:r w:rsidR="00295431" w:rsidRPr="00C66245">
        <w:rPr>
          <w:rFonts w:cs="Arial"/>
          <w:szCs w:val="20"/>
        </w:rPr>
        <w:t>y concluyó con la declaratoria</w:t>
      </w:r>
      <w:r w:rsidR="00295431">
        <w:rPr>
          <w:rFonts w:cs="Arial"/>
          <w:szCs w:val="20"/>
        </w:rPr>
        <w:t xml:space="preserve"> de prescripción emitida en 2009</w:t>
      </w:r>
      <w:r w:rsidR="00295431" w:rsidRPr="00C66245">
        <w:rPr>
          <w:rFonts w:cs="Arial"/>
          <w:szCs w:val="20"/>
        </w:rPr>
        <w:t xml:space="preserve">, por lo que la duración del </w:t>
      </w:r>
      <w:r>
        <w:rPr>
          <w:rFonts w:cs="Arial"/>
          <w:szCs w:val="20"/>
        </w:rPr>
        <w:t>procedimiento</w:t>
      </w:r>
      <w:r w:rsidR="00295431" w:rsidRPr="00C66245">
        <w:rPr>
          <w:rFonts w:cs="Arial"/>
          <w:szCs w:val="20"/>
        </w:rPr>
        <w:t xml:space="preserve"> fue de aproximadamente 1</w:t>
      </w:r>
      <w:r w:rsidR="00295431">
        <w:rPr>
          <w:rFonts w:cs="Arial"/>
          <w:szCs w:val="20"/>
        </w:rPr>
        <w:t>4</w:t>
      </w:r>
      <w:r w:rsidR="00295431" w:rsidRPr="00C66245">
        <w:rPr>
          <w:rFonts w:cs="Arial"/>
          <w:szCs w:val="20"/>
        </w:rPr>
        <w:t xml:space="preserve"> años. </w:t>
      </w:r>
      <w:r w:rsidR="00295431">
        <w:rPr>
          <w:rFonts w:cs="Arial"/>
          <w:szCs w:val="20"/>
        </w:rPr>
        <w:t xml:space="preserve">Posteriormente, el proceso fue reabierto en 2013 y archivado nuevamente en 2015. </w:t>
      </w:r>
      <w:r w:rsidR="00295431" w:rsidRPr="00C66245">
        <w:rPr>
          <w:rFonts w:cs="Arial"/>
          <w:szCs w:val="20"/>
        </w:rPr>
        <w:t xml:space="preserve">En vista de lo anterior, la Corte entrará ahora a determinar si el plazo transcurrido es razonable conforme a los criterios establecidos en su jurisprudencia. </w:t>
      </w:r>
      <w:r w:rsidR="00295431">
        <w:rPr>
          <w:rFonts w:cs="Arial"/>
          <w:szCs w:val="20"/>
        </w:rPr>
        <w:t xml:space="preserve"> </w:t>
      </w:r>
    </w:p>
    <w:p w14:paraId="42698D2A" w14:textId="77777777" w:rsidR="00295431" w:rsidRDefault="00295431" w:rsidP="00295431">
      <w:pPr>
        <w:pStyle w:val="ListParagraph"/>
        <w:rPr>
          <w:szCs w:val="20"/>
        </w:rPr>
      </w:pPr>
    </w:p>
    <w:p w14:paraId="66595D1F" w14:textId="77777777" w:rsidR="00295431" w:rsidRPr="007C1DF3" w:rsidRDefault="00295431" w:rsidP="00295431">
      <w:pPr>
        <w:numPr>
          <w:ilvl w:val="0"/>
          <w:numId w:val="1"/>
        </w:numPr>
        <w:contextualSpacing/>
        <w:rPr>
          <w:szCs w:val="20"/>
          <w:lang w:val="es-ES"/>
        </w:rPr>
      </w:pPr>
      <w:r>
        <w:rPr>
          <w:szCs w:val="20"/>
        </w:rPr>
        <w:t xml:space="preserve">Respecto a la </w:t>
      </w:r>
      <w:r w:rsidRPr="00D91E48">
        <w:rPr>
          <w:szCs w:val="20"/>
        </w:rPr>
        <w:t>complejidad del asunto,</w:t>
      </w:r>
      <w:r>
        <w:rPr>
          <w:szCs w:val="20"/>
        </w:rPr>
        <w:t xml:space="preserve"> l</w:t>
      </w:r>
      <w:r w:rsidRPr="00D91E48">
        <w:rPr>
          <w:rFonts w:cs="BookAntiqua"/>
          <w:szCs w:val="20"/>
          <w:lang w:val="es-CO"/>
        </w:rPr>
        <w:t xml:space="preserve">a Corte observa que las características del proceso no </w:t>
      </w:r>
      <w:r w:rsidRPr="00D91E48">
        <w:rPr>
          <w:rFonts w:cs="Helvetica"/>
          <w:szCs w:val="20"/>
          <w:lang w:val="es-CO"/>
        </w:rPr>
        <w:t>configuraban una complejidad particularmente alta</w:t>
      </w:r>
      <w:r>
        <w:rPr>
          <w:rFonts w:cs="Helvetica"/>
          <w:szCs w:val="20"/>
          <w:lang w:val="es-CO"/>
        </w:rPr>
        <w:t xml:space="preserve">, considerando que se debía contar con los nombres de los agentes de policía que participaron en la redada, así como de las personas que </w:t>
      </w:r>
      <w:proofErr w:type="spellStart"/>
      <w:r w:rsidRPr="007C1DF3">
        <w:rPr>
          <w:rFonts w:cs="Helvetica"/>
          <w:szCs w:val="20"/>
          <w:lang w:val="es-ES"/>
        </w:rPr>
        <w:t>alegadamente</w:t>
      </w:r>
      <w:proofErr w:type="spellEnd"/>
      <w:r w:rsidRPr="007C1DF3">
        <w:rPr>
          <w:rFonts w:cs="Helvetica"/>
          <w:szCs w:val="20"/>
          <w:lang w:val="es-ES"/>
        </w:rPr>
        <w:t xml:space="preserve"> debían buscarse o arrestarse durante la misma.</w:t>
      </w:r>
      <w:r w:rsidRPr="007C1DF3">
        <w:rPr>
          <w:rFonts w:cs="Arial"/>
          <w:szCs w:val="20"/>
          <w:lang w:val="es-ES"/>
        </w:rPr>
        <w:t xml:space="preserve"> La Corte no encuentra motivos particulares que demuestren una complejidad especial en el caso analizado, que justificara una duración de 14 años del proceso. </w:t>
      </w:r>
    </w:p>
    <w:p w14:paraId="0D565870" w14:textId="77777777" w:rsidR="00295431" w:rsidRPr="007C1DF3" w:rsidRDefault="00295431" w:rsidP="00295431">
      <w:pPr>
        <w:pStyle w:val="ListParagraph"/>
        <w:rPr>
          <w:szCs w:val="20"/>
          <w:lang w:val="es-ES"/>
        </w:rPr>
      </w:pPr>
    </w:p>
    <w:p w14:paraId="448B82ED" w14:textId="77777777" w:rsidR="00295431" w:rsidRPr="007C1DF3" w:rsidRDefault="00295431" w:rsidP="00295431">
      <w:pPr>
        <w:numPr>
          <w:ilvl w:val="0"/>
          <w:numId w:val="1"/>
        </w:numPr>
        <w:contextualSpacing/>
        <w:rPr>
          <w:szCs w:val="20"/>
          <w:lang w:val="es-ES"/>
        </w:rPr>
      </w:pPr>
      <w:r w:rsidRPr="007C1DF3">
        <w:rPr>
          <w:szCs w:val="20"/>
          <w:lang w:val="es-ES"/>
        </w:rPr>
        <w:t>En lo referente a la a</w:t>
      </w:r>
      <w:r w:rsidRPr="007C1DF3">
        <w:rPr>
          <w:lang w:val="es-ES"/>
        </w:rPr>
        <w:t>ctividad procesal del interesado,</w:t>
      </w:r>
      <w:r w:rsidRPr="007C1DF3">
        <w:rPr>
          <w:szCs w:val="20"/>
          <w:lang w:val="es-ES"/>
        </w:rPr>
        <w:t xml:space="preserve"> la Corte nota que no hay evidencia de que los familiares hubieran realizado acciones que dificultaran el avance de las investigaciones, y por el contrario </w:t>
      </w:r>
      <w:r w:rsidRPr="007C1DF3">
        <w:rPr>
          <w:rFonts w:cs="Arial"/>
          <w:szCs w:val="20"/>
          <w:lang w:val="es-ES"/>
        </w:rPr>
        <w:t>no pudieron participar en las investigaciones llevadas a cabo como consecuencia de la redada de 1995.</w:t>
      </w:r>
    </w:p>
    <w:p w14:paraId="372A8774" w14:textId="77777777" w:rsidR="00295431" w:rsidRPr="007C1DF3" w:rsidRDefault="00295431" w:rsidP="00295431">
      <w:pPr>
        <w:contextualSpacing/>
        <w:rPr>
          <w:szCs w:val="20"/>
          <w:lang w:val="es-ES"/>
        </w:rPr>
      </w:pPr>
    </w:p>
    <w:p w14:paraId="759B404F" w14:textId="77777777" w:rsidR="00295431" w:rsidRPr="007C1DF3" w:rsidRDefault="00295431" w:rsidP="00295431">
      <w:pPr>
        <w:numPr>
          <w:ilvl w:val="0"/>
          <w:numId w:val="1"/>
        </w:numPr>
        <w:contextualSpacing/>
        <w:rPr>
          <w:szCs w:val="20"/>
          <w:lang w:val="es-ES"/>
        </w:rPr>
      </w:pPr>
      <w:r w:rsidRPr="007C1DF3">
        <w:rPr>
          <w:rFonts w:cs="Arial"/>
          <w:szCs w:val="20"/>
          <w:lang w:val="es-ES"/>
        </w:rPr>
        <w:t xml:space="preserve">En lo que respecta a la </w:t>
      </w:r>
      <w:r w:rsidRPr="007C1DF3">
        <w:rPr>
          <w:szCs w:val="20"/>
          <w:lang w:val="es-ES"/>
        </w:rPr>
        <w:t>conducta de las autoridades judiciales, l</w:t>
      </w:r>
      <w:r w:rsidRPr="007C1DF3">
        <w:rPr>
          <w:rFonts w:cs="Arial"/>
          <w:szCs w:val="20"/>
          <w:lang w:val="es-ES"/>
        </w:rPr>
        <w:t xml:space="preserve">a Corte considera </w:t>
      </w:r>
      <w:r w:rsidRPr="007C1DF3">
        <w:rPr>
          <w:szCs w:val="20"/>
          <w:lang w:val="es-ES"/>
        </w:rPr>
        <w:t xml:space="preserve">que no fue impulsada la investigación y que la misma estuvo destinada a evaluar la conducta de las víctimas muertas, y no de los oficiales de policía que las ejecutaron. La Corte considera que </w:t>
      </w:r>
      <w:r w:rsidRPr="007C1DF3">
        <w:rPr>
          <w:rFonts w:cs="Arial"/>
          <w:szCs w:val="20"/>
          <w:lang w:val="es-ES"/>
        </w:rPr>
        <w:t>las autoridades no procuraron en forma diligente que las investigaciones avanzaran y que los responsables por los hechos fueran identificados y sancionados.</w:t>
      </w:r>
      <w:r w:rsidRPr="007C1DF3">
        <w:rPr>
          <w:szCs w:val="20"/>
          <w:lang w:val="es-ES"/>
        </w:rPr>
        <w:t xml:space="preserve"> </w:t>
      </w:r>
    </w:p>
    <w:p w14:paraId="5FFF085D" w14:textId="77777777" w:rsidR="00295431" w:rsidRPr="007C1DF3" w:rsidRDefault="00295431" w:rsidP="00295431">
      <w:pPr>
        <w:contextualSpacing/>
        <w:rPr>
          <w:szCs w:val="20"/>
          <w:lang w:val="es-ES"/>
        </w:rPr>
      </w:pPr>
    </w:p>
    <w:p w14:paraId="55F0C6C1" w14:textId="336A26D3" w:rsidR="00295431" w:rsidRPr="007C1DF3" w:rsidRDefault="00295431" w:rsidP="00295431">
      <w:pPr>
        <w:numPr>
          <w:ilvl w:val="0"/>
          <w:numId w:val="1"/>
        </w:numPr>
        <w:contextualSpacing/>
        <w:rPr>
          <w:szCs w:val="20"/>
          <w:lang w:val="es-ES"/>
        </w:rPr>
      </w:pPr>
      <w:r w:rsidRPr="007C1DF3">
        <w:rPr>
          <w:rFonts w:cs="Arial"/>
          <w:szCs w:val="20"/>
          <w:lang w:val="es-ES"/>
        </w:rPr>
        <w:t>Por último, en relación con la a</w:t>
      </w:r>
      <w:r w:rsidRPr="007C1DF3">
        <w:rPr>
          <w:lang w:val="es-ES"/>
        </w:rPr>
        <w:t xml:space="preserve">fectación generada en la situación jurídica de la persona involucrada en el proceso e impacto en los derechos de la misma, </w:t>
      </w:r>
      <w:r w:rsidRPr="007C1DF3">
        <w:rPr>
          <w:szCs w:val="20"/>
          <w:lang w:val="es-ES"/>
        </w:rPr>
        <w:t>la Corte considera que en el presente caso efectivamente se demostró que la larga duración de las investigaciones ocasionó que los familiares no pudieran acceder a una reparación por los daños</w:t>
      </w:r>
      <w:r w:rsidRPr="007C1DF3">
        <w:rPr>
          <w:rFonts w:cs="Arial"/>
          <w:szCs w:val="20"/>
          <w:lang w:val="es-ES"/>
        </w:rPr>
        <w:t>.</w:t>
      </w:r>
      <w:r w:rsidRPr="007C1DF3">
        <w:rPr>
          <w:szCs w:val="20"/>
          <w:lang w:val="es-ES"/>
        </w:rPr>
        <w:t xml:space="preserve"> La falta de determinación de los hechos </w:t>
      </w:r>
      <w:r w:rsidR="006938BF">
        <w:rPr>
          <w:szCs w:val="20"/>
          <w:lang w:val="es-ES"/>
        </w:rPr>
        <w:t xml:space="preserve">también </w:t>
      </w:r>
      <w:r w:rsidRPr="007C1DF3">
        <w:rPr>
          <w:szCs w:val="20"/>
          <w:lang w:val="es-ES"/>
        </w:rPr>
        <w:t xml:space="preserve">impactó, concretamente, en la posibilidad de compensación de los familiares de las víctimas, visto que </w:t>
      </w:r>
      <w:r w:rsidR="00155F68">
        <w:rPr>
          <w:szCs w:val="20"/>
          <w:lang w:val="es-ES"/>
        </w:rPr>
        <w:t xml:space="preserve">el proceso intentado por </w:t>
      </w:r>
      <w:r w:rsidRPr="007C1DF3">
        <w:rPr>
          <w:szCs w:val="20"/>
          <w:lang w:val="es-ES"/>
        </w:rPr>
        <w:t xml:space="preserve">Evelyn Santos de Souza </w:t>
      </w:r>
      <w:proofErr w:type="spellStart"/>
      <w:r w:rsidRPr="007C1DF3">
        <w:rPr>
          <w:szCs w:val="20"/>
          <w:lang w:val="es-ES"/>
        </w:rPr>
        <w:t>Rodrigues</w:t>
      </w:r>
      <w:proofErr w:type="spellEnd"/>
      <w:r w:rsidRPr="007C1DF3">
        <w:rPr>
          <w:szCs w:val="20"/>
          <w:lang w:val="es-ES"/>
        </w:rPr>
        <w:t xml:space="preserve"> </w:t>
      </w:r>
      <w:r w:rsidR="00155F68">
        <w:rPr>
          <w:szCs w:val="20"/>
          <w:lang w:val="es-ES"/>
        </w:rPr>
        <w:t xml:space="preserve">fue </w:t>
      </w:r>
      <w:r w:rsidRPr="007C1DF3">
        <w:rPr>
          <w:szCs w:val="20"/>
          <w:lang w:val="es-ES"/>
        </w:rPr>
        <w:t>rechazado por la jurisdicción civil en razón de la falta de determinación criminal de responsabilidad por los hechos denunciados.</w:t>
      </w:r>
    </w:p>
    <w:p w14:paraId="1105B455" w14:textId="77777777" w:rsidR="00295431" w:rsidRPr="007C1DF3" w:rsidRDefault="00295431" w:rsidP="00295431">
      <w:pPr>
        <w:pStyle w:val="ListParagraph"/>
        <w:rPr>
          <w:szCs w:val="20"/>
          <w:lang w:val="es-ES"/>
        </w:rPr>
      </w:pPr>
    </w:p>
    <w:p w14:paraId="22E3C8AB" w14:textId="79C65DB0" w:rsidR="00295431" w:rsidRPr="004F42CB" w:rsidRDefault="00295431" w:rsidP="00295431">
      <w:pPr>
        <w:numPr>
          <w:ilvl w:val="0"/>
          <w:numId w:val="1"/>
        </w:numPr>
        <w:contextualSpacing/>
        <w:rPr>
          <w:szCs w:val="20"/>
          <w:lang w:val="pt-BR"/>
        </w:rPr>
      </w:pPr>
      <w:r w:rsidRPr="00CE18D4">
        <w:rPr>
          <w:szCs w:val="20"/>
          <w:lang w:val="pt-BR"/>
        </w:rPr>
        <w:lastRenderedPageBreak/>
        <w:t>Por todo lo anterior, la Corte concluye que el Estado vulneró las garantías judiciales de debida diligencia y plazo razonable, previstas en el artículo 8.1 de la Convención Americana sobre Derechos Humanos, en relación con el artículo 1.1 del mismo instrumento, en perjuicio</w:t>
      </w:r>
      <w:r w:rsidRPr="00FF5B4D">
        <w:rPr>
          <w:szCs w:val="20"/>
          <w:lang w:val="pt-BR"/>
        </w:rPr>
        <w:t xml:space="preserve"> de Waldomiro Genoveva, Océlia Rosa, Rosane da Silva Genoveva, Diogo da</w:t>
      </w:r>
      <w:r w:rsidRPr="00E51D68">
        <w:rPr>
          <w:szCs w:val="20"/>
          <w:lang w:val="pt-BR"/>
        </w:rPr>
        <w:t xml:space="preserve"> Silva Genoveva, Paulo Cesar da Silva Porto, Daniel Paulino da Silva, Georgina Soares Pinto, Nilton Ramos de Oliveira, Maria da Conceição Sampaio de Oliveira, Vinicius Ramos de Oliveira, Geraldo José da Silva Filho, Georgina Abrantes, Paulo Roberto Felix, Otacilio Costa, Beatriz Fonseca Costa, Bruna Fonseca Costa,  Dalvaci Melo Rodrigues, Mônica </w:t>
      </w:r>
      <w:r w:rsidRPr="00D94D44">
        <w:rPr>
          <w:szCs w:val="20"/>
          <w:lang w:val="pt-BR"/>
        </w:rPr>
        <w:t>Santos de Souza</w:t>
      </w:r>
      <w:r w:rsidRPr="00E51D68">
        <w:rPr>
          <w:szCs w:val="20"/>
          <w:lang w:val="pt-BR"/>
        </w:rPr>
        <w:t xml:space="preserve"> Rodrigues, Evel</w:t>
      </w:r>
      <w:r>
        <w:rPr>
          <w:szCs w:val="20"/>
          <w:lang w:val="pt-BR"/>
        </w:rPr>
        <w:t>y</w:t>
      </w:r>
      <w:r w:rsidRPr="00E51D68">
        <w:rPr>
          <w:szCs w:val="20"/>
          <w:lang w:val="pt-BR"/>
        </w:rPr>
        <w:t xml:space="preserve">n </w:t>
      </w:r>
      <w:r>
        <w:rPr>
          <w:szCs w:val="20"/>
          <w:lang w:val="pt-BR"/>
        </w:rPr>
        <w:t xml:space="preserve">Santos de Souza </w:t>
      </w:r>
      <w:r w:rsidRPr="00E51D68">
        <w:rPr>
          <w:szCs w:val="20"/>
          <w:lang w:val="pt-BR"/>
        </w:rPr>
        <w:t>Rodrigues, Pricila da Silva Rodrigues, Samuel da Silva Rodrigues, Lucas Abreu da Silva, Cecília Cristina do Nascimento Rodrigues, Adriana Melo Rodrigues, Roseleide Rodrigues do Nascimento, Shirley de Almeida, Catia Regina Almeida da Silva, Valdemar da Silveira Dutra, Geni Pereira Dutra, Vera Lucia Jacinto da Silva, Cesar Braga Castor, Vera Lucia Ribeiro Castor, Michele Mariano dos Santos, William Mariano dos Santos, Pedro Marciano dos Reis, Hilda Alves dos Reis</w:t>
      </w:r>
      <w:r w:rsidR="00DF0234">
        <w:rPr>
          <w:szCs w:val="20"/>
          <w:lang w:val="pt-BR"/>
        </w:rPr>
        <w:t xml:space="preserve"> y</w:t>
      </w:r>
      <w:r w:rsidRPr="00E51D68">
        <w:rPr>
          <w:szCs w:val="20"/>
          <w:lang w:val="pt-BR"/>
        </w:rPr>
        <w:t xml:space="preserve"> Rosemary Alves dos Reis</w:t>
      </w:r>
      <w:r>
        <w:rPr>
          <w:rStyle w:val="FootnoteReference"/>
        </w:rPr>
        <w:footnoteReference w:id="270"/>
      </w:r>
      <w:r w:rsidRPr="00E51D68">
        <w:rPr>
          <w:rFonts w:cs="Arial"/>
          <w:szCs w:val="20"/>
          <w:lang w:val="pt-BR"/>
        </w:rPr>
        <w:t>.</w:t>
      </w:r>
    </w:p>
    <w:p w14:paraId="17960CE8" w14:textId="77777777" w:rsidR="00FF5B4D" w:rsidRPr="00295431" w:rsidRDefault="00FF5B4D" w:rsidP="00FF5B4D">
      <w:pPr>
        <w:rPr>
          <w:spacing w:val="-3"/>
          <w:szCs w:val="20"/>
          <w:lang w:val="pt-BR"/>
        </w:rPr>
      </w:pPr>
    </w:p>
    <w:p w14:paraId="7279F060" w14:textId="64435AD3" w:rsidR="00FF5B4D" w:rsidRPr="0083372D" w:rsidRDefault="00567F2F" w:rsidP="00FF5B4D">
      <w:pPr>
        <w:pStyle w:val="Heading3"/>
        <w:ind w:left="0"/>
        <w:rPr>
          <w:b w:val="0"/>
        </w:rPr>
      </w:pPr>
      <w:bookmarkStart w:id="417" w:name="_Toc464813978"/>
      <w:bookmarkStart w:id="418" w:name="_Toc469404516"/>
      <w:bookmarkStart w:id="419" w:name="_Toc472608958"/>
      <w:r>
        <w:rPr>
          <w:b w:val="0"/>
        </w:rPr>
        <w:t>B.4.3</w:t>
      </w:r>
      <w:r w:rsidR="00CE18D4">
        <w:rPr>
          <w:b w:val="0"/>
        </w:rPr>
        <w:t>.</w:t>
      </w:r>
      <w:r w:rsidR="00FF5B4D">
        <w:rPr>
          <w:b w:val="0"/>
        </w:rPr>
        <w:t xml:space="preserve"> </w:t>
      </w:r>
      <w:r w:rsidR="002A031A">
        <w:rPr>
          <w:b w:val="0"/>
        </w:rPr>
        <w:tab/>
      </w:r>
      <w:r w:rsidR="00FF5B4D" w:rsidRPr="002373E0">
        <w:rPr>
          <w:b w:val="0"/>
        </w:rPr>
        <w:t>Ausencia de protección judicial efectiva</w:t>
      </w:r>
      <w:bookmarkEnd w:id="417"/>
      <w:bookmarkEnd w:id="418"/>
      <w:r w:rsidR="00FD673E">
        <w:rPr>
          <w:b w:val="0"/>
        </w:rPr>
        <w:t xml:space="preserve"> para</w:t>
      </w:r>
      <w:r w:rsidR="00FD673E" w:rsidRPr="00FD673E">
        <w:rPr>
          <w:b w:val="0"/>
        </w:rPr>
        <w:t xml:space="preserve"> los familiares de las víctimas muertas en la</w:t>
      </w:r>
      <w:r>
        <w:rPr>
          <w:b w:val="0"/>
        </w:rPr>
        <w:t>s</w:t>
      </w:r>
      <w:r w:rsidR="00FD673E" w:rsidRPr="00FD673E">
        <w:rPr>
          <w:b w:val="0"/>
        </w:rPr>
        <w:t xml:space="preserve"> redada</w:t>
      </w:r>
      <w:r>
        <w:rPr>
          <w:b w:val="0"/>
        </w:rPr>
        <w:t>s policiales</w:t>
      </w:r>
      <w:r w:rsidR="00FD673E" w:rsidRPr="00FD673E">
        <w:rPr>
          <w:b w:val="0"/>
        </w:rPr>
        <w:t xml:space="preserve"> de 199</w:t>
      </w:r>
      <w:r w:rsidR="00FD673E">
        <w:rPr>
          <w:b w:val="0"/>
        </w:rPr>
        <w:t>4</w:t>
      </w:r>
      <w:r>
        <w:rPr>
          <w:b w:val="0"/>
        </w:rPr>
        <w:t xml:space="preserve"> y 1995</w:t>
      </w:r>
      <w:bookmarkEnd w:id="419"/>
    </w:p>
    <w:p w14:paraId="4B0799BF" w14:textId="77777777" w:rsidR="00FF5B4D" w:rsidRPr="00E90FA0" w:rsidRDefault="00FF5B4D" w:rsidP="00FF5B4D">
      <w:pPr>
        <w:pStyle w:val="ListParagraph"/>
        <w:ind w:left="0"/>
        <w:rPr>
          <w:rFonts w:cs="Arial"/>
          <w:noProof/>
          <w:szCs w:val="20"/>
        </w:rPr>
      </w:pPr>
    </w:p>
    <w:p w14:paraId="7DA20C6D" w14:textId="77777777" w:rsidR="00FF5B4D" w:rsidRDefault="00FF5B4D" w:rsidP="00FF5B4D">
      <w:pPr>
        <w:pStyle w:val="ListParagraph"/>
        <w:numPr>
          <w:ilvl w:val="0"/>
          <w:numId w:val="1"/>
        </w:numPr>
        <w:contextualSpacing w:val="0"/>
        <w:rPr>
          <w:rFonts w:cs="Arial"/>
          <w:noProof/>
          <w:szCs w:val="20"/>
        </w:rPr>
      </w:pPr>
      <w:r w:rsidRPr="00E90FA0">
        <w:rPr>
          <w:rFonts w:cs="Arial"/>
          <w:noProof/>
          <w:szCs w:val="20"/>
        </w:rPr>
        <w:t>La Corte ha indicado que el artículo 25.1 de la Convención establece, en términos amplios, la obligación a cargo de los Estados de ofrecer a todas las personas sometidas a su jurisdicción un recurso judicial efectivo contra actos violatorios de sus derechos fundamentales</w:t>
      </w:r>
      <w:r w:rsidRPr="00E90FA0">
        <w:rPr>
          <w:noProof/>
          <w:szCs w:val="20"/>
          <w:vertAlign w:val="superscript"/>
        </w:rPr>
        <w:footnoteReference w:id="271"/>
      </w:r>
      <w:r w:rsidRPr="00E90FA0">
        <w:rPr>
          <w:rFonts w:cs="Arial"/>
          <w:noProof/>
          <w:szCs w:val="20"/>
        </w:rPr>
        <w:t xml:space="preserve">. </w:t>
      </w:r>
    </w:p>
    <w:p w14:paraId="4CC39BD8" w14:textId="77777777" w:rsidR="00FF5B4D" w:rsidRDefault="00FF5B4D" w:rsidP="00FF5B4D">
      <w:pPr>
        <w:pStyle w:val="ListParagraph"/>
        <w:ind w:left="0"/>
        <w:contextualSpacing w:val="0"/>
        <w:rPr>
          <w:rFonts w:cs="Arial"/>
          <w:noProof/>
          <w:szCs w:val="20"/>
        </w:rPr>
      </w:pPr>
    </w:p>
    <w:p w14:paraId="073E9D31" w14:textId="77777777" w:rsidR="00FF5B4D" w:rsidRDefault="00FF5B4D" w:rsidP="00FF5B4D">
      <w:pPr>
        <w:pStyle w:val="ListParagraph"/>
        <w:numPr>
          <w:ilvl w:val="0"/>
          <w:numId w:val="1"/>
        </w:numPr>
        <w:contextualSpacing w:val="0"/>
        <w:rPr>
          <w:rFonts w:cs="Arial"/>
          <w:noProof/>
          <w:szCs w:val="20"/>
        </w:rPr>
      </w:pPr>
      <w:r w:rsidRPr="002F49B4">
        <w:rPr>
          <w:rFonts w:cs="Arial"/>
          <w:noProof/>
          <w:szCs w:val="20"/>
        </w:rPr>
        <w:t>Además, la Corte ha establecido que para que el Estado cumpla con lo dispuesto en el artículo 25 de la Convención, no basta con que los recursos existan formalmente, sino que es preciso que tengan efectividad en los términos del mismo, es decir, que den resultados o respuestas a las violaciones de derechos reconocidos, ya sea en la Convención, en la Constitución o en la ley. Lo anterior implica que el recurso debe ser idóneo para combatir la violación y que sea efectiva su aplicación por la autoridad competente. De igual manera un recurso efectivo implica que el análisis por la autoridad competente de un recurso judicial no puede reducirse a una mera formalidad, sino que debe examinar las razones invocadas por el demandante y manifestarse expresamente sobre ellas</w:t>
      </w:r>
      <w:r w:rsidRPr="00E90FA0">
        <w:rPr>
          <w:noProof/>
          <w:vertAlign w:val="superscript"/>
        </w:rPr>
        <w:footnoteReference w:id="272"/>
      </w:r>
      <w:r w:rsidRPr="002F49B4">
        <w:rPr>
          <w:rFonts w:cs="Arial"/>
          <w:noProof/>
          <w:szCs w:val="20"/>
        </w:rPr>
        <w:t xml:space="preserve">. No pueden considerarse efectivos aquellos recursos que, por las condiciones generales del país o incluso por las </w:t>
      </w:r>
      <w:r w:rsidRPr="002F49B4">
        <w:rPr>
          <w:rFonts w:cs="Arial"/>
          <w:noProof/>
          <w:szCs w:val="20"/>
        </w:rPr>
        <w:lastRenderedPageBreak/>
        <w:t>circunstancias particulares de un caso dado, resulten ilusorios</w:t>
      </w:r>
      <w:r w:rsidRPr="00E90FA0">
        <w:rPr>
          <w:noProof/>
          <w:vertAlign w:val="superscript"/>
        </w:rPr>
        <w:footnoteReference w:id="273"/>
      </w:r>
      <w:r w:rsidRPr="002F49B4">
        <w:rPr>
          <w:rFonts w:cs="Arial"/>
          <w:noProof/>
          <w:szCs w:val="20"/>
        </w:rPr>
        <w:t>. Ello puede ocurrir, por ejemplo, cuando su inutilidad haya quedado demostrada por la práctica, porque falten los medios para ejecutar sus decisiones o por cualquier otra situación que configure un cuadro de denegación de justicia</w:t>
      </w:r>
      <w:r w:rsidRPr="00E90FA0">
        <w:rPr>
          <w:noProof/>
          <w:vertAlign w:val="superscript"/>
        </w:rPr>
        <w:footnoteReference w:id="274"/>
      </w:r>
      <w:r w:rsidRPr="002F49B4">
        <w:rPr>
          <w:rFonts w:cs="Arial"/>
          <w:noProof/>
          <w:szCs w:val="20"/>
        </w:rPr>
        <w:t>. Así, el proceso debe tender a la materialización de la protección del derecho reconocido en el pron</w:t>
      </w:r>
      <w:r>
        <w:rPr>
          <w:rFonts w:cs="Arial"/>
          <w:noProof/>
          <w:szCs w:val="20"/>
        </w:rPr>
        <w:t>unciamiento judicial mediante su</w:t>
      </w:r>
      <w:r w:rsidRPr="002F49B4">
        <w:rPr>
          <w:rFonts w:cs="Arial"/>
          <w:noProof/>
          <w:szCs w:val="20"/>
        </w:rPr>
        <w:t xml:space="preserve"> aplicación idónea</w:t>
      </w:r>
      <w:r w:rsidRPr="00E90FA0">
        <w:rPr>
          <w:noProof/>
          <w:vertAlign w:val="superscript"/>
        </w:rPr>
        <w:footnoteReference w:id="275"/>
      </w:r>
      <w:r w:rsidRPr="002F49B4">
        <w:rPr>
          <w:rFonts w:cs="Arial"/>
          <w:noProof/>
          <w:szCs w:val="20"/>
        </w:rPr>
        <w:t xml:space="preserve">. </w:t>
      </w:r>
    </w:p>
    <w:p w14:paraId="08210D9D" w14:textId="77777777" w:rsidR="00FF5B4D" w:rsidRDefault="00FF5B4D" w:rsidP="00FF5B4D">
      <w:pPr>
        <w:pStyle w:val="ListParagraph"/>
        <w:ind w:left="0"/>
        <w:contextualSpacing w:val="0"/>
        <w:rPr>
          <w:rFonts w:cs="Arial"/>
          <w:noProof/>
          <w:szCs w:val="20"/>
        </w:rPr>
      </w:pPr>
    </w:p>
    <w:p w14:paraId="7713E4F9" w14:textId="77777777" w:rsidR="00FF5B4D" w:rsidRDefault="00FF5B4D" w:rsidP="00FF5B4D">
      <w:pPr>
        <w:pStyle w:val="ListParagraph"/>
        <w:numPr>
          <w:ilvl w:val="0"/>
          <w:numId w:val="1"/>
        </w:numPr>
        <w:contextualSpacing w:val="0"/>
        <w:rPr>
          <w:rFonts w:cs="Arial"/>
          <w:noProof/>
          <w:szCs w:val="20"/>
        </w:rPr>
      </w:pPr>
      <w:r w:rsidRPr="002F49B4">
        <w:rPr>
          <w:rFonts w:cs="Arial"/>
          <w:noProof/>
          <w:szCs w:val="20"/>
        </w:rPr>
        <w:t>La Corte ha señalado que, en los términos del artículo 25 de la Convención, es posible identificar dos obligaciones específicas del Estado. La primera, consagrar normativamente y asegurar la debida aplicación de recursos efectivos ante las autoridades competentes, que amparen a todas las personas bajo su jurisdicción contra actos que violen sus derechos fundamentales o que conlleven la determinación de los derechos y obligaciones de éstas. La segunda, garantizar los medios para ejecutar las respectivas decisiones y sentencias definitivas emitidas por tales autoridades competentes, de manera que se protejan efectivamente los derechos declarados o reconocidos</w:t>
      </w:r>
      <w:r w:rsidRPr="00E90FA0">
        <w:rPr>
          <w:noProof/>
          <w:vertAlign w:val="superscript"/>
        </w:rPr>
        <w:footnoteReference w:id="276"/>
      </w:r>
      <w:r w:rsidRPr="002F49B4">
        <w:rPr>
          <w:rFonts w:cs="Arial"/>
          <w:noProof/>
          <w:szCs w:val="20"/>
        </w:rPr>
        <w:t>. El derecho establecido en el artículo 25 se encuentra íntimamente ligado con la obligación general del artículo 1.1 de la Convención, al atribuir funciones de protección al derecho interno de los Estados Partes</w:t>
      </w:r>
      <w:r w:rsidRPr="00E90FA0">
        <w:rPr>
          <w:noProof/>
          <w:vertAlign w:val="superscript"/>
        </w:rPr>
        <w:footnoteReference w:id="277"/>
      </w:r>
      <w:r w:rsidRPr="002F49B4">
        <w:rPr>
          <w:rFonts w:cs="Arial"/>
          <w:noProof/>
          <w:szCs w:val="20"/>
        </w:rPr>
        <w:t>. A la vista de lo anterior, el Estado tiene la responsabilidad no solo de diseñar y consagrar normativamente un recurso eficaz, sino también la de asegurar la debida aplicación de dicho recurso por parte de sus autoridades judiciales</w:t>
      </w:r>
      <w:r w:rsidRPr="00E90FA0">
        <w:rPr>
          <w:noProof/>
          <w:vertAlign w:val="superscript"/>
        </w:rPr>
        <w:footnoteReference w:id="278"/>
      </w:r>
      <w:r w:rsidRPr="002F49B4">
        <w:rPr>
          <w:rFonts w:cs="Arial"/>
          <w:noProof/>
          <w:szCs w:val="20"/>
        </w:rPr>
        <w:t xml:space="preserve">. </w:t>
      </w:r>
    </w:p>
    <w:p w14:paraId="5144135A" w14:textId="77777777" w:rsidR="00FF5B4D" w:rsidRPr="00C15F28" w:rsidRDefault="00FF5B4D" w:rsidP="00FF5B4D">
      <w:pPr>
        <w:rPr>
          <w:rFonts w:cs="Arial"/>
          <w:bCs/>
          <w:iCs/>
          <w:szCs w:val="20"/>
        </w:rPr>
      </w:pPr>
    </w:p>
    <w:p w14:paraId="3BA736F1" w14:textId="0D8A815F" w:rsidR="00FF5B4D" w:rsidRPr="001047D4" w:rsidRDefault="00FF5B4D" w:rsidP="00FF5B4D">
      <w:pPr>
        <w:pStyle w:val="ListParagraph"/>
        <w:numPr>
          <w:ilvl w:val="0"/>
          <w:numId w:val="1"/>
        </w:numPr>
        <w:contextualSpacing w:val="0"/>
        <w:rPr>
          <w:rFonts w:cs="Arial"/>
          <w:noProof/>
          <w:szCs w:val="20"/>
        </w:rPr>
      </w:pPr>
      <w:r w:rsidRPr="002F49B4">
        <w:rPr>
          <w:rFonts w:cs="Arial"/>
          <w:bCs/>
          <w:iCs/>
          <w:szCs w:val="20"/>
        </w:rPr>
        <w:t xml:space="preserve"> </w:t>
      </w:r>
      <w:r w:rsidRPr="001047D4">
        <w:rPr>
          <w:rFonts w:cs="Arial"/>
          <w:bCs/>
          <w:iCs/>
          <w:szCs w:val="20"/>
        </w:rPr>
        <w:t>No obstante, la Corte recuerda su jurisprudencia en el sentido</w:t>
      </w:r>
      <w:r w:rsidR="006C31F8">
        <w:rPr>
          <w:rFonts w:cs="Arial"/>
          <w:bCs/>
          <w:iCs/>
          <w:szCs w:val="20"/>
        </w:rPr>
        <w:t xml:space="preserve"> de</w:t>
      </w:r>
      <w:r w:rsidRPr="001047D4">
        <w:rPr>
          <w:rFonts w:cs="Arial"/>
          <w:bCs/>
          <w:iCs/>
          <w:szCs w:val="20"/>
        </w:rPr>
        <w:t xml:space="preserve"> que la existencia de recursos judiciales, por sí sola, no colma la obligación convencional del Estado, sino que, en los hechos, deben ser instrumentos idóneos y efectivos, y además deben dar respuesta oportuna y exhaustiva de acuerdo a su finalidad, esto es, determinar las responsabilidades y reparar a las víctimas en su caso. La Corte analizará a continuación si los </w:t>
      </w:r>
      <w:r w:rsidR="00B1622E">
        <w:rPr>
          <w:rFonts w:cs="Arial"/>
          <w:bCs/>
          <w:iCs/>
          <w:szCs w:val="20"/>
        </w:rPr>
        <w:t>procedimientos</w:t>
      </w:r>
      <w:r w:rsidRPr="001047D4">
        <w:rPr>
          <w:rFonts w:cs="Arial"/>
          <w:bCs/>
          <w:iCs/>
          <w:szCs w:val="20"/>
        </w:rPr>
        <w:t xml:space="preserve"> emprendidos en el presente caso fueron efectivamente instrumentos idóneos y efectivos.</w:t>
      </w:r>
    </w:p>
    <w:p w14:paraId="18F38DD3" w14:textId="77777777" w:rsidR="00FF5B4D" w:rsidRPr="00932608" w:rsidRDefault="00FF5B4D" w:rsidP="00FF5B4D">
      <w:pPr>
        <w:rPr>
          <w:rFonts w:cs="Arial"/>
          <w:noProof/>
          <w:szCs w:val="20"/>
        </w:rPr>
      </w:pPr>
    </w:p>
    <w:p w14:paraId="52949C10" w14:textId="1909AE33" w:rsidR="00FF5B4D" w:rsidRDefault="006C31F8" w:rsidP="00FF5B4D">
      <w:pPr>
        <w:pStyle w:val="ListParagraph"/>
        <w:numPr>
          <w:ilvl w:val="0"/>
          <w:numId w:val="1"/>
        </w:numPr>
        <w:contextualSpacing w:val="0"/>
        <w:rPr>
          <w:rFonts w:cs="Arial"/>
          <w:noProof/>
          <w:szCs w:val="20"/>
        </w:rPr>
      </w:pPr>
      <w:r>
        <w:rPr>
          <w:rFonts w:cs="Arial"/>
          <w:bCs/>
          <w:iCs/>
          <w:szCs w:val="20"/>
        </w:rPr>
        <w:t>E</w:t>
      </w:r>
      <w:r w:rsidR="00FF5B4D">
        <w:rPr>
          <w:rFonts w:cs="Arial"/>
          <w:bCs/>
          <w:iCs/>
          <w:szCs w:val="20"/>
        </w:rPr>
        <w:t xml:space="preserve">n el presente caso, la investigación </w:t>
      </w:r>
      <w:r w:rsidR="00FA11BB">
        <w:rPr>
          <w:rFonts w:cs="Arial"/>
          <w:bCs/>
          <w:iCs/>
          <w:szCs w:val="20"/>
        </w:rPr>
        <w:t xml:space="preserve">sobre la redada de octubre de 1994 </w:t>
      </w:r>
      <w:r w:rsidR="00FF5B4D">
        <w:rPr>
          <w:rFonts w:cs="Arial"/>
          <w:szCs w:val="20"/>
          <w:lang w:val="es-CO"/>
        </w:rPr>
        <w:t xml:space="preserve">fue prácticamente inexistente, toda vez que las pocas diligencias que se llevaron a cabo fueron irrelevantes; por otro lado, la investigación no realizó ningún avance para determinar la responsabilidad por las muertes. </w:t>
      </w:r>
      <w:r w:rsidR="00FF5B4D" w:rsidRPr="00932608">
        <w:rPr>
          <w:rFonts w:cs="Arial"/>
          <w:szCs w:val="20"/>
        </w:rPr>
        <w:t>Esta situación se tradujo en una denegación de justicia en perjuicio de las víctimas, pues no fue posible garantizarles, material y jurídicamente, la protección judicial en el presente caso. El Estado no proveyó a las víctimas de un recurso efectivo a través de las autoridades competentes, que tutelara sus derechos contra los actos que vulneraron sus derechos humanos.</w:t>
      </w:r>
      <w:r w:rsidR="00FF5B4D" w:rsidRPr="003B0748">
        <w:rPr>
          <w:rFonts w:cs="Arial"/>
          <w:szCs w:val="20"/>
        </w:rPr>
        <w:t xml:space="preserve"> </w:t>
      </w:r>
    </w:p>
    <w:p w14:paraId="2A33E56F" w14:textId="77777777" w:rsidR="00916198" w:rsidRPr="00916198" w:rsidRDefault="00916198" w:rsidP="00916198">
      <w:pPr>
        <w:pStyle w:val="ListParagraph"/>
        <w:rPr>
          <w:rFonts w:cs="Arial"/>
          <w:noProof/>
          <w:szCs w:val="20"/>
        </w:rPr>
      </w:pPr>
    </w:p>
    <w:p w14:paraId="23F5A213" w14:textId="438F4742" w:rsidR="00FF5B4D" w:rsidRPr="00940FCA" w:rsidRDefault="00FF5B4D" w:rsidP="00FF5B4D">
      <w:pPr>
        <w:pStyle w:val="ListParagraph"/>
        <w:numPr>
          <w:ilvl w:val="0"/>
          <w:numId w:val="1"/>
        </w:numPr>
        <w:contextualSpacing w:val="0"/>
        <w:rPr>
          <w:rFonts w:cs="Arial"/>
          <w:noProof/>
          <w:szCs w:val="20"/>
        </w:rPr>
      </w:pPr>
      <w:r>
        <w:rPr>
          <w:rFonts w:cs="Arial"/>
          <w:bCs/>
          <w:iCs/>
          <w:szCs w:val="20"/>
        </w:rPr>
        <w:t>A</w:t>
      </w:r>
      <w:r w:rsidRPr="001047D4">
        <w:rPr>
          <w:rFonts w:cs="Arial"/>
          <w:bCs/>
          <w:iCs/>
          <w:szCs w:val="20"/>
        </w:rPr>
        <w:t xml:space="preserve"> pesar de la extrema gravedad de los hechos </w:t>
      </w:r>
      <w:r>
        <w:rPr>
          <w:rFonts w:cs="Arial"/>
          <w:bCs/>
          <w:iCs/>
          <w:szCs w:val="20"/>
        </w:rPr>
        <w:t>–</w:t>
      </w:r>
      <w:r w:rsidR="00B30C7A">
        <w:rPr>
          <w:rFonts w:cs="Arial"/>
          <w:bCs/>
          <w:iCs/>
          <w:szCs w:val="20"/>
        </w:rPr>
        <w:t xml:space="preserve">alegadas </w:t>
      </w:r>
      <w:r w:rsidRPr="00B30C7A">
        <w:rPr>
          <w:rFonts w:cs="Arial"/>
          <w:bCs/>
          <w:iCs/>
          <w:szCs w:val="20"/>
        </w:rPr>
        <w:t>ejecuciones</w:t>
      </w:r>
      <w:r w:rsidR="00B30C7A" w:rsidRPr="00B30C7A">
        <w:rPr>
          <w:rFonts w:cs="Arial"/>
          <w:bCs/>
          <w:iCs/>
          <w:szCs w:val="20"/>
        </w:rPr>
        <w:t xml:space="preserve"> extrajudiciales–</w:t>
      </w:r>
      <w:r w:rsidR="00CA3759">
        <w:rPr>
          <w:rFonts w:cs="Arial"/>
          <w:bCs/>
          <w:iCs/>
          <w:szCs w:val="20"/>
        </w:rPr>
        <w:t xml:space="preserve"> </w:t>
      </w:r>
      <w:r>
        <w:rPr>
          <w:rFonts w:cs="Arial"/>
          <w:bCs/>
          <w:iCs/>
          <w:szCs w:val="20"/>
        </w:rPr>
        <w:t xml:space="preserve">la investigación realizada </w:t>
      </w:r>
      <w:r w:rsidRPr="001047D4">
        <w:rPr>
          <w:rFonts w:cs="Arial"/>
          <w:bCs/>
          <w:iCs/>
          <w:szCs w:val="20"/>
        </w:rPr>
        <w:t>no entr</w:t>
      </w:r>
      <w:r>
        <w:rPr>
          <w:rFonts w:cs="Arial"/>
          <w:bCs/>
          <w:iCs/>
          <w:szCs w:val="20"/>
        </w:rPr>
        <w:t>ó</w:t>
      </w:r>
      <w:r w:rsidRPr="001047D4">
        <w:rPr>
          <w:rFonts w:cs="Arial"/>
          <w:bCs/>
          <w:iCs/>
          <w:szCs w:val="20"/>
        </w:rPr>
        <w:t xml:space="preserve"> a analizar el fondo de la cuestión presentada</w:t>
      </w:r>
      <w:r>
        <w:rPr>
          <w:rFonts w:cs="Arial"/>
          <w:bCs/>
          <w:iCs/>
          <w:szCs w:val="20"/>
        </w:rPr>
        <w:t xml:space="preserve"> y se mantuvo sesgada por la preconcepción de que las víctimas </w:t>
      </w:r>
      <w:r w:rsidR="00DE440B">
        <w:rPr>
          <w:rFonts w:cs="Arial"/>
          <w:bCs/>
          <w:iCs/>
          <w:szCs w:val="20"/>
        </w:rPr>
        <w:t xml:space="preserve">habían </w:t>
      </w:r>
      <w:r>
        <w:rPr>
          <w:rFonts w:cs="Arial"/>
          <w:bCs/>
          <w:iCs/>
          <w:szCs w:val="20"/>
        </w:rPr>
        <w:t xml:space="preserve">muerto como resultado de sus propias acciones en un contexto de enfrentamiento con la policía. </w:t>
      </w:r>
    </w:p>
    <w:p w14:paraId="21578912" w14:textId="77777777" w:rsidR="00FF5B4D" w:rsidRPr="00940FCA" w:rsidRDefault="00FF5B4D" w:rsidP="00FF5B4D">
      <w:pPr>
        <w:pStyle w:val="ListParagraph"/>
        <w:rPr>
          <w:rFonts w:cs="Arial"/>
          <w:noProof/>
          <w:szCs w:val="20"/>
        </w:rPr>
      </w:pPr>
    </w:p>
    <w:p w14:paraId="36324D08" w14:textId="0F90739C" w:rsidR="00664FD8" w:rsidRDefault="00B30C7A" w:rsidP="00664FD8">
      <w:pPr>
        <w:pStyle w:val="ListParagraph"/>
        <w:numPr>
          <w:ilvl w:val="0"/>
          <w:numId w:val="1"/>
        </w:numPr>
        <w:contextualSpacing w:val="0"/>
        <w:rPr>
          <w:rFonts w:cs="Arial"/>
          <w:noProof/>
          <w:szCs w:val="20"/>
        </w:rPr>
      </w:pPr>
      <w:r>
        <w:rPr>
          <w:rFonts w:cs="Arial"/>
          <w:noProof/>
          <w:szCs w:val="20"/>
        </w:rPr>
        <w:lastRenderedPageBreak/>
        <w:t xml:space="preserve">Respecto al derecho de los familiares de </w:t>
      </w:r>
      <w:r w:rsidRPr="00916198">
        <w:rPr>
          <w:rFonts w:cs="Arial"/>
          <w:noProof/>
          <w:szCs w:val="20"/>
        </w:rPr>
        <w:t xml:space="preserve">participar en todas las etapas de los respectivos </w:t>
      </w:r>
      <w:r>
        <w:rPr>
          <w:rFonts w:cs="Arial"/>
          <w:noProof/>
          <w:szCs w:val="20"/>
        </w:rPr>
        <w:t xml:space="preserve">procedimientos, la Corte recuerda que eso significa la posibilidad de </w:t>
      </w:r>
      <w:r w:rsidRPr="00916198">
        <w:rPr>
          <w:rFonts w:cs="Arial"/>
          <w:noProof/>
          <w:szCs w:val="20"/>
        </w:rPr>
        <w:t>hacer planteamientos, recibir informaciones, aportar pruebas, formular alegaciones y, en síntesis, hacer valer sus derechos</w:t>
      </w:r>
      <w:r>
        <w:rPr>
          <w:rFonts w:cs="Arial"/>
          <w:noProof/>
          <w:szCs w:val="20"/>
        </w:rPr>
        <w:t xml:space="preserve">. </w:t>
      </w:r>
      <w:r w:rsidRPr="00916198">
        <w:rPr>
          <w:rFonts w:cs="Arial"/>
          <w:noProof/>
          <w:szCs w:val="20"/>
        </w:rPr>
        <w:t xml:space="preserve">Dicha participación deberá tener como finalidad el acceso a la justicia, el conocimiento de la verdad de lo ocurrido y el </w:t>
      </w:r>
      <w:r>
        <w:rPr>
          <w:rFonts w:cs="Arial"/>
          <w:noProof/>
          <w:szCs w:val="20"/>
        </w:rPr>
        <w:t xml:space="preserve">eventual </w:t>
      </w:r>
      <w:r w:rsidRPr="00916198">
        <w:rPr>
          <w:rFonts w:cs="Arial"/>
          <w:noProof/>
          <w:szCs w:val="20"/>
        </w:rPr>
        <w:t>otorgamiento de una justa reparación</w:t>
      </w:r>
      <w:r w:rsidRPr="00916198">
        <w:rPr>
          <w:rFonts w:cs="Arial"/>
          <w:noProof/>
          <w:szCs w:val="20"/>
          <w:vertAlign w:val="superscript"/>
        </w:rPr>
        <w:footnoteReference w:id="279"/>
      </w:r>
      <w:r w:rsidRPr="00916198">
        <w:rPr>
          <w:rFonts w:cs="Arial"/>
          <w:noProof/>
          <w:szCs w:val="20"/>
        </w:rPr>
        <w:t>.</w:t>
      </w:r>
      <w:r>
        <w:rPr>
          <w:rFonts w:cs="Arial"/>
          <w:noProof/>
          <w:szCs w:val="20"/>
        </w:rPr>
        <w:t xml:space="preserve"> </w:t>
      </w:r>
      <w:r w:rsidR="00664FD8">
        <w:rPr>
          <w:szCs w:val="20"/>
          <w:lang w:val="es-ES"/>
        </w:rPr>
        <w:t xml:space="preserve">Al respecto, el perito </w:t>
      </w:r>
      <w:proofErr w:type="spellStart"/>
      <w:r w:rsidR="00664FD8">
        <w:rPr>
          <w:szCs w:val="20"/>
          <w:lang w:val="es-ES"/>
        </w:rPr>
        <w:t>Weichert</w:t>
      </w:r>
      <w:proofErr w:type="spellEnd"/>
      <w:r w:rsidR="00664FD8">
        <w:rPr>
          <w:szCs w:val="20"/>
          <w:lang w:val="es-ES"/>
        </w:rPr>
        <w:t xml:space="preserve"> manifestó que la víctima en el proceso penal brasileño tiene una posición secundaria y es tratada como un mero testigo, careciendo de acceso a la investigación</w:t>
      </w:r>
      <w:r w:rsidR="00664FD8">
        <w:rPr>
          <w:szCs w:val="20"/>
        </w:rPr>
        <w:t xml:space="preserve">. </w:t>
      </w:r>
      <w:r>
        <w:rPr>
          <w:rFonts w:cs="Arial"/>
          <w:noProof/>
          <w:szCs w:val="20"/>
        </w:rPr>
        <w:t xml:space="preserve">La falta de previsión legal en el ordenamiento jurídico brasileño </w:t>
      </w:r>
      <w:r w:rsidR="00DE440B">
        <w:rPr>
          <w:rFonts w:cs="Arial"/>
          <w:noProof/>
          <w:szCs w:val="20"/>
        </w:rPr>
        <w:t>impide</w:t>
      </w:r>
      <w:r>
        <w:rPr>
          <w:rFonts w:cs="Arial"/>
          <w:noProof/>
          <w:szCs w:val="20"/>
        </w:rPr>
        <w:t xml:space="preserve"> la posibilidad de que víctimas o sus familiares participen activamente de </w:t>
      </w:r>
      <w:r w:rsidR="001245D4">
        <w:rPr>
          <w:rFonts w:cs="Arial"/>
          <w:noProof/>
          <w:szCs w:val="20"/>
        </w:rPr>
        <w:t>la fase de investigación, limitá</w:t>
      </w:r>
      <w:r>
        <w:rPr>
          <w:rFonts w:cs="Arial"/>
          <w:noProof/>
          <w:szCs w:val="20"/>
        </w:rPr>
        <w:t xml:space="preserve">ndola a la fase judicial, </w:t>
      </w:r>
      <w:r w:rsidR="00FF348F">
        <w:rPr>
          <w:rFonts w:cs="Arial"/>
          <w:noProof/>
          <w:szCs w:val="20"/>
        </w:rPr>
        <w:t xml:space="preserve">lo que </w:t>
      </w:r>
      <w:r w:rsidRPr="00B30C7A">
        <w:rPr>
          <w:rFonts w:cs="Arial"/>
          <w:noProof/>
          <w:szCs w:val="20"/>
        </w:rPr>
        <w:t xml:space="preserve">vulneró el derecho </w:t>
      </w:r>
      <w:r w:rsidR="00FF348F">
        <w:rPr>
          <w:rFonts w:cs="Arial"/>
          <w:noProof/>
          <w:szCs w:val="20"/>
        </w:rPr>
        <w:t xml:space="preserve">de los familiares de las personas muertas el 18 de octubre de 1994 </w:t>
      </w:r>
      <w:r w:rsidRPr="00B30C7A">
        <w:rPr>
          <w:rFonts w:cs="Arial"/>
          <w:noProof/>
          <w:szCs w:val="20"/>
        </w:rPr>
        <w:t xml:space="preserve">de participar en </w:t>
      </w:r>
      <w:r w:rsidR="001245D4">
        <w:rPr>
          <w:rFonts w:cs="Arial"/>
          <w:noProof/>
          <w:szCs w:val="20"/>
        </w:rPr>
        <w:t>ella</w:t>
      </w:r>
      <w:r>
        <w:rPr>
          <w:rFonts w:cs="Arial"/>
          <w:noProof/>
          <w:szCs w:val="20"/>
        </w:rPr>
        <w:t xml:space="preserve">. </w:t>
      </w:r>
    </w:p>
    <w:p w14:paraId="42C20F69" w14:textId="77777777" w:rsidR="00664FD8" w:rsidRPr="00664FD8" w:rsidRDefault="00664FD8" w:rsidP="00664FD8">
      <w:pPr>
        <w:pStyle w:val="ListParagraph"/>
        <w:rPr>
          <w:rFonts w:cs="Arial"/>
          <w:noProof/>
          <w:szCs w:val="20"/>
          <w:highlight w:val="yellow"/>
        </w:rPr>
      </w:pPr>
    </w:p>
    <w:p w14:paraId="29D61161" w14:textId="715E0A25" w:rsidR="00FF5B4D" w:rsidRPr="00FD673E" w:rsidRDefault="00FF5B4D" w:rsidP="00FD673E">
      <w:pPr>
        <w:pStyle w:val="ListParagraph"/>
        <w:numPr>
          <w:ilvl w:val="0"/>
          <w:numId w:val="1"/>
        </w:numPr>
        <w:contextualSpacing w:val="0"/>
        <w:rPr>
          <w:rFonts w:cs="Arial"/>
          <w:noProof/>
          <w:szCs w:val="20"/>
        </w:rPr>
      </w:pPr>
      <w:r w:rsidRPr="00664FD8">
        <w:rPr>
          <w:szCs w:val="20"/>
        </w:rPr>
        <w:t xml:space="preserve">Por </w:t>
      </w:r>
      <w:r w:rsidR="00664FD8" w:rsidRPr="00664FD8">
        <w:rPr>
          <w:szCs w:val="20"/>
        </w:rPr>
        <w:t xml:space="preserve">todo </w:t>
      </w:r>
      <w:r w:rsidRPr="00664FD8">
        <w:rPr>
          <w:szCs w:val="20"/>
        </w:rPr>
        <w:t xml:space="preserve">lo anterior, </w:t>
      </w:r>
      <w:r w:rsidR="00664FD8" w:rsidRPr="00664FD8">
        <w:rPr>
          <w:szCs w:val="20"/>
        </w:rPr>
        <w:t>al analizar el proceso como u</w:t>
      </w:r>
      <w:r w:rsidR="00664FD8">
        <w:rPr>
          <w:szCs w:val="20"/>
        </w:rPr>
        <w:t>n</w:t>
      </w:r>
      <w:r w:rsidR="00664FD8" w:rsidRPr="00664FD8">
        <w:rPr>
          <w:szCs w:val="20"/>
        </w:rPr>
        <w:t xml:space="preserve"> todo, el cual inicia co</w:t>
      </w:r>
      <w:r w:rsidR="00664FD8">
        <w:rPr>
          <w:szCs w:val="20"/>
        </w:rPr>
        <w:t>n</w:t>
      </w:r>
      <w:r w:rsidR="00664FD8" w:rsidRPr="00664FD8">
        <w:rPr>
          <w:szCs w:val="20"/>
        </w:rPr>
        <w:t xml:space="preserve"> la investigación de los hechos por parte de la polic</w:t>
      </w:r>
      <w:r w:rsidR="00664FD8">
        <w:rPr>
          <w:szCs w:val="20"/>
        </w:rPr>
        <w:t>ía de R</w:t>
      </w:r>
      <w:r w:rsidR="00ED1EDA">
        <w:rPr>
          <w:szCs w:val="20"/>
        </w:rPr>
        <w:t>í</w:t>
      </w:r>
      <w:r w:rsidR="00664FD8">
        <w:rPr>
          <w:szCs w:val="20"/>
        </w:rPr>
        <w:t>o de Janeiro</w:t>
      </w:r>
      <w:r w:rsidR="009F7E2A">
        <w:rPr>
          <w:szCs w:val="20"/>
        </w:rPr>
        <w:t xml:space="preserve"> </w:t>
      </w:r>
      <w:r w:rsidR="00ED1EDA" w:rsidRPr="00FA11BB">
        <w:rPr>
          <w:szCs w:val="20"/>
        </w:rPr>
        <w:t>y continú</w:t>
      </w:r>
      <w:r w:rsidR="009F7E2A" w:rsidRPr="00FA11BB">
        <w:rPr>
          <w:szCs w:val="20"/>
        </w:rPr>
        <w:t>a pendiente de una resolución judicial 22 años después de ocurridos los hechos</w:t>
      </w:r>
      <w:r w:rsidR="00664FD8">
        <w:rPr>
          <w:szCs w:val="20"/>
        </w:rPr>
        <w:t xml:space="preserve">, </w:t>
      </w:r>
      <w:r w:rsidRPr="00664FD8">
        <w:rPr>
          <w:szCs w:val="20"/>
        </w:rPr>
        <w:t xml:space="preserve">la Corte concluye que el Estado vulneró el derecho a la protección judicial, previsto en el artículo 25 de la Convención Americana sobre Derechos Humanos, en relación con los artículos 1.1 y 2 del mismo instrumento, en perjuicio de Alcides Ramos, </w:t>
      </w:r>
      <w:proofErr w:type="spellStart"/>
      <w:r w:rsidRPr="00664FD8">
        <w:rPr>
          <w:szCs w:val="20"/>
        </w:rPr>
        <w:t>Thiago</w:t>
      </w:r>
      <w:proofErr w:type="spellEnd"/>
      <w:r w:rsidRPr="00664FD8">
        <w:rPr>
          <w:szCs w:val="20"/>
        </w:rPr>
        <w:t xml:space="preserve"> da Silva, Alberto da Silva, </w:t>
      </w:r>
      <w:proofErr w:type="spellStart"/>
      <w:r w:rsidRPr="00664FD8">
        <w:rPr>
          <w:szCs w:val="20"/>
        </w:rPr>
        <w:t>Maria</w:t>
      </w:r>
      <w:proofErr w:type="spellEnd"/>
      <w:r w:rsidRPr="00664FD8">
        <w:rPr>
          <w:szCs w:val="20"/>
        </w:rPr>
        <w:t xml:space="preserve"> das </w:t>
      </w:r>
      <w:proofErr w:type="spellStart"/>
      <w:r w:rsidRPr="00664FD8">
        <w:rPr>
          <w:szCs w:val="20"/>
        </w:rPr>
        <w:t>Graças</w:t>
      </w:r>
      <w:proofErr w:type="spellEnd"/>
      <w:r w:rsidRPr="00664FD8">
        <w:rPr>
          <w:szCs w:val="20"/>
        </w:rPr>
        <w:t xml:space="preserve"> Ramos da Silva, </w:t>
      </w:r>
      <w:proofErr w:type="spellStart"/>
      <w:r w:rsidRPr="00664FD8">
        <w:rPr>
          <w:szCs w:val="20"/>
        </w:rPr>
        <w:t>Rosiane</w:t>
      </w:r>
      <w:proofErr w:type="spellEnd"/>
      <w:r w:rsidRPr="00664FD8">
        <w:rPr>
          <w:szCs w:val="20"/>
        </w:rPr>
        <w:t xml:space="preserve"> dos Santos, Vera </w:t>
      </w:r>
      <w:proofErr w:type="spellStart"/>
      <w:r w:rsidRPr="00664FD8">
        <w:rPr>
          <w:szCs w:val="20"/>
        </w:rPr>
        <w:t>Lúcia</w:t>
      </w:r>
      <w:proofErr w:type="spellEnd"/>
      <w:r w:rsidRPr="00664FD8">
        <w:rPr>
          <w:szCs w:val="20"/>
        </w:rPr>
        <w:t xml:space="preserve"> dos Santos de Miranda, Lucia Helena Neri da Silva, Joyce Neri da Silva Dantas, Edson </w:t>
      </w:r>
      <w:proofErr w:type="spellStart"/>
      <w:r w:rsidRPr="00664FD8">
        <w:rPr>
          <w:szCs w:val="20"/>
        </w:rPr>
        <w:t>Faria</w:t>
      </w:r>
      <w:proofErr w:type="spellEnd"/>
      <w:r w:rsidRPr="00664FD8">
        <w:rPr>
          <w:szCs w:val="20"/>
        </w:rPr>
        <w:t xml:space="preserve"> </w:t>
      </w:r>
      <w:proofErr w:type="spellStart"/>
      <w:r w:rsidRPr="00664FD8">
        <w:rPr>
          <w:szCs w:val="20"/>
        </w:rPr>
        <w:t>Neves</w:t>
      </w:r>
      <w:proofErr w:type="spellEnd"/>
      <w:r w:rsidRPr="00664FD8">
        <w:rPr>
          <w:szCs w:val="20"/>
        </w:rPr>
        <w:t xml:space="preserve">, Mac </w:t>
      </w:r>
      <w:proofErr w:type="spellStart"/>
      <w:r w:rsidRPr="00664FD8">
        <w:rPr>
          <w:szCs w:val="20"/>
        </w:rPr>
        <w:t>Laine</w:t>
      </w:r>
      <w:proofErr w:type="spellEnd"/>
      <w:r w:rsidRPr="00664FD8">
        <w:rPr>
          <w:szCs w:val="20"/>
        </w:rPr>
        <w:t xml:space="preserve"> </w:t>
      </w:r>
      <w:proofErr w:type="spellStart"/>
      <w:r w:rsidRPr="00664FD8">
        <w:rPr>
          <w:szCs w:val="20"/>
        </w:rPr>
        <w:t>Faria</w:t>
      </w:r>
      <w:proofErr w:type="spellEnd"/>
      <w:r w:rsidRPr="00664FD8">
        <w:rPr>
          <w:szCs w:val="20"/>
        </w:rPr>
        <w:t xml:space="preserve"> </w:t>
      </w:r>
      <w:proofErr w:type="spellStart"/>
      <w:r w:rsidRPr="00664FD8">
        <w:rPr>
          <w:szCs w:val="20"/>
        </w:rPr>
        <w:t>Neves</w:t>
      </w:r>
      <w:proofErr w:type="spellEnd"/>
      <w:r w:rsidRPr="00664FD8">
        <w:rPr>
          <w:szCs w:val="20"/>
        </w:rPr>
        <w:t xml:space="preserve">, </w:t>
      </w:r>
      <w:proofErr w:type="spellStart"/>
      <w:r w:rsidRPr="00664FD8">
        <w:rPr>
          <w:szCs w:val="20"/>
        </w:rPr>
        <w:t>Valdenice</w:t>
      </w:r>
      <w:proofErr w:type="spellEnd"/>
      <w:r w:rsidRPr="00664FD8">
        <w:rPr>
          <w:szCs w:val="20"/>
        </w:rPr>
        <w:t xml:space="preserve"> </w:t>
      </w:r>
      <w:proofErr w:type="spellStart"/>
      <w:r w:rsidRPr="00664FD8">
        <w:rPr>
          <w:szCs w:val="20"/>
        </w:rPr>
        <w:t>Fernandes</w:t>
      </w:r>
      <w:proofErr w:type="spellEnd"/>
      <w:r w:rsidRPr="00664FD8">
        <w:rPr>
          <w:szCs w:val="20"/>
        </w:rPr>
        <w:t xml:space="preserve"> Vieira, </w:t>
      </w:r>
      <w:proofErr w:type="spellStart"/>
      <w:r w:rsidRPr="00664FD8">
        <w:rPr>
          <w:szCs w:val="20"/>
        </w:rPr>
        <w:t>Neuza</w:t>
      </w:r>
      <w:proofErr w:type="spellEnd"/>
      <w:r w:rsidRPr="00664FD8">
        <w:rPr>
          <w:szCs w:val="20"/>
        </w:rPr>
        <w:t xml:space="preserve"> Ribeiro Raymundo, </w:t>
      </w:r>
      <w:proofErr w:type="spellStart"/>
      <w:r w:rsidRPr="00664FD8">
        <w:rPr>
          <w:szCs w:val="20"/>
        </w:rPr>
        <w:t>Eliane</w:t>
      </w:r>
      <w:proofErr w:type="spellEnd"/>
      <w:r w:rsidRPr="00664FD8">
        <w:rPr>
          <w:szCs w:val="20"/>
        </w:rPr>
        <w:t xml:space="preserve"> Elene </w:t>
      </w:r>
      <w:proofErr w:type="spellStart"/>
      <w:r w:rsidRPr="00664FD8">
        <w:rPr>
          <w:szCs w:val="20"/>
        </w:rPr>
        <w:t>Fernandes</w:t>
      </w:r>
      <w:proofErr w:type="spellEnd"/>
      <w:r w:rsidRPr="00664FD8">
        <w:rPr>
          <w:szCs w:val="20"/>
        </w:rPr>
        <w:t xml:space="preserve"> Vieira, </w:t>
      </w:r>
      <w:proofErr w:type="spellStart"/>
      <w:r w:rsidRPr="00664FD8">
        <w:rPr>
          <w:szCs w:val="20"/>
        </w:rPr>
        <w:t>Rogério</w:t>
      </w:r>
      <w:proofErr w:type="spellEnd"/>
      <w:r w:rsidRPr="00664FD8">
        <w:rPr>
          <w:szCs w:val="20"/>
        </w:rPr>
        <w:t xml:space="preserve"> Genuino dos Santos, </w:t>
      </w:r>
      <w:proofErr w:type="spellStart"/>
      <w:r w:rsidRPr="00664FD8">
        <w:rPr>
          <w:szCs w:val="20"/>
        </w:rPr>
        <w:t>Jucelena</w:t>
      </w:r>
      <w:proofErr w:type="spellEnd"/>
      <w:r w:rsidRPr="00664FD8">
        <w:rPr>
          <w:szCs w:val="20"/>
        </w:rPr>
        <w:t xml:space="preserve"> Rocha dos Santos, </w:t>
      </w:r>
      <w:proofErr w:type="spellStart"/>
      <w:r w:rsidRPr="00664FD8">
        <w:rPr>
          <w:szCs w:val="20"/>
        </w:rPr>
        <w:t>Robson</w:t>
      </w:r>
      <w:proofErr w:type="spellEnd"/>
      <w:r w:rsidRPr="00664FD8">
        <w:rPr>
          <w:szCs w:val="20"/>
        </w:rPr>
        <w:t xml:space="preserve"> Genuino dos Santos Júnior, </w:t>
      </w:r>
      <w:proofErr w:type="spellStart"/>
      <w:r w:rsidRPr="00664FD8">
        <w:rPr>
          <w:szCs w:val="20"/>
        </w:rPr>
        <w:t>Norival</w:t>
      </w:r>
      <w:proofErr w:type="spellEnd"/>
      <w:r w:rsidRPr="00664FD8">
        <w:rPr>
          <w:szCs w:val="20"/>
        </w:rPr>
        <w:t xml:space="preserve"> Pinto Donato, Celia da Cruz Silva, </w:t>
      </w:r>
      <w:proofErr w:type="spellStart"/>
      <w:r w:rsidRPr="00664FD8">
        <w:rPr>
          <w:szCs w:val="20"/>
        </w:rPr>
        <w:t>Nilcéia</w:t>
      </w:r>
      <w:proofErr w:type="spellEnd"/>
      <w:r w:rsidRPr="00664FD8">
        <w:rPr>
          <w:szCs w:val="20"/>
        </w:rPr>
        <w:t xml:space="preserve"> de Oliveira, </w:t>
      </w:r>
      <w:proofErr w:type="spellStart"/>
      <w:r w:rsidRPr="00664FD8">
        <w:rPr>
          <w:szCs w:val="20"/>
        </w:rPr>
        <w:t>Diogo</w:t>
      </w:r>
      <w:proofErr w:type="spellEnd"/>
      <w:r w:rsidRPr="00664FD8">
        <w:rPr>
          <w:szCs w:val="20"/>
        </w:rPr>
        <w:t xml:space="preserve"> Vieira dos Santos, Helena </w:t>
      </w:r>
      <w:proofErr w:type="spellStart"/>
      <w:r w:rsidRPr="00664FD8">
        <w:rPr>
          <w:szCs w:val="20"/>
        </w:rPr>
        <w:t>Vianna</w:t>
      </w:r>
      <w:proofErr w:type="spellEnd"/>
      <w:r w:rsidR="00CC6D82">
        <w:rPr>
          <w:szCs w:val="20"/>
        </w:rPr>
        <w:t xml:space="preserve"> dos Santos</w:t>
      </w:r>
      <w:r w:rsidRPr="00664FD8">
        <w:rPr>
          <w:szCs w:val="20"/>
        </w:rPr>
        <w:t xml:space="preserve">, Adriana </w:t>
      </w:r>
      <w:proofErr w:type="spellStart"/>
      <w:r w:rsidRPr="00664FD8">
        <w:rPr>
          <w:szCs w:val="20"/>
        </w:rPr>
        <w:t>Vianna</w:t>
      </w:r>
      <w:proofErr w:type="spellEnd"/>
      <w:r w:rsidRPr="00664FD8">
        <w:rPr>
          <w:szCs w:val="20"/>
        </w:rPr>
        <w:t xml:space="preserve"> dos Santos, Sandro </w:t>
      </w:r>
      <w:proofErr w:type="spellStart"/>
      <w:r w:rsidRPr="00664FD8">
        <w:rPr>
          <w:szCs w:val="20"/>
        </w:rPr>
        <w:t>Vianna</w:t>
      </w:r>
      <w:proofErr w:type="spellEnd"/>
      <w:r w:rsidRPr="00664FD8">
        <w:rPr>
          <w:szCs w:val="20"/>
        </w:rPr>
        <w:t xml:space="preserve"> dos Santos, </w:t>
      </w:r>
      <w:proofErr w:type="spellStart"/>
      <w:r w:rsidRPr="00664FD8">
        <w:rPr>
          <w:szCs w:val="20"/>
        </w:rPr>
        <w:t>Alessandra</w:t>
      </w:r>
      <w:proofErr w:type="spellEnd"/>
      <w:r w:rsidRPr="00664FD8">
        <w:rPr>
          <w:szCs w:val="20"/>
        </w:rPr>
        <w:t xml:space="preserve"> </w:t>
      </w:r>
      <w:proofErr w:type="spellStart"/>
      <w:r w:rsidRPr="00664FD8">
        <w:rPr>
          <w:szCs w:val="20"/>
        </w:rPr>
        <w:t>Vianna</w:t>
      </w:r>
      <w:proofErr w:type="spellEnd"/>
      <w:r w:rsidRPr="00664FD8">
        <w:rPr>
          <w:szCs w:val="20"/>
        </w:rPr>
        <w:t xml:space="preserve"> Vieira, Zeferino Marques de Oliveira, </w:t>
      </w:r>
      <w:proofErr w:type="spellStart"/>
      <w:r w:rsidRPr="00664FD8">
        <w:rPr>
          <w:szCs w:val="20"/>
        </w:rPr>
        <w:t>Aline</w:t>
      </w:r>
      <w:proofErr w:type="spellEnd"/>
      <w:r w:rsidRPr="00664FD8">
        <w:rPr>
          <w:szCs w:val="20"/>
        </w:rPr>
        <w:t xml:space="preserve"> da Silva, </w:t>
      </w:r>
      <w:proofErr w:type="spellStart"/>
      <w:r w:rsidRPr="00664FD8">
        <w:rPr>
          <w:szCs w:val="20"/>
        </w:rPr>
        <w:t>Efigenia</w:t>
      </w:r>
      <w:proofErr w:type="spellEnd"/>
      <w:r w:rsidRPr="00664FD8">
        <w:rPr>
          <w:szCs w:val="20"/>
        </w:rPr>
        <w:t xml:space="preserve"> </w:t>
      </w:r>
      <w:proofErr w:type="spellStart"/>
      <w:r w:rsidRPr="00664FD8">
        <w:rPr>
          <w:szCs w:val="20"/>
        </w:rPr>
        <w:t>Margarida</w:t>
      </w:r>
      <w:proofErr w:type="spellEnd"/>
      <w:r w:rsidRPr="00664FD8">
        <w:rPr>
          <w:szCs w:val="20"/>
        </w:rPr>
        <w:t xml:space="preserve"> Alves, Sergio Rosa </w:t>
      </w:r>
      <w:proofErr w:type="spellStart"/>
      <w:r w:rsidRPr="00664FD8">
        <w:rPr>
          <w:szCs w:val="20"/>
        </w:rPr>
        <w:t>Mendes</w:t>
      </w:r>
      <w:proofErr w:type="spellEnd"/>
      <w:r w:rsidRPr="00664FD8">
        <w:rPr>
          <w:szCs w:val="20"/>
        </w:rPr>
        <w:t xml:space="preserve">, Sonia </w:t>
      </w:r>
      <w:proofErr w:type="spellStart"/>
      <w:r w:rsidRPr="00664FD8">
        <w:rPr>
          <w:szCs w:val="20"/>
        </w:rPr>
        <w:t>Maria</w:t>
      </w:r>
      <w:proofErr w:type="spellEnd"/>
      <w:r w:rsidRPr="00664FD8">
        <w:rPr>
          <w:szCs w:val="20"/>
        </w:rPr>
        <w:t xml:space="preserve"> </w:t>
      </w:r>
      <w:proofErr w:type="spellStart"/>
      <w:r w:rsidRPr="00664FD8">
        <w:rPr>
          <w:szCs w:val="20"/>
        </w:rPr>
        <w:t>Mendes</w:t>
      </w:r>
      <w:proofErr w:type="spellEnd"/>
      <w:r w:rsidRPr="00664FD8">
        <w:rPr>
          <w:szCs w:val="20"/>
        </w:rPr>
        <w:t xml:space="preserve">, Francisco José de Souza, </w:t>
      </w:r>
      <w:proofErr w:type="spellStart"/>
      <w:r w:rsidRPr="00C11590">
        <w:rPr>
          <w:szCs w:val="20"/>
        </w:rPr>
        <w:t>Martinha</w:t>
      </w:r>
      <w:proofErr w:type="spellEnd"/>
      <w:r w:rsidRPr="00C11590">
        <w:rPr>
          <w:szCs w:val="20"/>
        </w:rPr>
        <w:t xml:space="preserve"> Martino de Souza</w:t>
      </w:r>
      <w:r w:rsidRPr="00664FD8">
        <w:rPr>
          <w:szCs w:val="20"/>
        </w:rPr>
        <w:t xml:space="preserve">, </w:t>
      </w:r>
      <w:proofErr w:type="spellStart"/>
      <w:r w:rsidRPr="00664FD8">
        <w:rPr>
          <w:szCs w:val="20"/>
        </w:rPr>
        <w:t>Luiz</w:t>
      </w:r>
      <w:proofErr w:type="spellEnd"/>
      <w:r w:rsidRPr="00664FD8">
        <w:rPr>
          <w:szCs w:val="20"/>
        </w:rPr>
        <w:t xml:space="preserve"> Henrique de Souza, Ronald Marcos de Souza, João Alves de </w:t>
      </w:r>
      <w:proofErr w:type="spellStart"/>
      <w:r w:rsidRPr="00664FD8">
        <w:rPr>
          <w:szCs w:val="20"/>
        </w:rPr>
        <w:t>Moura</w:t>
      </w:r>
      <w:proofErr w:type="spellEnd"/>
      <w:r w:rsidRPr="00664FD8">
        <w:rPr>
          <w:szCs w:val="20"/>
        </w:rPr>
        <w:t xml:space="preserve">, Eva </w:t>
      </w:r>
      <w:proofErr w:type="spellStart"/>
      <w:r w:rsidRPr="00664FD8">
        <w:rPr>
          <w:szCs w:val="20"/>
        </w:rPr>
        <w:t>Maria</w:t>
      </w:r>
      <w:proofErr w:type="spellEnd"/>
      <w:r w:rsidRPr="00664FD8">
        <w:rPr>
          <w:szCs w:val="20"/>
        </w:rPr>
        <w:t xml:space="preserve"> dos Santos </w:t>
      </w:r>
      <w:proofErr w:type="spellStart"/>
      <w:r w:rsidRPr="00664FD8">
        <w:rPr>
          <w:szCs w:val="20"/>
        </w:rPr>
        <w:t>Moura</w:t>
      </w:r>
      <w:proofErr w:type="spellEnd"/>
      <w:r w:rsidRPr="00664FD8">
        <w:rPr>
          <w:szCs w:val="20"/>
        </w:rPr>
        <w:t xml:space="preserve">, João Batista de Souza e Josefa </w:t>
      </w:r>
      <w:proofErr w:type="spellStart"/>
      <w:r w:rsidRPr="00664FD8">
        <w:rPr>
          <w:szCs w:val="20"/>
        </w:rPr>
        <w:t>Maria</w:t>
      </w:r>
      <w:proofErr w:type="spellEnd"/>
      <w:r w:rsidRPr="00664FD8">
        <w:rPr>
          <w:szCs w:val="20"/>
        </w:rPr>
        <w:t xml:space="preserve"> de Souza</w:t>
      </w:r>
      <w:r>
        <w:rPr>
          <w:rStyle w:val="FootnoteReference"/>
        </w:rPr>
        <w:footnoteReference w:id="280"/>
      </w:r>
      <w:r w:rsidRPr="00664FD8">
        <w:rPr>
          <w:rFonts w:cs="Arial"/>
          <w:szCs w:val="20"/>
        </w:rPr>
        <w:t xml:space="preserve">. </w:t>
      </w:r>
    </w:p>
    <w:p w14:paraId="07775F3C" w14:textId="77777777" w:rsidR="00FF5B4D" w:rsidRPr="00932608" w:rsidRDefault="00FF5B4D" w:rsidP="00FF5B4D">
      <w:pPr>
        <w:rPr>
          <w:rFonts w:cs="Arial"/>
          <w:noProof/>
          <w:szCs w:val="20"/>
        </w:rPr>
      </w:pPr>
    </w:p>
    <w:p w14:paraId="098D41C3" w14:textId="7F2EB32D" w:rsidR="00FF5B4D" w:rsidRPr="00A7011F" w:rsidRDefault="00ED1EDA" w:rsidP="00FF5B4D">
      <w:pPr>
        <w:pStyle w:val="ListParagraph"/>
        <w:numPr>
          <w:ilvl w:val="0"/>
          <w:numId w:val="1"/>
        </w:numPr>
        <w:contextualSpacing w:val="0"/>
        <w:rPr>
          <w:rFonts w:cs="Arial"/>
          <w:noProof/>
          <w:szCs w:val="20"/>
        </w:rPr>
      </w:pPr>
      <w:r>
        <w:rPr>
          <w:rFonts w:cs="Arial"/>
          <w:bCs/>
          <w:iCs/>
          <w:szCs w:val="20"/>
        </w:rPr>
        <w:t>Respecto de</w:t>
      </w:r>
      <w:r w:rsidR="00FF5B4D">
        <w:rPr>
          <w:rFonts w:cs="Arial"/>
          <w:bCs/>
          <w:iCs/>
          <w:szCs w:val="20"/>
        </w:rPr>
        <w:t xml:space="preserve"> la investigación </w:t>
      </w:r>
      <w:r w:rsidR="00FA11BB">
        <w:rPr>
          <w:rFonts w:cs="Arial"/>
          <w:bCs/>
          <w:iCs/>
          <w:szCs w:val="20"/>
        </w:rPr>
        <w:t>sobre la redada llevada a cabo</w:t>
      </w:r>
      <w:r w:rsidR="00FF5B4D">
        <w:rPr>
          <w:rFonts w:cs="Arial"/>
          <w:bCs/>
          <w:iCs/>
          <w:szCs w:val="20"/>
        </w:rPr>
        <w:t xml:space="preserve"> en 1995</w:t>
      </w:r>
      <w:r>
        <w:rPr>
          <w:rFonts w:cs="Arial"/>
          <w:bCs/>
          <w:iCs/>
          <w:szCs w:val="20"/>
        </w:rPr>
        <w:t xml:space="preserve">, la Corte nota que </w:t>
      </w:r>
      <w:r w:rsidR="00A852A9">
        <w:rPr>
          <w:rFonts w:cs="Arial"/>
          <w:bCs/>
          <w:iCs/>
          <w:szCs w:val="20"/>
        </w:rPr>
        <w:t xml:space="preserve">los familiares de las víctimas no pudieron acceder a un recurso que les brindara protección judicial. Al igual que en el proceso respecto a los hechos de 1994, en la investigación de 1995 </w:t>
      </w:r>
      <w:r w:rsidR="009F7E2A">
        <w:rPr>
          <w:rFonts w:cs="Arial"/>
          <w:bCs/>
          <w:iCs/>
          <w:szCs w:val="20"/>
        </w:rPr>
        <w:t xml:space="preserve">tampoco </w:t>
      </w:r>
      <w:r>
        <w:rPr>
          <w:rFonts w:cs="Arial"/>
          <w:bCs/>
          <w:iCs/>
          <w:szCs w:val="20"/>
        </w:rPr>
        <w:t xml:space="preserve">se </w:t>
      </w:r>
      <w:r w:rsidR="00FF5B4D">
        <w:rPr>
          <w:rFonts w:cs="Arial"/>
          <w:bCs/>
          <w:iCs/>
          <w:szCs w:val="20"/>
        </w:rPr>
        <w:t xml:space="preserve">permitió a los familiares de las víctimas muertas </w:t>
      </w:r>
      <w:r w:rsidR="00FF5B4D">
        <w:rPr>
          <w:rFonts w:cs="Arial"/>
          <w:szCs w:val="20"/>
          <w:lang w:val="es-CO"/>
        </w:rPr>
        <w:t xml:space="preserve">la participación en los procedimientos. Además, </w:t>
      </w:r>
      <w:r w:rsidR="00A852A9">
        <w:rPr>
          <w:rFonts w:cs="Arial"/>
          <w:szCs w:val="20"/>
          <w:lang w:val="es-CO"/>
        </w:rPr>
        <w:t xml:space="preserve">la investigación </w:t>
      </w:r>
      <w:r w:rsidR="00FF5B4D">
        <w:rPr>
          <w:rFonts w:cs="Arial"/>
          <w:szCs w:val="20"/>
          <w:lang w:val="es-CO"/>
        </w:rPr>
        <w:t>contó con muy pocas diligencias, las cuales resultaron irrelevantes; y no se realizó ningún avance que ayudara a determinar la responsabilidad por las ejecuciones.</w:t>
      </w:r>
      <w:r w:rsidR="0069032E">
        <w:rPr>
          <w:rFonts w:cs="Arial"/>
          <w:szCs w:val="20"/>
          <w:lang w:val="es-CO"/>
        </w:rPr>
        <w:t xml:space="preserve"> Estas falencias en la investigación ocasionaron que </w:t>
      </w:r>
      <w:r w:rsidR="001245D4">
        <w:rPr>
          <w:rFonts w:cs="Arial"/>
          <w:szCs w:val="20"/>
          <w:lang w:val="es-CO"/>
        </w:rPr>
        <w:t xml:space="preserve">ésta </w:t>
      </w:r>
      <w:r w:rsidR="0069032E">
        <w:rPr>
          <w:rFonts w:cs="Arial"/>
          <w:szCs w:val="20"/>
          <w:lang w:val="es-CO"/>
        </w:rPr>
        <w:t>no constituyera un recurso efectivo, toda vez que no existieron los avances mínimos necesarios para poder considerar como efectiva dicha investigación, independientemente de los resultados a los que pudiera haberse llegado.</w:t>
      </w:r>
      <w:r w:rsidR="00FF5B4D">
        <w:rPr>
          <w:rFonts w:cs="Arial"/>
          <w:szCs w:val="20"/>
          <w:lang w:val="es-CO"/>
        </w:rPr>
        <w:t xml:space="preserve"> </w:t>
      </w:r>
      <w:r w:rsidR="00FF5B4D">
        <w:rPr>
          <w:rFonts w:cs="Arial"/>
          <w:szCs w:val="20"/>
        </w:rPr>
        <w:t xml:space="preserve">Esta situación constituyó </w:t>
      </w:r>
      <w:r w:rsidR="00FF5B4D" w:rsidRPr="00932608">
        <w:rPr>
          <w:rFonts w:cs="Arial"/>
          <w:szCs w:val="20"/>
        </w:rPr>
        <w:t>una de</w:t>
      </w:r>
      <w:r w:rsidR="00FF5B4D" w:rsidRPr="00A7011F">
        <w:rPr>
          <w:rFonts w:cs="Arial"/>
          <w:szCs w:val="20"/>
        </w:rPr>
        <w:t>negación por parte del Estado de un recurso efectivo</w:t>
      </w:r>
      <w:r w:rsidR="00A7011F" w:rsidRPr="00A7011F">
        <w:rPr>
          <w:rFonts w:cs="Arial"/>
          <w:szCs w:val="20"/>
        </w:rPr>
        <w:t xml:space="preserve"> </w:t>
      </w:r>
      <w:r w:rsidR="00FF5B4D" w:rsidRPr="00A7011F">
        <w:rPr>
          <w:rFonts w:cs="Arial"/>
          <w:szCs w:val="20"/>
        </w:rPr>
        <w:t>contra actos que vulneraron sus derechos humanos</w:t>
      </w:r>
      <w:r w:rsidR="00A7011F" w:rsidRPr="00A7011F">
        <w:rPr>
          <w:rFonts w:cs="Arial"/>
          <w:szCs w:val="20"/>
        </w:rPr>
        <w:t>, es decir, res</w:t>
      </w:r>
      <w:r w:rsidR="0069032E">
        <w:rPr>
          <w:rFonts w:cs="Arial"/>
          <w:szCs w:val="20"/>
        </w:rPr>
        <w:t>ul</w:t>
      </w:r>
      <w:r w:rsidR="00A7011F" w:rsidRPr="00A7011F">
        <w:rPr>
          <w:rFonts w:cs="Arial"/>
          <w:szCs w:val="20"/>
        </w:rPr>
        <w:t>tó vulnerado el propio derecho de acceso a la justicia</w:t>
      </w:r>
      <w:r w:rsidR="00FF5B4D" w:rsidRPr="00A7011F">
        <w:rPr>
          <w:rFonts w:cs="Arial"/>
          <w:szCs w:val="20"/>
        </w:rPr>
        <w:t xml:space="preserve">. </w:t>
      </w:r>
    </w:p>
    <w:p w14:paraId="0B209BD4" w14:textId="77777777" w:rsidR="00FF5B4D" w:rsidRPr="001047D4" w:rsidRDefault="00FF5B4D" w:rsidP="00FF5B4D">
      <w:pPr>
        <w:pStyle w:val="ListParagraph"/>
        <w:rPr>
          <w:rFonts w:cs="Arial"/>
          <w:noProof/>
          <w:szCs w:val="20"/>
        </w:rPr>
      </w:pPr>
    </w:p>
    <w:p w14:paraId="7D06BA27" w14:textId="4248047D" w:rsidR="00FF5B4D" w:rsidRPr="00940FCA" w:rsidRDefault="00FF5B4D" w:rsidP="00FF5B4D">
      <w:pPr>
        <w:pStyle w:val="ListParagraph"/>
        <w:numPr>
          <w:ilvl w:val="0"/>
          <w:numId w:val="1"/>
        </w:numPr>
        <w:contextualSpacing w:val="0"/>
        <w:rPr>
          <w:rFonts w:cs="Arial"/>
          <w:noProof/>
          <w:szCs w:val="20"/>
        </w:rPr>
      </w:pPr>
      <w:r>
        <w:rPr>
          <w:rFonts w:cs="Arial"/>
          <w:bCs/>
          <w:iCs/>
          <w:szCs w:val="20"/>
        </w:rPr>
        <w:t>A</w:t>
      </w:r>
      <w:r w:rsidR="00AF2C8D">
        <w:rPr>
          <w:rFonts w:cs="Arial"/>
          <w:bCs/>
          <w:iCs/>
          <w:szCs w:val="20"/>
        </w:rPr>
        <w:t>simismo, a</w:t>
      </w:r>
      <w:r w:rsidRPr="001047D4">
        <w:rPr>
          <w:rFonts w:cs="Arial"/>
          <w:bCs/>
          <w:iCs/>
          <w:szCs w:val="20"/>
        </w:rPr>
        <w:t xml:space="preserve"> pesar de la gravedad de </w:t>
      </w:r>
      <w:r>
        <w:rPr>
          <w:rFonts w:cs="Arial"/>
          <w:bCs/>
          <w:iCs/>
          <w:szCs w:val="20"/>
        </w:rPr>
        <w:t xml:space="preserve">las </w:t>
      </w:r>
      <w:r w:rsidR="00A7011F">
        <w:rPr>
          <w:rFonts w:cs="Arial"/>
          <w:bCs/>
          <w:iCs/>
          <w:szCs w:val="20"/>
        </w:rPr>
        <w:t xml:space="preserve">alegadas </w:t>
      </w:r>
      <w:r>
        <w:rPr>
          <w:rFonts w:cs="Arial"/>
          <w:bCs/>
          <w:iCs/>
          <w:szCs w:val="20"/>
        </w:rPr>
        <w:t>ejecuciones de civiles cometidas por agentes policiales</w:t>
      </w:r>
      <w:r w:rsidR="00AF2C8D">
        <w:rPr>
          <w:rFonts w:cs="Arial"/>
          <w:bCs/>
          <w:iCs/>
          <w:szCs w:val="20"/>
        </w:rPr>
        <w:t xml:space="preserve"> en 1995</w:t>
      </w:r>
      <w:r w:rsidRPr="001047D4">
        <w:rPr>
          <w:rFonts w:cs="Arial"/>
          <w:bCs/>
          <w:iCs/>
          <w:szCs w:val="20"/>
        </w:rPr>
        <w:t xml:space="preserve">, </w:t>
      </w:r>
      <w:r>
        <w:rPr>
          <w:rFonts w:cs="Arial"/>
          <w:bCs/>
          <w:iCs/>
          <w:szCs w:val="20"/>
        </w:rPr>
        <w:t xml:space="preserve">la investigación realizada se </w:t>
      </w:r>
      <w:proofErr w:type="spellStart"/>
      <w:r w:rsidR="00FD673E">
        <w:rPr>
          <w:rFonts w:cs="Arial"/>
          <w:bCs/>
          <w:iCs/>
          <w:szCs w:val="20"/>
        </w:rPr>
        <w:t>gui</w:t>
      </w:r>
      <w:r w:rsidR="001245D4">
        <w:rPr>
          <w:rFonts w:cs="Arial"/>
          <w:bCs/>
          <w:iCs/>
          <w:szCs w:val="20"/>
        </w:rPr>
        <w:t>ó</w:t>
      </w:r>
      <w:proofErr w:type="spellEnd"/>
      <w:r>
        <w:rPr>
          <w:rFonts w:cs="Arial"/>
          <w:bCs/>
          <w:iCs/>
          <w:szCs w:val="20"/>
        </w:rPr>
        <w:t xml:space="preserve"> por una preconcepción de que las víctimas </w:t>
      </w:r>
      <w:r w:rsidR="00AF2C8D">
        <w:rPr>
          <w:rFonts w:cs="Arial"/>
          <w:bCs/>
          <w:iCs/>
          <w:szCs w:val="20"/>
        </w:rPr>
        <w:t xml:space="preserve">fallecidas </w:t>
      </w:r>
      <w:r>
        <w:rPr>
          <w:rFonts w:cs="Arial"/>
          <w:bCs/>
          <w:iCs/>
          <w:szCs w:val="20"/>
        </w:rPr>
        <w:t>habían muerto como resultado de acciones legales por parte de los agentes policiales</w:t>
      </w:r>
      <w:r w:rsidRPr="001047D4">
        <w:rPr>
          <w:rFonts w:cs="Arial"/>
          <w:bCs/>
          <w:iCs/>
          <w:szCs w:val="20"/>
        </w:rPr>
        <w:t xml:space="preserve">. </w:t>
      </w:r>
      <w:r w:rsidR="00F1688D">
        <w:rPr>
          <w:rFonts w:cs="Arial"/>
          <w:bCs/>
          <w:iCs/>
          <w:szCs w:val="20"/>
        </w:rPr>
        <w:t xml:space="preserve">Esta preconcepción tuvo como consecuencia que se restara importancia a la gravedad de los hechos y que se normalizara lo </w:t>
      </w:r>
      <w:r w:rsidR="0042360D">
        <w:rPr>
          <w:rFonts w:cs="Arial"/>
          <w:bCs/>
          <w:iCs/>
          <w:szCs w:val="20"/>
        </w:rPr>
        <w:t>sucedido</w:t>
      </w:r>
      <w:r w:rsidR="00F1688D">
        <w:rPr>
          <w:rFonts w:cs="Arial"/>
          <w:bCs/>
          <w:iCs/>
          <w:szCs w:val="20"/>
        </w:rPr>
        <w:t>, teniendo como consecuencia la ausencia de una investigación adecuada de los hechos</w:t>
      </w:r>
      <w:r w:rsidR="00813235">
        <w:rPr>
          <w:rFonts w:cs="Arial"/>
          <w:bCs/>
          <w:iCs/>
          <w:szCs w:val="20"/>
        </w:rPr>
        <w:t xml:space="preserve"> que entrara a </w:t>
      </w:r>
      <w:r w:rsidR="00813235">
        <w:rPr>
          <w:rFonts w:cs="Arial"/>
          <w:bCs/>
          <w:iCs/>
          <w:szCs w:val="20"/>
        </w:rPr>
        <w:lastRenderedPageBreak/>
        <w:t>analizar el fondo, siendo que la investigación consistió únicamente en actuaciones sin relevancia procesal</w:t>
      </w:r>
      <w:r w:rsidR="00F1688D">
        <w:rPr>
          <w:rFonts w:cs="Arial"/>
          <w:bCs/>
          <w:iCs/>
          <w:szCs w:val="20"/>
        </w:rPr>
        <w:t xml:space="preserve">. </w:t>
      </w:r>
      <w:r>
        <w:rPr>
          <w:rFonts w:cs="Arial"/>
          <w:bCs/>
          <w:iCs/>
          <w:szCs w:val="20"/>
        </w:rPr>
        <w:t>En conclusión, los familiares de las víctimas muertas en la redada de 1995 no contaron con ningún recurso o mecanismo que les permitiera obtener protección judicial ante la violación de sus derechos, ni les ofreciera algún mecanismo de reparación frente a la ejecución de sus familiares.</w:t>
      </w:r>
    </w:p>
    <w:p w14:paraId="06205578" w14:textId="77777777" w:rsidR="00FF5B4D" w:rsidRPr="00940FCA" w:rsidRDefault="00FF5B4D" w:rsidP="00FF5B4D">
      <w:pPr>
        <w:rPr>
          <w:rFonts w:cs="Arial"/>
          <w:noProof/>
          <w:szCs w:val="20"/>
        </w:rPr>
      </w:pPr>
    </w:p>
    <w:p w14:paraId="217B9445" w14:textId="1BA55FE2" w:rsidR="00FF5B4D" w:rsidRPr="00E51D68" w:rsidRDefault="00FF5B4D" w:rsidP="00AA399A">
      <w:pPr>
        <w:pStyle w:val="ListParagraph"/>
        <w:numPr>
          <w:ilvl w:val="0"/>
          <w:numId w:val="1"/>
        </w:numPr>
        <w:contextualSpacing w:val="0"/>
        <w:rPr>
          <w:b/>
          <w:szCs w:val="20"/>
          <w:lang w:val="pt-BR"/>
        </w:rPr>
      </w:pPr>
      <w:r w:rsidRPr="00E04421">
        <w:rPr>
          <w:szCs w:val="20"/>
          <w:lang w:val="pt-BR"/>
        </w:rPr>
        <w:t xml:space="preserve">Por lo anterior, la Corte concluye que el Estado vulneró el derecho a la protección judicial, previsto en el artículo 25 de la Convención Americana sobre Derechos Humanos, en relación con los artículos 1.1 y 2 del mismo instrumento, en perjuicio de </w:t>
      </w:r>
      <w:r>
        <w:rPr>
          <w:szCs w:val="20"/>
          <w:lang w:val="pt-BR"/>
        </w:rPr>
        <w:t>Waldomiro Genoveva, Oc</w:t>
      </w:r>
      <w:r w:rsidRPr="00E51D68">
        <w:rPr>
          <w:szCs w:val="20"/>
          <w:lang w:val="pt-BR"/>
        </w:rPr>
        <w:t xml:space="preserve">élia Rosa, Rosane da Silva Genoveva, Diogo da Silva Genoveva, Paulo Cesar da Silva Porto, Daniel Paulino da Silva, Georgina Soares Pinto, Nilton Ramos de Oliveira, Maria da Conceição Sampaio de Oliveira, Vinicius Ramos de Oliveira, Geraldo José da Silva Filho, Georgina Abrantes, Paulo Roberto Felix, Otacilio Costa, Beatriz Fonseca Costa, Bruna Fonseca Costa,  Dalvaci Melo Rodrigues, </w:t>
      </w:r>
      <w:r w:rsidR="005715B4" w:rsidRPr="003D6A7B">
        <w:rPr>
          <w:lang w:val="pt-BR"/>
        </w:rPr>
        <w:t>M</w:t>
      </w:r>
      <w:r w:rsidR="005E722B" w:rsidRPr="00C21A2E">
        <w:rPr>
          <w:szCs w:val="16"/>
          <w:lang w:val="pt-BR"/>
        </w:rPr>
        <w:t>ô</w:t>
      </w:r>
      <w:r w:rsidR="005715B4" w:rsidRPr="003D6A7B">
        <w:rPr>
          <w:lang w:val="pt-BR"/>
        </w:rPr>
        <w:t>nica Santos de Souza Rodrigues</w:t>
      </w:r>
      <w:r w:rsidRPr="00E51D68">
        <w:rPr>
          <w:szCs w:val="20"/>
          <w:lang w:val="pt-BR"/>
        </w:rPr>
        <w:t>,</w:t>
      </w:r>
      <w:r w:rsidR="00AA399A" w:rsidRPr="003D6A7B">
        <w:rPr>
          <w:lang w:val="pt-BR"/>
        </w:rPr>
        <w:t xml:space="preserve"> </w:t>
      </w:r>
      <w:r w:rsidR="00AA399A" w:rsidRPr="00AA399A">
        <w:rPr>
          <w:szCs w:val="20"/>
          <w:lang w:val="pt-BR"/>
        </w:rPr>
        <w:t>Evelyn Santos de Souza Rodrigues</w:t>
      </w:r>
      <w:r w:rsidR="003D6A7B">
        <w:rPr>
          <w:szCs w:val="20"/>
          <w:lang w:val="pt-BR"/>
        </w:rPr>
        <w:t>,</w:t>
      </w:r>
      <w:r w:rsidRPr="00E51D68">
        <w:rPr>
          <w:szCs w:val="20"/>
          <w:lang w:val="pt-BR"/>
        </w:rPr>
        <w:t xml:space="preserve"> Pricila da Silva Rodrigues, Samuel da Silva Rodrigues, Lucas Abreu da Silva, Cecília Cristina do Nascimento Rodrigues, Adriana Melo Rodrigues, Roseleide Rodrigues do Nascimento, Shirley de Almeida, Catia Regina Almeida da Silva, Valdemar da Silveira Dutra, Geni Pereira Dutra, Vera Lucia Jacinto da Silva, Cesar Braga Castor, Vera Lucia Ribeiro Castor, Michele Mariano dos Santos, William Mariano dos Santos, Pedro Marciano dos Reis, Hilda Alves dos Reis, Rosemary Alves dos Reis</w:t>
      </w:r>
      <w:r>
        <w:rPr>
          <w:rStyle w:val="FootnoteReference"/>
        </w:rPr>
        <w:footnoteReference w:id="281"/>
      </w:r>
      <w:r w:rsidRPr="00E51D68">
        <w:rPr>
          <w:rFonts w:cs="Arial"/>
          <w:szCs w:val="20"/>
          <w:lang w:val="pt-BR"/>
        </w:rPr>
        <w:t>.</w:t>
      </w:r>
      <w:r w:rsidRPr="00E51D68">
        <w:rPr>
          <w:szCs w:val="20"/>
          <w:lang w:val="pt-BR"/>
        </w:rPr>
        <w:t xml:space="preserve"> </w:t>
      </w:r>
    </w:p>
    <w:p w14:paraId="1CF3CCF9" w14:textId="77777777" w:rsidR="00FC00B9" w:rsidRPr="00FF5B4D" w:rsidRDefault="00FC00B9" w:rsidP="00FF5B4D">
      <w:pPr>
        <w:pStyle w:val="ListParagraph"/>
        <w:ind w:left="0"/>
        <w:rPr>
          <w:szCs w:val="20"/>
          <w:lang w:val="pt-BR"/>
        </w:rPr>
      </w:pPr>
    </w:p>
    <w:p w14:paraId="500B1EE2" w14:textId="791EBAC8" w:rsidR="008E003D" w:rsidRPr="00B811D7" w:rsidRDefault="008E003D" w:rsidP="00123780">
      <w:pPr>
        <w:pStyle w:val="TOC2"/>
      </w:pPr>
      <w:bookmarkStart w:id="420" w:name="_Toc469404513"/>
      <w:bookmarkStart w:id="421" w:name="_Toc472608959"/>
      <w:r w:rsidRPr="00B811D7">
        <w:t>B.</w:t>
      </w:r>
      <w:r w:rsidR="00930B49">
        <w:t>5</w:t>
      </w:r>
      <w:r w:rsidR="00CE18D4">
        <w:t>.</w:t>
      </w:r>
      <w:r w:rsidRPr="00B811D7">
        <w:t xml:space="preserve"> </w:t>
      </w:r>
      <w:r w:rsidR="002A031A">
        <w:tab/>
      </w:r>
      <w:r w:rsidRPr="00B811D7">
        <w:t>Estándares relativos a debida diligencia y plazo razonable en casos de</w:t>
      </w:r>
      <w:r w:rsidR="00433973">
        <w:t xml:space="preserve"> alegada</w:t>
      </w:r>
      <w:r w:rsidRPr="00B811D7">
        <w:t xml:space="preserve"> violencia sexual</w:t>
      </w:r>
      <w:bookmarkEnd w:id="420"/>
      <w:bookmarkEnd w:id="421"/>
    </w:p>
    <w:p w14:paraId="55ACA74E" w14:textId="77777777" w:rsidR="008E003D" w:rsidRDefault="008E003D" w:rsidP="00B811D7">
      <w:pPr>
        <w:contextualSpacing/>
        <w:rPr>
          <w:szCs w:val="20"/>
        </w:rPr>
      </w:pPr>
    </w:p>
    <w:p w14:paraId="5B9B480E" w14:textId="77777777" w:rsidR="00B811D7" w:rsidRPr="00A202A6" w:rsidRDefault="00B811D7" w:rsidP="00D6683A">
      <w:pPr>
        <w:numPr>
          <w:ilvl w:val="0"/>
          <w:numId w:val="1"/>
        </w:numPr>
        <w:contextualSpacing/>
        <w:rPr>
          <w:szCs w:val="20"/>
        </w:rPr>
      </w:pPr>
      <w:r>
        <w:rPr>
          <w:rFonts w:cs="Verdana"/>
          <w:szCs w:val="20"/>
        </w:rPr>
        <w:t xml:space="preserve">En relación con los casos de violencia sexual contra las mujeres, </w:t>
      </w:r>
      <w:r w:rsidRPr="00A202A6">
        <w:rPr>
          <w:szCs w:val="20"/>
        </w:rPr>
        <w:t>el Tribunal ha establecido que los Estados deben adoptar medidas integrales para cumplir con la debida diligencia. En particular, deben contar con un adecuado marco jurídico de protección, con una aplicación efectiva del mismo y con políticas de prevención y prácticas que permitan actuar de una manera eficaz ante las denuncias</w:t>
      </w:r>
      <w:r w:rsidRPr="00841DC8">
        <w:rPr>
          <w:rStyle w:val="FootnoteReference"/>
        </w:rPr>
        <w:footnoteReference w:id="282"/>
      </w:r>
      <w:r w:rsidRPr="00A202A6">
        <w:rPr>
          <w:szCs w:val="20"/>
        </w:rPr>
        <w:t>. La estrategia de prevención debe ser integral, es decir, debe prevenir los factores de riesgo y a la vez fortalecer las instituciones para que puedan proporcionar una respuesta efectiva. Asimismo, los Estados deben adoptar medidas preventivas en casos específicos en los que es evidente que determinadas mujeres y niñas pueden ser víctimas de violencia</w:t>
      </w:r>
      <w:r w:rsidRPr="00DA0868">
        <w:rPr>
          <w:rStyle w:val="FootnoteReference"/>
        </w:rPr>
        <w:footnoteReference w:id="283"/>
      </w:r>
      <w:r w:rsidRPr="00A202A6">
        <w:rPr>
          <w:szCs w:val="20"/>
        </w:rPr>
        <w:t xml:space="preserve">. Todo esto debe tomar en cuenta que, en casos de violencia contra la mujer, los Estados tienen, además de las obligaciones genéricas </w:t>
      </w:r>
      <w:r w:rsidRPr="00020677">
        <w:rPr>
          <w:rFonts w:cs="Verdana"/>
          <w:szCs w:val="20"/>
        </w:rPr>
        <w:t>establecidas en los artículos 8 y 25 de la Convención Americana</w:t>
      </w:r>
      <w:r w:rsidRPr="00A202A6">
        <w:rPr>
          <w:szCs w:val="20"/>
        </w:rPr>
        <w:t xml:space="preserve">, obligaciones específicas a partir </w:t>
      </w:r>
      <w:r w:rsidRPr="00020677">
        <w:rPr>
          <w:rFonts w:cs="Verdana"/>
          <w:szCs w:val="20"/>
        </w:rPr>
        <w:t>del tratado interamericano específico</w:t>
      </w:r>
      <w:r>
        <w:rPr>
          <w:szCs w:val="20"/>
        </w:rPr>
        <w:t xml:space="preserve">, </w:t>
      </w:r>
      <w:r w:rsidRPr="00A202A6">
        <w:rPr>
          <w:szCs w:val="20"/>
        </w:rPr>
        <w:t>la Convención</w:t>
      </w:r>
      <w:r>
        <w:rPr>
          <w:szCs w:val="20"/>
        </w:rPr>
        <w:t xml:space="preserve"> Interamericana para Prevenir, Sancionar y Erradicar la Violencia contra la Mujer (Convención de</w:t>
      </w:r>
      <w:r w:rsidRPr="00A202A6">
        <w:rPr>
          <w:szCs w:val="20"/>
        </w:rPr>
        <w:t xml:space="preserve"> Belém do Pará</w:t>
      </w:r>
      <w:r>
        <w:rPr>
          <w:szCs w:val="20"/>
        </w:rPr>
        <w:t>)</w:t>
      </w:r>
      <w:r>
        <w:rPr>
          <w:rStyle w:val="FootnoteReference"/>
        </w:rPr>
        <w:footnoteReference w:id="284"/>
      </w:r>
      <w:r w:rsidRPr="00A202A6">
        <w:rPr>
          <w:szCs w:val="20"/>
        </w:rPr>
        <w:t xml:space="preserve">. </w:t>
      </w:r>
    </w:p>
    <w:p w14:paraId="6F28306D" w14:textId="77777777" w:rsidR="00B811D7" w:rsidRPr="00A202A6" w:rsidRDefault="00B811D7" w:rsidP="00B811D7">
      <w:pPr>
        <w:rPr>
          <w:szCs w:val="20"/>
        </w:rPr>
      </w:pPr>
    </w:p>
    <w:p w14:paraId="73D6C2A6" w14:textId="77777777" w:rsidR="00B811D7" w:rsidRPr="007B6F7D" w:rsidRDefault="00B811D7" w:rsidP="00D6683A">
      <w:pPr>
        <w:numPr>
          <w:ilvl w:val="0"/>
          <w:numId w:val="1"/>
        </w:numPr>
        <w:contextualSpacing/>
        <w:rPr>
          <w:szCs w:val="20"/>
        </w:rPr>
      </w:pPr>
      <w:r w:rsidRPr="00020677">
        <w:rPr>
          <w:rFonts w:cs="Verdana"/>
          <w:szCs w:val="20"/>
        </w:rPr>
        <w:t>En su artículo 7.b dicha Convención obliga de manera específica a los Estados Partes a utilizar la debida diligencia para prevenir, sancionar y erradicar la violencia contra la mujer</w:t>
      </w:r>
      <w:r>
        <w:rPr>
          <w:rStyle w:val="FootnoteReference"/>
        </w:rPr>
        <w:footnoteReference w:id="285"/>
      </w:r>
      <w:r w:rsidRPr="00020677">
        <w:rPr>
          <w:rFonts w:cs="Verdana"/>
          <w:szCs w:val="20"/>
        </w:rPr>
        <w:t xml:space="preserve">. De tal modo, ante un acto de violencia contra una mujer, resulta particularmente </w:t>
      </w:r>
      <w:r w:rsidRPr="00020677">
        <w:rPr>
          <w:rFonts w:cs="Verdana"/>
          <w:szCs w:val="20"/>
        </w:rPr>
        <w:lastRenderedPageBreak/>
        <w:t>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Pr>
          <w:rStyle w:val="FootnoteReference"/>
        </w:rPr>
        <w:footnoteReference w:id="286"/>
      </w:r>
      <w:r w:rsidRPr="00020677">
        <w:rPr>
          <w:rFonts w:cs="Verdana"/>
          <w:szCs w:val="20"/>
        </w:rPr>
        <w:t>.</w:t>
      </w:r>
    </w:p>
    <w:p w14:paraId="10F660A8" w14:textId="77777777" w:rsidR="00B811D7" w:rsidRDefault="00B811D7" w:rsidP="00B811D7">
      <w:pPr>
        <w:pStyle w:val="ListParagraph"/>
        <w:rPr>
          <w:szCs w:val="20"/>
        </w:rPr>
      </w:pPr>
    </w:p>
    <w:p w14:paraId="56E6B45E" w14:textId="77777777" w:rsidR="00B811D7" w:rsidRPr="007B6F7D" w:rsidRDefault="00B811D7" w:rsidP="00D6683A">
      <w:pPr>
        <w:numPr>
          <w:ilvl w:val="0"/>
          <w:numId w:val="1"/>
        </w:numPr>
        <w:contextualSpacing/>
        <w:rPr>
          <w:szCs w:val="20"/>
        </w:rPr>
      </w:pPr>
      <w:r>
        <w:t>La Corte hace notar</w:t>
      </w:r>
      <w:r w:rsidRPr="00D05CBB">
        <w:t xml:space="preserve"> que </w:t>
      </w:r>
      <w:r w:rsidRPr="00F077F0">
        <w:t>la violencia contra la mujer no solo constituye una violación de los derechos humanos, sino que es “una ofensa a la dignidad humana y una manifestación de las relaciones de poder históricamente desiguales entre mujeres y hombres”, que “trasciende todos los sectores de la sociedad independientemente de su clase, raza o grupo étnico, nivel de ingresos, cultura, nivel educacional, edad o religión y afecta negativamente sus propias bases”</w:t>
      </w:r>
      <w:r w:rsidRPr="00F077F0">
        <w:rPr>
          <w:rStyle w:val="FootnoteReference"/>
        </w:rPr>
        <w:footnoteReference w:id="287"/>
      </w:r>
      <w:r w:rsidRPr="00F077F0">
        <w:t>.</w:t>
      </w:r>
    </w:p>
    <w:p w14:paraId="6BA261D9" w14:textId="77777777" w:rsidR="00B811D7" w:rsidRDefault="00B811D7" w:rsidP="00B811D7">
      <w:pPr>
        <w:pStyle w:val="ListParagraph"/>
        <w:rPr>
          <w:szCs w:val="20"/>
        </w:rPr>
      </w:pPr>
    </w:p>
    <w:p w14:paraId="4F90AAA8" w14:textId="77777777" w:rsidR="00B811D7" w:rsidRPr="0073314E" w:rsidRDefault="00B811D7" w:rsidP="00D6683A">
      <w:pPr>
        <w:numPr>
          <w:ilvl w:val="0"/>
          <w:numId w:val="1"/>
        </w:numPr>
        <w:contextualSpacing/>
        <w:rPr>
          <w:szCs w:val="20"/>
        </w:rPr>
      </w:pPr>
      <w:r w:rsidRPr="0073314E">
        <w:rPr>
          <w:rFonts w:cs="MinionPro-Regular"/>
        </w:rPr>
        <w:t xml:space="preserve">Siguiendo la línea de la jurisprudencia internacional y tomando en cuenta lo dispuesto en la Convención de Belém do Pará, la Corte ha considerado que la violencia sexual se configura con acciones de naturaleza sexual que se cometen </w:t>
      </w:r>
      <w:r>
        <w:rPr>
          <w:rFonts w:cs="MinionPro-Regular"/>
        </w:rPr>
        <w:t>contra</w:t>
      </w:r>
      <w:r w:rsidRPr="0073314E">
        <w:rPr>
          <w:rFonts w:cs="MinionPro-Regular"/>
        </w:rPr>
        <w:t xml:space="preserve"> una persona sin su consentimiento, que además de comprender la invasión física del cuerpo humano, pueden incluir actos que no involucren penetración o incluso contacto físico alguno</w:t>
      </w:r>
      <w:r>
        <w:rPr>
          <w:rStyle w:val="FootnoteReference"/>
        </w:rPr>
        <w:footnoteReference w:id="288"/>
      </w:r>
      <w:r w:rsidRPr="0073314E">
        <w:rPr>
          <w:rFonts w:cs="MinionPro-Regular"/>
        </w:rPr>
        <w:t>.</w:t>
      </w:r>
    </w:p>
    <w:p w14:paraId="7BEFCD5D" w14:textId="77777777" w:rsidR="00B811D7" w:rsidRDefault="00B811D7" w:rsidP="00B811D7">
      <w:pPr>
        <w:pStyle w:val="ListParagraph"/>
        <w:rPr>
          <w:szCs w:val="20"/>
        </w:rPr>
      </w:pPr>
    </w:p>
    <w:p w14:paraId="39A65CED" w14:textId="77777777" w:rsidR="00B811D7" w:rsidRPr="00454593" w:rsidRDefault="00B811D7" w:rsidP="00D6683A">
      <w:pPr>
        <w:numPr>
          <w:ilvl w:val="0"/>
          <w:numId w:val="1"/>
        </w:numPr>
        <w:contextualSpacing/>
        <w:rPr>
          <w:szCs w:val="20"/>
        </w:rPr>
      </w:pPr>
      <w:r w:rsidRPr="0073314E">
        <w:rPr>
          <w:rFonts w:cs="MinionPro-Regular"/>
        </w:rPr>
        <w:t>Asimismo, siguiendo el criterio jurisprudencial y normativo que impera tanto en el ámbito del Derecho Penal Internacional como en el Derecho Penal comparado, este Tribunal ha considerado que la violación sexual no implica necesariamente una relación sexual sin consentimiento, por vía vaginal, como se consideró tradicionalmente. Por violación sexual también debe entenderse actos de penetración vaginal o anal, sin consentimiento de la víctima, mediante la utilización de otras partes del cuerpo del agresor u objetos, así como la penetración bucal mediante el miembro viril</w:t>
      </w:r>
      <w:r>
        <w:rPr>
          <w:rStyle w:val="FootnoteReference"/>
        </w:rPr>
        <w:footnoteReference w:id="289"/>
      </w:r>
      <w:r w:rsidRPr="0073314E">
        <w:rPr>
          <w:rFonts w:cs="MinionPro-Regular"/>
        </w:rPr>
        <w:t>.</w:t>
      </w:r>
      <w:r>
        <w:rPr>
          <w:rFonts w:cs="MinionPro-Regular"/>
        </w:rPr>
        <w:t xml:space="preserve"> </w:t>
      </w:r>
      <w:r w:rsidRPr="00D05CBB">
        <w:t>En particular, la violación sexual constituye una forma paradigmática de violencia contra l</w:t>
      </w:r>
      <w:r>
        <w:t xml:space="preserve">as mujeres cuyas consecuencias, </w:t>
      </w:r>
      <w:r w:rsidRPr="00D05CBB">
        <w:t>incluso, trascienden a la persona de la víctima</w:t>
      </w:r>
      <w:r>
        <w:rPr>
          <w:rStyle w:val="FootnoteReference"/>
        </w:rPr>
        <w:footnoteReference w:id="290"/>
      </w:r>
      <w:r w:rsidRPr="00D05CBB">
        <w:t>.</w:t>
      </w:r>
      <w:r>
        <w:t xml:space="preserve"> </w:t>
      </w:r>
    </w:p>
    <w:p w14:paraId="3E47B88E" w14:textId="77777777" w:rsidR="00B811D7" w:rsidRDefault="00B811D7" w:rsidP="00B811D7">
      <w:pPr>
        <w:pStyle w:val="ListParagraph"/>
        <w:rPr>
          <w:szCs w:val="20"/>
        </w:rPr>
      </w:pPr>
    </w:p>
    <w:p w14:paraId="607FEBDC" w14:textId="3DBA08F0" w:rsidR="00B811D7" w:rsidRDefault="006C798D" w:rsidP="00D6683A">
      <w:pPr>
        <w:numPr>
          <w:ilvl w:val="0"/>
          <w:numId w:val="1"/>
        </w:numPr>
        <w:contextualSpacing/>
        <w:rPr>
          <w:szCs w:val="20"/>
        </w:rPr>
      </w:pPr>
      <w:r>
        <w:rPr>
          <w:rFonts w:cs="MinionPro-Regular"/>
        </w:rPr>
        <w:t>La</w:t>
      </w:r>
      <w:r w:rsidR="00B811D7">
        <w:rPr>
          <w:rFonts w:cs="MinionPro-Regular"/>
        </w:rPr>
        <w:t xml:space="preserve"> Corte</w:t>
      </w:r>
      <w:r w:rsidR="00B811D7" w:rsidRPr="00182FEE">
        <w:rPr>
          <w:rFonts w:cs="MinionPro-Regular"/>
        </w:rPr>
        <w:t xml:space="preserve"> ha establecido que la violación sexual es un tipo particular de agresión que, en general, se caracteriza por producirse en ausencia de otras personas más allá de la víctima y el agresor o los agresores. Dada la naturaleza de esta forma de violencia, no se puede esperar la existencia de pruebas gráficas o documentales y, por ello, la declaración de la víctima constituye una prueba fundamental sobre el hecho. Sin perjuicio de la calificación jurídica de los hechos que se realiza </w:t>
      </w:r>
      <w:r w:rsidR="00D54562">
        <w:rPr>
          <w:rFonts w:cs="MinionPro-Regular"/>
        </w:rPr>
        <w:t>adelante</w:t>
      </w:r>
      <w:r w:rsidR="00B811D7" w:rsidRPr="00182FEE">
        <w:rPr>
          <w:rFonts w:cs="MinionPro-Regular"/>
        </w:rPr>
        <w:t xml:space="preserve">, la Corte considera que dicho estándar es </w:t>
      </w:r>
      <w:r w:rsidR="00B811D7" w:rsidRPr="00182FEE">
        <w:rPr>
          <w:rFonts w:cs="MinionPro-Regular"/>
        </w:rPr>
        <w:lastRenderedPageBreak/>
        <w:t>aplicable a la</w:t>
      </w:r>
      <w:r>
        <w:rPr>
          <w:rFonts w:cs="MinionPro-Regular"/>
        </w:rPr>
        <w:t xml:space="preserve"> violencia</w:t>
      </w:r>
      <w:r w:rsidR="00B811D7" w:rsidRPr="00182FEE">
        <w:rPr>
          <w:rFonts w:cs="MinionPro-Regular"/>
        </w:rPr>
        <w:t xml:space="preserve"> sexual en general. Asimismo, al analizar dichas declaraciones se debe tomar en cuenta que corresponde a un tipo de delito que la víctima no suele denunciar, por el estigma que dicha denuncia conlleva usualmente</w:t>
      </w:r>
      <w:r w:rsidR="00B811D7">
        <w:rPr>
          <w:rStyle w:val="FootnoteReference"/>
        </w:rPr>
        <w:footnoteReference w:id="291"/>
      </w:r>
      <w:r w:rsidR="00B811D7" w:rsidRPr="00182FEE">
        <w:rPr>
          <w:rFonts w:cs="MinionPro-Regular"/>
        </w:rPr>
        <w:t>.</w:t>
      </w:r>
    </w:p>
    <w:p w14:paraId="268853AE" w14:textId="77777777" w:rsidR="00B811D7" w:rsidRDefault="00B811D7" w:rsidP="00B811D7">
      <w:pPr>
        <w:pStyle w:val="ListParagraph"/>
        <w:rPr>
          <w:szCs w:val="20"/>
          <w:highlight w:val="yellow"/>
        </w:rPr>
      </w:pPr>
    </w:p>
    <w:p w14:paraId="56FEFE3F" w14:textId="033AE289" w:rsidR="00B811D7" w:rsidRDefault="00B811D7" w:rsidP="00D6683A">
      <w:pPr>
        <w:numPr>
          <w:ilvl w:val="0"/>
          <w:numId w:val="1"/>
        </w:numPr>
        <w:contextualSpacing/>
        <w:rPr>
          <w:szCs w:val="20"/>
        </w:rPr>
      </w:pPr>
      <w:r w:rsidRPr="00DD0F4D">
        <w:rPr>
          <w:rFonts w:cs="MinionPro-Regular"/>
        </w:rPr>
        <w:t>Adicionalmente, es necesario señalar que la ausencia de señales físicas no implica que no se han producido maltratos, ya que es frecuente que estos actos de violencia contra las personas no dejen marcas ni cicatrices permanentes. Lo mismo es cierto para los casos de violencia y violación sexual, en los cuales no necesariamente se verá reflejada la ocurrencia de los mismo</w:t>
      </w:r>
      <w:r w:rsidR="00D54562">
        <w:rPr>
          <w:rFonts w:cs="MinionPro-Regular"/>
        </w:rPr>
        <w:t>s</w:t>
      </w:r>
      <w:r w:rsidRPr="00DD0F4D">
        <w:rPr>
          <w:rFonts w:cs="MinionPro-Regular"/>
        </w:rPr>
        <w:t xml:space="preserve"> en un examen médico</w:t>
      </w:r>
      <w:r w:rsidRPr="000C6064">
        <w:rPr>
          <w:rStyle w:val="FootnoteReference"/>
        </w:rPr>
        <w:footnoteReference w:id="292"/>
      </w:r>
      <w:r w:rsidRPr="00DD0F4D">
        <w:rPr>
          <w:rFonts w:cs="MinionPro-Regular"/>
        </w:rPr>
        <w:t>.</w:t>
      </w:r>
    </w:p>
    <w:p w14:paraId="0F6C8E08" w14:textId="77777777" w:rsidR="00BE458F" w:rsidRDefault="00BE458F" w:rsidP="00B811D7">
      <w:pPr>
        <w:pStyle w:val="ListParagraph"/>
        <w:rPr>
          <w:szCs w:val="20"/>
          <w:highlight w:val="yellow"/>
          <w:lang w:val="es-GT"/>
        </w:rPr>
      </w:pPr>
    </w:p>
    <w:p w14:paraId="529185E6" w14:textId="77777777" w:rsidR="00B811D7" w:rsidRPr="000C6064" w:rsidRDefault="00B811D7" w:rsidP="00D6683A">
      <w:pPr>
        <w:numPr>
          <w:ilvl w:val="0"/>
          <w:numId w:val="1"/>
        </w:numPr>
        <w:contextualSpacing/>
        <w:rPr>
          <w:szCs w:val="20"/>
        </w:rPr>
      </w:pPr>
      <w:r w:rsidRPr="00AD335C">
        <w:rPr>
          <w:szCs w:val="20"/>
          <w:lang w:val="es-GT"/>
        </w:rPr>
        <w:t xml:space="preserve">Por otra parte, esta </w:t>
      </w:r>
      <w:r w:rsidRPr="00AD335C">
        <w:rPr>
          <w:szCs w:val="20"/>
        </w:rPr>
        <w:t xml:space="preserve">Corte ha señalado que la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w:t>
      </w:r>
      <w:r w:rsidR="000C6064" w:rsidRPr="000C6064">
        <w:rPr>
          <w:szCs w:val="20"/>
        </w:rPr>
        <w:t>situación concreta</w:t>
      </w:r>
      <w:r w:rsidR="000C6064" w:rsidRPr="000C6064">
        <w:rPr>
          <w:szCs w:val="20"/>
          <w:vertAlign w:val="superscript"/>
        </w:rPr>
        <w:footnoteReference w:id="293"/>
      </w:r>
      <w:r w:rsidR="000C6064" w:rsidRPr="000C6064">
        <w:rPr>
          <w:szCs w:val="20"/>
        </w:rPr>
        <w:t xml:space="preserve">. </w:t>
      </w:r>
      <w:r w:rsidR="000C6064" w:rsidRPr="000C6064">
        <w:rPr>
          <w:szCs w:val="20"/>
          <w:lang w:val="es-ES"/>
        </w:rPr>
        <w:t>Es decir, las características personales de una supuesta víctima de tortura o tratos crueles, inhumanos o degradantes, deben ser tomadas en cuenta al momento de determinar si la integridad personal fue vulnerada, ya que tales características pueden cambiar la percepción de la realidad del individuo, y por ende, incrementar el sufrimiento y el sentido de humillación cuando son sometidas a ciertos tratamientos</w:t>
      </w:r>
      <w:r w:rsidR="000C6064" w:rsidRPr="000C6064">
        <w:rPr>
          <w:szCs w:val="20"/>
          <w:vertAlign w:val="superscript"/>
          <w:lang w:val="es-ES"/>
        </w:rPr>
        <w:footnoteReference w:id="294"/>
      </w:r>
      <w:r w:rsidR="000C6064" w:rsidRPr="000C6064">
        <w:rPr>
          <w:szCs w:val="20"/>
          <w:lang w:val="es-ES"/>
        </w:rPr>
        <w:t>.</w:t>
      </w:r>
    </w:p>
    <w:p w14:paraId="33CA9CDA" w14:textId="77777777" w:rsidR="000C6064" w:rsidRPr="00AD335C" w:rsidRDefault="000C6064" w:rsidP="000C6064">
      <w:pPr>
        <w:contextualSpacing/>
        <w:rPr>
          <w:szCs w:val="20"/>
        </w:rPr>
      </w:pPr>
    </w:p>
    <w:p w14:paraId="7EF017EE" w14:textId="15CD9522" w:rsidR="000C6064" w:rsidRDefault="00B811D7" w:rsidP="00B14C55">
      <w:pPr>
        <w:numPr>
          <w:ilvl w:val="0"/>
          <w:numId w:val="1"/>
        </w:numPr>
        <w:contextualSpacing/>
        <w:rPr>
          <w:szCs w:val="20"/>
        </w:rPr>
      </w:pPr>
      <w:r w:rsidRPr="000C6064">
        <w:rPr>
          <w:szCs w:val="20"/>
        </w:rPr>
        <w:t>El Tribunal ha indicado que todo uso de la fuerza que no sea estrictamente necesario por el propio comportamiento de la persona detenida constituye un atentado a la dignidad humana, en violación del artículo 5 de la Convención Americana</w:t>
      </w:r>
      <w:r w:rsidR="000C6064" w:rsidRPr="000C6064">
        <w:rPr>
          <w:szCs w:val="20"/>
          <w:vertAlign w:val="superscript"/>
        </w:rPr>
        <w:footnoteReference w:id="295"/>
      </w:r>
      <w:r w:rsidRPr="000C6064">
        <w:rPr>
          <w:szCs w:val="20"/>
        </w:rPr>
        <w:t>. En el presente caso, el Estado reconoció que L.R.J., C.S.S. y J.F.C. fueron violadas por funcionarios públicos, lo que constituyó una violación a su derecho a la integridad personal (artículo 5.1 de la Convención Americana)</w:t>
      </w:r>
      <w:r w:rsidR="00152D12">
        <w:rPr>
          <w:szCs w:val="20"/>
        </w:rPr>
        <w:t xml:space="preserve"> (</w:t>
      </w:r>
      <w:r w:rsidR="00152D12">
        <w:rPr>
          <w:i/>
          <w:szCs w:val="20"/>
        </w:rPr>
        <w:t xml:space="preserve">supra </w:t>
      </w:r>
      <w:r w:rsidR="00152D12">
        <w:rPr>
          <w:szCs w:val="20"/>
        </w:rPr>
        <w:t xml:space="preserve">párr. </w:t>
      </w:r>
      <w:r w:rsidR="00D54562">
        <w:rPr>
          <w:szCs w:val="20"/>
        </w:rPr>
        <w:t>10</w:t>
      </w:r>
      <w:r w:rsidR="00CC36D9">
        <w:rPr>
          <w:szCs w:val="20"/>
        </w:rPr>
        <w:t>1</w:t>
      </w:r>
      <w:r w:rsidR="00152D12">
        <w:rPr>
          <w:szCs w:val="20"/>
        </w:rPr>
        <w:t>)</w:t>
      </w:r>
      <w:r w:rsidRPr="000C6064">
        <w:rPr>
          <w:szCs w:val="20"/>
        </w:rPr>
        <w:t xml:space="preserve">. </w:t>
      </w:r>
    </w:p>
    <w:p w14:paraId="5BD30344" w14:textId="77777777" w:rsidR="000C6064" w:rsidRDefault="000C6064" w:rsidP="000C6064">
      <w:pPr>
        <w:pStyle w:val="ListParagraph"/>
        <w:rPr>
          <w:szCs w:val="20"/>
        </w:rPr>
      </w:pPr>
    </w:p>
    <w:p w14:paraId="493120A5" w14:textId="117565B9" w:rsidR="00B14C55" w:rsidRPr="000C6064" w:rsidRDefault="00152D12" w:rsidP="00B14C55">
      <w:pPr>
        <w:numPr>
          <w:ilvl w:val="0"/>
          <w:numId w:val="1"/>
        </w:numPr>
        <w:contextualSpacing/>
        <w:rPr>
          <w:szCs w:val="20"/>
        </w:rPr>
      </w:pPr>
      <w:r>
        <w:rPr>
          <w:szCs w:val="20"/>
        </w:rPr>
        <w:t>Asimismo</w:t>
      </w:r>
      <w:r w:rsidR="00B811D7" w:rsidRPr="000C6064">
        <w:rPr>
          <w:szCs w:val="20"/>
        </w:rPr>
        <w:t xml:space="preserve">, </w:t>
      </w:r>
      <w:r w:rsidR="00B14C55" w:rsidRPr="000C6064">
        <w:rPr>
          <w:szCs w:val="20"/>
        </w:rPr>
        <w:t>l</w:t>
      </w:r>
      <w:r w:rsidR="00B14C55" w:rsidRPr="000C6064">
        <w:rPr>
          <w:szCs w:val="20"/>
          <w:lang w:val="es-GT"/>
        </w:rPr>
        <w:t>a jurisprudencia de la Corte ha determinado en numerosos casos que la violación sexual es una forma de tortura</w:t>
      </w:r>
      <w:r w:rsidR="00B14C55" w:rsidRPr="006A7578">
        <w:rPr>
          <w:rStyle w:val="FootnoteReference"/>
          <w:lang w:val="es-GT"/>
        </w:rPr>
        <w:footnoteReference w:id="296"/>
      </w:r>
      <w:r w:rsidR="00B14C55" w:rsidRPr="000C6064">
        <w:rPr>
          <w:szCs w:val="20"/>
          <w:lang w:val="es-GT"/>
        </w:rPr>
        <w:t xml:space="preserve">. </w:t>
      </w:r>
      <w:r w:rsidR="00B14C55" w:rsidRPr="000C6064">
        <w:rPr>
          <w:szCs w:val="20"/>
        </w:rPr>
        <w:t xml:space="preserve">En ese sentido, </w:t>
      </w:r>
      <w:r w:rsidR="00B8568A">
        <w:rPr>
          <w:szCs w:val="20"/>
        </w:rPr>
        <w:t>l</w:t>
      </w:r>
      <w:r w:rsidR="00B14C55" w:rsidRPr="000C6064">
        <w:rPr>
          <w:szCs w:val="20"/>
        </w:rPr>
        <w:t>a obligación de investigar se ve reforzada por lo dispuesto en los artículos 1, 6 y 8 de la Convención Interamericana para Prevenir y Sancionar la Tortura que obligan al Estado a “toma[r] medidas efectivas para prevenir y sancionar la tortura en el ámbito de su jurisdicción”, así como a “prevenir y sancionar […] otros tratos o penas crueles, inhumanos o degradantes”. Además, de acuerdo con lo dispuesto en el artículo 8 de dicha Convención,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p w14:paraId="7CBE24B7" w14:textId="77777777" w:rsidR="00B14C55" w:rsidRPr="006A7578" w:rsidRDefault="00B14C55" w:rsidP="00B14C55">
      <w:pPr>
        <w:contextualSpacing/>
        <w:rPr>
          <w:szCs w:val="20"/>
        </w:rPr>
      </w:pPr>
    </w:p>
    <w:p w14:paraId="25938B53" w14:textId="5FCC33A3" w:rsidR="006A7578" w:rsidRPr="006A7578" w:rsidRDefault="00B14C55" w:rsidP="006A7578">
      <w:pPr>
        <w:numPr>
          <w:ilvl w:val="0"/>
          <w:numId w:val="1"/>
        </w:numPr>
        <w:contextualSpacing/>
        <w:rPr>
          <w:szCs w:val="20"/>
        </w:rPr>
      </w:pPr>
      <w:r w:rsidRPr="006A7578">
        <w:rPr>
          <w:szCs w:val="20"/>
        </w:rPr>
        <w:t xml:space="preserve">Al respecto, es indispensable que el Estado actúe con diligencia para evitar actos de tortura o tratos crueles, inhumanos y degradantes, tomando en cuenta, por otra parte, que la víctima suele abstenerse, por temor, de denunciar los hechos, sobre todo cuando ésta se </w:t>
      </w:r>
      <w:r w:rsidRPr="006A7578">
        <w:rPr>
          <w:szCs w:val="20"/>
        </w:rPr>
        <w:lastRenderedPageBreak/>
        <w:t>encuentra privada de la libertad bajo la custodia del Estado. Asimismo, a las autoridades judiciales corresponde el deber de garantizar los derechos de la persona privada de la libertad, lo que implica la obtención y el aseguramiento de toda prueba que pueda acreditar alegados actos de tortura</w:t>
      </w:r>
      <w:r w:rsidRPr="006A7578">
        <w:rPr>
          <w:szCs w:val="20"/>
          <w:vertAlign w:val="superscript"/>
        </w:rPr>
        <w:footnoteReference w:id="297"/>
      </w:r>
      <w:r w:rsidRPr="006A7578">
        <w:rPr>
          <w:szCs w:val="20"/>
        </w:rPr>
        <w:t xml:space="preserve">. </w:t>
      </w:r>
    </w:p>
    <w:p w14:paraId="2854B8F5" w14:textId="77777777" w:rsidR="006A7578" w:rsidRPr="006A7578" w:rsidRDefault="006A7578" w:rsidP="006A7578">
      <w:pPr>
        <w:pStyle w:val="ListParagraph"/>
        <w:rPr>
          <w:rFonts w:cs="Verdana"/>
          <w:szCs w:val="20"/>
        </w:rPr>
      </w:pPr>
    </w:p>
    <w:p w14:paraId="5548659F" w14:textId="1F66B0BC" w:rsidR="006A7578" w:rsidRPr="000C6064" w:rsidRDefault="006A7578" w:rsidP="006A7578">
      <w:pPr>
        <w:numPr>
          <w:ilvl w:val="0"/>
          <w:numId w:val="1"/>
        </w:numPr>
        <w:contextualSpacing/>
        <w:rPr>
          <w:szCs w:val="20"/>
        </w:rPr>
      </w:pPr>
      <w:r w:rsidRPr="000C6064">
        <w:rPr>
          <w:rFonts w:cs="Verdana"/>
          <w:szCs w:val="20"/>
        </w:rPr>
        <w:t>En casos de violencia contra la mujer, ciertos instrumentos internacionales resultan útiles para precisar y dar contenido a la obligación estatal reforzada de investigarlos con la debida diligencia</w:t>
      </w:r>
      <w:r w:rsidRPr="000C6064">
        <w:rPr>
          <w:rFonts w:cs="Verdana"/>
          <w:szCs w:val="20"/>
          <w:vertAlign w:val="superscript"/>
        </w:rPr>
        <w:footnoteReference w:id="298"/>
      </w:r>
      <w:r w:rsidRPr="000C6064">
        <w:rPr>
          <w:rFonts w:cs="Verdana"/>
          <w:szCs w:val="20"/>
        </w:rPr>
        <w:t xml:space="preserve">. Entre otros, en una investigación penal por violencia sexual es necesario que: </w:t>
      </w:r>
      <w:r w:rsidR="00C7255C" w:rsidRPr="00C7255C">
        <w:rPr>
          <w:rFonts w:cs="Verdana"/>
          <w:szCs w:val="20"/>
        </w:rPr>
        <w:t>i) la declaración de la víctima se realice en un ambiente cómodo y seguro, que le brinde privacidad y confianza; ii) la declaración de la víctima se registre de forma tal que se evite o limite la necesidad de su repetición; iii) se brinde atención médica, sanitaria y psicológica a la víctima, tanto de emergencia como de forma continuada si así se requiere, mediante un protocolo de atención cuyo objetivo sea reducir las consecuencias de la violación; iv) se realice inmediatamente un examen médico y psicológico completo y detallado por personal idóneo y capacitado, en lo posible del sexo que la víctima indique, ofreciéndole que sea acompañada por alguien de su confianza si así lo desea</w:t>
      </w:r>
      <w:r w:rsidR="00C7255C" w:rsidRPr="00C7255C">
        <w:rPr>
          <w:rFonts w:cs="Verdana"/>
          <w:szCs w:val="20"/>
          <w:vertAlign w:val="superscript"/>
        </w:rPr>
        <w:footnoteReference w:id="299"/>
      </w:r>
      <w:r w:rsidR="008C505D">
        <w:rPr>
          <w:rFonts w:cs="Verdana"/>
          <w:szCs w:val="20"/>
        </w:rPr>
        <w:t>;</w:t>
      </w:r>
      <w:r w:rsidR="00C7255C">
        <w:rPr>
          <w:rFonts w:cs="Verdana"/>
          <w:szCs w:val="20"/>
        </w:rPr>
        <w:t xml:space="preserve"> v</w:t>
      </w:r>
      <w:r w:rsidRPr="000C6064">
        <w:rPr>
          <w:rFonts w:cs="Verdana"/>
          <w:szCs w:val="20"/>
        </w:rPr>
        <w:t xml:space="preserve">) se documenten y coordinen los actos investigativos y se maneje diligentemente la prueba, tomando muestras suficientes, realizando estudios para determinar la posible autoría del hecho, asegurando otras pruebas como la ropa de la víctima, investigando de forma inmediata el lugar de los hechos y garantizando la correcta cadena de custodia; </w:t>
      </w:r>
      <w:r w:rsidR="00C7255C">
        <w:rPr>
          <w:rFonts w:cs="Verdana"/>
          <w:szCs w:val="20"/>
        </w:rPr>
        <w:t>v</w:t>
      </w:r>
      <w:r w:rsidRPr="000C6064">
        <w:rPr>
          <w:rFonts w:cs="Verdana"/>
          <w:szCs w:val="20"/>
        </w:rPr>
        <w:t xml:space="preserve">i) se brinde acceso a asistencia jurídica gratuita a la víctima durante todas las etapas del proceso, y </w:t>
      </w:r>
      <w:r w:rsidR="00C7255C">
        <w:rPr>
          <w:rFonts w:cs="Verdana"/>
          <w:szCs w:val="20"/>
        </w:rPr>
        <w:t>vi</w:t>
      </w:r>
      <w:r w:rsidRPr="000C6064">
        <w:rPr>
          <w:rFonts w:cs="Verdana"/>
          <w:szCs w:val="20"/>
        </w:rPr>
        <w:t>i) se brinde atención médica, sanitaria y psicológica a la víctima, tanto de emergencia como de forma continuada si así se requiere, mediante un protocolo de atención cuyo objetivo sea reducir las consecuencias de la violación</w:t>
      </w:r>
      <w:r w:rsidRPr="000C6064">
        <w:rPr>
          <w:rFonts w:cs="Verdana"/>
          <w:szCs w:val="20"/>
          <w:vertAlign w:val="superscript"/>
        </w:rPr>
        <w:footnoteReference w:id="300"/>
      </w:r>
      <w:r w:rsidRPr="000C6064">
        <w:rPr>
          <w:rFonts w:cs="Verdana"/>
          <w:szCs w:val="20"/>
        </w:rPr>
        <w:t xml:space="preserve">. </w:t>
      </w:r>
      <w:r w:rsidRPr="000C6064">
        <w:rPr>
          <w:rFonts w:cs="Verdana"/>
          <w:bCs/>
          <w:szCs w:val="20"/>
        </w:rPr>
        <w:t>Asimismo, en casos de supuestos actos de violencia contra la mujer, la investigación penal debe incluir una perspectiva de género y realizarse por funcionarios capacitados en casos similares y en atención a víctimas de discriminación y violencia por razón de género</w:t>
      </w:r>
      <w:r w:rsidRPr="000C6064">
        <w:rPr>
          <w:rFonts w:cs="Verdana"/>
          <w:szCs w:val="20"/>
          <w:vertAlign w:val="superscript"/>
        </w:rPr>
        <w:footnoteReference w:id="301"/>
      </w:r>
      <w:r w:rsidRPr="000C6064">
        <w:rPr>
          <w:rFonts w:cs="Verdana"/>
          <w:bCs/>
          <w:szCs w:val="20"/>
        </w:rPr>
        <w:t>.</w:t>
      </w:r>
      <w:r w:rsidR="00152D12">
        <w:rPr>
          <w:rFonts w:cs="Verdana"/>
          <w:bCs/>
          <w:szCs w:val="20"/>
        </w:rPr>
        <w:t xml:space="preserve"> </w:t>
      </w:r>
    </w:p>
    <w:p w14:paraId="556F5DB3" w14:textId="77777777" w:rsidR="006A7578" w:rsidRDefault="006A7578" w:rsidP="006A7578">
      <w:pPr>
        <w:contextualSpacing/>
        <w:rPr>
          <w:rFonts w:cs="Verdana"/>
          <w:szCs w:val="20"/>
        </w:rPr>
      </w:pPr>
    </w:p>
    <w:p w14:paraId="2C6A8D2C" w14:textId="5FE2944F" w:rsidR="00FF5B4D" w:rsidRPr="001E4575" w:rsidRDefault="00274545" w:rsidP="00FF5B4D">
      <w:pPr>
        <w:contextualSpacing/>
        <w:rPr>
          <w:b/>
          <w:i/>
          <w:szCs w:val="20"/>
        </w:rPr>
      </w:pPr>
      <w:r w:rsidRPr="001E4575">
        <w:rPr>
          <w:b/>
          <w:i/>
          <w:spacing w:val="-3"/>
          <w:szCs w:val="20"/>
          <w:lang w:val="es-ES"/>
        </w:rPr>
        <w:t>B.</w:t>
      </w:r>
      <w:r w:rsidR="001E4575" w:rsidRPr="001E4575">
        <w:rPr>
          <w:b/>
          <w:i/>
          <w:spacing w:val="-3"/>
          <w:szCs w:val="20"/>
          <w:lang w:val="es-ES"/>
        </w:rPr>
        <w:t>6</w:t>
      </w:r>
      <w:r w:rsidR="00CE18D4">
        <w:rPr>
          <w:b/>
          <w:i/>
          <w:spacing w:val="-3"/>
          <w:szCs w:val="20"/>
          <w:lang w:val="es-ES"/>
        </w:rPr>
        <w:t>.</w:t>
      </w:r>
      <w:r w:rsidR="00FF5B4D" w:rsidRPr="001E4575">
        <w:rPr>
          <w:b/>
          <w:i/>
          <w:spacing w:val="-3"/>
          <w:szCs w:val="20"/>
          <w:lang w:val="es-ES"/>
        </w:rPr>
        <w:t xml:space="preserve"> </w:t>
      </w:r>
      <w:r w:rsidR="002A031A">
        <w:rPr>
          <w:b/>
          <w:i/>
          <w:spacing w:val="-3"/>
          <w:szCs w:val="20"/>
          <w:lang w:val="es-ES"/>
        </w:rPr>
        <w:tab/>
      </w:r>
      <w:r w:rsidR="00FF5B4D" w:rsidRPr="001E4575">
        <w:rPr>
          <w:b/>
          <w:i/>
          <w:spacing w:val="-3"/>
          <w:szCs w:val="20"/>
          <w:lang w:val="es-ES"/>
        </w:rPr>
        <w:t xml:space="preserve">La debida diligencia y la protección judicial respecto </w:t>
      </w:r>
      <w:r w:rsidR="001E4575">
        <w:rPr>
          <w:b/>
          <w:i/>
          <w:spacing w:val="-3"/>
          <w:szCs w:val="20"/>
          <w:lang w:val="es-ES"/>
        </w:rPr>
        <w:t>de</w:t>
      </w:r>
      <w:r w:rsidR="001E4575" w:rsidRPr="00FF5B4D">
        <w:rPr>
          <w:rFonts w:cs="Arial"/>
          <w:noProof/>
          <w:szCs w:val="20"/>
          <w:lang w:val="es-ES_tradnl"/>
        </w:rPr>
        <w:t xml:space="preserve"> </w:t>
      </w:r>
      <w:r w:rsidR="001E4575" w:rsidRPr="001E4575">
        <w:rPr>
          <w:rFonts w:cs="Arial"/>
          <w:b/>
          <w:i/>
          <w:noProof/>
          <w:szCs w:val="20"/>
          <w:lang w:val="es-ES_tradnl"/>
        </w:rPr>
        <w:t>l</w:t>
      </w:r>
      <w:r w:rsidR="006C5840">
        <w:rPr>
          <w:rFonts w:cs="Arial"/>
          <w:b/>
          <w:i/>
          <w:noProof/>
          <w:szCs w:val="20"/>
          <w:lang w:val="es-ES_tradnl"/>
        </w:rPr>
        <w:t>a</w:t>
      </w:r>
      <w:r w:rsidR="001E4575" w:rsidRPr="001E4575">
        <w:rPr>
          <w:rFonts w:cs="Arial"/>
          <w:b/>
          <w:i/>
          <w:noProof/>
          <w:szCs w:val="20"/>
          <w:lang w:val="es-ES_tradnl"/>
        </w:rPr>
        <w:t xml:space="preserve"> violencia sexual contra </w:t>
      </w:r>
      <w:r w:rsidR="001E4575" w:rsidRPr="001E4575">
        <w:rPr>
          <w:rFonts w:eastAsiaTheme="minorEastAsia"/>
          <w:b/>
          <w:i/>
          <w:szCs w:val="20"/>
          <w:lang w:val="es-ES" w:eastAsia="zh-CN"/>
        </w:rPr>
        <w:t>L.R.J., C.S.S. y J.F.C.</w:t>
      </w:r>
    </w:p>
    <w:p w14:paraId="0EB68F1A" w14:textId="77777777" w:rsidR="001B5F5C" w:rsidRPr="00FF5B4D" w:rsidRDefault="001B5F5C" w:rsidP="00B811D7">
      <w:pPr>
        <w:pStyle w:val="ListParagraph"/>
        <w:rPr>
          <w:szCs w:val="20"/>
          <w:lang w:val="es-ES"/>
        </w:rPr>
      </w:pPr>
    </w:p>
    <w:p w14:paraId="0C9CA22E" w14:textId="016072B0" w:rsidR="002F3C39" w:rsidRPr="00BA077D" w:rsidRDefault="002F3C39" w:rsidP="002F3C39">
      <w:pPr>
        <w:numPr>
          <w:ilvl w:val="0"/>
          <w:numId w:val="1"/>
        </w:numPr>
        <w:contextualSpacing/>
        <w:rPr>
          <w:szCs w:val="20"/>
        </w:rPr>
      </w:pPr>
      <w:r w:rsidRPr="00D05CBB">
        <w:t xml:space="preserve">La Corte reconoce que la violación sexual de una </w:t>
      </w:r>
      <w:r>
        <w:t xml:space="preserve">mujer que se encuentra </w:t>
      </w:r>
      <w:r w:rsidRPr="00D05CBB">
        <w:t>detenida</w:t>
      </w:r>
      <w:r>
        <w:t xml:space="preserve"> o bajo la custodia de</w:t>
      </w:r>
      <w:r w:rsidRPr="00D05CBB">
        <w:t xml:space="preserve"> un agente del Estado es un acto especialmente grave y reprobable, tomando en cuenta la vulnerabilidad de la víctima y el abuso de poder que despliega el agente. </w:t>
      </w:r>
      <w:r w:rsidRPr="00EF095D">
        <w:t>Asimismo, la violación sexual es una experiencia sumamente traumática que puede tener severas consecuencias y causa gran daño físico y psicológico</w:t>
      </w:r>
      <w:r w:rsidR="008C505D">
        <w:t>,</w:t>
      </w:r>
      <w:r w:rsidRPr="00EF095D">
        <w:t xml:space="preserve"> que deja a la víctima “humillada física y emocionalmente”, situación difícilmente superable por el paso del tiempo, a diferencia de lo que acontece en otras experiencias traumáticas</w:t>
      </w:r>
      <w:r>
        <w:rPr>
          <w:rStyle w:val="FootnoteReference"/>
        </w:rPr>
        <w:footnoteReference w:id="302"/>
      </w:r>
      <w:r w:rsidRPr="00EF095D">
        <w:t>.</w:t>
      </w:r>
      <w:r>
        <w:t xml:space="preserve"> </w:t>
      </w:r>
      <w:r w:rsidR="008C505D">
        <w:t>En este caso e</w:t>
      </w:r>
      <w:r w:rsidRPr="00AD0CDF">
        <w:t>l propio Est</w:t>
      </w:r>
      <w:r w:rsidR="00FC044A">
        <w:t>ado reconoció la gravedad de la</w:t>
      </w:r>
      <w:r w:rsidRPr="00AD0CDF">
        <w:t xml:space="preserve"> violaci</w:t>
      </w:r>
      <w:r w:rsidR="00FC044A">
        <w:t>ón sexual</w:t>
      </w:r>
      <w:r w:rsidRPr="00AD0CDF">
        <w:t xml:space="preserve"> durante la audiencia pública del presente caso y la calificó como “repugnante”.</w:t>
      </w:r>
      <w:r>
        <w:t xml:space="preserve"> </w:t>
      </w:r>
    </w:p>
    <w:p w14:paraId="700667FE" w14:textId="77777777" w:rsidR="002F3C39" w:rsidRDefault="002F3C39" w:rsidP="002F3C39">
      <w:pPr>
        <w:contextualSpacing/>
        <w:rPr>
          <w:szCs w:val="20"/>
        </w:rPr>
      </w:pPr>
    </w:p>
    <w:p w14:paraId="40D07EB3" w14:textId="5FE0F9E3" w:rsidR="00C2030E" w:rsidRDefault="00B811D7" w:rsidP="002F3C39">
      <w:pPr>
        <w:numPr>
          <w:ilvl w:val="0"/>
          <w:numId w:val="1"/>
        </w:numPr>
        <w:contextualSpacing/>
        <w:rPr>
          <w:szCs w:val="20"/>
        </w:rPr>
      </w:pPr>
      <w:r>
        <w:rPr>
          <w:szCs w:val="20"/>
        </w:rPr>
        <w:t xml:space="preserve">Respecto de </w:t>
      </w:r>
      <w:r w:rsidRPr="00DE4D64">
        <w:rPr>
          <w:lang w:val="es-EC"/>
        </w:rPr>
        <w:t>J.F.C, C.S.S. y L.R.J.</w:t>
      </w:r>
      <w:r>
        <w:rPr>
          <w:lang w:val="es-EC"/>
        </w:rPr>
        <w:t xml:space="preserve">, la Corte destaca que las autoridades no tomaron medidas para investigar de manera diligente la violencia sexual cometida en su contra. </w:t>
      </w:r>
      <w:r>
        <w:rPr>
          <w:rFonts w:cs="Verdana"/>
          <w:szCs w:val="20"/>
        </w:rPr>
        <w:t xml:space="preserve">Sus declaraciones no solo no han sido tomadas en </w:t>
      </w:r>
      <w:r w:rsidRPr="00020677">
        <w:rPr>
          <w:rFonts w:cs="Verdana"/>
          <w:szCs w:val="20"/>
        </w:rPr>
        <w:t>un ambiente cómodo y seguro, que le</w:t>
      </w:r>
      <w:r>
        <w:rPr>
          <w:rFonts w:cs="Verdana"/>
          <w:szCs w:val="20"/>
        </w:rPr>
        <w:t>s</w:t>
      </w:r>
      <w:r w:rsidR="00FC044A">
        <w:rPr>
          <w:rFonts w:cs="Verdana"/>
          <w:szCs w:val="20"/>
        </w:rPr>
        <w:t xml:space="preserve"> brindara</w:t>
      </w:r>
      <w:r w:rsidRPr="00020677">
        <w:rPr>
          <w:rFonts w:cs="Verdana"/>
          <w:szCs w:val="20"/>
        </w:rPr>
        <w:t xml:space="preserve"> privacidad y confianza</w:t>
      </w:r>
      <w:r>
        <w:rPr>
          <w:rFonts w:cs="Verdana"/>
          <w:szCs w:val="20"/>
        </w:rPr>
        <w:t>, sino que han sentido temor y angustia al rendir sus testimonios</w:t>
      </w:r>
      <w:r w:rsidR="001245D4">
        <w:rPr>
          <w:rFonts w:cs="Verdana"/>
          <w:szCs w:val="20"/>
        </w:rPr>
        <w:t>,</w:t>
      </w:r>
      <w:r>
        <w:rPr>
          <w:rFonts w:cs="Verdana"/>
          <w:szCs w:val="20"/>
        </w:rPr>
        <w:t xml:space="preserve"> puesto que no se han tomado las medidas necesarias para su protección. Además, ninguna de las tres ha recibido la</w:t>
      </w:r>
      <w:r w:rsidRPr="00020677">
        <w:rPr>
          <w:rFonts w:cs="Verdana"/>
          <w:szCs w:val="20"/>
        </w:rPr>
        <w:t xml:space="preserve"> atención médica, sanitaria y psicológica </w:t>
      </w:r>
      <w:r>
        <w:rPr>
          <w:rFonts w:cs="Verdana"/>
          <w:szCs w:val="20"/>
        </w:rPr>
        <w:t>necesaria después de la violencia sexual que sufrieron</w:t>
      </w:r>
      <w:r w:rsidRPr="00020677">
        <w:rPr>
          <w:rFonts w:cs="Verdana"/>
          <w:szCs w:val="20"/>
        </w:rPr>
        <w:t xml:space="preserve">; </w:t>
      </w:r>
      <w:r>
        <w:rPr>
          <w:rFonts w:cs="Verdana"/>
          <w:szCs w:val="20"/>
        </w:rPr>
        <w:t>no se les ha realizado un</w:t>
      </w:r>
      <w:r w:rsidRPr="00020677">
        <w:rPr>
          <w:rFonts w:cs="Verdana"/>
          <w:szCs w:val="20"/>
        </w:rPr>
        <w:t xml:space="preserve"> examen médico y psicológico </w:t>
      </w:r>
      <w:r>
        <w:rPr>
          <w:rFonts w:cs="Verdana"/>
          <w:szCs w:val="20"/>
        </w:rPr>
        <w:t>adecuado</w:t>
      </w:r>
      <w:r w:rsidRPr="00020677">
        <w:rPr>
          <w:rFonts w:cs="Verdana"/>
          <w:szCs w:val="20"/>
        </w:rPr>
        <w:t>;</w:t>
      </w:r>
      <w:r>
        <w:rPr>
          <w:rFonts w:cs="Verdana"/>
          <w:szCs w:val="20"/>
        </w:rPr>
        <w:t xml:space="preserve"> han podido intervenir en el proceso únicamente en calidad de testigos y no así de víctimas de violencia sexual, y no han recibido ninguna reparación por la violencia sexual que sufrieron a manos de agentes estatales.</w:t>
      </w:r>
      <w:r w:rsidRPr="00020677">
        <w:rPr>
          <w:rFonts w:cs="Verdana"/>
          <w:szCs w:val="20"/>
        </w:rPr>
        <w:t xml:space="preserve"> </w:t>
      </w:r>
      <w:r w:rsidRPr="00AD0CDF">
        <w:rPr>
          <w:rFonts w:cs="Verdana"/>
          <w:szCs w:val="20"/>
        </w:rPr>
        <w:t xml:space="preserve">Aunque </w:t>
      </w:r>
      <w:r w:rsidR="00BD734D">
        <w:rPr>
          <w:rFonts w:cs="Verdana"/>
          <w:szCs w:val="20"/>
        </w:rPr>
        <w:t xml:space="preserve">la mayoría de </w:t>
      </w:r>
      <w:r w:rsidRPr="00AD0CDF">
        <w:rPr>
          <w:rFonts w:cs="Verdana"/>
          <w:szCs w:val="20"/>
        </w:rPr>
        <w:t>las anteriores fallas tuvieron lugar antes del inicio de la competencia de la Corte respecto de Brasil, el Tribunal considera que el Estado no tomó ninguna medida a partir de</w:t>
      </w:r>
      <w:r w:rsidR="00053864">
        <w:rPr>
          <w:rFonts w:cs="Verdana"/>
          <w:szCs w:val="20"/>
        </w:rPr>
        <w:t>l</w:t>
      </w:r>
      <w:r w:rsidRPr="00AD0CDF">
        <w:rPr>
          <w:rFonts w:cs="Verdana"/>
          <w:szCs w:val="20"/>
        </w:rPr>
        <w:t xml:space="preserve"> 10 de diciembre de 1998 en el sentido de corregir, mitigar o reparar esas </w:t>
      </w:r>
      <w:r w:rsidR="00053864">
        <w:rPr>
          <w:rFonts w:cs="Verdana"/>
          <w:szCs w:val="20"/>
        </w:rPr>
        <w:t>acciones</w:t>
      </w:r>
      <w:r w:rsidR="00053864" w:rsidRPr="00AD0CDF">
        <w:rPr>
          <w:rFonts w:cs="Verdana"/>
          <w:szCs w:val="20"/>
        </w:rPr>
        <w:t xml:space="preserve"> </w:t>
      </w:r>
      <w:r w:rsidRPr="00AD0CDF">
        <w:rPr>
          <w:rFonts w:cs="Verdana"/>
          <w:szCs w:val="20"/>
        </w:rPr>
        <w:t>contrarias a la investigación de los hechos y conducir, a partir de entonces, una investigación diligente, seria</w:t>
      </w:r>
      <w:r w:rsidR="006938BF">
        <w:rPr>
          <w:rFonts w:cs="Verdana"/>
          <w:szCs w:val="20"/>
        </w:rPr>
        <w:t xml:space="preserve"> e</w:t>
      </w:r>
      <w:r w:rsidRPr="00AD0CDF">
        <w:rPr>
          <w:rFonts w:cs="Verdana"/>
          <w:szCs w:val="20"/>
        </w:rPr>
        <w:t xml:space="preserve"> imparcial orientada a la determinación de las responsabilidades correspondientes</w:t>
      </w:r>
      <w:r w:rsidR="00BD734D">
        <w:rPr>
          <w:rFonts w:cs="Verdana"/>
          <w:szCs w:val="20"/>
        </w:rPr>
        <w:t>, de acuerdo a los estándares reseñados en la presente Sentencia (</w:t>
      </w:r>
      <w:r w:rsidR="00BD734D">
        <w:rPr>
          <w:rFonts w:cs="Verdana"/>
          <w:i/>
          <w:szCs w:val="20"/>
        </w:rPr>
        <w:t xml:space="preserve">supra </w:t>
      </w:r>
      <w:proofErr w:type="spellStart"/>
      <w:r w:rsidR="00BD734D">
        <w:rPr>
          <w:rFonts w:cs="Verdana"/>
          <w:szCs w:val="20"/>
        </w:rPr>
        <w:t>párrs</w:t>
      </w:r>
      <w:proofErr w:type="spellEnd"/>
      <w:r w:rsidR="00BD734D">
        <w:rPr>
          <w:rFonts w:cs="Verdana"/>
          <w:szCs w:val="20"/>
        </w:rPr>
        <w:t xml:space="preserve">. </w:t>
      </w:r>
      <w:r w:rsidR="00F876B4">
        <w:rPr>
          <w:rFonts w:cs="Verdana"/>
          <w:szCs w:val="20"/>
        </w:rPr>
        <w:t>24</w:t>
      </w:r>
      <w:r w:rsidR="00CC36D9">
        <w:rPr>
          <w:rFonts w:cs="Verdana"/>
          <w:szCs w:val="20"/>
        </w:rPr>
        <w:t>3</w:t>
      </w:r>
      <w:r w:rsidR="00BD734D">
        <w:rPr>
          <w:rFonts w:cs="Verdana"/>
          <w:szCs w:val="20"/>
        </w:rPr>
        <w:t xml:space="preserve"> a </w:t>
      </w:r>
      <w:r w:rsidR="00F876B4">
        <w:rPr>
          <w:rFonts w:cs="Verdana"/>
          <w:szCs w:val="20"/>
        </w:rPr>
        <w:t>25</w:t>
      </w:r>
      <w:r w:rsidR="00CC36D9">
        <w:rPr>
          <w:rFonts w:cs="Verdana"/>
          <w:szCs w:val="20"/>
        </w:rPr>
        <w:t>4</w:t>
      </w:r>
      <w:r w:rsidR="00BD734D">
        <w:rPr>
          <w:rFonts w:cs="Verdana"/>
          <w:szCs w:val="20"/>
        </w:rPr>
        <w:t>)</w:t>
      </w:r>
      <w:r w:rsidRPr="00AD0CDF">
        <w:rPr>
          <w:rFonts w:cs="Verdana"/>
          <w:szCs w:val="20"/>
        </w:rPr>
        <w:t>.</w:t>
      </w:r>
      <w:r>
        <w:rPr>
          <w:rFonts w:cs="Verdana"/>
          <w:szCs w:val="20"/>
        </w:rPr>
        <w:t xml:space="preserve"> En particular, es notable que la reapertura de la investigación realizada en 2013 </w:t>
      </w:r>
      <w:r w:rsidR="00790363">
        <w:rPr>
          <w:rFonts w:cs="Verdana"/>
          <w:szCs w:val="20"/>
        </w:rPr>
        <w:t xml:space="preserve">no consideró </w:t>
      </w:r>
      <w:r>
        <w:rPr>
          <w:rFonts w:cs="Verdana"/>
          <w:szCs w:val="20"/>
        </w:rPr>
        <w:t>el delito de violación sexual en contra de L.R.J., C.S.S. y J.F.C.</w:t>
      </w:r>
      <w:r w:rsidR="00053864">
        <w:rPr>
          <w:rFonts w:cs="Verdana"/>
          <w:szCs w:val="20"/>
        </w:rPr>
        <w:t>,</w:t>
      </w:r>
      <w:r w:rsidR="00790363">
        <w:rPr>
          <w:rFonts w:cs="Verdana"/>
          <w:szCs w:val="20"/>
        </w:rPr>
        <w:t xml:space="preserve"> y únicamente </w:t>
      </w:r>
      <w:r w:rsidR="00053864">
        <w:rPr>
          <w:rFonts w:cs="Verdana"/>
          <w:szCs w:val="20"/>
        </w:rPr>
        <w:t xml:space="preserve">valoró </w:t>
      </w:r>
      <w:r w:rsidR="00790363">
        <w:rPr>
          <w:rFonts w:cs="Verdana"/>
          <w:szCs w:val="20"/>
        </w:rPr>
        <w:t xml:space="preserve">los 13 homicidios. En ese sentido, a pesar de describir los testimonios de las tres víctimas de violación sexual y detallar su colaboración con las investigaciones realizadas en la década de 1990, así como las evidencias </w:t>
      </w:r>
      <w:r w:rsidR="002F3C39">
        <w:rPr>
          <w:rFonts w:cs="Verdana"/>
          <w:szCs w:val="20"/>
        </w:rPr>
        <w:t xml:space="preserve">de los delitos y la identificación de sus autores, </w:t>
      </w:r>
      <w:r w:rsidR="00790363">
        <w:rPr>
          <w:rFonts w:cs="Verdana"/>
          <w:szCs w:val="20"/>
        </w:rPr>
        <w:t xml:space="preserve">la reapertura de la investigación no consideró las violaciones sexuales como posibles casos de tortura y </w:t>
      </w:r>
      <w:r w:rsidR="002F3C39">
        <w:rPr>
          <w:rFonts w:cs="Verdana"/>
          <w:szCs w:val="20"/>
        </w:rPr>
        <w:t>no se inició un proceso penal al respecto</w:t>
      </w:r>
      <w:r w:rsidR="00790363">
        <w:rPr>
          <w:rFonts w:cs="Verdana"/>
          <w:szCs w:val="20"/>
        </w:rPr>
        <w:t xml:space="preserve">.  </w:t>
      </w:r>
    </w:p>
    <w:p w14:paraId="19996395" w14:textId="77777777" w:rsidR="00C2030E" w:rsidRDefault="00C2030E" w:rsidP="00C2030E">
      <w:pPr>
        <w:contextualSpacing/>
        <w:rPr>
          <w:szCs w:val="20"/>
        </w:rPr>
      </w:pPr>
    </w:p>
    <w:p w14:paraId="2C8E1AB4" w14:textId="605B0B6D" w:rsidR="00C2030E" w:rsidRDefault="00053864" w:rsidP="002F3C39">
      <w:pPr>
        <w:numPr>
          <w:ilvl w:val="0"/>
          <w:numId w:val="1"/>
        </w:numPr>
        <w:contextualSpacing/>
        <w:rPr>
          <w:lang w:val="es-CO"/>
        </w:rPr>
      </w:pPr>
      <w:r>
        <w:rPr>
          <w:lang w:val="es-CO"/>
        </w:rPr>
        <w:t xml:space="preserve">La Corte destaca que </w:t>
      </w:r>
      <w:r w:rsidR="00C2030E" w:rsidRPr="00C2030E">
        <w:rPr>
          <w:lang w:val="es-CO"/>
        </w:rPr>
        <w:t xml:space="preserve">L.R.J., C.S.S. y J.F.C. </w:t>
      </w:r>
      <w:r w:rsidR="002F3C39" w:rsidRPr="00C2030E">
        <w:rPr>
          <w:lang w:val="es-CO"/>
        </w:rPr>
        <w:t>habían identificado a sus agresores</w:t>
      </w:r>
      <w:r w:rsidR="00C2030E" w:rsidRPr="00C2030E">
        <w:rPr>
          <w:lang w:val="es-CO"/>
        </w:rPr>
        <w:t xml:space="preserve">, pero ninguna investigación fue realizada respecto a los delitos de que fueron víctimas. Han pasado 22 </w:t>
      </w:r>
      <w:r w:rsidR="006938BF">
        <w:rPr>
          <w:lang w:val="es-CO"/>
        </w:rPr>
        <w:t xml:space="preserve">años </w:t>
      </w:r>
      <w:r w:rsidR="00C2030E" w:rsidRPr="00C2030E">
        <w:rPr>
          <w:lang w:val="es-CO"/>
        </w:rPr>
        <w:t xml:space="preserve">desde la ocurrencia de los hechos y ningún procedimiento iniciado por el Estado se dedicó a investigar las violaciones sexuales. </w:t>
      </w:r>
      <w:r>
        <w:rPr>
          <w:lang w:val="es-CO"/>
        </w:rPr>
        <w:t>T</w:t>
      </w:r>
      <w:r w:rsidR="00C2030E" w:rsidRPr="00C2030E">
        <w:rPr>
          <w:lang w:val="es-CO"/>
        </w:rPr>
        <w:t xml:space="preserve">odas las veces en que participaron de los procedimientos, </w:t>
      </w:r>
      <w:r w:rsidR="002F3C39" w:rsidRPr="00C2030E">
        <w:rPr>
          <w:lang w:val="es-CO"/>
        </w:rPr>
        <w:t xml:space="preserve">L.R.J., C.S.S. y J.F.C. </w:t>
      </w:r>
      <w:r w:rsidR="00C2030E">
        <w:rPr>
          <w:lang w:val="es-CO"/>
        </w:rPr>
        <w:t xml:space="preserve">declararon como testigos y no como víctimas de un delito </w:t>
      </w:r>
      <w:r>
        <w:rPr>
          <w:lang w:val="es-CO"/>
        </w:rPr>
        <w:t xml:space="preserve">especialmente grave </w:t>
      </w:r>
      <w:r w:rsidR="00C2030E">
        <w:rPr>
          <w:lang w:val="es-CO"/>
        </w:rPr>
        <w:t xml:space="preserve">como la violación sexual a manos de agentes del Estado. </w:t>
      </w:r>
    </w:p>
    <w:p w14:paraId="62A3417B" w14:textId="77777777" w:rsidR="00B31FF4" w:rsidRDefault="00B31FF4" w:rsidP="00C2030E">
      <w:pPr>
        <w:pStyle w:val="ListParagraph"/>
        <w:rPr>
          <w:b/>
        </w:rPr>
      </w:pPr>
    </w:p>
    <w:p w14:paraId="1666C8AB" w14:textId="54DF686F" w:rsidR="002F3C39" w:rsidRPr="00B31FF4" w:rsidRDefault="00C2030E" w:rsidP="00B31FF4">
      <w:pPr>
        <w:numPr>
          <w:ilvl w:val="0"/>
          <w:numId w:val="1"/>
        </w:numPr>
        <w:contextualSpacing/>
      </w:pPr>
      <w:r w:rsidRPr="00B31FF4">
        <w:t>La Corte considera que</w:t>
      </w:r>
      <w:r w:rsidR="001245D4">
        <w:t>,</w:t>
      </w:r>
      <w:r w:rsidRPr="00B31FF4">
        <w:t xml:space="preserve"> </w:t>
      </w:r>
      <w:r w:rsidR="00053864">
        <w:t xml:space="preserve">derivada de </w:t>
      </w:r>
      <w:r w:rsidRPr="00B31FF4">
        <w:t xml:space="preserve">la completa falta de actuación estatal respecto a las violaciones sexuales y posibles actos de tortura en contra de </w:t>
      </w:r>
      <w:r w:rsidRPr="00B31FF4">
        <w:rPr>
          <w:lang w:val="es-CO"/>
        </w:rPr>
        <w:t xml:space="preserve">L.R.J., C.S.S. y J.F.C., </w:t>
      </w:r>
      <w:r w:rsidR="002F3C39" w:rsidRPr="00B31FF4">
        <w:rPr>
          <w:lang w:val="es-ES"/>
        </w:rPr>
        <w:t xml:space="preserve">el Estado </w:t>
      </w:r>
      <w:r w:rsidRPr="00B31FF4">
        <w:rPr>
          <w:lang w:val="es-ES"/>
        </w:rPr>
        <w:t xml:space="preserve">violó </w:t>
      </w:r>
      <w:r w:rsidR="002F3C39" w:rsidRPr="00B31FF4">
        <w:rPr>
          <w:lang w:val="es-ES"/>
        </w:rPr>
        <w:t xml:space="preserve">el artículo 8.1 de la Convención Americana sobre Derechos Humanos, en relación con el artículo 1.1 del mismo instrumento, </w:t>
      </w:r>
      <w:r w:rsidRPr="00B31FF4">
        <w:rPr>
          <w:lang w:val="es-ES"/>
        </w:rPr>
        <w:t xml:space="preserve">y </w:t>
      </w:r>
      <w:r w:rsidR="002F3C39" w:rsidRPr="00B31FF4">
        <w:rPr>
          <w:lang w:val="es-CO"/>
        </w:rPr>
        <w:t>los artículos 1, 6 y 8 de la Convención Interamericana para Prevenir y Sancionar la Tortura, así como el artículo 7 de la Convención</w:t>
      </w:r>
      <w:r w:rsidR="00582327">
        <w:rPr>
          <w:lang w:val="es-CO"/>
        </w:rPr>
        <w:t xml:space="preserve"> Belém </w:t>
      </w:r>
      <w:r w:rsidR="002F3C39" w:rsidRPr="00B31FF4">
        <w:rPr>
          <w:lang w:val="es-CO"/>
        </w:rPr>
        <w:t>do Pará</w:t>
      </w:r>
      <w:r w:rsidRPr="00B31FF4">
        <w:rPr>
          <w:lang w:val="es-CO"/>
        </w:rPr>
        <w:t>, en perjuicio de L.R.J., C.S.S. y J.F.C.</w:t>
      </w:r>
      <w:r w:rsidR="002F3C39" w:rsidRPr="00B31FF4">
        <w:rPr>
          <w:lang w:val="es-CO"/>
        </w:rPr>
        <w:t xml:space="preserve">. </w:t>
      </w:r>
    </w:p>
    <w:p w14:paraId="002D039E" w14:textId="77777777" w:rsidR="002F605F" w:rsidRDefault="002F605F" w:rsidP="00B31FF4">
      <w:pPr>
        <w:pStyle w:val="ListParagraph"/>
        <w:ind w:left="0"/>
        <w:rPr>
          <w:b/>
        </w:rPr>
      </w:pPr>
    </w:p>
    <w:p w14:paraId="7A7B4F4D" w14:textId="0A602EBE" w:rsidR="00B31FF4" w:rsidRPr="007F1355" w:rsidRDefault="006938BF" w:rsidP="00B31FF4">
      <w:pPr>
        <w:pStyle w:val="ListParagraph"/>
        <w:numPr>
          <w:ilvl w:val="0"/>
          <w:numId w:val="1"/>
        </w:numPr>
        <w:contextualSpacing w:val="0"/>
        <w:rPr>
          <w:rFonts w:cs="Arial"/>
          <w:noProof/>
          <w:szCs w:val="20"/>
        </w:rPr>
      </w:pPr>
      <w:r>
        <w:t xml:space="preserve">Asimismo, </w:t>
      </w:r>
      <w:r w:rsidR="00A53F54">
        <w:t>l</w:t>
      </w:r>
      <w:r w:rsidR="007F1355">
        <w:t xml:space="preserve">a situación reseñada anteriormente </w:t>
      </w:r>
      <w:r w:rsidR="00B31FF4" w:rsidRPr="0070691D">
        <w:t xml:space="preserve">se tradujo en una </w:t>
      </w:r>
      <w:r w:rsidR="007F1355">
        <w:t xml:space="preserve">completa </w:t>
      </w:r>
      <w:r w:rsidR="00B31FF4" w:rsidRPr="0070691D">
        <w:t xml:space="preserve">denegación de justicia en perjuicio de las víctimas, pues no fue posible garantizarles, </w:t>
      </w:r>
      <w:r w:rsidR="00B31FF4" w:rsidRPr="0070691D">
        <w:lastRenderedPageBreak/>
        <w:t xml:space="preserve">material y jurídicamente, la protección judicial en el presente caso. El Estado no proveyó a las víctimas de un recurso efectivo a través de las autoridades competentes, que tutelara sus derechos contra los actos que </w:t>
      </w:r>
      <w:r w:rsidR="007F1355">
        <w:t xml:space="preserve">los </w:t>
      </w:r>
      <w:r w:rsidR="00B31FF4" w:rsidRPr="0070691D">
        <w:t>vulneraron</w:t>
      </w:r>
      <w:r w:rsidR="007F1355">
        <w:t xml:space="preserve">, lo que </w:t>
      </w:r>
      <w:r w:rsidR="00053864">
        <w:t xml:space="preserve">provocó </w:t>
      </w:r>
      <w:r w:rsidR="007F1355">
        <w:t>que los hechos permanezcan en la impunidad hasta la actualidad</w:t>
      </w:r>
      <w:r w:rsidR="00B31FF4" w:rsidRPr="0070691D">
        <w:t>.</w:t>
      </w:r>
      <w:r w:rsidR="00B31FF4">
        <w:t xml:space="preserve"> </w:t>
      </w:r>
      <w:r w:rsidR="00B31FF4" w:rsidRPr="007F1355">
        <w:rPr>
          <w:szCs w:val="20"/>
          <w:lang w:val="es-ES"/>
        </w:rPr>
        <w:t xml:space="preserve">Por todo lo anterior, la Corte concluye que el Estado vulneró el derecho a la protección judicial, previsto en el artículo 25 de la Convención Americana sobre Derechos Humanos, en relación con </w:t>
      </w:r>
      <w:r w:rsidR="00053864">
        <w:rPr>
          <w:szCs w:val="20"/>
          <w:lang w:val="es-ES"/>
        </w:rPr>
        <w:t>el</w:t>
      </w:r>
      <w:r w:rsidR="00053864" w:rsidRPr="007F1355">
        <w:rPr>
          <w:szCs w:val="20"/>
          <w:lang w:val="es-ES"/>
        </w:rPr>
        <w:t xml:space="preserve"> </w:t>
      </w:r>
      <w:r w:rsidR="00B31FF4" w:rsidRPr="007F1355">
        <w:rPr>
          <w:szCs w:val="20"/>
          <w:lang w:val="es-ES"/>
        </w:rPr>
        <w:t xml:space="preserve">artículo 1.1 del mismo instrumento, y </w:t>
      </w:r>
      <w:r w:rsidR="00053864">
        <w:rPr>
          <w:szCs w:val="20"/>
          <w:lang w:val="es-ES"/>
        </w:rPr>
        <w:t xml:space="preserve">los artículos </w:t>
      </w:r>
      <w:r w:rsidR="00B31FF4" w:rsidRPr="007F1355">
        <w:rPr>
          <w:rFonts w:cs="Arial"/>
          <w:szCs w:val="20"/>
          <w:lang w:val="es-CO"/>
        </w:rPr>
        <w:t>1, 6 y 8 de la Convención Interamericana para Prevenir y Sancionar la Tortura, así como el artículo 7 de la Convención</w:t>
      </w:r>
      <w:r w:rsidR="00582327">
        <w:rPr>
          <w:rFonts w:cs="Arial"/>
          <w:szCs w:val="20"/>
          <w:lang w:val="es-CO"/>
        </w:rPr>
        <w:t xml:space="preserve"> Belém </w:t>
      </w:r>
      <w:r w:rsidR="00B31FF4" w:rsidRPr="007F1355">
        <w:rPr>
          <w:rFonts w:cs="Arial"/>
          <w:szCs w:val="20"/>
          <w:lang w:val="es-CO"/>
        </w:rPr>
        <w:t>do Pará,</w:t>
      </w:r>
      <w:r w:rsidR="00B31FF4" w:rsidRPr="007F1355">
        <w:rPr>
          <w:szCs w:val="20"/>
          <w:lang w:val="es-ES"/>
        </w:rPr>
        <w:t xml:space="preserve"> en perjuicio de </w:t>
      </w:r>
      <w:r w:rsidR="00B31FF4" w:rsidRPr="007F1355">
        <w:rPr>
          <w:rFonts w:cs="Arial"/>
          <w:szCs w:val="20"/>
          <w:lang w:val="es-CO"/>
        </w:rPr>
        <w:t>L.R.J., C.S.S. y J.F.C.</w:t>
      </w:r>
      <w:r w:rsidR="007F1355">
        <w:rPr>
          <w:szCs w:val="20"/>
        </w:rPr>
        <w:t xml:space="preserve"> </w:t>
      </w:r>
      <w:r w:rsidR="007F1355" w:rsidRPr="00B31FF4">
        <w:rPr>
          <w:lang w:val="es-CO"/>
        </w:rPr>
        <w:t>Ahora bien, respecto a la alegada violación de los derechos del niño, previstos en el artículo 19 de la Convención Americana, en perjuicio de C.S.S. y J.F.C., la Corte considera que para el momento de entrada en vigor de la competencia de la Corte ambas eran mayores de edad, por lo que no procede pronunciarse respecto a hechos ocurridos cuando eran niñas, que no se encuentran dentro de la competencia temporal de la Corte.</w:t>
      </w:r>
    </w:p>
    <w:p w14:paraId="679E41AB" w14:textId="77777777" w:rsidR="002F3C39" w:rsidRPr="00240189" w:rsidRDefault="002F3C39" w:rsidP="00FF5B4D">
      <w:pPr>
        <w:contextualSpacing/>
        <w:rPr>
          <w:szCs w:val="20"/>
        </w:rPr>
      </w:pPr>
    </w:p>
    <w:p w14:paraId="3D4A3156" w14:textId="651A11D7" w:rsidR="00605737" w:rsidRPr="00071E09" w:rsidRDefault="00605737" w:rsidP="00547D83">
      <w:pPr>
        <w:pStyle w:val="TOC1"/>
      </w:pPr>
      <w:bookmarkStart w:id="422" w:name="_Toc469404519"/>
      <w:bookmarkStart w:id="423" w:name="_Toc472608960"/>
      <w:bookmarkEnd w:id="410"/>
      <w:r w:rsidRPr="00071E09">
        <w:t>VII-2</w:t>
      </w:r>
      <w:bookmarkEnd w:id="422"/>
      <w:bookmarkEnd w:id="423"/>
    </w:p>
    <w:p w14:paraId="62537F84" w14:textId="77777777" w:rsidR="00605737" w:rsidRPr="00071E09" w:rsidRDefault="00605737" w:rsidP="00547D83">
      <w:pPr>
        <w:pStyle w:val="TOC1"/>
      </w:pPr>
      <w:bookmarkStart w:id="424" w:name="_Toc469404520"/>
      <w:bookmarkStart w:id="425" w:name="_Toc472608961"/>
      <w:r w:rsidRPr="00071E09">
        <w:t>DERECHO A LA INTEGRIDAD PERSONAL</w:t>
      </w:r>
      <w:r w:rsidRPr="00071E09">
        <w:rPr>
          <w:vertAlign w:val="superscript"/>
        </w:rPr>
        <w:footnoteReference w:id="303"/>
      </w:r>
      <w:bookmarkEnd w:id="424"/>
      <w:bookmarkEnd w:id="425"/>
    </w:p>
    <w:p w14:paraId="384FCB89" w14:textId="77777777" w:rsidR="00605737" w:rsidRDefault="00605737" w:rsidP="00605737">
      <w:pPr>
        <w:pStyle w:val="ListParagraph"/>
      </w:pPr>
    </w:p>
    <w:p w14:paraId="684025C7" w14:textId="77777777" w:rsidR="00605737" w:rsidRPr="000E1DE8" w:rsidRDefault="00605737" w:rsidP="00123780">
      <w:pPr>
        <w:pStyle w:val="TOC2"/>
      </w:pPr>
      <w:bookmarkStart w:id="426" w:name="_Toc469404521"/>
      <w:bookmarkStart w:id="427" w:name="_Toc472608962"/>
      <w:r>
        <w:t xml:space="preserve">A. </w:t>
      </w:r>
      <w:r>
        <w:tab/>
      </w:r>
      <w:r w:rsidRPr="000E1DE8">
        <w:t>Argumentos de las partes y de la Comisión</w:t>
      </w:r>
      <w:bookmarkEnd w:id="426"/>
      <w:bookmarkEnd w:id="427"/>
    </w:p>
    <w:p w14:paraId="7FF6296B" w14:textId="77777777" w:rsidR="00605737" w:rsidRPr="00071E09" w:rsidRDefault="00605737" w:rsidP="00605737">
      <w:pPr>
        <w:rPr>
          <w:b/>
        </w:rPr>
      </w:pPr>
    </w:p>
    <w:p w14:paraId="219FDDD1" w14:textId="7D1331EF" w:rsidR="00605737" w:rsidRPr="00071E09" w:rsidRDefault="00605737" w:rsidP="00605737">
      <w:pPr>
        <w:numPr>
          <w:ilvl w:val="0"/>
          <w:numId w:val="1"/>
        </w:numPr>
        <w:rPr>
          <w:b/>
        </w:rPr>
      </w:pPr>
      <w:r w:rsidRPr="00071E09">
        <w:t xml:space="preserve">La </w:t>
      </w:r>
      <w:r w:rsidRPr="00071E09">
        <w:rPr>
          <w:b/>
          <w:i/>
        </w:rPr>
        <w:t>Comisión</w:t>
      </w:r>
      <w:r w:rsidRPr="00071E09">
        <w:t xml:space="preserve"> destacó que la duradera impunidad, además de la manera en que las investigaciones fueron llevadas a cabo, con miras a estigmatizar y </w:t>
      </w:r>
      <w:proofErr w:type="spellStart"/>
      <w:r w:rsidRPr="00071E09">
        <w:t>revictimizar</w:t>
      </w:r>
      <w:proofErr w:type="spellEnd"/>
      <w:r w:rsidRPr="00071E09">
        <w:t xml:space="preserve"> a los muertos y sus familias, causaron a L.R.J., C.S.S., J.F.C., y a los familiares de las personas fallecidas, sufrimiento y angustia, así como un sentimiento de inseguridad, frustración e impotencia debido a la desidia de las autoridades públicas en investigar y </w:t>
      </w:r>
      <w:r w:rsidR="00AB4C64">
        <w:t>a</w:t>
      </w:r>
      <w:r w:rsidR="00AB4C64" w:rsidRPr="00071E09">
        <w:t xml:space="preserve"> </w:t>
      </w:r>
      <w:r w:rsidRPr="00071E09">
        <w:t>los intentos de estigmatizar a las víctimas y tratarlas como criminales</w:t>
      </w:r>
      <w:r w:rsidR="001245D4">
        <w:t xml:space="preserve">, ocasionó que </w:t>
      </w:r>
      <w:r w:rsidRPr="00071E09">
        <w:t>Brasil viola</w:t>
      </w:r>
      <w:r w:rsidR="001245D4">
        <w:t>ra</w:t>
      </w:r>
      <w:r w:rsidRPr="00071E09">
        <w:t xml:space="preserve"> el derecho a la integridad personal consagrado en el artículo 5.1 de la Convención Americana, en relación al artículo 1.1 del mismo instrumento. </w:t>
      </w:r>
    </w:p>
    <w:p w14:paraId="0D0D5CCB" w14:textId="77777777" w:rsidR="00605737" w:rsidRPr="00071E09" w:rsidRDefault="00605737" w:rsidP="00605737">
      <w:pPr>
        <w:rPr>
          <w:b/>
        </w:rPr>
      </w:pPr>
    </w:p>
    <w:p w14:paraId="54AD7E42" w14:textId="646F9B2D" w:rsidR="00605737" w:rsidRPr="00071E09" w:rsidRDefault="00605737" w:rsidP="00605737">
      <w:pPr>
        <w:numPr>
          <w:ilvl w:val="0"/>
          <w:numId w:val="1"/>
        </w:numPr>
      </w:pPr>
      <w:r w:rsidRPr="00071E09">
        <w:t xml:space="preserve">Los </w:t>
      </w:r>
      <w:r w:rsidRPr="00071E09">
        <w:rPr>
          <w:b/>
          <w:i/>
        </w:rPr>
        <w:t>representantes</w:t>
      </w:r>
      <w:r w:rsidRPr="00071E09">
        <w:t xml:space="preserve"> de las presuntas víctimas consideraron que la Corte debe presumir que el conocimiento de la muerte de sus familiares les provocó gran sufrimiento y angustia, así como una seria afectación a su integridad física y moral.</w:t>
      </w:r>
    </w:p>
    <w:p w14:paraId="1ED191C1" w14:textId="77777777" w:rsidR="00605737" w:rsidRPr="00071E09" w:rsidRDefault="00605737" w:rsidP="00605737"/>
    <w:p w14:paraId="68D1628A" w14:textId="023DCF15" w:rsidR="00605737" w:rsidRPr="00071E09" w:rsidRDefault="00605737" w:rsidP="00605737">
      <w:pPr>
        <w:numPr>
          <w:ilvl w:val="0"/>
          <w:numId w:val="1"/>
        </w:numPr>
      </w:pPr>
      <w:r w:rsidRPr="00071E09">
        <w:t xml:space="preserve">Además, señalaron que los familiares de las víctimas han expresado su frustración por el excesivo tiempo transcurrido desde los hechos que resultaron en la muerte de sus seres queridos sin que se haga justicia. Destacaron que los familiares de las víctimas fueron imposibilitados de promover o impulsar la investigación y que, en las ocasiones en que fueron llamados por las autoridades policiales, éstas se limitaron a sugerir que </w:t>
      </w:r>
      <w:r w:rsidR="00AB4C64">
        <w:t>su</w:t>
      </w:r>
      <w:r w:rsidRPr="00071E09">
        <w:t>s seres queridos estaban involucrados con el narcotráfico.</w:t>
      </w:r>
    </w:p>
    <w:p w14:paraId="43BE48A3" w14:textId="77777777" w:rsidR="00605737" w:rsidRPr="00071E09" w:rsidRDefault="00605737" w:rsidP="00605737"/>
    <w:p w14:paraId="75F55C65" w14:textId="183E11BA" w:rsidR="00605737" w:rsidRPr="00071E09" w:rsidRDefault="00605737" w:rsidP="00605737">
      <w:pPr>
        <w:numPr>
          <w:ilvl w:val="0"/>
          <w:numId w:val="1"/>
        </w:numPr>
      </w:pPr>
      <w:r w:rsidRPr="00071E09">
        <w:t xml:space="preserve">Los representantes adujeron que todos los familiares, tanto los de primer grado como los de segundo grado, sufrieron grandes daños físicos y psicológicos derivados de la falta de </w:t>
      </w:r>
      <w:r w:rsidRPr="00071E09">
        <w:lastRenderedPageBreak/>
        <w:t>esclarecimiento de los hechos, la falta de investigaciones y sanción a los responsables, el estigma sufrido por la manera en que sus familiares fueron entregados</w:t>
      </w:r>
      <w:r w:rsidR="00AB4C64">
        <w:t>,</w:t>
      </w:r>
      <w:r w:rsidRPr="00071E09">
        <w:t xml:space="preserve"> y por la versión de lo ocurrido y la ausencia tota</w:t>
      </w:r>
      <w:r w:rsidR="00B23FA3">
        <w:t>l de respuesta</w:t>
      </w:r>
      <w:r w:rsidRPr="00071E09">
        <w:t xml:space="preserve"> por parte del Estado relacionado a lo ocurrido. </w:t>
      </w:r>
    </w:p>
    <w:p w14:paraId="60E67DF5" w14:textId="77777777" w:rsidR="00605737" w:rsidRPr="00071E09" w:rsidRDefault="00605737" w:rsidP="00605737"/>
    <w:p w14:paraId="057B162B" w14:textId="203ACFC9" w:rsidR="00605737" w:rsidRPr="00071E09" w:rsidRDefault="00605737" w:rsidP="00605737">
      <w:pPr>
        <w:numPr>
          <w:ilvl w:val="0"/>
          <w:numId w:val="1"/>
        </w:numPr>
      </w:pPr>
      <w:r w:rsidRPr="00071E09">
        <w:t>Solicitaron a la Corte que declare que el Estado es internacionalmente responsable por violar el derecho a la integridad personal, establecido en el artículo 5 de la Convención Am</w:t>
      </w:r>
      <w:r w:rsidR="00B23FA3">
        <w:t>ericana, en relación con el artículo</w:t>
      </w:r>
      <w:r w:rsidRPr="00071E09">
        <w:t xml:space="preserve"> 1.1 del mismo instrumento, en perjuicio de los familiares de las víctimas </w:t>
      </w:r>
      <w:r w:rsidR="00B27419">
        <w:t>muertas</w:t>
      </w:r>
      <w:r w:rsidR="00A24BAD">
        <w:t xml:space="preserve"> en </w:t>
      </w:r>
      <w:r w:rsidRPr="00071E09">
        <w:t>el presente caso, en razón de la frustración y del sufrimiento que les fueron causados por la total impunidad r</w:t>
      </w:r>
      <w:r>
        <w:t>especto a los hechos descritos</w:t>
      </w:r>
      <w:r w:rsidRPr="00071E09">
        <w:t>.</w:t>
      </w:r>
    </w:p>
    <w:p w14:paraId="5E0E3441" w14:textId="77777777" w:rsidR="00605737" w:rsidRPr="00071E09" w:rsidRDefault="00605737" w:rsidP="00605737"/>
    <w:p w14:paraId="61F78A23" w14:textId="0B4219E1" w:rsidR="00605737" w:rsidRPr="00071E09" w:rsidRDefault="00605737" w:rsidP="00605737">
      <w:pPr>
        <w:numPr>
          <w:ilvl w:val="0"/>
          <w:numId w:val="1"/>
        </w:numPr>
        <w:rPr>
          <w:b/>
        </w:rPr>
      </w:pPr>
      <w:r w:rsidRPr="00071E09">
        <w:t xml:space="preserve">El </w:t>
      </w:r>
      <w:r w:rsidRPr="00071E09">
        <w:rPr>
          <w:b/>
          <w:i/>
        </w:rPr>
        <w:t>Estado</w:t>
      </w:r>
      <w:r w:rsidRPr="00071E09">
        <w:t xml:space="preserve"> consideró que no existe correlación directa y automática entre una supuesta violación a la integridad personal de los familiares de las víctimas y la alegación a la falta de protección judicial, ya que la falta de protección judicial no se encuentra prevista en el artículo 5 de la Convención Americana. </w:t>
      </w:r>
    </w:p>
    <w:p w14:paraId="707B4976" w14:textId="77777777" w:rsidR="00605737" w:rsidRPr="00071E09" w:rsidRDefault="00605737" w:rsidP="00605737">
      <w:pPr>
        <w:rPr>
          <w:b/>
        </w:rPr>
      </w:pPr>
    </w:p>
    <w:p w14:paraId="44BE3186" w14:textId="01E787A3" w:rsidR="00605737" w:rsidRPr="00071E09" w:rsidRDefault="00605737" w:rsidP="00605737">
      <w:pPr>
        <w:numPr>
          <w:ilvl w:val="0"/>
          <w:numId w:val="1"/>
        </w:numPr>
        <w:rPr>
          <w:b/>
        </w:rPr>
      </w:pPr>
      <w:r w:rsidRPr="00071E09">
        <w:t xml:space="preserve">Además, el Estado afirmó que la falta de protección judicial no causó un daño moral a los familiares de las víctimas ya que, a excepción de </w:t>
      </w:r>
      <w:proofErr w:type="spellStart"/>
      <w:r w:rsidRPr="00071E09">
        <w:t>Mônica</w:t>
      </w:r>
      <w:proofErr w:type="spellEnd"/>
      <w:r w:rsidRPr="00071E09">
        <w:t xml:space="preserve"> Santos de Souza </w:t>
      </w:r>
      <w:proofErr w:type="spellStart"/>
      <w:r w:rsidRPr="00071E09">
        <w:t>Rodrigues</w:t>
      </w:r>
      <w:proofErr w:type="spellEnd"/>
      <w:r w:rsidRPr="00071E09">
        <w:t xml:space="preserve"> y de Evelyn Santos de Souza </w:t>
      </w:r>
      <w:proofErr w:type="spellStart"/>
      <w:r w:rsidRPr="00071E09">
        <w:t>Rodrigues</w:t>
      </w:r>
      <w:proofErr w:type="spellEnd"/>
      <w:r w:rsidRPr="00071E09">
        <w:t xml:space="preserve">, ninguna de las demás víctimas procuraron ejercer su derecho de acción contra el Estado por las muertes ocurridas. </w:t>
      </w:r>
    </w:p>
    <w:p w14:paraId="4F7EACAF" w14:textId="77777777" w:rsidR="00605737" w:rsidRPr="00071E09" w:rsidRDefault="00605737" w:rsidP="00605737">
      <w:pPr>
        <w:rPr>
          <w:b/>
        </w:rPr>
      </w:pPr>
    </w:p>
    <w:p w14:paraId="49B38898" w14:textId="6E5FB2E9" w:rsidR="00605737" w:rsidRPr="00071E09" w:rsidRDefault="00605737" w:rsidP="00605737">
      <w:pPr>
        <w:numPr>
          <w:ilvl w:val="0"/>
          <w:numId w:val="1"/>
        </w:numPr>
      </w:pPr>
      <w:r>
        <w:t>El Estado expuso que l</w:t>
      </w:r>
      <w:r w:rsidRPr="00071E09">
        <w:t xml:space="preserve">a lectura del artículo 5 no se puede limitar al primer </w:t>
      </w:r>
      <w:r w:rsidR="006938BF">
        <w:t xml:space="preserve">párrafo </w:t>
      </w:r>
      <w:r w:rsidR="0065427A">
        <w:t>ya que é</w:t>
      </w:r>
      <w:r w:rsidRPr="00071E09">
        <w:t>ste debe ser considerado en su integridad, a efectos de alcanzar su finalidad real.</w:t>
      </w:r>
      <w:r>
        <w:t xml:space="preserve"> </w:t>
      </w:r>
      <w:r w:rsidR="00EA6684">
        <w:t>De acuerdo con el Estado</w:t>
      </w:r>
      <w:r w:rsidRPr="00071E09">
        <w:t>, ese artículo prohíbe expresa</w:t>
      </w:r>
      <w:r w:rsidR="000C21B8">
        <w:t>mente</w:t>
      </w:r>
      <w:r w:rsidR="0065427A">
        <w:t>,</w:t>
      </w:r>
      <w:r w:rsidR="000C21B8">
        <w:t xml:space="preserve"> por ejemplo</w:t>
      </w:r>
      <w:r w:rsidR="0065427A">
        <w:t>,</w:t>
      </w:r>
      <w:r w:rsidR="000C21B8">
        <w:t xml:space="preserve"> las acciones </w:t>
      </w:r>
      <w:r w:rsidRPr="00071E09">
        <w:t xml:space="preserve">que promuevan la tortura o el </w:t>
      </w:r>
      <w:r w:rsidR="006938BF">
        <w:t>trato</w:t>
      </w:r>
      <w:r w:rsidR="006938BF" w:rsidRPr="00071E09">
        <w:t xml:space="preserve"> </w:t>
      </w:r>
      <w:r w:rsidRPr="00071E09">
        <w:t xml:space="preserve">cruel y degradante. </w:t>
      </w:r>
    </w:p>
    <w:p w14:paraId="078C12F4" w14:textId="77777777" w:rsidR="00605737" w:rsidRPr="00071E09" w:rsidRDefault="00605737" w:rsidP="00605737"/>
    <w:p w14:paraId="23BFC50D" w14:textId="43B5CFC0" w:rsidR="00605737" w:rsidRPr="00071E09" w:rsidRDefault="00EA6684" w:rsidP="00605737">
      <w:pPr>
        <w:numPr>
          <w:ilvl w:val="0"/>
          <w:numId w:val="1"/>
        </w:numPr>
      </w:pPr>
      <w:r>
        <w:t xml:space="preserve">El Estado indicó que </w:t>
      </w:r>
      <w:r w:rsidR="00605737" w:rsidRPr="00071E09">
        <w:t>no se puede partir del simple presupuesto de que una alegada falta de protección judicial</w:t>
      </w:r>
      <w:r w:rsidR="00605737">
        <w:t>,</w:t>
      </w:r>
      <w:r w:rsidR="00605737" w:rsidRPr="00071E09">
        <w:t xml:space="preserve"> que no está prevista en el artículo 5, pueda </w:t>
      </w:r>
      <w:r w:rsidR="00605737">
        <w:t>conducir a elaborar</w:t>
      </w:r>
      <w:r w:rsidR="00605737" w:rsidRPr="00071E09">
        <w:t xml:space="preserve"> una hipótesis de violación a la integridad personal. A decir del Estado, si el hecho no se encuentra previsto en el artículo 5, la pretendida violación a la norma no puede ser consta</w:t>
      </w:r>
      <w:r w:rsidR="00605737">
        <w:t>tad</w:t>
      </w:r>
      <w:r w:rsidR="00605737" w:rsidRPr="00071E09">
        <w:t xml:space="preserve">a </w:t>
      </w:r>
      <w:r w:rsidR="00605737">
        <w:t xml:space="preserve">mediante la creación de hipótesis de violación </w:t>
      </w:r>
      <w:r w:rsidR="00605737" w:rsidRPr="00071E09">
        <w:t>que se encuentran al margen de la Convención</w:t>
      </w:r>
      <w:r w:rsidR="00936FD6">
        <w:t>.</w:t>
      </w:r>
      <w:r w:rsidR="00605737" w:rsidRPr="00071E09">
        <w:t xml:space="preserve"> </w:t>
      </w:r>
    </w:p>
    <w:p w14:paraId="1D9BC9A7" w14:textId="77777777" w:rsidR="00605737" w:rsidRPr="00071E09" w:rsidRDefault="00605737" w:rsidP="00605737"/>
    <w:p w14:paraId="7C93DB8A" w14:textId="1B120970" w:rsidR="00605737" w:rsidRPr="00F32DA7" w:rsidRDefault="00605737" w:rsidP="00123780">
      <w:pPr>
        <w:pStyle w:val="TOC2"/>
      </w:pPr>
      <w:bookmarkStart w:id="428" w:name="_Toc469404522"/>
      <w:bookmarkStart w:id="429" w:name="_Toc472608963"/>
      <w:r>
        <w:t xml:space="preserve">B. </w:t>
      </w:r>
      <w:r w:rsidR="002A031A">
        <w:tab/>
      </w:r>
      <w:r w:rsidRPr="00F32DA7">
        <w:t>Consideraciones de la Corte</w:t>
      </w:r>
      <w:bookmarkEnd w:id="428"/>
      <w:bookmarkEnd w:id="429"/>
    </w:p>
    <w:p w14:paraId="4F5A2F19" w14:textId="77777777" w:rsidR="00605737" w:rsidRPr="00071E09" w:rsidRDefault="00605737" w:rsidP="00605737">
      <w:pPr>
        <w:rPr>
          <w:b/>
          <w:i/>
        </w:rPr>
      </w:pPr>
      <w:r w:rsidRPr="00071E09">
        <w:t xml:space="preserve"> </w:t>
      </w:r>
    </w:p>
    <w:p w14:paraId="51CDB68F" w14:textId="77777777" w:rsidR="00605737" w:rsidRPr="00071E09" w:rsidRDefault="00605737" w:rsidP="00605737">
      <w:pPr>
        <w:pStyle w:val="ListParagraph"/>
        <w:numPr>
          <w:ilvl w:val="0"/>
          <w:numId w:val="1"/>
        </w:numPr>
      </w:pPr>
      <w:r w:rsidRPr="00071E09">
        <w:t>La Corte ha considerado en numerosos casos que los familiares de las víctimas de violaciones de los derechos humanos pueden ser, a su vez, víctimas</w:t>
      </w:r>
      <w:r w:rsidRPr="00071E09">
        <w:rPr>
          <w:rStyle w:val="FootnoteReference"/>
        </w:rPr>
        <w:footnoteReference w:id="304"/>
      </w:r>
      <w:r w:rsidRPr="00071E09">
        <w:t>. El Tribunal ha considerado violado el derecho a la integridad psíquica y moral de familiares de víctimas con motivo del sufrimiento adicional que estos han padecido como producto de las circunstancias particulares de las violaciones perpetradas contra sus seres queridos y a causa de las posteriores actuaciones u omisiones de las autoridades estatales frente a los hechos</w:t>
      </w:r>
      <w:r w:rsidRPr="00071E09">
        <w:rPr>
          <w:rStyle w:val="FootnoteReference"/>
        </w:rPr>
        <w:footnoteReference w:id="305"/>
      </w:r>
      <w:r w:rsidRPr="00071E09">
        <w:t>.</w:t>
      </w:r>
    </w:p>
    <w:p w14:paraId="5BE17C0A" w14:textId="77777777" w:rsidR="00605737" w:rsidRPr="00071E09" w:rsidRDefault="00605737" w:rsidP="00605737">
      <w:pPr>
        <w:pStyle w:val="ListParagraph"/>
        <w:ind w:left="0"/>
      </w:pPr>
    </w:p>
    <w:p w14:paraId="746081A4" w14:textId="65BCEC77" w:rsidR="008C030B" w:rsidRDefault="00605737" w:rsidP="00605737">
      <w:pPr>
        <w:pStyle w:val="ListParagraph"/>
        <w:numPr>
          <w:ilvl w:val="0"/>
          <w:numId w:val="1"/>
        </w:numPr>
      </w:pPr>
      <w:r w:rsidRPr="00071E09">
        <w:t>E</w:t>
      </w:r>
      <w:r>
        <w:t xml:space="preserve">n el presente caso, la Corte nota que la falta de investigación de los hechos y la continuada impunidad pudieron </w:t>
      </w:r>
      <w:r w:rsidR="001B093C">
        <w:t xml:space="preserve">haber </w:t>
      </w:r>
      <w:r w:rsidR="004B00EF">
        <w:t>generado</w:t>
      </w:r>
      <w:r>
        <w:t xml:space="preserve"> daños y afectaciones a los familiares</w:t>
      </w:r>
      <w:r w:rsidR="00EA6684">
        <w:t xml:space="preserve"> de las víctimas</w:t>
      </w:r>
      <w:r>
        <w:t xml:space="preserve">. Al respecto, la Corte cuenta con prueba en el expediente relacionada con los daños y sufrimientos que sufrieron algunos de los familiares de las </w:t>
      </w:r>
      <w:r w:rsidR="004B00EF">
        <w:t>personas muertas en las redadas policiales</w:t>
      </w:r>
      <w:r>
        <w:t xml:space="preserve">; </w:t>
      </w:r>
      <w:r w:rsidRPr="00071E09">
        <w:t xml:space="preserve">con base en las declaraciones testimoniales escritas y presenciales, así </w:t>
      </w:r>
      <w:r w:rsidRPr="00071E09">
        <w:lastRenderedPageBreak/>
        <w:t>como en los informes sobre el impacto psicosocial a los familiares de las víctimas, se evidencia que estos vieron su integridad personal afectada</w:t>
      </w:r>
      <w:r w:rsidR="00B32612">
        <w:t xml:space="preserve"> de una u otra manera</w:t>
      </w:r>
      <w:r w:rsidRPr="00071E09">
        <w:rPr>
          <w:rStyle w:val="FootnoteReference"/>
        </w:rPr>
        <w:footnoteReference w:id="306"/>
      </w:r>
      <w:r w:rsidRPr="00071E09">
        <w:t xml:space="preserve">. </w:t>
      </w:r>
    </w:p>
    <w:p w14:paraId="355A7401" w14:textId="77777777" w:rsidR="008C030B" w:rsidRDefault="008C030B" w:rsidP="008C030B">
      <w:pPr>
        <w:pStyle w:val="ListParagraph"/>
      </w:pPr>
    </w:p>
    <w:p w14:paraId="6A2114EA" w14:textId="4812FE54" w:rsidR="00605737" w:rsidRPr="00071E09" w:rsidRDefault="00605737" w:rsidP="00605737">
      <w:pPr>
        <w:pStyle w:val="ListParagraph"/>
        <w:numPr>
          <w:ilvl w:val="0"/>
          <w:numId w:val="1"/>
        </w:numPr>
      </w:pPr>
      <w:r>
        <w:t>En vista de lo anterior</w:t>
      </w:r>
      <w:r w:rsidRPr="00071E09">
        <w:t>, este Tribunal considera demostrado que, como consecuencia de la falta de investigación, juzgamiento y sanción de los responsables</w:t>
      </w:r>
      <w:r>
        <w:t xml:space="preserve"> de las  muertes de sus familiares</w:t>
      </w:r>
      <w:r w:rsidRPr="00071E09">
        <w:t>,</w:t>
      </w:r>
      <w:r>
        <w:t xml:space="preserve"> los señores y las señoras </w:t>
      </w:r>
      <w:proofErr w:type="spellStart"/>
      <w:r w:rsidR="003D6A7B">
        <w:rPr>
          <w:szCs w:val="20"/>
        </w:rPr>
        <w:t>Mônica</w:t>
      </w:r>
      <w:proofErr w:type="spellEnd"/>
      <w:r w:rsidRPr="007A4349">
        <w:rPr>
          <w:szCs w:val="20"/>
        </w:rPr>
        <w:t xml:space="preserve"> Santos de </w:t>
      </w:r>
      <w:r w:rsidRPr="006520C5">
        <w:rPr>
          <w:szCs w:val="20"/>
        </w:rPr>
        <w:t xml:space="preserve">Souza </w:t>
      </w:r>
      <w:proofErr w:type="spellStart"/>
      <w:r w:rsidRPr="006520C5">
        <w:rPr>
          <w:szCs w:val="20"/>
        </w:rPr>
        <w:t>Rodrigues</w:t>
      </w:r>
      <w:proofErr w:type="spellEnd"/>
      <w:r w:rsidRPr="006520C5">
        <w:rPr>
          <w:szCs w:val="20"/>
        </w:rPr>
        <w:t xml:space="preserve">; Evelyn Santos de Souza </w:t>
      </w:r>
      <w:proofErr w:type="spellStart"/>
      <w:r w:rsidRPr="006520C5">
        <w:rPr>
          <w:szCs w:val="20"/>
        </w:rPr>
        <w:t>Rodrigues</w:t>
      </w:r>
      <w:proofErr w:type="spellEnd"/>
      <w:r w:rsidRPr="006520C5">
        <w:rPr>
          <w:szCs w:val="20"/>
        </w:rPr>
        <w:t xml:space="preserve">; </w:t>
      </w:r>
      <w:proofErr w:type="spellStart"/>
      <w:r w:rsidRPr="006520C5">
        <w:rPr>
          <w:szCs w:val="20"/>
        </w:rPr>
        <w:t>Maria</w:t>
      </w:r>
      <w:proofErr w:type="spellEnd"/>
      <w:r w:rsidRPr="006520C5">
        <w:rPr>
          <w:szCs w:val="20"/>
        </w:rPr>
        <w:t xml:space="preserve"> das </w:t>
      </w:r>
      <w:proofErr w:type="spellStart"/>
      <w:r w:rsidRPr="006520C5">
        <w:rPr>
          <w:szCs w:val="20"/>
        </w:rPr>
        <w:t>Graças</w:t>
      </w:r>
      <w:proofErr w:type="spellEnd"/>
      <w:r w:rsidRPr="006520C5">
        <w:rPr>
          <w:szCs w:val="20"/>
        </w:rPr>
        <w:t xml:space="preserve"> da Silva; Samuel da Silva </w:t>
      </w:r>
      <w:proofErr w:type="spellStart"/>
      <w:r w:rsidRPr="006520C5">
        <w:rPr>
          <w:szCs w:val="20"/>
        </w:rPr>
        <w:t>Rodrigues</w:t>
      </w:r>
      <w:proofErr w:type="spellEnd"/>
      <w:r w:rsidRPr="006520C5">
        <w:rPr>
          <w:szCs w:val="20"/>
        </w:rPr>
        <w:t xml:space="preserve">; </w:t>
      </w:r>
      <w:proofErr w:type="spellStart"/>
      <w:r w:rsidRPr="006520C5">
        <w:rPr>
          <w:szCs w:val="20"/>
        </w:rPr>
        <w:t>Robson</w:t>
      </w:r>
      <w:proofErr w:type="spellEnd"/>
      <w:r w:rsidRPr="006520C5">
        <w:rPr>
          <w:szCs w:val="20"/>
        </w:rPr>
        <w:t xml:space="preserve"> Genuino dos Santos Jr.; Michelle Mariano dos Santos; Bruna Fonseca Costa; Joyce Neri da Silva Dantas; </w:t>
      </w:r>
      <w:proofErr w:type="spellStart"/>
      <w:r w:rsidRPr="006520C5">
        <w:rPr>
          <w:szCs w:val="20"/>
        </w:rPr>
        <w:t>Geni</w:t>
      </w:r>
      <w:proofErr w:type="spellEnd"/>
      <w:r w:rsidRPr="006520C5">
        <w:rPr>
          <w:szCs w:val="20"/>
        </w:rPr>
        <w:t xml:space="preserve"> Pereira </w:t>
      </w:r>
      <w:proofErr w:type="spellStart"/>
      <w:r w:rsidRPr="006520C5">
        <w:rPr>
          <w:szCs w:val="20"/>
        </w:rPr>
        <w:t>Dutra</w:t>
      </w:r>
      <w:proofErr w:type="spellEnd"/>
      <w:r w:rsidRPr="006520C5">
        <w:rPr>
          <w:szCs w:val="20"/>
        </w:rPr>
        <w:t xml:space="preserve">; </w:t>
      </w:r>
      <w:proofErr w:type="spellStart"/>
      <w:r w:rsidRPr="006520C5">
        <w:rPr>
          <w:szCs w:val="20"/>
        </w:rPr>
        <w:t>Diogo</w:t>
      </w:r>
      <w:proofErr w:type="spellEnd"/>
      <w:r w:rsidRPr="006520C5">
        <w:rPr>
          <w:szCs w:val="20"/>
        </w:rPr>
        <w:t xml:space="preserve"> da Silva Genoveva; </w:t>
      </w:r>
      <w:r w:rsidR="00897DF5">
        <w:rPr>
          <w:szCs w:val="20"/>
        </w:rPr>
        <w:t>João Alves</w:t>
      </w:r>
      <w:r w:rsidRPr="006520C5">
        <w:rPr>
          <w:szCs w:val="20"/>
        </w:rPr>
        <w:t xml:space="preserve"> de </w:t>
      </w:r>
      <w:proofErr w:type="spellStart"/>
      <w:r w:rsidRPr="006520C5">
        <w:rPr>
          <w:szCs w:val="20"/>
        </w:rPr>
        <w:t>Moura</w:t>
      </w:r>
      <w:proofErr w:type="spellEnd"/>
      <w:r w:rsidRPr="006520C5">
        <w:rPr>
          <w:szCs w:val="20"/>
        </w:rPr>
        <w:t xml:space="preserve">; Helena </w:t>
      </w:r>
      <w:proofErr w:type="spellStart"/>
      <w:r w:rsidRPr="006520C5">
        <w:rPr>
          <w:szCs w:val="20"/>
        </w:rPr>
        <w:t>Via</w:t>
      </w:r>
      <w:r w:rsidR="00CC6D82">
        <w:rPr>
          <w:szCs w:val="20"/>
        </w:rPr>
        <w:t>n</w:t>
      </w:r>
      <w:r w:rsidRPr="006520C5">
        <w:rPr>
          <w:szCs w:val="20"/>
        </w:rPr>
        <w:t>na</w:t>
      </w:r>
      <w:proofErr w:type="spellEnd"/>
      <w:r w:rsidRPr="006520C5">
        <w:rPr>
          <w:szCs w:val="20"/>
        </w:rPr>
        <w:t xml:space="preserve"> dos Santos; </w:t>
      </w:r>
      <w:proofErr w:type="spellStart"/>
      <w:r w:rsidRPr="006520C5">
        <w:rPr>
          <w:szCs w:val="20"/>
        </w:rPr>
        <w:t>Otacilio</w:t>
      </w:r>
      <w:proofErr w:type="spellEnd"/>
      <w:r w:rsidRPr="006520C5">
        <w:rPr>
          <w:szCs w:val="20"/>
        </w:rPr>
        <w:t xml:space="preserve"> Costa; </w:t>
      </w:r>
      <w:proofErr w:type="spellStart"/>
      <w:r w:rsidR="00CC6D82">
        <w:rPr>
          <w:szCs w:val="20"/>
        </w:rPr>
        <w:t>Pricila</w:t>
      </w:r>
      <w:proofErr w:type="spellEnd"/>
      <w:r w:rsidRPr="006520C5">
        <w:rPr>
          <w:szCs w:val="20"/>
        </w:rPr>
        <w:t xml:space="preserve"> </w:t>
      </w:r>
      <w:proofErr w:type="spellStart"/>
      <w:r w:rsidRPr="006520C5">
        <w:rPr>
          <w:szCs w:val="20"/>
        </w:rPr>
        <w:t>Rodrigues</w:t>
      </w:r>
      <w:proofErr w:type="spellEnd"/>
      <w:r w:rsidRPr="006520C5">
        <w:rPr>
          <w:szCs w:val="20"/>
        </w:rPr>
        <w:t>, y William Mariano dos Santos</w:t>
      </w:r>
      <w:r w:rsidRPr="006520C5">
        <w:t xml:space="preserve"> han padecido un profundo sufrimiento y angustia en detrimento de su integridad psíquica y moral. </w:t>
      </w:r>
    </w:p>
    <w:p w14:paraId="122C4AF3" w14:textId="77777777" w:rsidR="00605737" w:rsidRPr="00071E09" w:rsidRDefault="00605737" w:rsidP="00605737">
      <w:pPr>
        <w:pStyle w:val="ListParagraph"/>
        <w:ind w:left="0"/>
      </w:pPr>
    </w:p>
    <w:p w14:paraId="4843FC02" w14:textId="2DF14D2B" w:rsidR="00605737" w:rsidRDefault="00605737" w:rsidP="00605737">
      <w:pPr>
        <w:pStyle w:val="ListParagraph"/>
        <w:numPr>
          <w:ilvl w:val="0"/>
          <w:numId w:val="1"/>
        </w:numPr>
      </w:pPr>
      <w:r>
        <w:t xml:space="preserve">La falta de investigación respecto de las muertes de sus familiares produjo en las personas mencionadas </w:t>
      </w:r>
      <w:r w:rsidRPr="006253B7">
        <w:rPr>
          <w:i/>
        </w:rPr>
        <w:t>supra</w:t>
      </w:r>
      <w:r>
        <w:t xml:space="preserve"> una </w:t>
      </w:r>
      <w:r w:rsidRPr="00071E09">
        <w:t xml:space="preserve">afectación a </w:t>
      </w:r>
      <w:r>
        <w:t>su</w:t>
      </w:r>
      <w:r w:rsidRPr="00071E09">
        <w:t xml:space="preserve"> integridad psíquica y moral</w:t>
      </w:r>
      <w:r>
        <w:t>, que incluyó una</w:t>
      </w:r>
      <w:r w:rsidRPr="00071E09">
        <w:t xml:space="preserve"> extrema desprotección y vulnerabilidad en la cual permanecen</w:t>
      </w:r>
      <w:r>
        <w:t xml:space="preserve"> hoy en día. Además, estas personas han tenido</w:t>
      </w:r>
      <w:r w:rsidRPr="00071E09">
        <w:t xml:space="preserve"> efectos en el desarrollo normal de sus actividades diarias y en su proyecto de vida en general, pues muchos de los miembros de las familias han dedicado estos últimos años a mudarse de domicilio, a cambiar de trabajo, a renunciar a la educación para poder trabajar y asumir la responsabilidad a temprana de edad de ayudar en la </w:t>
      </w:r>
      <w:r w:rsidR="00A07E4C">
        <w:t>manutención</w:t>
      </w:r>
      <w:r w:rsidR="00A07E4C" w:rsidRPr="00071E09">
        <w:t xml:space="preserve"> </w:t>
      </w:r>
      <w:r w:rsidRPr="00071E09">
        <w:t>de la familia</w:t>
      </w:r>
      <w:r w:rsidRPr="00071E09">
        <w:rPr>
          <w:rStyle w:val="FootnoteReference"/>
        </w:rPr>
        <w:footnoteReference w:id="307"/>
      </w:r>
      <w:r w:rsidRPr="00071E09">
        <w:t>.</w:t>
      </w:r>
      <w:r w:rsidR="00A92C21">
        <w:t xml:space="preserve"> Sin embargo, respecto de</w:t>
      </w:r>
      <w:r>
        <w:t xml:space="preserve"> los otros familiares</w:t>
      </w:r>
      <w:r w:rsidR="004848B6">
        <w:rPr>
          <w:rStyle w:val="FootnoteReference"/>
        </w:rPr>
        <w:footnoteReference w:id="308"/>
      </w:r>
      <w:r>
        <w:t xml:space="preserve">, la Corte no cuenta con </w:t>
      </w:r>
      <w:r w:rsidR="0078609C">
        <w:t xml:space="preserve">ningún </w:t>
      </w:r>
      <w:r>
        <w:t xml:space="preserve">elemento de prueba para determinar la afectación en su </w:t>
      </w:r>
      <w:r w:rsidRPr="00071E09">
        <w:t>integridad psíquica y moral</w:t>
      </w:r>
      <w:r>
        <w:t>, que sea consecuencia de la falta de investigación de los hechos de 1994 y 1995.</w:t>
      </w:r>
    </w:p>
    <w:p w14:paraId="7327A740" w14:textId="77777777" w:rsidR="00605737" w:rsidRDefault="00605737" w:rsidP="00605737">
      <w:pPr>
        <w:pStyle w:val="ListParagraph"/>
      </w:pPr>
    </w:p>
    <w:p w14:paraId="534829E0" w14:textId="77777777" w:rsidR="00605737" w:rsidRPr="00071E09" w:rsidRDefault="00605737" w:rsidP="00605737">
      <w:pPr>
        <w:pStyle w:val="ListParagraph"/>
        <w:numPr>
          <w:ilvl w:val="0"/>
          <w:numId w:val="1"/>
        </w:numPr>
      </w:pPr>
      <w:r>
        <w:t xml:space="preserve">Por otro lado, con relación a L.R.J., C.S.S. y J.F.C., la Corte considera que, derivado de la completa falta de investigación de la violencia sexual de la cual habían sido víctimas, experimentaron sentimientos de angustia e inseguridad, así como frustración y sufrimiento. </w:t>
      </w:r>
      <w:r>
        <w:lastRenderedPageBreak/>
        <w:t xml:space="preserve">La falta de identificación y sanción de los responsables ocasionó que la angustia permaneciera por años, sin que se sintieran protegidas o reparadas. </w:t>
      </w:r>
    </w:p>
    <w:p w14:paraId="127B584F" w14:textId="77777777" w:rsidR="00605737" w:rsidRPr="00071E09" w:rsidRDefault="00605737" w:rsidP="00605737">
      <w:pPr>
        <w:pStyle w:val="ListParagraph"/>
      </w:pPr>
    </w:p>
    <w:p w14:paraId="20F791B0" w14:textId="1BB3A69F" w:rsidR="00605737" w:rsidRPr="00071E09" w:rsidRDefault="00605737" w:rsidP="00605737">
      <w:pPr>
        <w:pStyle w:val="ListParagraph"/>
        <w:numPr>
          <w:ilvl w:val="0"/>
          <w:numId w:val="1"/>
        </w:numPr>
      </w:pPr>
      <w:r w:rsidRPr="00071E09">
        <w:t xml:space="preserve">De esta manera, tomando en consideración las circunstancias del presente caso, y los </w:t>
      </w:r>
      <w:r w:rsidR="004422AF" w:rsidRPr="0065427A">
        <w:rPr>
          <w:i/>
        </w:rPr>
        <w:t>affidávit</w:t>
      </w:r>
      <w:r w:rsidRPr="0065427A">
        <w:rPr>
          <w:i/>
        </w:rPr>
        <w:t>s</w:t>
      </w:r>
      <w:r w:rsidRPr="00071E09">
        <w:t xml:space="preserve"> presentados, el Tribunal concluye que el Estado violó el derecho a la integridad personal, previsto en el artículo 5.1 de la Convención Americana, en relación </w:t>
      </w:r>
      <w:r w:rsidR="00A07E4C">
        <w:t>con e</w:t>
      </w:r>
      <w:r w:rsidRPr="00071E09">
        <w:t xml:space="preserve">l artículo 1.1 del mismo instrumento, en perjuicio de: </w:t>
      </w:r>
      <w:proofErr w:type="spellStart"/>
      <w:r w:rsidR="003D6A7B">
        <w:rPr>
          <w:szCs w:val="20"/>
        </w:rPr>
        <w:t>Mônica</w:t>
      </w:r>
      <w:proofErr w:type="spellEnd"/>
      <w:r w:rsidRPr="005D45E6">
        <w:rPr>
          <w:szCs w:val="20"/>
        </w:rPr>
        <w:t xml:space="preserve"> Santos de Souza </w:t>
      </w:r>
      <w:proofErr w:type="spellStart"/>
      <w:r w:rsidRPr="005D45E6">
        <w:rPr>
          <w:szCs w:val="20"/>
        </w:rPr>
        <w:t>Rodrigues</w:t>
      </w:r>
      <w:proofErr w:type="spellEnd"/>
      <w:r w:rsidRPr="005D45E6">
        <w:rPr>
          <w:szCs w:val="20"/>
        </w:rPr>
        <w:t xml:space="preserve">; Evelyn Santos de Souza </w:t>
      </w:r>
      <w:proofErr w:type="spellStart"/>
      <w:r w:rsidRPr="005D45E6">
        <w:rPr>
          <w:szCs w:val="20"/>
        </w:rPr>
        <w:t>Rodrigues</w:t>
      </w:r>
      <w:proofErr w:type="spellEnd"/>
      <w:r w:rsidRPr="005D45E6">
        <w:rPr>
          <w:szCs w:val="20"/>
        </w:rPr>
        <w:t xml:space="preserve">; </w:t>
      </w:r>
      <w:proofErr w:type="spellStart"/>
      <w:r w:rsidRPr="005D45E6">
        <w:rPr>
          <w:szCs w:val="20"/>
        </w:rPr>
        <w:t>Maria</w:t>
      </w:r>
      <w:proofErr w:type="spellEnd"/>
      <w:r w:rsidRPr="005D45E6">
        <w:rPr>
          <w:szCs w:val="20"/>
        </w:rPr>
        <w:t xml:space="preserve"> das </w:t>
      </w:r>
      <w:proofErr w:type="spellStart"/>
      <w:r w:rsidRPr="005D45E6">
        <w:rPr>
          <w:szCs w:val="20"/>
        </w:rPr>
        <w:t>Graças</w:t>
      </w:r>
      <w:proofErr w:type="spellEnd"/>
      <w:r w:rsidRPr="005D45E6">
        <w:rPr>
          <w:szCs w:val="20"/>
        </w:rPr>
        <w:t xml:space="preserve"> da Silva; Samuel da Silva </w:t>
      </w:r>
      <w:proofErr w:type="spellStart"/>
      <w:r w:rsidRPr="005D45E6">
        <w:rPr>
          <w:szCs w:val="20"/>
        </w:rPr>
        <w:t>Rodrigues</w:t>
      </w:r>
      <w:proofErr w:type="spellEnd"/>
      <w:r w:rsidRPr="005D45E6">
        <w:rPr>
          <w:szCs w:val="20"/>
        </w:rPr>
        <w:t xml:space="preserve">; </w:t>
      </w:r>
      <w:proofErr w:type="spellStart"/>
      <w:r w:rsidRPr="005D45E6">
        <w:rPr>
          <w:szCs w:val="20"/>
        </w:rPr>
        <w:t>Robson</w:t>
      </w:r>
      <w:proofErr w:type="spellEnd"/>
      <w:r w:rsidRPr="005D45E6">
        <w:rPr>
          <w:szCs w:val="20"/>
        </w:rPr>
        <w:t xml:space="preserve"> Genuino dos Santos Jr.; Michelle Mariano dos Santos; Bruna Fonseca Costa; Joyce Neri da Silva Dantas; </w:t>
      </w:r>
      <w:proofErr w:type="spellStart"/>
      <w:r w:rsidRPr="005D45E6">
        <w:rPr>
          <w:szCs w:val="20"/>
        </w:rPr>
        <w:t>Geni</w:t>
      </w:r>
      <w:proofErr w:type="spellEnd"/>
      <w:r w:rsidRPr="005D45E6">
        <w:rPr>
          <w:szCs w:val="20"/>
        </w:rPr>
        <w:t xml:space="preserve"> Pereira </w:t>
      </w:r>
      <w:proofErr w:type="spellStart"/>
      <w:r w:rsidRPr="005D45E6">
        <w:rPr>
          <w:szCs w:val="20"/>
        </w:rPr>
        <w:t>Dutra</w:t>
      </w:r>
      <w:proofErr w:type="spellEnd"/>
      <w:r w:rsidRPr="005D45E6">
        <w:rPr>
          <w:szCs w:val="20"/>
        </w:rPr>
        <w:t xml:space="preserve">; </w:t>
      </w:r>
      <w:proofErr w:type="spellStart"/>
      <w:r w:rsidRPr="005D45E6">
        <w:rPr>
          <w:szCs w:val="20"/>
        </w:rPr>
        <w:t>Diogo</w:t>
      </w:r>
      <w:proofErr w:type="spellEnd"/>
      <w:r w:rsidRPr="005D45E6">
        <w:rPr>
          <w:szCs w:val="20"/>
        </w:rPr>
        <w:t xml:space="preserve"> da Silva Genoveva; </w:t>
      </w:r>
      <w:r w:rsidR="00897DF5">
        <w:rPr>
          <w:szCs w:val="20"/>
        </w:rPr>
        <w:t>João Alves</w:t>
      </w:r>
      <w:r w:rsidRPr="005D45E6">
        <w:rPr>
          <w:szCs w:val="20"/>
        </w:rPr>
        <w:t xml:space="preserve"> de </w:t>
      </w:r>
      <w:proofErr w:type="spellStart"/>
      <w:r w:rsidRPr="005D45E6">
        <w:rPr>
          <w:szCs w:val="20"/>
        </w:rPr>
        <w:t>Moura</w:t>
      </w:r>
      <w:proofErr w:type="spellEnd"/>
      <w:r w:rsidRPr="005D45E6">
        <w:rPr>
          <w:szCs w:val="20"/>
        </w:rPr>
        <w:t xml:space="preserve">; Helena </w:t>
      </w:r>
      <w:proofErr w:type="spellStart"/>
      <w:r w:rsidRPr="005D45E6">
        <w:rPr>
          <w:szCs w:val="20"/>
        </w:rPr>
        <w:t>Vian</w:t>
      </w:r>
      <w:r w:rsidR="00CC6D82">
        <w:rPr>
          <w:szCs w:val="20"/>
        </w:rPr>
        <w:t>n</w:t>
      </w:r>
      <w:r w:rsidRPr="005D45E6">
        <w:rPr>
          <w:szCs w:val="20"/>
        </w:rPr>
        <w:t>a</w:t>
      </w:r>
      <w:proofErr w:type="spellEnd"/>
      <w:r w:rsidRPr="005D45E6">
        <w:rPr>
          <w:szCs w:val="20"/>
        </w:rPr>
        <w:t xml:space="preserve"> dos Santos; </w:t>
      </w:r>
      <w:proofErr w:type="spellStart"/>
      <w:r w:rsidRPr="005D45E6">
        <w:rPr>
          <w:szCs w:val="20"/>
        </w:rPr>
        <w:t>Ota</w:t>
      </w:r>
      <w:r w:rsidR="00E84E8F">
        <w:rPr>
          <w:szCs w:val="20"/>
        </w:rPr>
        <w:t>cilio</w:t>
      </w:r>
      <w:proofErr w:type="spellEnd"/>
      <w:r w:rsidR="00E84E8F">
        <w:rPr>
          <w:szCs w:val="20"/>
        </w:rPr>
        <w:t xml:space="preserve"> Costa; </w:t>
      </w:r>
      <w:proofErr w:type="spellStart"/>
      <w:r w:rsidR="00CC6D82">
        <w:rPr>
          <w:szCs w:val="20"/>
        </w:rPr>
        <w:t>Pricila</w:t>
      </w:r>
      <w:proofErr w:type="spellEnd"/>
      <w:r w:rsidR="00E84E8F">
        <w:rPr>
          <w:szCs w:val="20"/>
        </w:rPr>
        <w:t xml:space="preserve"> </w:t>
      </w:r>
      <w:proofErr w:type="spellStart"/>
      <w:r w:rsidR="00E84E8F">
        <w:rPr>
          <w:szCs w:val="20"/>
        </w:rPr>
        <w:t>Rodrigues</w:t>
      </w:r>
      <w:proofErr w:type="spellEnd"/>
      <w:r w:rsidR="00E84E8F">
        <w:rPr>
          <w:szCs w:val="20"/>
        </w:rPr>
        <w:t>;</w:t>
      </w:r>
      <w:r w:rsidRPr="005D45E6">
        <w:rPr>
          <w:szCs w:val="20"/>
        </w:rPr>
        <w:t xml:space="preserve"> William Mariano dos Santos</w:t>
      </w:r>
      <w:r w:rsidR="00E84E8F">
        <w:rPr>
          <w:szCs w:val="20"/>
        </w:rPr>
        <w:t xml:space="preserve">; </w:t>
      </w:r>
      <w:r>
        <w:t>L.R.J., C.S.S. y J.F.C.</w:t>
      </w:r>
    </w:p>
    <w:p w14:paraId="549CCF40" w14:textId="77777777" w:rsidR="00605737" w:rsidRPr="00071E09" w:rsidRDefault="00605737" w:rsidP="00605737">
      <w:pPr>
        <w:rPr>
          <w:b/>
        </w:rPr>
      </w:pPr>
    </w:p>
    <w:p w14:paraId="1EC79A93" w14:textId="0391569A" w:rsidR="00605737" w:rsidRPr="00D2080E" w:rsidRDefault="00B514DA" w:rsidP="00547D83">
      <w:pPr>
        <w:pStyle w:val="TOC1"/>
      </w:pPr>
      <w:bookmarkStart w:id="430" w:name="_Toc469404523"/>
      <w:bookmarkStart w:id="431" w:name="_Toc472608964"/>
      <w:r>
        <w:t>VI</w:t>
      </w:r>
      <w:r w:rsidR="00605737">
        <w:t>I</w:t>
      </w:r>
      <w:r w:rsidR="00605737" w:rsidRPr="00D2080E">
        <w:t>-3</w:t>
      </w:r>
      <w:bookmarkEnd w:id="430"/>
      <w:bookmarkEnd w:id="431"/>
    </w:p>
    <w:p w14:paraId="6A81C873" w14:textId="77777777" w:rsidR="00605737" w:rsidRPr="00D2080E" w:rsidRDefault="00605737" w:rsidP="00547D83">
      <w:pPr>
        <w:pStyle w:val="TOC1"/>
      </w:pPr>
      <w:bookmarkStart w:id="432" w:name="_Toc469404524"/>
      <w:bookmarkStart w:id="433" w:name="_Toc472608965"/>
      <w:r w:rsidRPr="00D2080E">
        <w:t>DERECHO DE CIRCULACIÓN Y RESIDENCIA</w:t>
      </w:r>
      <w:r w:rsidRPr="00D2080E">
        <w:rPr>
          <w:vertAlign w:val="superscript"/>
        </w:rPr>
        <w:footnoteReference w:id="309"/>
      </w:r>
      <w:bookmarkEnd w:id="432"/>
      <w:bookmarkEnd w:id="433"/>
    </w:p>
    <w:p w14:paraId="0FF3D5D2" w14:textId="77777777" w:rsidR="00605737" w:rsidRDefault="00605737" w:rsidP="00605737">
      <w:pPr>
        <w:rPr>
          <w:b/>
        </w:rPr>
      </w:pPr>
    </w:p>
    <w:p w14:paraId="185E9E4D" w14:textId="77777777" w:rsidR="00605737" w:rsidRPr="00E46859" w:rsidRDefault="00605737" w:rsidP="00123780">
      <w:pPr>
        <w:pStyle w:val="TOC2"/>
      </w:pPr>
      <w:bookmarkStart w:id="434" w:name="_Toc469404525"/>
      <w:bookmarkStart w:id="435" w:name="_Toc472608966"/>
      <w:r>
        <w:t>A.</w:t>
      </w:r>
      <w:r>
        <w:tab/>
      </w:r>
      <w:r w:rsidRPr="00E46859">
        <w:t>Argumentos de las partes y de la Comisión</w:t>
      </w:r>
      <w:bookmarkEnd w:id="434"/>
      <w:bookmarkEnd w:id="435"/>
    </w:p>
    <w:p w14:paraId="00EBAE9E" w14:textId="77777777" w:rsidR="00605737" w:rsidRPr="00D2080E" w:rsidRDefault="00605737" w:rsidP="00605737">
      <w:pPr>
        <w:rPr>
          <w:lang w:val="es-MX"/>
        </w:rPr>
      </w:pPr>
    </w:p>
    <w:p w14:paraId="6C96912D" w14:textId="77777777" w:rsidR="00605737" w:rsidRPr="00D2080E" w:rsidRDefault="00605737" w:rsidP="00605737">
      <w:pPr>
        <w:numPr>
          <w:ilvl w:val="0"/>
          <w:numId w:val="1"/>
        </w:numPr>
      </w:pPr>
      <w:r w:rsidRPr="00D2080E">
        <w:t xml:space="preserve">La </w:t>
      </w:r>
      <w:r w:rsidRPr="00D2080E">
        <w:rPr>
          <w:b/>
          <w:i/>
        </w:rPr>
        <w:t>Comisión</w:t>
      </w:r>
      <w:r w:rsidRPr="00D2080E">
        <w:t xml:space="preserve"> no se refirió </w:t>
      </w:r>
      <w:r>
        <w:t>acerca de</w:t>
      </w:r>
      <w:r w:rsidRPr="00D2080E">
        <w:t xml:space="preserve"> la violación de es</w:t>
      </w:r>
      <w:r>
        <w:t>t</w:t>
      </w:r>
      <w:r w:rsidRPr="00D2080E">
        <w:t>e derecho.</w:t>
      </w:r>
    </w:p>
    <w:p w14:paraId="674C6AE0" w14:textId="77777777" w:rsidR="00605737" w:rsidRPr="00D2080E" w:rsidRDefault="00605737" w:rsidP="00605737"/>
    <w:p w14:paraId="79ACFE98" w14:textId="7D34E817" w:rsidR="00605737" w:rsidRPr="00D2080E" w:rsidRDefault="00605737" w:rsidP="00605737">
      <w:pPr>
        <w:numPr>
          <w:ilvl w:val="0"/>
          <w:numId w:val="1"/>
        </w:numPr>
      </w:pPr>
      <w:r w:rsidRPr="00D2080E">
        <w:t xml:space="preserve">Los </w:t>
      </w:r>
      <w:r w:rsidRPr="00D2080E">
        <w:rPr>
          <w:b/>
          <w:i/>
        </w:rPr>
        <w:t>representantes</w:t>
      </w:r>
      <w:r w:rsidRPr="00D2080E">
        <w:t xml:space="preserve"> señalaron que mediante una interpretación evolutiva del artículo 22.1 de la Convención Americana, se debe entender que tal norma protege el derecho a no ser desplazado forzadamente. Además, la obligación de los Estados de proteger los derechos de las personas desplazadas conlleva no sólo el deber de adoptar medidas de prevención, sino también de proveer las condiciones necesarias para un retorno digno y seguro a su lugar de residencia habitual o su reasentamiento voluntario en otra parte del país.</w:t>
      </w:r>
    </w:p>
    <w:p w14:paraId="7CB00AA5" w14:textId="77777777" w:rsidR="00605737" w:rsidRPr="00D2080E" w:rsidRDefault="00605737" w:rsidP="00605737"/>
    <w:p w14:paraId="08955ED8" w14:textId="56F0D0A9" w:rsidR="00605737" w:rsidRPr="00D2080E" w:rsidRDefault="00605737" w:rsidP="00605737">
      <w:pPr>
        <w:numPr>
          <w:ilvl w:val="0"/>
          <w:numId w:val="1"/>
        </w:numPr>
      </w:pPr>
      <w:r w:rsidRPr="00D2080E">
        <w:t xml:space="preserve">Los representantes alegaron que L.R.J., C.S.S. y J.F.C. se vieron obligadas a dejar sus residencias en la Favela Nova Brasilia, en virtud de las circunstancias violentas que rodearon los hechos relatados y de la continuidad de la actuación policial de los perpetradores de tales actos. En este sentido, la situación de desplazamiento de las víctimas fue continuada, </w:t>
      </w:r>
      <w:r>
        <w:t>persistiendo</w:t>
      </w:r>
      <w:r w:rsidRPr="00D2080E">
        <w:t xml:space="preserve"> incluso después de la fecha de aceptación de la competencia contenciosa de la Corte por el Estado. Recientemente, L.R.J. </w:t>
      </w:r>
      <w:r w:rsidR="00A07E4C">
        <w:t>se vio</w:t>
      </w:r>
      <w:r w:rsidR="00A07E4C" w:rsidRPr="00D2080E">
        <w:t xml:space="preserve"> </w:t>
      </w:r>
      <w:r w:rsidRPr="00D2080E">
        <w:t>obligada a retornar a la Favela Nova Brasilia por motivos financieros, lo que le provoca mucho miedo y ansiedad.</w:t>
      </w:r>
    </w:p>
    <w:p w14:paraId="65644488" w14:textId="77777777" w:rsidR="00605737" w:rsidRPr="00D2080E" w:rsidRDefault="00605737" w:rsidP="00605737"/>
    <w:p w14:paraId="52A5FADC" w14:textId="6F81C938" w:rsidR="00605737" w:rsidRPr="00D2080E" w:rsidRDefault="00605737" w:rsidP="00605737">
      <w:pPr>
        <w:numPr>
          <w:ilvl w:val="0"/>
          <w:numId w:val="1"/>
        </w:numPr>
      </w:pPr>
      <w:r w:rsidRPr="00D2080E">
        <w:t>Los representantes solicitaron a la Corte que declare que el Estado es responsable por incumplir su deber de garantía en relación con el derecho de circulación y de residencia contenido en el artículo 22.1 de la Convención Am</w:t>
      </w:r>
      <w:r>
        <w:t>ericana, en relación con el artículo</w:t>
      </w:r>
      <w:r w:rsidRPr="00D2080E">
        <w:t xml:space="preserve"> 1.1 del mismo instrumento, en perjuicio de L.R.J., C.S.S. y </w:t>
      </w:r>
      <w:proofErr w:type="gramStart"/>
      <w:r w:rsidRPr="00D2080E">
        <w:t>J.F.C..</w:t>
      </w:r>
      <w:proofErr w:type="gramEnd"/>
    </w:p>
    <w:p w14:paraId="4495A183" w14:textId="77777777" w:rsidR="00605737" w:rsidRPr="00D2080E" w:rsidRDefault="00605737" w:rsidP="00605737"/>
    <w:p w14:paraId="3B620564" w14:textId="732D9B7D" w:rsidR="00605737" w:rsidRPr="005D5DA8" w:rsidRDefault="00605737" w:rsidP="005D5DA8">
      <w:pPr>
        <w:numPr>
          <w:ilvl w:val="0"/>
          <w:numId w:val="1"/>
        </w:numPr>
        <w:rPr>
          <w:b/>
        </w:rPr>
      </w:pPr>
      <w:r w:rsidRPr="00D2080E">
        <w:t xml:space="preserve">El </w:t>
      </w:r>
      <w:r w:rsidRPr="00D2080E">
        <w:rPr>
          <w:b/>
          <w:i/>
        </w:rPr>
        <w:t>Estado</w:t>
      </w:r>
      <w:r w:rsidRPr="00D2080E">
        <w:t xml:space="preserve"> alegó que no existen hechos que demuestren una amenaza efectiva o cualquier restricción </w:t>
      </w:r>
      <w:r w:rsidR="00A07E4C">
        <w:t>a</w:t>
      </w:r>
      <w:r w:rsidRPr="00D2080E">
        <w:t xml:space="preserve"> </w:t>
      </w:r>
      <w:r>
        <w:t>la libertad de movimiento y de la posibilidad de conservar su</w:t>
      </w:r>
      <w:r w:rsidRPr="00D2080E">
        <w:t xml:space="preserve"> residencia </w:t>
      </w:r>
      <w:r w:rsidR="00A07E4C">
        <w:t xml:space="preserve">respecto </w:t>
      </w:r>
      <w:r w:rsidRPr="00D2080E">
        <w:t xml:space="preserve">de las tres presuntas víctimas. El Estado consideró que la situación alegada de </w:t>
      </w:r>
      <w:r>
        <w:t xml:space="preserve">presenciar </w:t>
      </w:r>
      <w:r w:rsidRPr="00D2080E">
        <w:t>las muertes</w:t>
      </w:r>
      <w:r w:rsidR="00A07E4C">
        <w:t xml:space="preserve"> ocurridas en las redadas</w:t>
      </w:r>
      <w:r w:rsidRPr="00D2080E">
        <w:t>, podría generar un eventual trauma en las víctimas, sin embargo esto no presupone una violación al derecho de libertad de circulación y de residencia y no existen hechos que demuestren una amenaza efectiva</w:t>
      </w:r>
      <w:r>
        <w:t xml:space="preserve"> </w:t>
      </w:r>
      <w:r w:rsidR="00A07E4C">
        <w:t>a</w:t>
      </w:r>
      <w:r>
        <w:t xml:space="preserve"> los mismos</w:t>
      </w:r>
      <w:r w:rsidRPr="00D2080E">
        <w:t xml:space="preserve">. </w:t>
      </w:r>
    </w:p>
    <w:p w14:paraId="3A75AF43" w14:textId="77777777" w:rsidR="00605737" w:rsidRPr="00D2080E" w:rsidRDefault="00605737" w:rsidP="00605737">
      <w:pPr>
        <w:rPr>
          <w:b/>
        </w:rPr>
      </w:pPr>
    </w:p>
    <w:p w14:paraId="4FD16053" w14:textId="66698BB8" w:rsidR="00605737" w:rsidRPr="00D2080E" w:rsidRDefault="005D5DA8" w:rsidP="005D5DA8">
      <w:pPr>
        <w:numPr>
          <w:ilvl w:val="0"/>
          <w:numId w:val="1"/>
        </w:numPr>
      </w:pPr>
      <w:r>
        <w:lastRenderedPageBreak/>
        <w:t>Además, m</w:t>
      </w:r>
      <w:r w:rsidR="00605737" w:rsidRPr="00D2080E">
        <w:t xml:space="preserve">anifestó que la amenaza o persecución debe ser real, por lo que no se puede limitar únicamente a un sentimiento de </w:t>
      </w:r>
      <w:r w:rsidR="00605737">
        <w:t>temor</w:t>
      </w:r>
      <w:r w:rsidR="00605737" w:rsidRPr="00D2080E">
        <w:t xml:space="preserve"> </w:t>
      </w:r>
      <w:r w:rsidR="00605737">
        <w:t xml:space="preserve">pues </w:t>
      </w:r>
      <w:r w:rsidR="00605737" w:rsidRPr="00D2080E">
        <w:t xml:space="preserve">en ese caso el Estado no tendría ninguna obligación </w:t>
      </w:r>
      <w:r w:rsidR="00605737">
        <w:t xml:space="preserve">específica de garantizar la libertad de circulación </w:t>
      </w:r>
      <w:r w:rsidR="00605737" w:rsidRPr="00D2080E">
        <w:t xml:space="preserve">en el territorio. Finalmente, el Estado recordó que L.R.J. confirmó residir en la Favela Nova Brasilia, por </w:t>
      </w:r>
      <w:r w:rsidR="0015653E">
        <w:t>lo que solicitó</w:t>
      </w:r>
      <w:r w:rsidR="00605737" w:rsidRPr="00D2080E">
        <w:t xml:space="preserve"> que se reconozca que no hubo violación de los derechos de circulación y residencia. </w:t>
      </w:r>
    </w:p>
    <w:p w14:paraId="2E6938D4" w14:textId="77777777" w:rsidR="00605737" w:rsidRDefault="00605737" w:rsidP="00605737">
      <w:pPr>
        <w:ind w:left="360"/>
      </w:pPr>
    </w:p>
    <w:p w14:paraId="15B5ED57" w14:textId="77777777" w:rsidR="00605737" w:rsidRPr="00F32DA7" w:rsidRDefault="00605737" w:rsidP="00123780">
      <w:pPr>
        <w:pStyle w:val="TOC2"/>
      </w:pPr>
      <w:bookmarkStart w:id="436" w:name="_Toc469404526"/>
      <w:bookmarkStart w:id="437" w:name="_Toc472608967"/>
      <w:r>
        <w:t xml:space="preserve">B. </w:t>
      </w:r>
      <w:r>
        <w:tab/>
      </w:r>
      <w:r w:rsidRPr="00F32DA7">
        <w:t>Consideraciones de la Corte</w:t>
      </w:r>
      <w:bookmarkEnd w:id="436"/>
      <w:bookmarkEnd w:id="437"/>
    </w:p>
    <w:p w14:paraId="7F5EF1A7" w14:textId="77777777" w:rsidR="00605737" w:rsidRDefault="00605737" w:rsidP="00605737">
      <w:pPr>
        <w:pStyle w:val="NormalNumbered"/>
        <w:numPr>
          <w:ilvl w:val="0"/>
          <w:numId w:val="0"/>
        </w:numPr>
        <w:rPr>
          <w:rFonts w:eastAsiaTheme="minorHAnsi" w:cstheme="minorBidi"/>
          <w:lang w:val="es-ES" w:eastAsia="en-US"/>
        </w:rPr>
      </w:pPr>
    </w:p>
    <w:p w14:paraId="786985B5" w14:textId="6D51356C" w:rsidR="00605737" w:rsidRPr="004A3268" w:rsidRDefault="00A669C1" w:rsidP="00605737">
      <w:pPr>
        <w:pStyle w:val="ListParagraph"/>
        <w:numPr>
          <w:ilvl w:val="0"/>
          <w:numId w:val="1"/>
        </w:numPr>
        <w:rPr>
          <w:lang w:val="x-none"/>
        </w:rPr>
      </w:pPr>
      <w:r>
        <w:rPr>
          <w:lang w:val="es-ES"/>
        </w:rPr>
        <w:t>L</w:t>
      </w:r>
      <w:r w:rsidR="00605737">
        <w:rPr>
          <w:lang w:val="es-ES"/>
        </w:rPr>
        <w:t xml:space="preserve">a Corte nota que los hechos relativos a que </w:t>
      </w:r>
      <w:r w:rsidR="00605737" w:rsidRPr="00D2080E">
        <w:t xml:space="preserve">L.R.J., C.S.S. y J.F.C. se </w:t>
      </w:r>
      <w:r w:rsidR="001F30E9">
        <w:t>habrían visto</w:t>
      </w:r>
      <w:r w:rsidR="00605737" w:rsidRPr="00D2080E">
        <w:t xml:space="preserve"> obligadas a dejar sus residencias en la Favela Nova Brasilia, en virtud de las circunstancias violentas que rodearon los hechos y de la continuidad de la </w:t>
      </w:r>
      <w:r w:rsidR="00605737">
        <w:t>actividad</w:t>
      </w:r>
      <w:r w:rsidR="00605737" w:rsidRPr="00D2080E">
        <w:t xml:space="preserve"> policial de los perpetradores de tales actos</w:t>
      </w:r>
      <w:r w:rsidR="00605737">
        <w:t xml:space="preserve">, no se encuentran </w:t>
      </w:r>
      <w:r w:rsidR="00A07E4C">
        <w:t>dentro d</w:t>
      </w:r>
      <w:r w:rsidR="00605737">
        <w:t>el marco fáctico establecido en el Informe de Fondo de la Comisión Interamericana. En ese sentido, estos hechos alegados</w:t>
      </w:r>
      <w:r w:rsidR="00F275F9">
        <w:t xml:space="preserve"> </w:t>
      </w:r>
      <w:r w:rsidR="00B51E7D">
        <w:t>fueron presentados de manera</w:t>
      </w:r>
      <w:r w:rsidR="00F275F9">
        <w:t xml:space="preserve"> extempor</w:t>
      </w:r>
      <w:r w:rsidR="00B51E7D">
        <w:t>ánea, sin una justificación para ello</w:t>
      </w:r>
      <w:r w:rsidR="00F275F9">
        <w:t xml:space="preserve"> y</w:t>
      </w:r>
      <w:r w:rsidR="00605737">
        <w:t xml:space="preserve"> no pueden considerarse como complementarios respecto de los establecidos en el Informe de</w:t>
      </w:r>
      <w:r w:rsidR="00F275F9">
        <w:t xml:space="preserve"> Fondo</w:t>
      </w:r>
      <w:r w:rsidR="00605737">
        <w:t xml:space="preserve">. </w:t>
      </w:r>
    </w:p>
    <w:p w14:paraId="033B5C48" w14:textId="77777777" w:rsidR="00605737" w:rsidRDefault="00605737" w:rsidP="00605737">
      <w:pPr>
        <w:pStyle w:val="ListParagraph"/>
        <w:ind w:left="0"/>
        <w:rPr>
          <w:lang w:val="es-ES"/>
        </w:rPr>
      </w:pPr>
    </w:p>
    <w:p w14:paraId="34AF2572" w14:textId="1047CC77" w:rsidR="00605737" w:rsidRPr="00993EDE" w:rsidRDefault="00605737" w:rsidP="00605737">
      <w:pPr>
        <w:pStyle w:val="ListParagraph"/>
        <w:numPr>
          <w:ilvl w:val="0"/>
          <w:numId w:val="1"/>
        </w:numPr>
        <w:rPr>
          <w:lang w:val="x-none"/>
        </w:rPr>
      </w:pPr>
      <w:r>
        <w:t xml:space="preserve">Por lo anterior, la Corte concluye que </w:t>
      </w:r>
      <w:r w:rsidR="00BA6DF9">
        <w:t>l</w:t>
      </w:r>
      <w:r w:rsidR="00BA6DF9">
        <w:rPr>
          <w:lang w:val="es-ES"/>
        </w:rPr>
        <w:t xml:space="preserve">os hechos relativos a que </w:t>
      </w:r>
      <w:r w:rsidR="00BA6DF9" w:rsidRPr="00D2080E">
        <w:t xml:space="preserve">L.R.J., C.S.S. y J.F.C. </w:t>
      </w:r>
      <w:r w:rsidR="00BA6DF9">
        <w:t xml:space="preserve">habrían </w:t>
      </w:r>
      <w:r w:rsidR="00A07E4C">
        <w:t xml:space="preserve">tenido que abandonar </w:t>
      </w:r>
      <w:r w:rsidR="00BA6DF9" w:rsidRPr="00D2080E">
        <w:t>sus residencias en la Favela Nova Brasilia</w:t>
      </w:r>
      <w:r w:rsidR="00BA6DF9">
        <w:t xml:space="preserve"> no se encuentran en el marco fáctico establecido en el Informe de Fondo</w:t>
      </w:r>
      <w:r w:rsidR="00123B0E">
        <w:t xml:space="preserve">, de manera que no es posible </w:t>
      </w:r>
      <w:r>
        <w:t>concluir que el Estado violó el derecho de circulación y residencia, establecido en el artículo 22.1 de la Convención Americana, en relación con el artículo 1.1 del mismo instrumento, en perjuicio de C.S.S., J.F.C. y L.R.J</w:t>
      </w:r>
      <w:r w:rsidR="00A07E4C">
        <w:t>.</w:t>
      </w:r>
    </w:p>
    <w:p w14:paraId="3E3C66B3" w14:textId="77777777" w:rsidR="00605737" w:rsidRPr="00E46859" w:rsidRDefault="00605737" w:rsidP="00605737">
      <w:pPr>
        <w:rPr>
          <w:lang w:val="x-none"/>
        </w:rPr>
      </w:pPr>
    </w:p>
    <w:p w14:paraId="2E3CA42A" w14:textId="0BC71FC6" w:rsidR="00605737" w:rsidRPr="000126EC" w:rsidRDefault="00B514DA" w:rsidP="00547D83">
      <w:pPr>
        <w:pStyle w:val="TOC1"/>
      </w:pPr>
      <w:bookmarkStart w:id="438" w:name="_Toc472608968"/>
      <w:r>
        <w:t>VIII</w:t>
      </w:r>
      <w:bookmarkEnd w:id="438"/>
    </w:p>
    <w:p w14:paraId="6772AF81" w14:textId="77777777" w:rsidR="00605737" w:rsidRDefault="00605737" w:rsidP="00547D83">
      <w:pPr>
        <w:pStyle w:val="TOC1"/>
      </w:pPr>
      <w:bookmarkStart w:id="439" w:name="_Toc469404528"/>
      <w:bookmarkStart w:id="440" w:name="_Toc472608969"/>
      <w:r w:rsidRPr="000126EC">
        <w:t>REPARACIONES</w:t>
      </w:r>
      <w:bookmarkEnd w:id="439"/>
      <w:bookmarkEnd w:id="440"/>
    </w:p>
    <w:p w14:paraId="35C3D64F" w14:textId="77777777" w:rsidR="00605737" w:rsidRPr="000126EC" w:rsidRDefault="00605737" w:rsidP="00605737">
      <w:pPr>
        <w:keepNext/>
        <w:keepLines/>
        <w:jc w:val="center"/>
        <w:outlineLvl w:val="0"/>
        <w:rPr>
          <w:rFonts w:eastAsia="Times New Roman" w:cs="Verdana"/>
          <w:b/>
          <w:bCs/>
          <w:caps/>
          <w:noProof/>
          <w:snapToGrid w:val="0"/>
          <w:color w:val="000000"/>
          <w:szCs w:val="20"/>
          <w:lang w:eastAsia="es-ES"/>
        </w:rPr>
      </w:pPr>
      <w:bookmarkStart w:id="441" w:name="_Toc460432530"/>
      <w:bookmarkStart w:id="442" w:name="_Toc460433059"/>
      <w:bookmarkStart w:id="443" w:name="_Toc460441990"/>
      <w:bookmarkStart w:id="444" w:name="_Toc462751132"/>
      <w:bookmarkStart w:id="445" w:name="_Toc469404529"/>
      <w:bookmarkStart w:id="446" w:name="_Toc472608970"/>
      <w:r w:rsidRPr="000126EC">
        <w:rPr>
          <w:rFonts w:eastAsia="Times New Roman" w:cs="Verdana"/>
          <w:b/>
          <w:bCs/>
          <w:caps/>
          <w:noProof/>
          <w:snapToGrid w:val="0"/>
          <w:color w:val="000000"/>
          <w:szCs w:val="20"/>
          <w:lang w:eastAsia="es-ES"/>
        </w:rPr>
        <w:t>(Aplicación del Artículo 63.1 de la Convención Americana)</w:t>
      </w:r>
      <w:bookmarkEnd w:id="441"/>
      <w:bookmarkEnd w:id="442"/>
      <w:bookmarkEnd w:id="443"/>
      <w:bookmarkEnd w:id="444"/>
      <w:bookmarkEnd w:id="445"/>
      <w:bookmarkEnd w:id="446"/>
    </w:p>
    <w:p w14:paraId="35016480" w14:textId="77777777" w:rsidR="00605737" w:rsidRPr="00547D83" w:rsidRDefault="00605737" w:rsidP="00547D83">
      <w:pPr>
        <w:pStyle w:val="CommentText"/>
        <w:rPr>
          <w:szCs w:val="22"/>
        </w:rPr>
      </w:pPr>
    </w:p>
    <w:p w14:paraId="11794723" w14:textId="77777777" w:rsidR="00605737" w:rsidRPr="00FC0F3D" w:rsidRDefault="00605737" w:rsidP="00605737">
      <w:pPr>
        <w:numPr>
          <w:ilvl w:val="0"/>
          <w:numId w:val="1"/>
        </w:numPr>
        <w:rPr>
          <w:lang w:val="es-ES_tradnl"/>
        </w:rPr>
      </w:pPr>
      <w:r w:rsidRPr="00FC0F3D">
        <w:rPr>
          <w:lang w:val="es-ES_tradnl"/>
        </w:rPr>
        <w:t>Sobre la base de lo dispuesto en el artículo 63.1 de la Convención Americana</w:t>
      </w:r>
      <w:r w:rsidRPr="00FC0F3D">
        <w:rPr>
          <w:vertAlign w:val="superscript"/>
          <w:lang w:val="es-ES_tradnl"/>
        </w:rPr>
        <w:footnoteReference w:id="310"/>
      </w:r>
      <w:r w:rsidRPr="00FC0F3D">
        <w:rPr>
          <w:lang w:val="es-ES_tradnl"/>
        </w:rPr>
        <w:t>, la Corte ha indicado que toda violación de una obligación internacional que haya producido daño comporta el deber de repararlo adecuadamente</w:t>
      </w:r>
      <w:r w:rsidRPr="00FC0F3D">
        <w:rPr>
          <w:vertAlign w:val="superscript"/>
          <w:lang w:val="es-ES_tradnl"/>
        </w:rPr>
        <w:footnoteReference w:id="311"/>
      </w:r>
      <w:r w:rsidRPr="00FC0F3D">
        <w:rPr>
          <w:lang w:val="es-ES_tradnl"/>
        </w:rPr>
        <w:t>, y que esa disposición recoge una norma consuetudinaria que constituye uno de los principios fundamentales del Derecho Internacional contemporáneo sobre responsabilidad de un Estado</w:t>
      </w:r>
      <w:r w:rsidRPr="00FC0F3D">
        <w:rPr>
          <w:vertAlign w:val="superscript"/>
          <w:lang w:val="es-ES_tradnl"/>
        </w:rPr>
        <w:footnoteReference w:id="312"/>
      </w:r>
      <w:r w:rsidRPr="00FC0F3D">
        <w:rPr>
          <w:lang w:val="es-ES_tradnl"/>
        </w:rPr>
        <w:t>.</w:t>
      </w:r>
    </w:p>
    <w:p w14:paraId="74AACBE0" w14:textId="77777777" w:rsidR="00605737" w:rsidRPr="00FC0F3D" w:rsidRDefault="00605737" w:rsidP="00605737">
      <w:pPr>
        <w:rPr>
          <w:lang w:val="es-ES_tradnl"/>
        </w:rPr>
      </w:pPr>
    </w:p>
    <w:p w14:paraId="575C3920" w14:textId="77777777" w:rsidR="00605737" w:rsidRPr="00FC0F3D" w:rsidRDefault="00605737" w:rsidP="00605737">
      <w:pPr>
        <w:numPr>
          <w:ilvl w:val="0"/>
          <w:numId w:val="1"/>
        </w:numPr>
        <w:rPr>
          <w:lang w:val="es-ES_tradnl"/>
        </w:rPr>
      </w:pPr>
      <w:r w:rsidRPr="00FC0F3D">
        <w:rPr>
          <w:bCs/>
          <w:iCs/>
        </w:rPr>
        <w:t>La reparación del daño ocasionado por la infracción de una obligación internacional requiere, siempre que sea posible, la plena restitución (</w:t>
      </w:r>
      <w:proofErr w:type="spellStart"/>
      <w:r w:rsidRPr="00FC0F3D">
        <w:rPr>
          <w:bCs/>
          <w:i/>
          <w:iCs/>
        </w:rPr>
        <w:t>restitutio</w:t>
      </w:r>
      <w:proofErr w:type="spellEnd"/>
      <w:r w:rsidRPr="00FC0F3D">
        <w:rPr>
          <w:bCs/>
          <w:i/>
          <w:iCs/>
        </w:rPr>
        <w:t xml:space="preserve"> in </w:t>
      </w:r>
      <w:proofErr w:type="spellStart"/>
      <w:r w:rsidRPr="00FC0F3D">
        <w:rPr>
          <w:bCs/>
          <w:i/>
          <w:iCs/>
        </w:rPr>
        <w:t>integrum</w:t>
      </w:r>
      <w:proofErr w:type="spellEnd"/>
      <w:r w:rsidRPr="00FC0F3D">
        <w:rPr>
          <w:bCs/>
          <w:iCs/>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FC0F3D">
        <w:rPr>
          <w:iCs/>
          <w:vertAlign w:val="superscript"/>
        </w:rPr>
        <w:footnoteReference w:id="313"/>
      </w:r>
      <w:r w:rsidRPr="00FC0F3D">
        <w:rPr>
          <w:bCs/>
          <w:iCs/>
        </w:rPr>
        <w:t>.</w:t>
      </w:r>
    </w:p>
    <w:p w14:paraId="08085812" w14:textId="77777777" w:rsidR="00605737" w:rsidRPr="00FC0F3D" w:rsidRDefault="00605737" w:rsidP="00605737">
      <w:pPr>
        <w:rPr>
          <w:iCs/>
        </w:rPr>
      </w:pPr>
    </w:p>
    <w:p w14:paraId="43275D0A" w14:textId="77777777" w:rsidR="00605737" w:rsidRPr="00FC0F3D" w:rsidRDefault="00605737" w:rsidP="00605737">
      <w:pPr>
        <w:numPr>
          <w:ilvl w:val="0"/>
          <w:numId w:val="1"/>
        </w:numPr>
        <w:rPr>
          <w:lang w:val="es-ES_tradnl"/>
        </w:rPr>
      </w:pPr>
      <w:r w:rsidRPr="00FC0F3D">
        <w:rPr>
          <w:iCs/>
        </w:rPr>
        <w:t xml:space="preserve">Este Tribunal ha establecido que las reparaciones deben tener un nexo causal con los hechos del caso, las violaciones declaradas, los daños acreditados, así como las medidas </w:t>
      </w:r>
      <w:r w:rsidRPr="00FC0F3D">
        <w:rPr>
          <w:iCs/>
        </w:rPr>
        <w:lastRenderedPageBreak/>
        <w:t>solicitadas para reparar los daños respectivos. Por lo tanto, la Corte deberá observar dicha concurrencia para pronunciarse debidamente y conforme a derecho</w:t>
      </w:r>
      <w:r w:rsidRPr="00FC0F3D">
        <w:rPr>
          <w:iCs/>
          <w:vertAlign w:val="superscript"/>
        </w:rPr>
        <w:footnoteReference w:id="314"/>
      </w:r>
      <w:r w:rsidRPr="00FC0F3D">
        <w:rPr>
          <w:iCs/>
        </w:rPr>
        <w:t>.</w:t>
      </w:r>
    </w:p>
    <w:p w14:paraId="582932CE" w14:textId="77777777" w:rsidR="00605737" w:rsidRPr="00FC0F3D" w:rsidRDefault="00605737" w:rsidP="00605737">
      <w:pPr>
        <w:rPr>
          <w:iCs/>
          <w:lang w:val="es-ES_tradnl"/>
        </w:rPr>
      </w:pPr>
    </w:p>
    <w:p w14:paraId="3F8EF170" w14:textId="77777777" w:rsidR="00605737" w:rsidRPr="00FC0F3D" w:rsidRDefault="00605737" w:rsidP="00605737">
      <w:pPr>
        <w:numPr>
          <w:ilvl w:val="0"/>
          <w:numId w:val="1"/>
        </w:numPr>
        <w:rPr>
          <w:lang w:val="es-ES_tradnl"/>
        </w:rPr>
      </w:pPr>
      <w:r w:rsidRPr="00FC0F3D">
        <w:rPr>
          <w:iCs/>
          <w:lang w:val="es-ES_tradnl"/>
        </w:rPr>
        <w:t xml:space="preserve">En consideración de las violaciones declaradas en el capítulo </w:t>
      </w:r>
      <w:r w:rsidRPr="00FC0F3D">
        <w:rPr>
          <w:iCs/>
          <w:lang w:val="es-CL"/>
        </w:rPr>
        <w:t>anterior</w:t>
      </w:r>
      <w:r w:rsidRPr="00FC0F3D">
        <w:rPr>
          <w:iCs/>
          <w:lang w:val="es-ES_tradnl"/>
        </w:rPr>
        <w:t>, el Tribunal procederá a analizar las pretensiones presentadas por los representantes de las víctimas, así como los argumentos del Estado, a la luz de los criterios fijados en la jurisprudencia de la Corte en relación con la naturaleza y alcance de la obligación de reparar</w:t>
      </w:r>
      <w:r w:rsidRPr="00FC0F3D">
        <w:rPr>
          <w:iCs/>
          <w:vertAlign w:val="superscript"/>
          <w:lang w:val="es-ES_tradnl"/>
        </w:rPr>
        <w:footnoteReference w:id="315"/>
      </w:r>
      <w:r w:rsidRPr="00FC0F3D">
        <w:rPr>
          <w:iCs/>
          <w:lang w:val="es-ES_tradnl"/>
        </w:rPr>
        <w:t>, con el objeto de disponer las medidas dirigidas a reparar los daños ocasionados a las víctimas.</w:t>
      </w:r>
    </w:p>
    <w:p w14:paraId="69D11F0A" w14:textId="77777777" w:rsidR="00605737" w:rsidRPr="00FC0F3D" w:rsidRDefault="00605737" w:rsidP="00605737">
      <w:pPr>
        <w:rPr>
          <w:iCs/>
        </w:rPr>
      </w:pPr>
    </w:p>
    <w:p w14:paraId="16A0BC2B" w14:textId="77777777" w:rsidR="00605737" w:rsidRPr="00FC0F3D" w:rsidRDefault="00605737" w:rsidP="00123780">
      <w:pPr>
        <w:pStyle w:val="TOC2"/>
      </w:pPr>
      <w:bookmarkStart w:id="447" w:name="_Toc462751133"/>
      <w:bookmarkStart w:id="448" w:name="_Toc469404530"/>
      <w:bookmarkStart w:id="449" w:name="_Toc472608971"/>
      <w:r>
        <w:t xml:space="preserve">A. </w:t>
      </w:r>
      <w:r>
        <w:tab/>
      </w:r>
      <w:r w:rsidRPr="00FC0F3D">
        <w:t>Parte lesionada</w:t>
      </w:r>
      <w:bookmarkEnd w:id="447"/>
      <w:bookmarkEnd w:id="448"/>
      <w:bookmarkEnd w:id="449"/>
    </w:p>
    <w:p w14:paraId="2F5F88ED" w14:textId="77777777" w:rsidR="00605737" w:rsidRPr="00FC0F3D" w:rsidRDefault="00605737" w:rsidP="00605737">
      <w:pPr>
        <w:rPr>
          <w:iCs/>
        </w:rPr>
      </w:pPr>
    </w:p>
    <w:p w14:paraId="7F14B4A0" w14:textId="1C1E4FDD" w:rsidR="00605737" w:rsidRPr="00FC0F3D" w:rsidRDefault="00605737" w:rsidP="00605737">
      <w:pPr>
        <w:numPr>
          <w:ilvl w:val="0"/>
          <w:numId w:val="1"/>
        </w:numPr>
        <w:rPr>
          <w:iCs/>
          <w:lang w:val="es-ES_tradnl"/>
        </w:rPr>
      </w:pPr>
      <w:r w:rsidRPr="00FC0F3D">
        <w:rPr>
          <w:iCs/>
        </w:rPr>
        <w:t>Este Tribunal reitera que se consideran partes lesionadas, en los términos del artículo 63.1 de la Convención, a quienes han sido declaradas víctimas de la violación de algún derecho reconocido en la misma</w:t>
      </w:r>
      <w:r w:rsidRPr="00FC0F3D">
        <w:rPr>
          <w:iCs/>
          <w:vertAlign w:val="superscript"/>
        </w:rPr>
        <w:footnoteReference w:id="316"/>
      </w:r>
      <w:r w:rsidRPr="00FC0F3D">
        <w:rPr>
          <w:iCs/>
        </w:rPr>
        <w:t xml:space="preserve">. Por lo tanto, esta Corte considera como “partes lesionadas” a las personas identificadas en los párrafos </w:t>
      </w:r>
      <w:r w:rsidR="00EE6707">
        <w:rPr>
          <w:iCs/>
        </w:rPr>
        <w:t>22</w:t>
      </w:r>
      <w:r w:rsidR="00EC07C7">
        <w:rPr>
          <w:iCs/>
        </w:rPr>
        <w:t>4</w:t>
      </w:r>
      <w:r w:rsidR="00EE6707">
        <w:rPr>
          <w:iCs/>
        </w:rPr>
        <w:t>, 23</w:t>
      </w:r>
      <w:r w:rsidR="00EC07C7">
        <w:rPr>
          <w:iCs/>
        </w:rPr>
        <w:t>1</w:t>
      </w:r>
      <w:r w:rsidR="00EE6707">
        <w:rPr>
          <w:iCs/>
        </w:rPr>
        <w:t>, 2</w:t>
      </w:r>
      <w:r w:rsidR="00EC07C7">
        <w:rPr>
          <w:iCs/>
        </w:rPr>
        <w:t>39</w:t>
      </w:r>
      <w:r w:rsidR="00EE6707">
        <w:rPr>
          <w:iCs/>
        </w:rPr>
        <w:t>, 24</w:t>
      </w:r>
      <w:r w:rsidR="00EC07C7">
        <w:rPr>
          <w:iCs/>
        </w:rPr>
        <w:t>2</w:t>
      </w:r>
      <w:r w:rsidR="00EE6707">
        <w:rPr>
          <w:iCs/>
        </w:rPr>
        <w:t>, 2</w:t>
      </w:r>
      <w:r w:rsidR="00EC07C7">
        <w:rPr>
          <w:iCs/>
        </w:rPr>
        <w:t>59</w:t>
      </w:r>
      <w:r w:rsidR="00EE6707">
        <w:rPr>
          <w:iCs/>
        </w:rPr>
        <w:t xml:space="preserve"> y 27</w:t>
      </w:r>
      <w:r w:rsidR="00EC07C7">
        <w:rPr>
          <w:iCs/>
        </w:rPr>
        <w:t>4</w:t>
      </w:r>
      <w:r w:rsidRPr="00FC0F3D">
        <w:rPr>
          <w:iCs/>
        </w:rPr>
        <w:t xml:space="preserve"> de la presente Sentencia, quienes en su carácter de víctimas de las violacione</w:t>
      </w:r>
      <w:r w:rsidR="00B514DA">
        <w:rPr>
          <w:iCs/>
        </w:rPr>
        <w:t>s declaradas en el capítulo VII</w:t>
      </w:r>
      <w:r w:rsidRPr="00FC0F3D">
        <w:rPr>
          <w:iCs/>
        </w:rPr>
        <w:t xml:space="preserve"> de esta sentencia </w:t>
      </w:r>
      <w:r w:rsidRPr="00FC0F3D">
        <w:rPr>
          <w:iCs/>
          <w:lang w:val="es-ES_tradnl"/>
        </w:rPr>
        <w:t xml:space="preserve">serán consideradas beneficiarias de las reparaciones que la Corte </w:t>
      </w:r>
      <w:r w:rsidRPr="00FC0F3D">
        <w:rPr>
          <w:iCs/>
        </w:rPr>
        <w:t>ordene a continuación.</w:t>
      </w:r>
    </w:p>
    <w:p w14:paraId="586257BC" w14:textId="77777777" w:rsidR="00605737" w:rsidRPr="00FC0F3D" w:rsidRDefault="00605737" w:rsidP="00605737">
      <w:pPr>
        <w:rPr>
          <w:iCs/>
          <w:lang w:val="es-ES_tradnl"/>
        </w:rPr>
      </w:pPr>
    </w:p>
    <w:p w14:paraId="4FCC99A4" w14:textId="77777777" w:rsidR="00605737" w:rsidRDefault="00605737" w:rsidP="00123780">
      <w:pPr>
        <w:pStyle w:val="TOC2"/>
      </w:pPr>
      <w:bookmarkStart w:id="450" w:name="_Toc469404531"/>
      <w:bookmarkStart w:id="451" w:name="_Toc472608972"/>
      <w:r>
        <w:t xml:space="preserve">B. </w:t>
      </w:r>
      <w:bookmarkStart w:id="452" w:name="_Toc462751134"/>
      <w:r>
        <w:tab/>
      </w:r>
      <w:bookmarkEnd w:id="450"/>
      <w:bookmarkEnd w:id="452"/>
      <w:r>
        <w:t>Obligación de investigar</w:t>
      </w:r>
      <w:bookmarkEnd w:id="451"/>
    </w:p>
    <w:p w14:paraId="772F1A51" w14:textId="77777777" w:rsidR="00A934BE" w:rsidRDefault="00A934BE" w:rsidP="00A934BE">
      <w:pPr>
        <w:rPr>
          <w:lang w:val="es-ES" w:eastAsia="es-ES"/>
        </w:rPr>
      </w:pPr>
    </w:p>
    <w:p w14:paraId="65118B49" w14:textId="3FE2DD82" w:rsidR="00A934BE" w:rsidRPr="00A934BE" w:rsidRDefault="00A934BE" w:rsidP="00A934BE">
      <w:pPr>
        <w:rPr>
          <w:lang w:val="es-ES" w:eastAsia="es-ES"/>
        </w:rPr>
      </w:pPr>
      <w:r>
        <w:rPr>
          <w:b/>
          <w:i/>
        </w:rPr>
        <w:t>Investigación de los hechos, determinación, enjuiciamiento y, en su caso, sanción de los responsables</w:t>
      </w:r>
    </w:p>
    <w:p w14:paraId="6D196514" w14:textId="77777777" w:rsidR="00605737" w:rsidRPr="00FC0F3D" w:rsidRDefault="00605737" w:rsidP="00605737">
      <w:pPr>
        <w:rPr>
          <w:iCs/>
          <w:lang w:val="es-ES_tradnl"/>
        </w:rPr>
      </w:pPr>
    </w:p>
    <w:p w14:paraId="0247B03F" w14:textId="600530BD" w:rsidR="00605737" w:rsidRPr="00FC0F3D" w:rsidRDefault="00605737" w:rsidP="00605737">
      <w:pPr>
        <w:numPr>
          <w:ilvl w:val="0"/>
          <w:numId w:val="1"/>
        </w:numPr>
      </w:pPr>
      <w:r w:rsidRPr="00FC0F3D">
        <w:rPr>
          <w:iCs/>
          <w:lang w:val="es-ES"/>
        </w:rPr>
        <w:t xml:space="preserve">La </w:t>
      </w:r>
      <w:r w:rsidRPr="00FC0F3D">
        <w:rPr>
          <w:b/>
          <w:i/>
          <w:iCs/>
          <w:lang w:val="es-ES"/>
        </w:rPr>
        <w:t>Comisión</w:t>
      </w:r>
      <w:r w:rsidRPr="00FC0F3D">
        <w:rPr>
          <w:iCs/>
          <w:lang w:val="es-ES"/>
        </w:rPr>
        <w:t xml:space="preserve"> solicitó que se lleve a cabo una investigación imparcial, efectiva y dentro de un plazo razonable respecto de las violaciones de derechos humanos ocurridas en el ámbito del presente caso incluyendo el patrón de uso excesivo de la fuerza letal por parte de la policía, con miras a determinar la verdad y sancionar a los responsables</w:t>
      </w:r>
      <w:r w:rsidR="000118FE">
        <w:rPr>
          <w:iCs/>
          <w:lang w:val="es-ES"/>
        </w:rPr>
        <w:t>.</w:t>
      </w:r>
      <w:r w:rsidRPr="00FC0F3D">
        <w:rPr>
          <w:iCs/>
          <w:lang w:val="es-ES"/>
        </w:rPr>
        <w:t xml:space="preserve"> </w:t>
      </w:r>
    </w:p>
    <w:p w14:paraId="13411DA8" w14:textId="77777777" w:rsidR="00605737" w:rsidRPr="00FC0F3D" w:rsidRDefault="00605737" w:rsidP="00605737">
      <w:pPr>
        <w:rPr>
          <w:iCs/>
        </w:rPr>
      </w:pPr>
    </w:p>
    <w:p w14:paraId="441B756C" w14:textId="422B9F0C" w:rsidR="00605737" w:rsidRPr="00FC0F3D" w:rsidRDefault="00605737" w:rsidP="00605737">
      <w:pPr>
        <w:numPr>
          <w:ilvl w:val="0"/>
          <w:numId w:val="1"/>
        </w:numPr>
        <w:rPr>
          <w:iCs/>
          <w:lang w:val="es-ES_tradnl"/>
        </w:rPr>
      </w:pPr>
      <w:r w:rsidRPr="00FC0F3D">
        <w:rPr>
          <w:iCs/>
          <w:lang w:val="es-CL"/>
        </w:rPr>
        <w:t xml:space="preserve">Los </w:t>
      </w:r>
      <w:r w:rsidRPr="00FC0F3D">
        <w:rPr>
          <w:b/>
          <w:i/>
          <w:iCs/>
          <w:lang w:val="es-CL"/>
        </w:rPr>
        <w:t>representantes</w:t>
      </w:r>
      <w:r w:rsidRPr="00FC0F3D">
        <w:rPr>
          <w:iCs/>
          <w:lang w:val="es-CL"/>
        </w:rPr>
        <w:t xml:space="preserve"> solicitaron que el Estado investigue los hechos, por medio de instituciones imparciales, independientes y competentes dentro de un plazo razonable, así como a todos los individuos que participaron mediata o inmediatamente en la ejecución de 26 víctimas y en la violencia sexual de otras tres víctimas. Además, solicitaron la investigación y eventual sanción de todos los funcionarios públicos que actuaron de manera omisa o negligente, contribuyendo para la impunidad de los responsables.</w:t>
      </w:r>
    </w:p>
    <w:p w14:paraId="6C749456" w14:textId="77777777" w:rsidR="00605737" w:rsidRPr="00FC0F3D" w:rsidRDefault="00605737" w:rsidP="00605737">
      <w:pPr>
        <w:rPr>
          <w:iCs/>
          <w:lang w:val="es-ES_tradnl"/>
        </w:rPr>
      </w:pPr>
    </w:p>
    <w:p w14:paraId="4F6B9ADB" w14:textId="77777777" w:rsidR="00605737" w:rsidRPr="00FC0F3D" w:rsidRDefault="00605737" w:rsidP="00605737">
      <w:pPr>
        <w:numPr>
          <w:ilvl w:val="0"/>
          <w:numId w:val="1"/>
        </w:numPr>
        <w:rPr>
          <w:iCs/>
          <w:lang w:val="es-ES_tradnl"/>
        </w:rPr>
      </w:pPr>
      <w:r w:rsidRPr="00FC0F3D">
        <w:rPr>
          <w:iCs/>
          <w:lang w:val="es-CL"/>
        </w:rPr>
        <w:t xml:space="preserve">El </w:t>
      </w:r>
      <w:r w:rsidRPr="00FC0F3D">
        <w:rPr>
          <w:b/>
          <w:i/>
          <w:iCs/>
          <w:lang w:val="es-CL"/>
        </w:rPr>
        <w:t>Estado</w:t>
      </w:r>
      <w:r w:rsidRPr="00FC0F3D">
        <w:rPr>
          <w:iCs/>
          <w:lang w:val="es-CL"/>
        </w:rPr>
        <w:t xml:space="preserve"> no se pronunció sobre esta medida de reparación. </w:t>
      </w:r>
    </w:p>
    <w:p w14:paraId="6E20A7E3" w14:textId="77777777" w:rsidR="00605737" w:rsidRPr="00FC0F3D" w:rsidRDefault="00605737" w:rsidP="00605737">
      <w:pPr>
        <w:rPr>
          <w:iCs/>
          <w:lang w:val="es-ES_tradnl"/>
        </w:rPr>
      </w:pPr>
    </w:p>
    <w:p w14:paraId="75D5919E" w14:textId="32C69E95" w:rsidR="00605737" w:rsidRPr="00FC0F3D" w:rsidRDefault="00605737" w:rsidP="00605737">
      <w:pPr>
        <w:numPr>
          <w:ilvl w:val="0"/>
          <w:numId w:val="1"/>
        </w:numPr>
        <w:rPr>
          <w:iCs/>
          <w:lang w:val="es-ES_tradnl"/>
        </w:rPr>
      </w:pPr>
      <w:r w:rsidRPr="00FC0F3D">
        <w:rPr>
          <w:iCs/>
          <w:lang w:val="es-CL"/>
        </w:rPr>
        <w:t>La Corte recuerda que en el c</w:t>
      </w:r>
      <w:r w:rsidR="00B514DA">
        <w:rPr>
          <w:iCs/>
          <w:lang w:val="es-CL"/>
        </w:rPr>
        <w:t>apítulo VII</w:t>
      </w:r>
      <w:r w:rsidRPr="00FC0F3D">
        <w:rPr>
          <w:iCs/>
          <w:lang w:val="es-CL"/>
        </w:rPr>
        <w:t>-1 declaró que las diversas investigaciones llevadas a cabo por el Estado relativas a los hechos del presente caso violaron l</w:t>
      </w:r>
      <w:r w:rsidRPr="00FC0F3D">
        <w:rPr>
          <w:iCs/>
          <w:lang w:val="es-ES_tradnl"/>
        </w:rPr>
        <w:t xml:space="preserve">os derechos a las garantías judiciales y a la protección judicial de las víctimas; se determinó que </w:t>
      </w:r>
      <w:r w:rsidRPr="00FC0F3D">
        <w:rPr>
          <w:lang w:val="es-ES"/>
        </w:rPr>
        <w:t xml:space="preserve">la actuación de las autoridades judiciales careció de la debida diligencia y los procesos no fueron desarrollados en un plazo razonable, cerrándose las investigaciones sin haberse llegado a ningún análisis de fondo, y reabriéndose varios años después la investigación respecto a los hechos de 1994 sin que hasta la fecha se haya actuado con diligencia dentro de este proceso. La investigación por los hechos de 1995 fue reabierta y archivada nuevamente sin que se realizara ningún avance en la misma. Además, fue aplicada la </w:t>
      </w:r>
      <w:r w:rsidRPr="00FC0F3D">
        <w:rPr>
          <w:lang w:val="es-ES"/>
        </w:rPr>
        <w:lastRenderedPageBreak/>
        <w:t xml:space="preserve">prescripción a las investigaciones de los hechos a pesar de que constituían </w:t>
      </w:r>
      <w:r>
        <w:rPr>
          <w:lang w:val="es-ES"/>
        </w:rPr>
        <w:t>probables ejecuciones extrajudiciales y tortura</w:t>
      </w:r>
      <w:r w:rsidRPr="00FC0F3D">
        <w:rPr>
          <w:lang w:val="es-ES"/>
        </w:rPr>
        <w:t xml:space="preserve"> (</w:t>
      </w:r>
      <w:r w:rsidRPr="00FC0F3D">
        <w:rPr>
          <w:i/>
          <w:lang w:val="es-ES"/>
        </w:rPr>
        <w:t xml:space="preserve">supra </w:t>
      </w:r>
      <w:r w:rsidRPr="00FC0F3D">
        <w:rPr>
          <w:lang w:val="es-ES"/>
        </w:rPr>
        <w:t xml:space="preserve">párr. </w:t>
      </w:r>
      <w:r w:rsidR="009E5D2D">
        <w:rPr>
          <w:lang w:val="es-ES"/>
        </w:rPr>
        <w:t>22</w:t>
      </w:r>
      <w:r w:rsidR="00CC36D9">
        <w:rPr>
          <w:lang w:val="es-ES"/>
        </w:rPr>
        <w:t>6</w:t>
      </w:r>
      <w:r w:rsidRPr="00FC0F3D">
        <w:rPr>
          <w:lang w:val="es-ES"/>
        </w:rPr>
        <w:t>).</w:t>
      </w:r>
    </w:p>
    <w:p w14:paraId="1D4058CE" w14:textId="77777777" w:rsidR="00605737" w:rsidRPr="00FC0F3D" w:rsidRDefault="00605737" w:rsidP="00605737">
      <w:pPr>
        <w:rPr>
          <w:iCs/>
          <w:lang w:val="es-ES_tradnl"/>
        </w:rPr>
      </w:pPr>
    </w:p>
    <w:p w14:paraId="489B9ACC" w14:textId="6D870583" w:rsidR="00605737" w:rsidRPr="00FC0F3D" w:rsidRDefault="00605737" w:rsidP="00605737">
      <w:pPr>
        <w:numPr>
          <w:ilvl w:val="0"/>
          <w:numId w:val="1"/>
        </w:numPr>
        <w:rPr>
          <w:iCs/>
          <w:lang w:val="es-ES_tradnl"/>
        </w:rPr>
      </w:pPr>
      <w:r w:rsidRPr="00FC0F3D">
        <w:rPr>
          <w:lang w:val="es-ES"/>
        </w:rPr>
        <w:t>En virtud de lo anterior, la Corte dispone que el Estado debe conducir eficazmente la investigación en curso sobre los hechos relacionados con las muertes ocurridas en la redada de 1994, con la debida diligencia y en un plazo razonable para identificar, procesar y, en su caso, sancionar a los responsables. Respecto a las muertes ocurridas en la redada de 1995, el Estado debe iniciar o reactivar una investigación eficaz respecto a estos hechos. La debida diligencia en la investigación implica que todas las autoridades estatales correspondientes están obligadas a colaborar en la recolección de la prueba, por lo que deberán brindar al juez, fiscal u otra autoridad judicial toda la información que requiera y abstenerse de actos que impliquen la obstrucción para la marcha del proceso investigativo</w:t>
      </w:r>
      <w:r w:rsidRPr="00FC0F3D">
        <w:rPr>
          <w:vertAlign w:val="superscript"/>
          <w:lang w:val="es-ES"/>
        </w:rPr>
        <w:footnoteReference w:id="317"/>
      </w:r>
      <w:r w:rsidRPr="00FC0F3D">
        <w:rPr>
          <w:lang w:val="es-ES"/>
        </w:rPr>
        <w:t xml:space="preserve">. </w:t>
      </w:r>
      <w:r w:rsidR="00332CF1" w:rsidRPr="00E13E59">
        <w:rPr>
          <w:lang w:val="es-ES"/>
        </w:rPr>
        <w:t xml:space="preserve">Asimismo, a partir de las conclusiones establecidas en la presente Sentencia respecto a las violaciones a los derechos a la protección judicial y a las garantías judiciales, el Estado, a través del Procurador General </w:t>
      </w:r>
      <w:r w:rsidR="00C2496F" w:rsidRPr="00E13E59">
        <w:rPr>
          <w:lang w:val="es-ES"/>
        </w:rPr>
        <w:t xml:space="preserve">de la República del Ministerio Público Federal, debe evaluar si los hechos referentes a las redadas de 1994 y 1995 deben ser objeto de solicitud de </w:t>
      </w:r>
      <w:r w:rsidR="00C2496F" w:rsidRPr="00E13E59">
        <w:rPr>
          <w:i/>
          <w:lang w:val="es-ES"/>
        </w:rPr>
        <w:t xml:space="preserve">Incidente de </w:t>
      </w:r>
      <w:r w:rsidR="009E2C1B">
        <w:rPr>
          <w:i/>
          <w:lang w:val="es-ES"/>
        </w:rPr>
        <w:t>Traslado</w:t>
      </w:r>
      <w:r w:rsidR="00C2496F" w:rsidRPr="00E13E59">
        <w:rPr>
          <w:i/>
          <w:lang w:val="es-ES"/>
        </w:rPr>
        <w:t xml:space="preserve"> de Competencia</w:t>
      </w:r>
      <w:r w:rsidR="00C2496F" w:rsidRPr="00E13E59">
        <w:rPr>
          <w:lang w:val="es-ES"/>
        </w:rPr>
        <w:t>.</w:t>
      </w:r>
      <w:r w:rsidR="00C2496F">
        <w:rPr>
          <w:lang w:val="es-ES"/>
        </w:rPr>
        <w:t xml:space="preserve"> </w:t>
      </w:r>
      <w:r w:rsidRPr="00FC0F3D">
        <w:rPr>
          <w:lang w:val="es-ES"/>
        </w:rPr>
        <w:t xml:space="preserve">En particular, el Estado </w:t>
      </w:r>
      <w:r w:rsidR="00C2496F">
        <w:rPr>
          <w:lang w:val="es-ES"/>
        </w:rPr>
        <w:t xml:space="preserve">también </w:t>
      </w:r>
      <w:r w:rsidRPr="00FC0F3D">
        <w:rPr>
          <w:lang w:val="es-ES"/>
        </w:rPr>
        <w:t>debe:</w:t>
      </w:r>
    </w:p>
    <w:p w14:paraId="148E5449" w14:textId="77777777" w:rsidR="00605737" w:rsidRPr="00FC0F3D" w:rsidRDefault="00605737" w:rsidP="00605737">
      <w:pPr>
        <w:rPr>
          <w:iCs/>
          <w:lang w:val="es-ES_tradnl"/>
        </w:rPr>
      </w:pPr>
    </w:p>
    <w:p w14:paraId="334435A2" w14:textId="78F25CE9" w:rsidR="00605737" w:rsidRPr="00722CAB" w:rsidRDefault="00605737" w:rsidP="00605737">
      <w:pPr>
        <w:numPr>
          <w:ilvl w:val="0"/>
          <w:numId w:val="26"/>
        </w:numPr>
        <w:rPr>
          <w:lang w:val="es-ES"/>
        </w:rPr>
      </w:pPr>
      <w:r w:rsidRPr="00FC0F3D">
        <w:rPr>
          <w:lang w:val="es-ES"/>
        </w:rPr>
        <w:t>asegurar el pleno acceso y capacidad de actuar de los familiares en todas las etapas de estas investigaciones, de acuerdo con la ley interna y las normas de la Convención Americana</w:t>
      </w:r>
      <w:r w:rsidRPr="00FC0F3D">
        <w:rPr>
          <w:vertAlign w:val="superscript"/>
          <w:lang w:val="es-ES"/>
        </w:rPr>
        <w:footnoteReference w:id="318"/>
      </w:r>
      <w:r>
        <w:rPr>
          <w:lang w:val="es-ES"/>
        </w:rPr>
        <w:t>, y</w:t>
      </w:r>
    </w:p>
    <w:p w14:paraId="5ACA5BC5" w14:textId="6437C6F7" w:rsidR="00605737" w:rsidRPr="00A40FB8" w:rsidRDefault="003C45F8" w:rsidP="00605737">
      <w:pPr>
        <w:numPr>
          <w:ilvl w:val="0"/>
          <w:numId w:val="26"/>
        </w:numPr>
        <w:rPr>
          <w:iCs/>
          <w:lang w:val="es-ES_tradnl"/>
        </w:rPr>
      </w:pPr>
      <w:r w:rsidRPr="003C45F8">
        <w:rPr>
          <w:lang w:val="es-ES"/>
        </w:rPr>
        <w:t>por tratarse de probables ejecuciones extrajudiciales y actos de tortura, el Estado debe abstenerse de recurrir a cualquier obstáculo procesal para excusarse de esta obligación</w:t>
      </w:r>
      <w:r w:rsidR="00605737" w:rsidRPr="00FC0F3D">
        <w:rPr>
          <w:vertAlign w:val="superscript"/>
          <w:lang w:val="es-ES"/>
        </w:rPr>
        <w:footnoteReference w:id="319"/>
      </w:r>
      <w:r w:rsidR="00605737">
        <w:rPr>
          <w:lang w:val="es-ES"/>
        </w:rPr>
        <w:t>.</w:t>
      </w:r>
    </w:p>
    <w:p w14:paraId="202F7F31" w14:textId="77777777" w:rsidR="00605737" w:rsidRPr="00FC0F3D" w:rsidRDefault="00605737" w:rsidP="00605737">
      <w:pPr>
        <w:rPr>
          <w:iCs/>
          <w:lang w:val="es-ES_tradnl"/>
        </w:rPr>
      </w:pPr>
    </w:p>
    <w:p w14:paraId="592F407C" w14:textId="516BACD3" w:rsidR="00605737" w:rsidRPr="00330925" w:rsidRDefault="00605737" w:rsidP="00605737">
      <w:pPr>
        <w:numPr>
          <w:ilvl w:val="0"/>
          <w:numId w:val="1"/>
        </w:numPr>
        <w:rPr>
          <w:iCs/>
          <w:lang w:val="es-ES_tradnl"/>
        </w:rPr>
      </w:pPr>
      <w:r w:rsidRPr="00FC0F3D">
        <w:t>Finalmente, respecto a los hechos de violencia sexual, tal como se ha dispuesto en otras oportunidades relacionadas con este tipo de casos</w:t>
      </w:r>
      <w:r w:rsidRPr="00FC0F3D">
        <w:rPr>
          <w:vertAlign w:val="superscript"/>
        </w:rPr>
        <w:footnoteReference w:id="320"/>
      </w:r>
      <w:r w:rsidRPr="00FC0F3D">
        <w:t>, tanto la investigación como el proceso penal consiguiente deberán incluir una perspectiva de género, emprender líneas de investigación específicas respecto de la violencia sexual, de conformidad con la legislación interna, y en su caso, la participación adecuada durante la investigación y el juzgamiento en todas las etapas. Asimismo, la investigación debe realizarse por funcionarios capacitados en casos similares y en atención a víctimas de discriminación y violencia por razón de género. Además, deberá asegurarse que las personas encargadas de la investigación y del proceso penal, así como, de ser el caso, otras personas involucradas, como testigos, peritos, o familiares de la víctima, cuenten con las debidas garantías de seguridad</w:t>
      </w:r>
      <w:r w:rsidRPr="00FC0F3D">
        <w:rPr>
          <w:vertAlign w:val="superscript"/>
        </w:rPr>
        <w:footnoteReference w:id="321"/>
      </w:r>
      <w:r w:rsidRPr="00FC0F3D">
        <w:t>.</w:t>
      </w:r>
    </w:p>
    <w:p w14:paraId="04C9AC0B" w14:textId="77777777" w:rsidR="00330925" w:rsidRDefault="00330925" w:rsidP="00330925">
      <w:pPr>
        <w:pStyle w:val="ListParagraph"/>
        <w:rPr>
          <w:iCs/>
          <w:lang w:val="es-ES_tradnl"/>
        </w:rPr>
      </w:pPr>
    </w:p>
    <w:p w14:paraId="47D9D10D" w14:textId="1526095F" w:rsidR="00330925" w:rsidRDefault="00E929A9" w:rsidP="00123780">
      <w:pPr>
        <w:pStyle w:val="TOC2"/>
      </w:pPr>
      <w:bookmarkStart w:id="453" w:name="_Toc472608973"/>
      <w:bookmarkStart w:id="454" w:name="_Toc469404538"/>
      <w:r>
        <w:t xml:space="preserve">C. </w:t>
      </w:r>
      <w:r>
        <w:tab/>
      </w:r>
      <w:r w:rsidR="00330925">
        <w:t>Rehabilitación</w:t>
      </w:r>
      <w:bookmarkEnd w:id="453"/>
    </w:p>
    <w:p w14:paraId="0A35BC43" w14:textId="77777777" w:rsidR="00330925" w:rsidRDefault="00330925" w:rsidP="00123780">
      <w:pPr>
        <w:pStyle w:val="TOC2"/>
      </w:pPr>
    </w:p>
    <w:p w14:paraId="4A841654" w14:textId="61006A79" w:rsidR="00330925" w:rsidRPr="00FC0F3D" w:rsidRDefault="00330925" w:rsidP="00123780">
      <w:pPr>
        <w:pStyle w:val="TOC2"/>
        <w:rPr>
          <w:lang w:val="es-ES_tradnl"/>
        </w:rPr>
      </w:pPr>
      <w:bookmarkStart w:id="455" w:name="_Toc472608974"/>
      <w:r w:rsidRPr="00FC0F3D">
        <w:t>Tratamiento psicológico y psiquiátrico a las víctimas</w:t>
      </w:r>
      <w:bookmarkEnd w:id="454"/>
      <w:bookmarkEnd w:id="455"/>
      <w:r w:rsidRPr="00FC0F3D">
        <w:t xml:space="preserve"> </w:t>
      </w:r>
    </w:p>
    <w:p w14:paraId="48597300" w14:textId="77777777" w:rsidR="00330925" w:rsidRPr="00FC0F3D" w:rsidRDefault="00330925" w:rsidP="00330925">
      <w:pPr>
        <w:rPr>
          <w:iCs/>
          <w:lang w:val="es-ES_tradnl"/>
        </w:rPr>
      </w:pPr>
    </w:p>
    <w:p w14:paraId="2A9DA2B7" w14:textId="1E8167C7" w:rsidR="00330925" w:rsidRPr="00FC0F3D" w:rsidRDefault="00330925" w:rsidP="00330925">
      <w:pPr>
        <w:numPr>
          <w:ilvl w:val="0"/>
          <w:numId w:val="1"/>
        </w:numPr>
        <w:rPr>
          <w:iCs/>
          <w:lang w:val="es-CL"/>
        </w:rPr>
      </w:pPr>
      <w:r w:rsidRPr="00FC0F3D">
        <w:rPr>
          <w:iCs/>
          <w:lang w:val="es-CL"/>
        </w:rPr>
        <w:t xml:space="preserve">Los </w:t>
      </w:r>
      <w:r w:rsidRPr="00FC0F3D">
        <w:rPr>
          <w:b/>
          <w:i/>
          <w:iCs/>
          <w:lang w:val="es-CL"/>
        </w:rPr>
        <w:t>representantes</w:t>
      </w:r>
      <w:r w:rsidRPr="00FC0F3D">
        <w:rPr>
          <w:iCs/>
          <w:lang w:val="es-CL"/>
        </w:rPr>
        <w:t xml:space="preserve"> solicitaron que el Estado ofrezca asistencia médica y psicológica gratuita, así como los medicamentos solicitados para el tratamiento a los familiares de las víctimas.</w:t>
      </w:r>
    </w:p>
    <w:p w14:paraId="7C78068A" w14:textId="77777777" w:rsidR="00330925" w:rsidRPr="00FC0F3D" w:rsidRDefault="00330925" w:rsidP="00330925">
      <w:pPr>
        <w:rPr>
          <w:iCs/>
          <w:lang w:val="es-CL"/>
        </w:rPr>
      </w:pPr>
    </w:p>
    <w:p w14:paraId="239FE7F3" w14:textId="685F948C" w:rsidR="00330925" w:rsidRPr="00FC0F3D" w:rsidRDefault="00330925" w:rsidP="00330925">
      <w:pPr>
        <w:numPr>
          <w:ilvl w:val="0"/>
          <w:numId w:val="1"/>
        </w:numPr>
        <w:rPr>
          <w:iCs/>
          <w:lang w:val="es-CL"/>
        </w:rPr>
      </w:pPr>
      <w:r w:rsidRPr="00FC0F3D">
        <w:rPr>
          <w:iCs/>
          <w:lang w:val="es-CL"/>
        </w:rPr>
        <w:t xml:space="preserve">El </w:t>
      </w:r>
      <w:r w:rsidRPr="00FC0F3D">
        <w:rPr>
          <w:b/>
          <w:i/>
          <w:iCs/>
          <w:lang w:val="es-CL"/>
        </w:rPr>
        <w:t>Estado</w:t>
      </w:r>
      <w:r w:rsidRPr="00FC0F3D">
        <w:rPr>
          <w:iCs/>
          <w:lang w:val="es-CL"/>
        </w:rPr>
        <w:t xml:space="preserve"> señaló que</w:t>
      </w:r>
      <w:r w:rsidR="0065427A">
        <w:rPr>
          <w:iCs/>
          <w:lang w:val="es-CL"/>
        </w:rPr>
        <w:t>,</w:t>
      </w:r>
      <w:r w:rsidRPr="00FC0F3D">
        <w:rPr>
          <w:iCs/>
          <w:lang w:val="es-CL"/>
        </w:rPr>
        <w:t xml:space="preserve"> de acuerdo con el artículo 196 de la Constitución Federal de Brasil, la salud es derecho de todos y deber del Estado, por ello, la Ley 8.088/1990 estructura el Sistema Único de Salud (SUS) y la Ley 10.216/2001 determinó la responsabilidad del Estado de desarrollar la política de salud mental. Enfatizó también lo dispuesto en el Instructivo 3.088/2011, que creó la Red de Atención Psicosocial para personas con sufrimiento o trastorno mental y con necesidades derivadas del uso de drogas en el ámbito del SUS. Así, afirmó haber incorporado en su marco normativo el deber de prestar tratamiento psicológico y psiquiátrico y poseer todos los medios para dar tratamiento a acceso a medicamento a las víctimas.</w:t>
      </w:r>
    </w:p>
    <w:p w14:paraId="48922D05" w14:textId="77777777" w:rsidR="00330925" w:rsidRPr="00FC0F3D" w:rsidRDefault="00330925" w:rsidP="00330925">
      <w:pPr>
        <w:rPr>
          <w:iCs/>
          <w:lang w:val="es-CL"/>
        </w:rPr>
      </w:pPr>
    </w:p>
    <w:p w14:paraId="2AD5E731" w14:textId="20EDF0FF" w:rsidR="00330925" w:rsidRPr="00FC0F3D" w:rsidRDefault="003C45F8" w:rsidP="00330925">
      <w:pPr>
        <w:numPr>
          <w:ilvl w:val="0"/>
          <w:numId w:val="1"/>
        </w:numPr>
        <w:rPr>
          <w:iCs/>
          <w:lang w:val="es-ES_tradnl"/>
        </w:rPr>
      </w:pPr>
      <w:r w:rsidRPr="003C45F8">
        <w:rPr>
          <w:iCs/>
          <w:lang w:val="es-CL"/>
        </w:rPr>
        <w:t>La Corte advierte la existencia de políticas públicas de salud</w:t>
      </w:r>
      <w:r w:rsidR="00330925" w:rsidRPr="00FC0F3D">
        <w:rPr>
          <w:iCs/>
          <w:lang w:val="es-CL"/>
        </w:rPr>
        <w:t xml:space="preserve"> del Estado por medio de la garantía universal a la salud, incluyendo tratamiento psicológico y psiquiátrico para personas que sufren de trastorno mental. Sin embargo, conforme expuesto en el </w:t>
      </w:r>
      <w:proofErr w:type="spellStart"/>
      <w:r w:rsidR="00330925" w:rsidRPr="00FC0F3D">
        <w:rPr>
          <w:i/>
          <w:iCs/>
          <w:lang w:val="es-CL"/>
        </w:rPr>
        <w:t>amicus</w:t>
      </w:r>
      <w:proofErr w:type="spellEnd"/>
      <w:r w:rsidR="00330925" w:rsidRPr="00FC0F3D">
        <w:rPr>
          <w:i/>
          <w:iCs/>
          <w:lang w:val="es-CL"/>
        </w:rPr>
        <w:t xml:space="preserve"> </w:t>
      </w:r>
      <w:proofErr w:type="spellStart"/>
      <w:r w:rsidR="00330925" w:rsidRPr="00FC0F3D">
        <w:rPr>
          <w:i/>
          <w:iCs/>
          <w:lang w:val="es-CL"/>
        </w:rPr>
        <w:t>curiae</w:t>
      </w:r>
      <w:proofErr w:type="spellEnd"/>
      <w:r w:rsidR="00330925" w:rsidRPr="00FC0F3D">
        <w:rPr>
          <w:iCs/>
          <w:lang w:val="es-CL"/>
        </w:rPr>
        <w:t xml:space="preserve"> presentado por la Defensoría Pública del Estado de </w:t>
      </w:r>
      <w:r w:rsidR="00330925" w:rsidRPr="00FC0F3D">
        <w:rPr>
          <w:lang w:val="es-CL"/>
        </w:rPr>
        <w:t>São</w:t>
      </w:r>
      <w:r w:rsidR="00330925" w:rsidRPr="00FC0F3D">
        <w:rPr>
          <w:iCs/>
          <w:lang w:val="es-CL"/>
        </w:rPr>
        <w:t xml:space="preserve"> Paulo, la red psicosocial pública brasileña sería frágil y no estaría preparada para lidiar con casos como el presente. De este modo, considerando que en el presente caso no hay ninguna evidencia que demuestre que las víctimas de violencia sexual y los familiares de las personas asesinadas por la policía hayan tenido efectivamente acceso a ese tipo de tratamiento, a pesar de los sufrimientos y los sentimientos de miedo y angustia que experimentaron como consecuencia de la falta de investigación de los hechos cometidos en las redadas policiales de 1994 y 1995, y que les generarían secuelas hasta hoy, la Corte estima que el Estado debe brindar gratuitamente, a través de sus instituciones de salud especializadas y de forma inmediata, adecuada y efectiva, el tratamiento psicológico y psiquiátrico que requieran las víctimas, previo consentimiento informado y por el tiempo que sea necesario, incluida la provisión gratuita de medicamentos. Asimismo, los tratamientos respectivos deberán prestarse, en la medida de lo posible, en los centros elegidos por las víctimas</w:t>
      </w:r>
      <w:r w:rsidR="00330925" w:rsidRPr="00FC0F3D">
        <w:rPr>
          <w:iCs/>
          <w:vertAlign w:val="superscript"/>
          <w:lang w:val="es-CL"/>
        </w:rPr>
        <w:footnoteReference w:id="322"/>
      </w:r>
      <w:r w:rsidR="00330925" w:rsidRPr="00FC0F3D">
        <w:rPr>
          <w:iCs/>
          <w:lang w:val="es-CL"/>
        </w:rPr>
        <w:t>. Para tal efecto las víctimas disponen de un plazo de seis meses, contado a partir de la notificación de la presente Sentencia, para requerir al Estado dicho tratamiento.</w:t>
      </w:r>
    </w:p>
    <w:p w14:paraId="6B131C7D" w14:textId="77777777" w:rsidR="00605737" w:rsidRPr="00FC0F3D" w:rsidRDefault="00605737" w:rsidP="00605737">
      <w:pPr>
        <w:rPr>
          <w:iCs/>
          <w:lang w:val="es-ES_tradnl"/>
        </w:rPr>
      </w:pPr>
    </w:p>
    <w:p w14:paraId="5738D182" w14:textId="4693A3A6" w:rsidR="00605737" w:rsidRPr="00FC0F3D" w:rsidRDefault="00B17954" w:rsidP="00123780">
      <w:pPr>
        <w:pStyle w:val="TOC2"/>
      </w:pPr>
      <w:bookmarkStart w:id="456" w:name="_Toc462751135"/>
      <w:bookmarkStart w:id="457" w:name="_Toc469404532"/>
      <w:bookmarkStart w:id="458" w:name="_Toc472608975"/>
      <w:r>
        <w:t xml:space="preserve">D. </w:t>
      </w:r>
      <w:r>
        <w:tab/>
      </w:r>
      <w:r w:rsidR="00605737" w:rsidRPr="00FC0F3D">
        <w:t>Medidas de satisfacción</w:t>
      </w:r>
      <w:bookmarkEnd w:id="456"/>
      <w:bookmarkEnd w:id="457"/>
      <w:bookmarkEnd w:id="458"/>
    </w:p>
    <w:p w14:paraId="39CA49DC" w14:textId="77777777" w:rsidR="00605737" w:rsidRPr="00FC0F3D" w:rsidRDefault="00605737" w:rsidP="00605737">
      <w:pPr>
        <w:rPr>
          <w:iCs/>
          <w:lang w:val="es-MX"/>
        </w:rPr>
      </w:pPr>
    </w:p>
    <w:p w14:paraId="20804A66" w14:textId="77777777" w:rsidR="00605737" w:rsidRPr="00FC0F3D" w:rsidRDefault="00330925" w:rsidP="00605737">
      <w:pPr>
        <w:numPr>
          <w:ilvl w:val="0"/>
          <w:numId w:val="1"/>
        </w:numPr>
        <w:rPr>
          <w:iCs/>
          <w:lang w:val="es-ES_tradnl"/>
        </w:rPr>
      </w:pPr>
      <w:r w:rsidRPr="00FC0F3D">
        <w:rPr>
          <w:iCs/>
          <w:lang w:val="es-ES_tradnl"/>
        </w:rPr>
        <w:t xml:space="preserve">La jurisprudencia internacional, y en particular de esta Corte, ha establecido reiteradamente que la sentencia constituye </w:t>
      </w:r>
      <w:r>
        <w:rPr>
          <w:iCs/>
          <w:lang w:val="es-ES_tradnl"/>
        </w:rPr>
        <w:t>por sí misma</w:t>
      </w:r>
      <w:r w:rsidRPr="00FC0F3D">
        <w:rPr>
          <w:iCs/>
          <w:lang w:val="es-ES_tradnl"/>
        </w:rPr>
        <w:t xml:space="preserve"> una forma de reparación</w:t>
      </w:r>
      <w:r w:rsidRPr="00FC0F3D">
        <w:rPr>
          <w:iCs/>
          <w:vertAlign w:val="superscript"/>
          <w:lang w:val="es-ES_tradnl"/>
        </w:rPr>
        <w:footnoteReference w:id="323"/>
      </w:r>
      <w:r w:rsidRPr="00FC0F3D">
        <w:rPr>
          <w:iCs/>
          <w:lang w:val="es-ES_tradnl"/>
        </w:rPr>
        <w:t>.</w:t>
      </w:r>
      <w:r>
        <w:rPr>
          <w:iCs/>
          <w:lang w:val="es-ES_tradnl"/>
        </w:rPr>
        <w:t xml:space="preserve"> Adicionalmente, e</w:t>
      </w:r>
      <w:r w:rsidR="00605737" w:rsidRPr="00FC0F3D">
        <w:rPr>
          <w:iCs/>
          <w:lang w:val="es-ES_tradnl"/>
        </w:rPr>
        <w:t>l Tribunal determinará medidas que buscan reparar el daño inmaterial y que no tienen naturaleza pecuniaria, así como medidas de alcance o repercusión pública</w:t>
      </w:r>
      <w:r w:rsidR="00605737" w:rsidRPr="00FC0F3D">
        <w:rPr>
          <w:iCs/>
          <w:vertAlign w:val="superscript"/>
          <w:lang w:val="es-ES_tradnl"/>
        </w:rPr>
        <w:footnoteReference w:id="324"/>
      </w:r>
      <w:r w:rsidR="00605737" w:rsidRPr="00FC0F3D">
        <w:rPr>
          <w:iCs/>
          <w:lang w:val="es-ES_tradnl"/>
        </w:rPr>
        <w:t xml:space="preserve">. </w:t>
      </w:r>
    </w:p>
    <w:p w14:paraId="74B2FDD9" w14:textId="77777777" w:rsidR="00605737" w:rsidRPr="00FC0F3D" w:rsidRDefault="00605737" w:rsidP="00605737">
      <w:pPr>
        <w:rPr>
          <w:iCs/>
          <w:lang w:val="es-ES_tradnl"/>
        </w:rPr>
      </w:pPr>
    </w:p>
    <w:p w14:paraId="11C16306" w14:textId="77777777" w:rsidR="00605737" w:rsidRPr="00FC0F3D" w:rsidRDefault="00330925" w:rsidP="00123780">
      <w:pPr>
        <w:pStyle w:val="TOC2"/>
      </w:pPr>
      <w:bookmarkStart w:id="459" w:name="_Toc464813988"/>
      <w:bookmarkStart w:id="460" w:name="_Toc469404533"/>
      <w:bookmarkStart w:id="461" w:name="_Toc472608976"/>
      <w:r>
        <w:t>D</w:t>
      </w:r>
      <w:r w:rsidR="00605737" w:rsidRPr="00FC0F3D">
        <w:t>.1.    Publicación de la sentencia</w:t>
      </w:r>
      <w:bookmarkEnd w:id="459"/>
      <w:bookmarkEnd w:id="460"/>
      <w:bookmarkEnd w:id="461"/>
    </w:p>
    <w:p w14:paraId="430093F4" w14:textId="77777777" w:rsidR="00605737" w:rsidRPr="00FC0F3D" w:rsidRDefault="00605737" w:rsidP="00605737">
      <w:pPr>
        <w:rPr>
          <w:iCs/>
          <w:lang w:val="es-ES_tradnl"/>
        </w:rPr>
      </w:pPr>
    </w:p>
    <w:p w14:paraId="0838C904" w14:textId="63432DBE" w:rsidR="00605737" w:rsidRPr="00FC0F3D" w:rsidRDefault="00605737" w:rsidP="00605737">
      <w:pPr>
        <w:numPr>
          <w:ilvl w:val="0"/>
          <w:numId w:val="1"/>
        </w:numPr>
        <w:rPr>
          <w:iCs/>
          <w:lang w:val="es-CL"/>
        </w:rPr>
      </w:pPr>
      <w:r w:rsidRPr="00FC0F3D">
        <w:rPr>
          <w:iCs/>
          <w:lang w:val="es-CL"/>
        </w:rPr>
        <w:t xml:space="preserve">Los </w:t>
      </w:r>
      <w:r w:rsidRPr="00FC0F3D">
        <w:rPr>
          <w:b/>
          <w:i/>
          <w:iCs/>
          <w:lang w:val="es-CL"/>
        </w:rPr>
        <w:t>representantes</w:t>
      </w:r>
      <w:r w:rsidRPr="00FC0F3D">
        <w:rPr>
          <w:iCs/>
          <w:lang w:val="es-CL"/>
        </w:rPr>
        <w:t xml:space="preserve"> solicitaron que el Estado realice la publicación de las secciones de la sentencia que se refieren a los hechos probados, el análisis de las violaciones a la Convención Americana y la parte dispositiva en dos periódicos de circulación nacional. </w:t>
      </w:r>
    </w:p>
    <w:p w14:paraId="05845BF9" w14:textId="77777777" w:rsidR="00605737" w:rsidRPr="00FC0F3D" w:rsidRDefault="00605737" w:rsidP="00605737">
      <w:pPr>
        <w:rPr>
          <w:iCs/>
          <w:lang w:val="es-CL"/>
        </w:rPr>
      </w:pPr>
    </w:p>
    <w:p w14:paraId="5AA30417" w14:textId="710191C9" w:rsidR="00605737" w:rsidRDefault="00605737" w:rsidP="00605737">
      <w:pPr>
        <w:numPr>
          <w:ilvl w:val="0"/>
          <w:numId w:val="1"/>
        </w:numPr>
        <w:rPr>
          <w:iCs/>
          <w:lang w:val="es-ES"/>
        </w:rPr>
      </w:pPr>
      <w:r w:rsidRPr="000118FE">
        <w:rPr>
          <w:iCs/>
          <w:lang w:val="es-ES"/>
        </w:rPr>
        <w:t xml:space="preserve">El </w:t>
      </w:r>
      <w:r w:rsidRPr="000118FE">
        <w:rPr>
          <w:b/>
          <w:i/>
          <w:iCs/>
          <w:lang w:val="es-ES"/>
        </w:rPr>
        <w:t xml:space="preserve">Estado </w:t>
      </w:r>
      <w:r w:rsidRPr="000118FE">
        <w:rPr>
          <w:iCs/>
          <w:lang w:val="es-ES"/>
        </w:rPr>
        <w:t xml:space="preserve">reconoció la relevancia de la publicación de las sentencias de la Corte, y mencionó que mantiene en el sitio </w:t>
      </w:r>
      <w:r w:rsidRPr="000118FE">
        <w:rPr>
          <w:i/>
          <w:iCs/>
          <w:lang w:val="es-ES"/>
        </w:rPr>
        <w:t>web</w:t>
      </w:r>
      <w:r w:rsidRPr="000118FE">
        <w:rPr>
          <w:iCs/>
          <w:lang w:val="es-ES"/>
        </w:rPr>
        <w:t xml:space="preserve"> de la Secretaría Especial de Derechos Humanos </w:t>
      </w:r>
      <w:r w:rsidRPr="000118FE">
        <w:rPr>
          <w:iCs/>
          <w:lang w:val="es-CL"/>
        </w:rPr>
        <w:t xml:space="preserve">los fallos emitidos en los casos </w:t>
      </w:r>
      <w:r w:rsidRPr="000118FE">
        <w:rPr>
          <w:i/>
          <w:iCs/>
          <w:lang w:val="es-ES"/>
        </w:rPr>
        <w:t>Sétimo Garibaldi</w:t>
      </w:r>
      <w:r w:rsidRPr="000118FE">
        <w:rPr>
          <w:iCs/>
          <w:lang w:val="es-ES"/>
        </w:rPr>
        <w:t xml:space="preserve"> y </w:t>
      </w:r>
      <w:r w:rsidRPr="000118FE">
        <w:rPr>
          <w:i/>
          <w:iCs/>
          <w:lang w:val="es-ES"/>
        </w:rPr>
        <w:t xml:space="preserve">Gomes </w:t>
      </w:r>
      <w:proofErr w:type="spellStart"/>
      <w:r w:rsidRPr="000118FE">
        <w:rPr>
          <w:i/>
          <w:iCs/>
          <w:lang w:val="es-ES"/>
        </w:rPr>
        <w:t>Lund</w:t>
      </w:r>
      <w:proofErr w:type="spellEnd"/>
      <w:r w:rsidRPr="000118FE">
        <w:rPr>
          <w:i/>
          <w:iCs/>
          <w:lang w:val="es-ES"/>
        </w:rPr>
        <w:t xml:space="preserve"> y otros</w:t>
      </w:r>
      <w:r w:rsidRPr="000118FE">
        <w:rPr>
          <w:iCs/>
          <w:lang w:val="es-ES"/>
        </w:rPr>
        <w:t xml:space="preserve">. El Estado se comprometió a realizar la divulgación de la presente Sentencia en los mismos términos </w:t>
      </w:r>
      <w:r w:rsidR="003269F9" w:rsidRPr="000118FE">
        <w:rPr>
          <w:iCs/>
          <w:lang w:val="es-ES"/>
        </w:rPr>
        <w:t xml:space="preserve">de </w:t>
      </w:r>
      <w:r w:rsidR="003269F9" w:rsidRPr="000118FE">
        <w:rPr>
          <w:iCs/>
          <w:lang w:val="es-ES"/>
        </w:rPr>
        <w:lastRenderedPageBreak/>
        <w:t>los casos</w:t>
      </w:r>
      <w:r w:rsidRPr="000118FE">
        <w:rPr>
          <w:iCs/>
          <w:lang w:val="es-ES"/>
        </w:rPr>
        <w:t xml:space="preserve"> </w:t>
      </w:r>
      <w:r w:rsidR="003269F9" w:rsidRPr="000118FE">
        <w:rPr>
          <w:iCs/>
          <w:lang w:val="es-ES"/>
        </w:rPr>
        <w:t>mencionados</w:t>
      </w:r>
      <w:r w:rsidRPr="000118FE">
        <w:rPr>
          <w:iCs/>
          <w:lang w:val="es-ES"/>
        </w:rPr>
        <w:t xml:space="preserve">. Asimismo, respecto a la publicación en diarios de circulación nacional, el Estado señaló el alto costo de dichas publicaciones; y  propuso que, </w:t>
      </w:r>
      <w:r w:rsidR="003269F9" w:rsidRPr="000118FE">
        <w:rPr>
          <w:iCs/>
          <w:lang w:val="es-ES"/>
        </w:rPr>
        <w:t>en lugar</w:t>
      </w:r>
      <w:r w:rsidRPr="000118FE">
        <w:rPr>
          <w:iCs/>
          <w:lang w:val="es-ES"/>
        </w:rPr>
        <w:t xml:space="preserve"> de publicar la Sentencia en diarios de circulación nacional, se ordene su publicación en páginas web oficiales y su divulgación a través de las redes sociales de órganos gubernamentales. Con esa propuesta el Estado consideró que podría alcanzar amplia repercusión pública de la Sentencia. </w:t>
      </w:r>
    </w:p>
    <w:p w14:paraId="34A08C22" w14:textId="77777777" w:rsidR="00D66CF1" w:rsidRPr="000118FE" w:rsidRDefault="00D66CF1" w:rsidP="00D66CF1">
      <w:pPr>
        <w:rPr>
          <w:iCs/>
          <w:lang w:val="es-ES"/>
        </w:rPr>
      </w:pPr>
    </w:p>
    <w:p w14:paraId="3AE0C06B" w14:textId="11B22FAA" w:rsidR="00605737" w:rsidRPr="00FC0F3D" w:rsidRDefault="00605737" w:rsidP="00605737">
      <w:pPr>
        <w:numPr>
          <w:ilvl w:val="0"/>
          <w:numId w:val="1"/>
        </w:numPr>
        <w:rPr>
          <w:iCs/>
          <w:lang w:val="es-ES"/>
        </w:rPr>
      </w:pPr>
      <w:r w:rsidRPr="00FC0F3D">
        <w:rPr>
          <w:iCs/>
          <w:lang w:val="es-ES"/>
        </w:rPr>
        <w:t>La Corte estima, como lo ha dispuesto en otros casos</w:t>
      </w:r>
      <w:r w:rsidRPr="00FC0F3D">
        <w:rPr>
          <w:vertAlign w:val="superscript"/>
          <w:lang w:val="es-ES"/>
        </w:rPr>
        <w:footnoteReference w:id="325"/>
      </w:r>
      <w:r w:rsidRPr="00FC0F3D">
        <w:rPr>
          <w:iCs/>
          <w:lang w:val="es-ES"/>
        </w:rPr>
        <w:t xml:space="preserve">, que el Estado debe publicar, en el plazo de seis meses, contado a partir de la notificación de la presente Sentencia: a) el resumen oficial de la presente Sentencia elaborado por la Corte, por una sola vez, en el Diario Oficial, </w:t>
      </w:r>
      <w:r w:rsidRPr="00FC0F3D">
        <w:t>en un tamaño de letra legible y adecuado</w:t>
      </w:r>
      <w:r w:rsidRPr="00FC0F3D">
        <w:rPr>
          <w:iCs/>
          <w:lang w:val="es-ES"/>
        </w:rPr>
        <w:t xml:space="preserve">; b) el resumen oficial de la presente Sentencia elaborado por la Corte, por una sola vez, en un diario de amplia circulación nacional, </w:t>
      </w:r>
      <w:r w:rsidRPr="00FC0F3D">
        <w:t>en un tamaño de letra legible y adecuado</w:t>
      </w:r>
      <w:r w:rsidRPr="00FC0F3D">
        <w:rPr>
          <w:iCs/>
          <w:lang w:val="es-ES"/>
        </w:rPr>
        <w:t xml:space="preserve">, y c) el resumen oficial de la presente Sentencia elaborado por la Corte y la presente Sentencia en su integridad, disponible por un período de tres años, en un sitio </w:t>
      </w:r>
      <w:r w:rsidRPr="00FC0F3D">
        <w:rPr>
          <w:i/>
          <w:iCs/>
          <w:lang w:val="es-ES"/>
        </w:rPr>
        <w:t>web</w:t>
      </w:r>
      <w:r w:rsidRPr="00FC0F3D">
        <w:rPr>
          <w:iCs/>
          <w:lang w:val="es-ES"/>
        </w:rPr>
        <w:t xml:space="preserve"> oficial del gobierno federal, en el sitio </w:t>
      </w:r>
      <w:r w:rsidRPr="00FC0F3D">
        <w:rPr>
          <w:i/>
          <w:iCs/>
          <w:lang w:val="es-ES"/>
        </w:rPr>
        <w:t>web</w:t>
      </w:r>
      <w:r w:rsidRPr="00FC0F3D">
        <w:rPr>
          <w:iCs/>
          <w:lang w:val="es-ES"/>
        </w:rPr>
        <w:t xml:space="preserve"> oficial del Gobierno del Estado de Río de Janeiro, y en la página </w:t>
      </w:r>
      <w:r w:rsidRPr="00FC0F3D">
        <w:rPr>
          <w:i/>
          <w:iCs/>
          <w:lang w:val="es-ES"/>
        </w:rPr>
        <w:t>web</w:t>
      </w:r>
      <w:r w:rsidRPr="00FC0F3D">
        <w:rPr>
          <w:iCs/>
          <w:lang w:val="es-ES"/>
        </w:rPr>
        <w:t xml:space="preserve"> de la Policía Civil del Estado de Río de Janeiro. Asimismo, en atención a la propuesta realizada por el Estado, las </w:t>
      </w:r>
      <w:r w:rsidR="006D5380">
        <w:rPr>
          <w:iCs/>
          <w:lang w:val="es-ES"/>
        </w:rPr>
        <w:t xml:space="preserve">cuentas de </w:t>
      </w:r>
      <w:r w:rsidRPr="00FC0F3D">
        <w:rPr>
          <w:iCs/>
          <w:lang w:val="es-ES"/>
        </w:rPr>
        <w:t xml:space="preserve">redes sociales Twitter y Facebook de la Secretaría Especial de Derechos Humanos del Ministerio de Justicia, del Ministerio de Relaciones Exteriores, de la Policía Civil del Estado de Río de Janeiro, de la Secretaría de Seguridad Pública del Estado de Río de Janeiro y del Gobierno del Estado de Río de Janeiro, deben promover la página </w:t>
      </w:r>
      <w:r w:rsidRPr="00FC0F3D">
        <w:rPr>
          <w:i/>
          <w:iCs/>
          <w:lang w:val="es-ES"/>
        </w:rPr>
        <w:t>web</w:t>
      </w:r>
      <w:r w:rsidRPr="00FC0F3D">
        <w:rPr>
          <w:iCs/>
          <w:lang w:val="es-ES"/>
        </w:rPr>
        <w:t xml:space="preserve"> donde se ubique la Sentencia y su Resumen por medio de un </w:t>
      </w:r>
      <w:r w:rsidRPr="00FC0F3D">
        <w:rPr>
          <w:iCs/>
        </w:rPr>
        <w:t xml:space="preserve">post </w:t>
      </w:r>
      <w:r w:rsidRPr="00FC0F3D">
        <w:rPr>
          <w:iCs/>
          <w:lang w:val="es-ES"/>
        </w:rPr>
        <w:t xml:space="preserve">semanal durante un plazo de 1 año. </w:t>
      </w:r>
    </w:p>
    <w:p w14:paraId="5B42AF72" w14:textId="77777777" w:rsidR="00605737" w:rsidRPr="00FC0F3D" w:rsidRDefault="00605737" w:rsidP="00605737">
      <w:pPr>
        <w:rPr>
          <w:iCs/>
          <w:lang w:val="es-ES"/>
        </w:rPr>
      </w:pPr>
    </w:p>
    <w:p w14:paraId="28519BCE" w14:textId="7F18D20D" w:rsidR="00605737" w:rsidRPr="00FC0F3D" w:rsidRDefault="00605737" w:rsidP="00605737">
      <w:pPr>
        <w:numPr>
          <w:ilvl w:val="0"/>
          <w:numId w:val="1"/>
        </w:numPr>
        <w:rPr>
          <w:iCs/>
          <w:lang w:val="es-ES"/>
        </w:rPr>
      </w:pPr>
      <w:r w:rsidRPr="00FC0F3D">
        <w:rPr>
          <w:iCs/>
          <w:lang w:val="es-ES"/>
        </w:rPr>
        <w:t xml:space="preserve">El Estado deberá informar de forma inmediata a esta Corte una vez que proceda a realizar las publicaciones dispuestas en los incisos a) y b) del párrafo </w:t>
      </w:r>
      <w:r w:rsidR="006E64A5">
        <w:rPr>
          <w:iCs/>
          <w:lang w:val="es-ES"/>
        </w:rPr>
        <w:t>30</w:t>
      </w:r>
      <w:r w:rsidR="00697685">
        <w:rPr>
          <w:iCs/>
          <w:lang w:val="es-ES"/>
        </w:rPr>
        <w:t>0</w:t>
      </w:r>
      <w:r w:rsidRPr="00FC0F3D">
        <w:rPr>
          <w:iCs/>
          <w:lang w:val="es-ES"/>
        </w:rPr>
        <w:t xml:space="preserve">, independientemente del plazo de un año para presentar su primer informe dispuesto en el punto resolutivo </w:t>
      </w:r>
      <w:r w:rsidR="00D46EE2">
        <w:rPr>
          <w:iCs/>
          <w:lang w:val="es-ES"/>
        </w:rPr>
        <w:t>23</w:t>
      </w:r>
      <w:r w:rsidRPr="00FC0F3D">
        <w:rPr>
          <w:iCs/>
          <w:lang w:val="es-ES"/>
        </w:rPr>
        <w:t xml:space="preserve"> de la Sentencia.</w:t>
      </w:r>
      <w:r w:rsidRPr="00FC0F3D">
        <w:rPr>
          <w:iCs/>
        </w:rPr>
        <w:t xml:space="preserve"> Asimismo, en el informe dispuesto en el punto resolutivo </w:t>
      </w:r>
      <w:r w:rsidR="00D46EE2">
        <w:rPr>
          <w:iCs/>
        </w:rPr>
        <w:t>23</w:t>
      </w:r>
      <w:r w:rsidRPr="00FC0F3D">
        <w:rPr>
          <w:iCs/>
        </w:rPr>
        <w:t xml:space="preserve">, el Estado deberá presentar prueba de todos los </w:t>
      </w:r>
      <w:proofErr w:type="spellStart"/>
      <w:r w:rsidRPr="00FC0F3D">
        <w:rPr>
          <w:iCs/>
        </w:rPr>
        <w:t>posts</w:t>
      </w:r>
      <w:proofErr w:type="spellEnd"/>
      <w:r w:rsidRPr="00FC0F3D">
        <w:rPr>
          <w:iCs/>
        </w:rPr>
        <w:t xml:space="preserve"> semanales en redes sociales ordenados en el inciso c) del párrafo </w:t>
      </w:r>
      <w:r w:rsidR="00697685">
        <w:rPr>
          <w:iCs/>
        </w:rPr>
        <w:t>300</w:t>
      </w:r>
      <w:r w:rsidRPr="00FC0F3D">
        <w:rPr>
          <w:iCs/>
        </w:rPr>
        <w:t xml:space="preserve"> de la Sentencia. </w:t>
      </w:r>
    </w:p>
    <w:p w14:paraId="5DD2FD2F" w14:textId="77777777" w:rsidR="00605737" w:rsidRPr="00FC0F3D" w:rsidRDefault="00605737" w:rsidP="00605737">
      <w:pPr>
        <w:rPr>
          <w:iCs/>
          <w:lang w:val="es-ES_tradnl"/>
        </w:rPr>
      </w:pPr>
    </w:p>
    <w:p w14:paraId="0247DBA1" w14:textId="0AE72E31" w:rsidR="00605737" w:rsidRPr="00FC0F3D" w:rsidRDefault="00330925" w:rsidP="00123780">
      <w:pPr>
        <w:pStyle w:val="TOC2"/>
      </w:pPr>
      <w:bookmarkStart w:id="462" w:name="_Toc469404534"/>
      <w:bookmarkStart w:id="463" w:name="_Toc472608977"/>
      <w:r>
        <w:t>D</w:t>
      </w:r>
      <w:r w:rsidR="00B17954">
        <w:t>.2.</w:t>
      </w:r>
      <w:r w:rsidR="00B17954">
        <w:tab/>
      </w:r>
      <w:r w:rsidR="00FC2F5F">
        <w:t>A</w:t>
      </w:r>
      <w:r w:rsidR="00605737" w:rsidRPr="00FC0F3D">
        <w:t>cto público de reconocimiento de responsabilidad</w:t>
      </w:r>
      <w:bookmarkEnd w:id="462"/>
      <w:r w:rsidR="00FC2F5F">
        <w:t xml:space="preserve"> y placas conmemorativas</w:t>
      </w:r>
      <w:bookmarkEnd w:id="463"/>
    </w:p>
    <w:p w14:paraId="19C16404" w14:textId="77777777" w:rsidR="00605737" w:rsidRPr="00FC0F3D" w:rsidRDefault="00605737" w:rsidP="00605737">
      <w:pPr>
        <w:rPr>
          <w:iCs/>
          <w:lang w:val="es-MX"/>
        </w:rPr>
      </w:pPr>
    </w:p>
    <w:p w14:paraId="2B26AD98" w14:textId="6442B8F7" w:rsidR="00605737" w:rsidRPr="00FC0F3D" w:rsidRDefault="00605737" w:rsidP="00605737">
      <w:pPr>
        <w:numPr>
          <w:ilvl w:val="0"/>
          <w:numId w:val="1"/>
        </w:numPr>
        <w:rPr>
          <w:iCs/>
          <w:lang w:val="es-CL"/>
        </w:rPr>
      </w:pPr>
      <w:r w:rsidRPr="00FC0F3D">
        <w:rPr>
          <w:iCs/>
          <w:lang w:val="es-MX"/>
        </w:rPr>
        <w:t xml:space="preserve">Los </w:t>
      </w:r>
      <w:r w:rsidRPr="00FC0F3D">
        <w:rPr>
          <w:b/>
          <w:i/>
          <w:iCs/>
          <w:lang w:val="es-MX"/>
        </w:rPr>
        <w:t xml:space="preserve">representantes </w:t>
      </w:r>
      <w:r w:rsidRPr="00FC0F3D">
        <w:rPr>
          <w:iCs/>
          <w:lang w:val="es-CL"/>
        </w:rPr>
        <w:t>solicitaron como medida simbólica de reparación que el Estado instale dos placas en la Favela Nova Brasilia, en las cercanías del local donde ocurrieron las ejecuciones extrajudiciales, con el objetivo de expresar la memoria de lo ocurrido e informar a la población sobre el resultado del proceso ante la Corte. Asimismo, requirieron que el Estado cree un espacio que ofrezca cursos de formación profesional y una escuela en la Favela Nova Brasilia. El texto de las placas debe ser negociado con los representantes de las víctimas y el nombre de la escuela con sus familiares.</w:t>
      </w:r>
    </w:p>
    <w:p w14:paraId="05DE7D49" w14:textId="77777777" w:rsidR="00605737" w:rsidRPr="00FC0F3D" w:rsidRDefault="00605737" w:rsidP="00605737">
      <w:pPr>
        <w:rPr>
          <w:iCs/>
          <w:lang w:val="es-CL"/>
        </w:rPr>
      </w:pPr>
    </w:p>
    <w:p w14:paraId="4378FD8F" w14:textId="6EBEB99D" w:rsidR="00605737" w:rsidRPr="00FC0F3D" w:rsidRDefault="00605737" w:rsidP="00605737">
      <w:pPr>
        <w:numPr>
          <w:ilvl w:val="0"/>
          <w:numId w:val="1"/>
        </w:numPr>
        <w:rPr>
          <w:iCs/>
          <w:lang w:val="es-ES_tradnl"/>
        </w:rPr>
      </w:pPr>
      <w:r w:rsidRPr="00FC0F3D">
        <w:rPr>
          <w:iCs/>
          <w:lang w:val="es-CL"/>
        </w:rPr>
        <w:t xml:space="preserve">Asimismo, solicitaron que el Estado de Brasil </w:t>
      </w:r>
      <w:r w:rsidR="004928C6">
        <w:rPr>
          <w:iCs/>
          <w:lang w:val="es-CL"/>
        </w:rPr>
        <w:t>realice</w:t>
      </w:r>
      <w:r w:rsidRPr="00FC0F3D">
        <w:rPr>
          <w:iCs/>
          <w:lang w:val="es-CL"/>
        </w:rPr>
        <w:t xml:space="preserve"> un acto público de reconocimiento de responsabilidad internacional con la finalidad de disculparse por el daño causado a las víctimas y evitar que hechos parecidos se repitan, con la participación de autoridades, víctimas y la cobertura de los medios de comunicación.</w:t>
      </w:r>
    </w:p>
    <w:p w14:paraId="13A43EF4" w14:textId="77777777" w:rsidR="00605737" w:rsidRPr="00FC0F3D" w:rsidRDefault="00605737" w:rsidP="00605737">
      <w:pPr>
        <w:rPr>
          <w:b/>
          <w:iCs/>
          <w:lang w:val="es-ES_tradnl"/>
        </w:rPr>
      </w:pPr>
    </w:p>
    <w:p w14:paraId="1F0FCE9D" w14:textId="2A663C9B" w:rsidR="00605737" w:rsidRPr="00FC0F3D" w:rsidRDefault="00605737" w:rsidP="00605737">
      <w:pPr>
        <w:numPr>
          <w:ilvl w:val="0"/>
          <w:numId w:val="1"/>
        </w:numPr>
        <w:rPr>
          <w:iCs/>
          <w:lang w:val="es-CL"/>
        </w:rPr>
      </w:pPr>
      <w:r w:rsidRPr="00FC0F3D">
        <w:rPr>
          <w:iCs/>
          <w:lang w:val="es-CL"/>
        </w:rPr>
        <w:t xml:space="preserve">El </w:t>
      </w:r>
      <w:r w:rsidRPr="00FC0F3D">
        <w:rPr>
          <w:b/>
          <w:i/>
          <w:iCs/>
          <w:lang w:val="es-CL"/>
        </w:rPr>
        <w:t>Estado</w:t>
      </w:r>
      <w:r w:rsidRPr="00FC0F3D">
        <w:rPr>
          <w:iCs/>
          <w:lang w:val="es-CL"/>
        </w:rPr>
        <w:t xml:space="preserve"> objetó la realización de un acto público de reconocimiento de responsabilidad y no se manifestó sobre la creación de un espacio que ofrezca cursos de formación profesional y una escuela en la comunidad. Tampoco realizó objeciones relativas a las placas conmemorativas, sin embargo solicitó que el texto sea definido por el Estado, sin necesidad del consentimiento de las víctimas. En el caso de que la Corte no considere esto </w:t>
      </w:r>
      <w:r w:rsidRPr="00FC0F3D">
        <w:rPr>
          <w:iCs/>
          <w:lang w:val="es-CL"/>
        </w:rPr>
        <w:lastRenderedPageBreak/>
        <w:t xml:space="preserve">adecuado, el Estado solicitó que sea la propia Corte quien defina el contenido de esa reparación simbólica. </w:t>
      </w:r>
    </w:p>
    <w:p w14:paraId="3C762AD0" w14:textId="77777777" w:rsidR="00605737" w:rsidRPr="00FC0F3D" w:rsidRDefault="00605737" w:rsidP="00605737">
      <w:pPr>
        <w:rPr>
          <w:iCs/>
          <w:lang w:val="es-CL"/>
        </w:rPr>
      </w:pPr>
    </w:p>
    <w:p w14:paraId="1C5535DF" w14:textId="77777777" w:rsidR="00605737" w:rsidRPr="00FC0F3D" w:rsidRDefault="00605737" w:rsidP="00605737">
      <w:pPr>
        <w:numPr>
          <w:ilvl w:val="0"/>
          <w:numId w:val="1"/>
        </w:numPr>
      </w:pPr>
      <w:r w:rsidRPr="00FC0F3D">
        <w:rPr>
          <w:iCs/>
        </w:rPr>
        <w:t xml:space="preserve">El Tribunal estima que el Estado debe realizar un acto de reconocimiento de responsabilidad </w:t>
      </w:r>
      <w:r w:rsidR="00A07966">
        <w:rPr>
          <w:iCs/>
        </w:rPr>
        <w:t>internacional</w:t>
      </w:r>
      <w:r w:rsidRPr="00FC0F3D">
        <w:rPr>
          <w:iCs/>
        </w:rPr>
        <w:t>, en relación con los hechos del presente caso y su posterior investigación. En dicho acto el Estado deberá hacer referencia a los hechos y violaciones de derechos humanos declaradas en la presente Sentencia. El acto deberá llevarse a cabo mediante una ceremonia pública y ser divulgada. El Estado deberá asegurar la participación de las víctimas declaradas en la presente Sentencia, si así lo desean, e invitar al evento a las organizaciones que los representaron en las instancias nacionales e internacionales. La realización y demás particularidades de dicha ceremonia pública deben consultarse previa y debidamente con las víctimas y sus representantes. Las autoridades estatales que deberán estar presentes o participar en dicho acto deberán ser altos funcionarios estatales del gobierno federal y del Estado de Río de Janeiro. Corresponderá al Estado definir a quienes se encomienda tal tarea. Para cumplir con esta obligación el Estado cuenta con un plazo de un año a partir de la notificación de la presente Sentencia.</w:t>
      </w:r>
    </w:p>
    <w:p w14:paraId="0C006A5B" w14:textId="77777777" w:rsidR="00605737" w:rsidRPr="00FC0F3D" w:rsidRDefault="00605737" w:rsidP="00605737"/>
    <w:p w14:paraId="06FCDD55" w14:textId="77777777" w:rsidR="00605737" w:rsidRPr="00FC0F3D" w:rsidRDefault="00605737" w:rsidP="00605737">
      <w:pPr>
        <w:numPr>
          <w:ilvl w:val="0"/>
          <w:numId w:val="1"/>
        </w:numPr>
      </w:pPr>
      <w:r w:rsidRPr="00FC0F3D">
        <w:rPr>
          <w:iCs/>
        </w:rPr>
        <w:t xml:space="preserve">Durante ese acto público deberán ser inauguradas dos placas </w:t>
      </w:r>
      <w:r w:rsidRPr="00FC0F3D">
        <w:rPr>
          <w:iCs/>
          <w:lang w:val="es-CO"/>
        </w:rPr>
        <w:t>en memoria de las víctimas de la presente Sentencia en la plaza principal de la Favela Nova Brasilia</w:t>
      </w:r>
      <w:r w:rsidR="00A07966">
        <w:rPr>
          <w:iCs/>
          <w:lang w:val="es-CO"/>
        </w:rPr>
        <w:t>, una placa relativa a los hechos de 1994 y otra relativa a los hechos de 1995</w:t>
      </w:r>
      <w:r w:rsidRPr="00FC0F3D">
        <w:rPr>
          <w:iCs/>
          <w:lang w:val="es-ES"/>
        </w:rPr>
        <w:t xml:space="preserve">. El contenido de dichas placas deberá ser acordado entre el Estado y los representantes. Para tanto, la Corte otorga el plazo de seis meses. En el caso de que las partes no lleguen a un acuerdo, deberán informarlo a la Corte y esta definirá el texto exacto de las placas a ser instaladas. </w:t>
      </w:r>
    </w:p>
    <w:p w14:paraId="3A478B41" w14:textId="77777777" w:rsidR="001047A7" w:rsidRDefault="001047A7" w:rsidP="001047A7">
      <w:pPr>
        <w:pStyle w:val="ListParagraph"/>
      </w:pPr>
    </w:p>
    <w:p w14:paraId="1921C4A7" w14:textId="5481FDD5" w:rsidR="007F4351" w:rsidRDefault="00996066" w:rsidP="00123780">
      <w:pPr>
        <w:pStyle w:val="TOC2"/>
      </w:pPr>
      <w:bookmarkStart w:id="464" w:name="_Toc472608979"/>
      <w:bookmarkStart w:id="465" w:name="_Toc469404535"/>
      <w:r>
        <w:t>E.</w:t>
      </w:r>
      <w:r>
        <w:tab/>
      </w:r>
      <w:r w:rsidR="007F4351">
        <w:t>Garantías de no repetición</w:t>
      </w:r>
      <w:bookmarkEnd w:id="464"/>
    </w:p>
    <w:p w14:paraId="3F81F7BC" w14:textId="77777777" w:rsidR="007F4351" w:rsidRPr="007F4351" w:rsidRDefault="007F4351" w:rsidP="007F4351">
      <w:pPr>
        <w:pStyle w:val="ListParagraph"/>
        <w:ind w:left="0"/>
        <w:rPr>
          <w:lang w:val="es-ES" w:eastAsia="es-ES"/>
        </w:rPr>
      </w:pPr>
    </w:p>
    <w:p w14:paraId="7809C28E" w14:textId="77777777" w:rsidR="00605737" w:rsidRPr="00FC0F3D" w:rsidRDefault="007F4351" w:rsidP="00123780">
      <w:pPr>
        <w:pStyle w:val="TOC2"/>
      </w:pPr>
      <w:bookmarkStart w:id="466" w:name="_Toc472608980"/>
      <w:r>
        <w:t>E</w:t>
      </w:r>
      <w:r w:rsidR="00605737" w:rsidRPr="00FC0F3D">
        <w:t>.</w:t>
      </w:r>
      <w:r>
        <w:t>1</w:t>
      </w:r>
      <w:r w:rsidR="00605737" w:rsidRPr="00FC0F3D">
        <w:t>.    Adopción de políticas públicas</w:t>
      </w:r>
      <w:bookmarkEnd w:id="465"/>
      <w:bookmarkEnd w:id="466"/>
      <w:r w:rsidR="00605737" w:rsidRPr="00FC0F3D">
        <w:t xml:space="preserve"> </w:t>
      </w:r>
    </w:p>
    <w:p w14:paraId="2979CAEE" w14:textId="77777777" w:rsidR="00605737" w:rsidRPr="00FC0F3D" w:rsidRDefault="00605737" w:rsidP="00605737">
      <w:pPr>
        <w:rPr>
          <w:iCs/>
          <w:lang w:val="es-MX"/>
        </w:rPr>
      </w:pPr>
    </w:p>
    <w:p w14:paraId="406AE45A" w14:textId="5641B6D1" w:rsidR="00605737" w:rsidRPr="00FC0F3D" w:rsidRDefault="00605737" w:rsidP="00605737">
      <w:pPr>
        <w:numPr>
          <w:ilvl w:val="0"/>
          <w:numId w:val="1"/>
        </w:numPr>
      </w:pPr>
      <w:r w:rsidRPr="00FC0F3D">
        <w:rPr>
          <w:iCs/>
          <w:lang w:val="es-ES"/>
        </w:rPr>
        <w:t xml:space="preserve">La </w:t>
      </w:r>
      <w:r w:rsidRPr="00FC0F3D">
        <w:rPr>
          <w:b/>
          <w:i/>
          <w:iCs/>
          <w:lang w:val="es-ES"/>
        </w:rPr>
        <w:t>Comisión</w:t>
      </w:r>
      <w:r w:rsidRPr="00FC0F3D">
        <w:rPr>
          <w:iCs/>
          <w:lang w:val="es-ES"/>
        </w:rPr>
        <w:t xml:space="preserve"> solicitó la adopción de regulaciones administrativas, procedimientos y planes operativos con el fin de erradicar la impunidad de la violencia policial, y </w:t>
      </w:r>
      <w:r w:rsidRPr="00FC0F3D">
        <w:t>modernizar y profesionalizar las fuerzas policiales</w:t>
      </w:r>
      <w:r w:rsidRPr="00FC0F3D">
        <w:rPr>
          <w:iCs/>
          <w:lang w:val="es-ES"/>
        </w:rPr>
        <w:t xml:space="preserve">; el establecimiento de  </w:t>
      </w:r>
      <w:r w:rsidRPr="00FC0F3D">
        <w:t>sistemas de control y rendición de cuentas internos y externos para hacer efectivo el deber de investigar, con una perspectiva de género y étnico-racial, todos los casos en los que los agentes del orden utilizan la fuerza letal y/o la violencia sexual; el fortalecimiento de la capacidad institucional de órganos independientes de supervisión, incluidos los órganos forenses, para enfrentar el patrón de impunidad de los casos de ejecuciones extrajudiciales por parte de la policía; y el entrenamiento adecuado al personal policial sobre cómo tratar de manera efectiva y eficiente a las personas provenientes de los sectores más vulnerables de la sociedad</w:t>
      </w:r>
      <w:r w:rsidR="000118FE">
        <w:t>.</w:t>
      </w:r>
      <w:r w:rsidRPr="00FC0F3D">
        <w:t xml:space="preserve"> </w:t>
      </w:r>
    </w:p>
    <w:p w14:paraId="5FC72D01" w14:textId="77777777" w:rsidR="00605737" w:rsidRPr="00FC0F3D" w:rsidRDefault="00605737" w:rsidP="00605737">
      <w:pPr>
        <w:rPr>
          <w:iCs/>
          <w:lang w:val="es-ES_tradnl"/>
        </w:rPr>
      </w:pPr>
    </w:p>
    <w:p w14:paraId="7716772C" w14:textId="40BA200D" w:rsidR="00605737" w:rsidRPr="00FC0F3D" w:rsidRDefault="00605737" w:rsidP="00605737">
      <w:pPr>
        <w:numPr>
          <w:ilvl w:val="0"/>
          <w:numId w:val="1"/>
        </w:numPr>
        <w:rPr>
          <w:b/>
          <w:iCs/>
        </w:rPr>
      </w:pPr>
      <w:r w:rsidRPr="00FC0F3D">
        <w:rPr>
          <w:iCs/>
          <w:lang w:val="es-CL"/>
        </w:rPr>
        <w:t xml:space="preserve">Los </w:t>
      </w:r>
      <w:r w:rsidRPr="00FC0F3D">
        <w:rPr>
          <w:b/>
          <w:i/>
          <w:iCs/>
          <w:lang w:val="es-CL"/>
        </w:rPr>
        <w:t>representantes</w:t>
      </w:r>
      <w:r w:rsidRPr="00FC0F3D">
        <w:rPr>
          <w:iCs/>
          <w:lang w:val="es-CL"/>
        </w:rPr>
        <w:t xml:space="preserve"> solicitaron la creación de un protocolo nacional de debida diligencia para investigaciones de graves violaciones de derechos humanos que contenga parámetros de actuación conjunta de la Policía, Ministerio Público, Poder Judicial, Institutos de Pericia y otros órganos involucrados en la investigación de delitos producidos por violencia policial; la creación de Comisiones de Control Externo en el ámbito del Ministerio Público y de Juzgados Especializados para juzgar delitos decurrentes de violencia policial; el establecimiento de criterios objetivos para sustitución de jueces titulares en caso de su ausencia; el alejamiento de los policías acusados de participación en casos de graves violaciones bajo investigación de la policía hasta la conclusión de la investigación; el ofrecimiento de apoyo psicológico y técnico a policías sometidos a situaciones de riesgo; el fortalecimiento de las </w:t>
      </w:r>
      <w:proofErr w:type="spellStart"/>
      <w:r w:rsidRPr="00FC0F3D">
        <w:rPr>
          <w:i/>
          <w:iCs/>
          <w:lang w:val="es-CL"/>
        </w:rPr>
        <w:t>Corregedorias</w:t>
      </w:r>
      <w:proofErr w:type="spellEnd"/>
      <w:r w:rsidRPr="00FC0F3D">
        <w:rPr>
          <w:iCs/>
          <w:lang w:val="es-CL"/>
        </w:rPr>
        <w:t xml:space="preserve"> y </w:t>
      </w:r>
      <w:proofErr w:type="spellStart"/>
      <w:r w:rsidRPr="00FC0F3D">
        <w:rPr>
          <w:i/>
          <w:iCs/>
          <w:lang w:val="es-CL"/>
        </w:rPr>
        <w:t>Ouvidorias</w:t>
      </w:r>
      <w:proofErr w:type="spellEnd"/>
      <w:r w:rsidRPr="00FC0F3D">
        <w:rPr>
          <w:iCs/>
          <w:lang w:val="es-CL"/>
        </w:rPr>
        <w:t xml:space="preserve"> externas a la policía; la garantía de estructura financiera, material e institucional a los Programas de Protección a Víctimas y Testigos Amenazados (PROVITA) y a Defensores de Derechos Humanos en los estados; la creación de un sistema continuo y único de numeración y acompañamiento de </w:t>
      </w:r>
      <w:r w:rsidRPr="00FC0F3D">
        <w:rPr>
          <w:iCs/>
          <w:lang w:val="es-CL"/>
        </w:rPr>
        <w:lastRenderedPageBreak/>
        <w:t xml:space="preserve">investigaciones ante la Policía, Ministerio Público y Poder Judicial; la creación en el ámbito del poder ejecutivo estadual de todos los Estados de una Comisión para Reducción de la Letalidad en Acciones que Involucren a Policías; la obligatoriedad de divulgación de informes anuales sobre policías y civiles muertos en acciones policiacas; y la capacitación de profesionales de salud en relación con la legislación y normas técnicas vigentes para </w:t>
      </w:r>
      <w:r w:rsidR="00AF6F87">
        <w:rPr>
          <w:iCs/>
          <w:lang w:val="es-CL"/>
        </w:rPr>
        <w:t>garantizar</w:t>
      </w:r>
      <w:r w:rsidRPr="00FC0F3D">
        <w:rPr>
          <w:iCs/>
          <w:lang w:val="es-CL"/>
        </w:rPr>
        <w:t xml:space="preserve"> el efectivo cumplimiento de la Ley No. 12.845/14, que dispone sobre la atención de personas víctimas de violencia sexual, incluyendo capacitación en derechos humanos con perspectiva de género.</w:t>
      </w:r>
    </w:p>
    <w:p w14:paraId="33E6BDD5" w14:textId="77777777" w:rsidR="00605737" w:rsidRPr="00FC0F3D" w:rsidRDefault="00605737" w:rsidP="00605737">
      <w:pPr>
        <w:rPr>
          <w:iCs/>
        </w:rPr>
      </w:pPr>
    </w:p>
    <w:p w14:paraId="360D6F1E" w14:textId="1EF944FD" w:rsidR="00605737" w:rsidRPr="00FC0F3D" w:rsidRDefault="00605737" w:rsidP="00605737">
      <w:pPr>
        <w:numPr>
          <w:ilvl w:val="0"/>
          <w:numId w:val="1"/>
        </w:numPr>
      </w:pPr>
      <w:r w:rsidRPr="00FC0F3D">
        <w:rPr>
          <w:iCs/>
          <w:lang w:val="es-CL"/>
        </w:rPr>
        <w:t xml:space="preserve">El </w:t>
      </w:r>
      <w:r w:rsidRPr="00FC0F3D">
        <w:rPr>
          <w:b/>
          <w:i/>
          <w:iCs/>
          <w:lang w:val="es-CL"/>
        </w:rPr>
        <w:t>Estado</w:t>
      </w:r>
      <w:r w:rsidRPr="00FC0F3D">
        <w:rPr>
          <w:iCs/>
          <w:lang w:val="es-CL"/>
        </w:rPr>
        <w:t xml:space="preserve"> se pronunció detalladamente sobre las varias medidas solicitadas por los representantes. En relación con la creación de un protocolo nacional de debida diligencia, afirmó que cuenta con una amplia variedad de leyes y normas que regulan procedimientos de investigación</w:t>
      </w:r>
      <w:r w:rsidRPr="00FC0F3D">
        <w:rPr>
          <w:iCs/>
          <w:vertAlign w:val="superscript"/>
          <w:lang w:val="es-CL"/>
        </w:rPr>
        <w:footnoteReference w:id="326"/>
      </w:r>
      <w:r w:rsidRPr="00FC0F3D">
        <w:rPr>
          <w:iCs/>
          <w:lang w:val="es-ES"/>
        </w:rPr>
        <w:t xml:space="preserve">. </w:t>
      </w:r>
      <w:r w:rsidRPr="00FC0F3D">
        <w:t>Señaló que es innecesario e ineficaz la creación de otro mecanismo de control y monitoreo de órganos responsables por la investigación de delitos en razón de la responsabilidad del Ministerio Público en las investigaciones policiales y del control externo de la actividad policial</w:t>
      </w:r>
      <w:r w:rsidRPr="00FC0F3D">
        <w:rPr>
          <w:vertAlign w:val="superscript"/>
          <w:lang w:val="en-US"/>
        </w:rPr>
        <w:footnoteReference w:id="327"/>
      </w:r>
      <w:r w:rsidRPr="00FC0F3D">
        <w:t>, y de la competencia del Consejo Nacional del Ministerio Publico (CNMP) para supervisar el cumplimiento de los deberes funcionales de sus miembros</w:t>
      </w:r>
      <w:r w:rsidRPr="00FC0F3D">
        <w:rPr>
          <w:vertAlign w:val="superscript"/>
          <w:lang w:val="en-US"/>
        </w:rPr>
        <w:footnoteReference w:id="328"/>
      </w:r>
      <w:r w:rsidRPr="00FC0F3D">
        <w:t>. Finalmente, indicó que las actividades desarrolladas por el Ministerio Público, Policía y Poder Judicial están incuestionablemente interconectadas</w:t>
      </w:r>
      <w:r w:rsidR="000118FE">
        <w:t>.</w:t>
      </w:r>
      <w:r w:rsidRPr="00FC0F3D">
        <w:t xml:space="preserve"> </w:t>
      </w:r>
    </w:p>
    <w:p w14:paraId="3C6CAA77" w14:textId="77777777" w:rsidR="00605737" w:rsidRPr="00FC0F3D" w:rsidRDefault="00605737" w:rsidP="00605737">
      <w:pPr>
        <w:rPr>
          <w:b/>
          <w:iCs/>
          <w:lang w:val="es-ES"/>
        </w:rPr>
      </w:pPr>
    </w:p>
    <w:p w14:paraId="2FD46588" w14:textId="5BD84FE3" w:rsidR="00605737" w:rsidRPr="00FC0F3D" w:rsidRDefault="00605737" w:rsidP="00605737">
      <w:pPr>
        <w:numPr>
          <w:ilvl w:val="0"/>
          <w:numId w:val="1"/>
        </w:numPr>
      </w:pPr>
      <w:r w:rsidRPr="00FC0F3D">
        <w:rPr>
          <w:iCs/>
          <w:lang w:val="es-ES"/>
        </w:rPr>
        <w:t xml:space="preserve">Respecto a la creación de </w:t>
      </w:r>
      <w:r w:rsidRPr="00FC0F3D">
        <w:rPr>
          <w:iCs/>
          <w:lang w:val="es-CL"/>
        </w:rPr>
        <w:t>Juzgados Especializados para delitos derivados de violencia policial, el Estado demostró que la competencia constitucional en relación a la organización de la justicia estadual es de cada Estado Federado y que no sería relevante la creación de un Juzgado para procesar crímenes de esa naturaleza. Asimismo, destacó medidas que existentes en el ámbito doméstico para garantizar la efectividad de la prestación jurisdiccional</w:t>
      </w:r>
      <w:r w:rsidRPr="00FC0F3D">
        <w:rPr>
          <w:iCs/>
          <w:vertAlign w:val="superscript"/>
          <w:lang w:val="es-CL"/>
        </w:rPr>
        <w:footnoteReference w:id="329"/>
      </w:r>
      <w:r w:rsidRPr="002515A4">
        <w:rPr>
          <w:iCs/>
          <w:lang w:val="es-ES"/>
        </w:rPr>
        <w:t>.</w:t>
      </w:r>
    </w:p>
    <w:p w14:paraId="0247E522" w14:textId="77777777" w:rsidR="00605737" w:rsidRPr="00FC0F3D" w:rsidRDefault="00605737" w:rsidP="00605737"/>
    <w:p w14:paraId="1B2DEAD9" w14:textId="45FCC224" w:rsidR="00605737" w:rsidRPr="00FC0F3D" w:rsidRDefault="00605737" w:rsidP="00605737">
      <w:pPr>
        <w:numPr>
          <w:ilvl w:val="0"/>
          <w:numId w:val="1"/>
        </w:numPr>
      </w:pPr>
      <w:r w:rsidRPr="00FC0F3D">
        <w:t>En respuesta a lo solicitado por los representantes, el Estado también afirmó que ya se encuentra comprometido con el apoyo psicológico y técnico de policías sometidos a situaciones de riesgo</w:t>
      </w:r>
      <w:r w:rsidRPr="00FC0F3D">
        <w:rPr>
          <w:iCs/>
          <w:vertAlign w:val="superscript"/>
          <w:lang w:val="es-ES"/>
        </w:rPr>
        <w:footnoteReference w:id="330"/>
      </w:r>
      <w:r w:rsidRPr="00FC0F3D">
        <w:rPr>
          <w:iCs/>
          <w:lang w:val="es-ES"/>
        </w:rPr>
        <w:t xml:space="preserve">, </w:t>
      </w:r>
      <w:r w:rsidRPr="00FC0F3D">
        <w:t xml:space="preserve">y consideró inadecuados los siguientes pedidos: a) la creación de reglas para sustitución de jueces, señalando que el Estado ya posee criterios objetivos sobre </w:t>
      </w:r>
      <w:r w:rsidRPr="00FC0F3D">
        <w:lastRenderedPageBreak/>
        <w:t>esa cuestión</w:t>
      </w:r>
      <w:r w:rsidRPr="00FC0F3D">
        <w:rPr>
          <w:vertAlign w:val="superscript"/>
        </w:rPr>
        <w:footnoteReference w:id="331"/>
      </w:r>
      <w:r w:rsidRPr="00FC0F3D">
        <w:t xml:space="preserve">; b) el fortalecimiento de las </w:t>
      </w:r>
      <w:proofErr w:type="spellStart"/>
      <w:r w:rsidRPr="00FC0F3D">
        <w:rPr>
          <w:i/>
          <w:iCs/>
          <w:lang w:val="es-CL"/>
        </w:rPr>
        <w:t>Corregedorias</w:t>
      </w:r>
      <w:proofErr w:type="spellEnd"/>
      <w:r w:rsidRPr="00FC0F3D">
        <w:rPr>
          <w:iCs/>
          <w:lang w:val="es-CL"/>
        </w:rPr>
        <w:t xml:space="preserve"> y </w:t>
      </w:r>
      <w:proofErr w:type="spellStart"/>
      <w:r w:rsidRPr="00FC0F3D">
        <w:rPr>
          <w:i/>
          <w:iCs/>
          <w:lang w:val="es-CL"/>
        </w:rPr>
        <w:t>Ouvidorias</w:t>
      </w:r>
      <w:proofErr w:type="spellEnd"/>
      <w:r w:rsidRPr="00FC0F3D">
        <w:rPr>
          <w:iCs/>
          <w:lang w:val="es-CL"/>
        </w:rPr>
        <w:t xml:space="preserve">, indicando </w:t>
      </w:r>
      <w:r w:rsidRPr="00FC0F3D">
        <w:rPr>
          <w:iCs/>
          <w:lang w:val="es-ES"/>
        </w:rPr>
        <w:t>que, además de ya contar con esos mecanismos</w:t>
      </w:r>
      <w:r w:rsidRPr="00FC0F3D">
        <w:rPr>
          <w:iCs/>
          <w:vertAlign w:val="superscript"/>
          <w:lang w:val="es-ES"/>
        </w:rPr>
        <w:footnoteReference w:id="332"/>
      </w:r>
      <w:r w:rsidRPr="00FC0F3D">
        <w:rPr>
          <w:iCs/>
          <w:lang w:val="es-CL"/>
        </w:rPr>
        <w:t xml:space="preserve">, posee una instancia colegiada, el Fórum Nacional de </w:t>
      </w:r>
      <w:proofErr w:type="spellStart"/>
      <w:r w:rsidRPr="00FC0F3D">
        <w:rPr>
          <w:i/>
          <w:iCs/>
          <w:lang w:val="es-CL"/>
        </w:rPr>
        <w:t>Ouvidoria</w:t>
      </w:r>
      <w:r w:rsidRPr="00FC0F3D">
        <w:rPr>
          <w:iCs/>
          <w:lang w:val="es-CL"/>
        </w:rPr>
        <w:t>s</w:t>
      </w:r>
      <w:proofErr w:type="spellEnd"/>
      <w:r w:rsidRPr="00FC0F3D">
        <w:rPr>
          <w:iCs/>
          <w:lang w:val="es-CL"/>
        </w:rPr>
        <w:t xml:space="preserve"> de Policía, responsable por la promoción y protección de derechos humanos, desarrollo de instrumentos eficaces de  fiscalización, autonomía e independencia de las </w:t>
      </w:r>
      <w:proofErr w:type="spellStart"/>
      <w:r w:rsidRPr="00FC0F3D">
        <w:rPr>
          <w:i/>
          <w:iCs/>
          <w:lang w:val="es-CL"/>
        </w:rPr>
        <w:t>Ouvidoria</w:t>
      </w:r>
      <w:r w:rsidRPr="00FC0F3D">
        <w:rPr>
          <w:iCs/>
          <w:lang w:val="es-CL"/>
        </w:rPr>
        <w:t>s</w:t>
      </w:r>
      <w:proofErr w:type="spellEnd"/>
      <w:r w:rsidRPr="00FC0F3D">
        <w:rPr>
          <w:iCs/>
          <w:lang w:val="es-CL"/>
        </w:rPr>
        <w:t xml:space="preserve"> estaduales, creación de directrices nacionales e intercambio de experiencias</w:t>
      </w:r>
      <w:r w:rsidRPr="00FC0F3D">
        <w:rPr>
          <w:iCs/>
          <w:lang w:val="es-ES"/>
        </w:rPr>
        <w:t xml:space="preserve">; y c) la </w:t>
      </w:r>
      <w:r w:rsidRPr="00FC0F3D">
        <w:rPr>
          <w:iCs/>
          <w:lang w:val="es-CL"/>
        </w:rPr>
        <w:t>garantía de estructura financiera, material e institucional a los Programas de Protección a Víctimas y Testigos Amenazados (PROVITA)</w:t>
      </w:r>
      <w:r w:rsidRPr="00FC0F3D">
        <w:rPr>
          <w:iCs/>
          <w:vertAlign w:val="superscript"/>
          <w:lang w:val="es-CL"/>
        </w:rPr>
        <w:footnoteReference w:id="333"/>
      </w:r>
      <w:r w:rsidRPr="00FC0F3D">
        <w:rPr>
          <w:iCs/>
          <w:lang w:val="es-CL"/>
        </w:rPr>
        <w:t xml:space="preserve"> y de Defensores de Derechos Humanos, informando que ya garantiza protección efectiva y adecuada a víctimas y testigos, proporcionándoles reinserción social y autonomía personal, y que la protección de defensores de derechos humanos es adecuada dentro de los parámetros internaciones. Además, el Estado consideró inadecuado el pedido sobre el Programa de Protección a Defensores Humanos por no guardar relación con el presente caso</w:t>
      </w:r>
      <w:r w:rsidRPr="00FC0F3D">
        <w:rPr>
          <w:iCs/>
          <w:lang w:val="es-ES"/>
        </w:rPr>
        <w:t>.</w:t>
      </w:r>
    </w:p>
    <w:p w14:paraId="4B9741BA" w14:textId="77777777" w:rsidR="00605737" w:rsidRPr="00FC0F3D" w:rsidRDefault="00605737" w:rsidP="00605737"/>
    <w:p w14:paraId="04C16493" w14:textId="74E367D2" w:rsidR="00605737" w:rsidRPr="00FC0F3D" w:rsidRDefault="00605737" w:rsidP="00605737">
      <w:pPr>
        <w:numPr>
          <w:ilvl w:val="0"/>
          <w:numId w:val="1"/>
        </w:numPr>
        <w:rPr>
          <w:b/>
          <w:iCs/>
          <w:lang w:val="es-ES"/>
        </w:rPr>
      </w:pPr>
      <w:r w:rsidRPr="00FC0F3D">
        <w:t>En relación a la creación de un sistema continuo de numeración y acompañamiento de investigaciones y de Comisiones para Reducción de la Letalidad en la actuación policiaca, el Estado afirmó contar con normas que se ocupan de desarrollar soluciones para garantizar mayor unificación, eficacia y publicidad procesal</w:t>
      </w:r>
      <w:r w:rsidRPr="00FC0F3D">
        <w:rPr>
          <w:vertAlign w:val="superscript"/>
        </w:rPr>
        <w:footnoteReference w:id="334"/>
      </w:r>
      <w:r w:rsidRPr="00FC0F3D">
        <w:t xml:space="preserve">, </w:t>
      </w:r>
      <w:r w:rsidRPr="00FC0F3D">
        <w:rPr>
          <w:iCs/>
          <w:lang w:val="es-ES"/>
        </w:rPr>
        <w:t>con el fin de garantizar la reducción de la letalidad policial</w:t>
      </w:r>
      <w:r w:rsidRPr="00FC0F3D">
        <w:rPr>
          <w:iCs/>
          <w:vertAlign w:val="superscript"/>
          <w:lang w:val="es-ES"/>
        </w:rPr>
        <w:footnoteReference w:id="335"/>
      </w:r>
      <w:r w:rsidRPr="00FC0F3D">
        <w:rPr>
          <w:iCs/>
          <w:lang w:val="es-ES"/>
        </w:rPr>
        <w:t>.</w:t>
      </w:r>
      <w:r w:rsidRPr="00FC0F3D">
        <w:rPr>
          <w:b/>
          <w:iCs/>
          <w:lang w:val="es-ES"/>
        </w:rPr>
        <w:t xml:space="preserve"> </w:t>
      </w:r>
    </w:p>
    <w:p w14:paraId="0A3C1361" w14:textId="77777777" w:rsidR="00605737" w:rsidRPr="00FC0F3D" w:rsidRDefault="00605737" w:rsidP="00605737">
      <w:pPr>
        <w:rPr>
          <w:iCs/>
          <w:lang w:val="es-ES"/>
        </w:rPr>
      </w:pPr>
    </w:p>
    <w:p w14:paraId="3DC017A7" w14:textId="16396551" w:rsidR="00605737" w:rsidRPr="00FC0F3D" w:rsidRDefault="00605737" w:rsidP="00605737">
      <w:pPr>
        <w:numPr>
          <w:ilvl w:val="0"/>
          <w:numId w:val="1"/>
        </w:numPr>
        <w:rPr>
          <w:b/>
          <w:iCs/>
          <w:lang w:val="es-ES"/>
        </w:rPr>
      </w:pPr>
      <w:r w:rsidRPr="00FC0F3D">
        <w:rPr>
          <w:iCs/>
          <w:lang w:val="es-ES"/>
        </w:rPr>
        <w:t xml:space="preserve">En lo referente a la </w:t>
      </w:r>
      <w:r w:rsidRPr="00FC0F3D">
        <w:rPr>
          <w:iCs/>
          <w:lang w:val="es-CL"/>
        </w:rPr>
        <w:t>divulgación de informes anuales sobre número de muertes de policías y civiles durante operativos policiacos, el Estado informó que la implementación de dichos informes está prevista en el Plan Plurianual 2012-2015 y destacó la existencia del Sistema Nacional de Informaciones de Seguridad Pública, Carcelaria y sobre Drogas (SINESP)</w:t>
      </w:r>
      <w:r w:rsidRPr="00FC0F3D">
        <w:rPr>
          <w:iCs/>
          <w:vertAlign w:val="superscript"/>
          <w:lang w:val="es-CL"/>
        </w:rPr>
        <w:footnoteReference w:id="336"/>
      </w:r>
      <w:r w:rsidRPr="00FC0F3D">
        <w:rPr>
          <w:iCs/>
          <w:lang w:val="es-CL"/>
        </w:rPr>
        <w:t xml:space="preserve"> y el Anuario Nacional de Seguridad Publica en al ámbito del Fórum Nacional de Seguridad Publica, el cual desde 2014 acompaña el tema de letalidad policial</w:t>
      </w:r>
      <w:r w:rsidRPr="00FC0F3D">
        <w:rPr>
          <w:iCs/>
          <w:lang w:val="es-ES"/>
        </w:rPr>
        <w:t>.</w:t>
      </w:r>
    </w:p>
    <w:p w14:paraId="0D5829FA" w14:textId="77777777" w:rsidR="00605737" w:rsidRPr="000118FE" w:rsidRDefault="00605737" w:rsidP="00605737">
      <w:pPr>
        <w:rPr>
          <w:iCs/>
          <w:lang w:val="es-ES"/>
        </w:rPr>
      </w:pPr>
    </w:p>
    <w:p w14:paraId="0A4F1A2A" w14:textId="7EDFDD97" w:rsidR="00605737" w:rsidRPr="00FC0F3D" w:rsidRDefault="00605737" w:rsidP="00605737">
      <w:pPr>
        <w:numPr>
          <w:ilvl w:val="0"/>
          <w:numId w:val="1"/>
        </w:numPr>
        <w:rPr>
          <w:b/>
          <w:iCs/>
          <w:lang w:val="es-ES"/>
        </w:rPr>
      </w:pPr>
      <w:r w:rsidRPr="00FC0F3D">
        <w:rPr>
          <w:iCs/>
          <w:lang w:val="es-ES_tradnl"/>
        </w:rPr>
        <w:t>Finalmente, respecto a la capacitación de agentes para la atención de víctimas de violencia sexual, el Estado presentó diversas normas</w:t>
      </w:r>
      <w:r w:rsidRPr="00FC0F3D">
        <w:rPr>
          <w:iCs/>
          <w:vertAlign w:val="superscript"/>
          <w:lang w:val="es-ES_tradnl"/>
        </w:rPr>
        <w:footnoteReference w:id="337"/>
      </w:r>
      <w:r w:rsidRPr="00FC0F3D">
        <w:rPr>
          <w:iCs/>
          <w:lang w:val="es-ES_tradnl"/>
        </w:rPr>
        <w:t xml:space="preserve"> y proyectos en el ámbito del Ministerio de Salud, </w:t>
      </w:r>
      <w:r w:rsidR="003E25B3">
        <w:rPr>
          <w:iCs/>
          <w:lang w:val="es-ES_tradnl"/>
        </w:rPr>
        <w:t xml:space="preserve">dirigidas a </w:t>
      </w:r>
      <w:r w:rsidRPr="00FC0F3D">
        <w:rPr>
          <w:iCs/>
          <w:lang w:val="es-ES_tradnl"/>
        </w:rPr>
        <w:t>fortalecer la atención a mujeres en situación de riesgo</w:t>
      </w:r>
      <w:r w:rsidRPr="00FC0F3D">
        <w:rPr>
          <w:iCs/>
          <w:lang w:val="es-ES"/>
        </w:rPr>
        <w:t>.</w:t>
      </w:r>
    </w:p>
    <w:p w14:paraId="17AB7588" w14:textId="77777777" w:rsidR="00605737" w:rsidRPr="000118FE" w:rsidRDefault="00605737" w:rsidP="00605737">
      <w:pPr>
        <w:rPr>
          <w:iCs/>
          <w:lang w:val="es-ES"/>
        </w:rPr>
      </w:pPr>
    </w:p>
    <w:p w14:paraId="27C8A5B2" w14:textId="64309710" w:rsidR="00605737" w:rsidRPr="00FC0F3D" w:rsidRDefault="00605737" w:rsidP="00605737">
      <w:pPr>
        <w:numPr>
          <w:ilvl w:val="0"/>
          <w:numId w:val="1"/>
        </w:numPr>
        <w:rPr>
          <w:iCs/>
          <w:lang w:val="es-ES_tradnl"/>
        </w:rPr>
      </w:pPr>
      <w:r w:rsidRPr="00FC0F3D">
        <w:rPr>
          <w:iCs/>
          <w:lang w:val="es-ES_tradnl"/>
        </w:rPr>
        <w:t xml:space="preserve">El Estado no se pronunció en relación al pedido de los representantes sobre </w:t>
      </w:r>
      <w:r w:rsidRPr="00FC0F3D">
        <w:rPr>
          <w:iCs/>
          <w:lang w:val="es-CL"/>
        </w:rPr>
        <w:t>la s</w:t>
      </w:r>
      <w:r w:rsidR="009B7973">
        <w:rPr>
          <w:iCs/>
          <w:lang w:val="es-CL"/>
        </w:rPr>
        <w:t>uspensión</w:t>
      </w:r>
      <w:r w:rsidRPr="00FC0F3D">
        <w:rPr>
          <w:iCs/>
          <w:lang w:val="es-CL"/>
        </w:rPr>
        <w:t xml:space="preserve"> de los policías acusados de participación en casos graves bajo investigación de la policía hasta el término de la investigación</w:t>
      </w:r>
      <w:r w:rsidRPr="00FC0F3D">
        <w:rPr>
          <w:iCs/>
          <w:lang w:val="es-ES_tradnl"/>
        </w:rPr>
        <w:t>.</w:t>
      </w:r>
    </w:p>
    <w:p w14:paraId="5789557C" w14:textId="77777777" w:rsidR="00605737" w:rsidRPr="00FC0F3D" w:rsidRDefault="00605737" w:rsidP="00605737">
      <w:pPr>
        <w:rPr>
          <w:iCs/>
          <w:lang w:val="es-ES_tradnl"/>
        </w:rPr>
      </w:pPr>
    </w:p>
    <w:p w14:paraId="4AA15C40" w14:textId="395980B9" w:rsidR="00605737" w:rsidRPr="00FC0F3D" w:rsidRDefault="00605737" w:rsidP="00605737">
      <w:pPr>
        <w:numPr>
          <w:ilvl w:val="0"/>
          <w:numId w:val="1"/>
        </w:numPr>
        <w:rPr>
          <w:iCs/>
          <w:lang w:val="es-CL"/>
        </w:rPr>
      </w:pPr>
      <w:r w:rsidRPr="00FC0F3D">
        <w:rPr>
          <w:iCs/>
          <w:lang w:val="es-CL"/>
        </w:rPr>
        <w:lastRenderedPageBreak/>
        <w:t>La Corte</w:t>
      </w:r>
      <w:r w:rsidRPr="00FC0F3D">
        <w:rPr>
          <w:i/>
          <w:iCs/>
          <w:lang w:val="es-CL"/>
        </w:rPr>
        <w:t xml:space="preserve"> </w:t>
      </w:r>
      <w:r w:rsidRPr="00FC0F3D">
        <w:rPr>
          <w:iCs/>
          <w:lang w:val="es-CL"/>
        </w:rPr>
        <w:t>considera importante la obligatoriedad de divulgación de informes anuales con datos sobre el número de policías y civiles muertos durante operativos y acciones policiales. La Corte</w:t>
      </w:r>
      <w:r w:rsidRPr="00FC0F3D">
        <w:rPr>
          <w:b/>
          <w:i/>
          <w:iCs/>
          <w:lang w:val="es-CL"/>
        </w:rPr>
        <w:t xml:space="preserve"> </w:t>
      </w:r>
      <w:r w:rsidRPr="00FC0F3D">
        <w:rPr>
          <w:iCs/>
          <w:lang w:val="es-CL"/>
        </w:rPr>
        <w:t xml:space="preserve">toma nota de los datos divulgados por el Instituto de Seguridad Pública de Río de Janeiro, que incluso dispone de información sobre homicidios provenientes de intervención policial. Considera también la existencia del Sistema Nacional de Informaciones de Seguridad Pública (SINESP), creado por la Ley No. 12.681/2012, que tiene como uno de sus objetivos la disponibilidad </w:t>
      </w:r>
      <w:r w:rsidRPr="00FC0F3D">
        <w:t>de estudios, estadísticas, indicadores y otras informaciones para auxiliar en la formulación, implementación, ejecución, seguimiento y e</w:t>
      </w:r>
      <w:r w:rsidR="000118FE">
        <w:t>valuación de políticas públicas</w:t>
      </w:r>
      <w:r w:rsidRPr="00FC0F3D">
        <w:rPr>
          <w:iCs/>
          <w:lang w:val="es-CL"/>
        </w:rPr>
        <w:t>.</w:t>
      </w:r>
      <w:r w:rsidRPr="00FC0F3D">
        <w:rPr>
          <w:b/>
          <w:iCs/>
        </w:rPr>
        <w:t xml:space="preserve"> </w:t>
      </w:r>
      <w:r w:rsidRPr="00FC0F3D">
        <w:rPr>
          <w:iCs/>
        </w:rPr>
        <w:t>Sin embargo</w:t>
      </w:r>
      <w:r w:rsidRPr="00FC0F3D">
        <w:rPr>
          <w:iCs/>
          <w:lang w:val="es-CL"/>
        </w:rPr>
        <w:t xml:space="preserve">, ese Sistema no divulga de manera amplia y clara los datos de seguridad pública en Brasil. </w:t>
      </w:r>
    </w:p>
    <w:p w14:paraId="2B5CD3CD" w14:textId="77777777" w:rsidR="00605737" w:rsidRPr="00FC0F3D" w:rsidRDefault="00605737" w:rsidP="00605737">
      <w:pPr>
        <w:rPr>
          <w:iCs/>
          <w:lang w:val="es-CL"/>
        </w:rPr>
      </w:pPr>
    </w:p>
    <w:p w14:paraId="23361D11" w14:textId="19163552" w:rsidR="00605737" w:rsidRPr="00FC0F3D" w:rsidRDefault="00605737" w:rsidP="00605737">
      <w:pPr>
        <w:numPr>
          <w:ilvl w:val="0"/>
          <w:numId w:val="1"/>
        </w:numPr>
        <w:rPr>
          <w:iCs/>
          <w:lang w:val="es-CL"/>
        </w:rPr>
      </w:pPr>
      <w:r w:rsidRPr="00FC0F3D">
        <w:rPr>
          <w:iCs/>
          <w:lang w:val="es-CL"/>
        </w:rPr>
        <w:t>Considerando también que el Estado no se opone a la medida y, en efecto, sugiere que dicha medida estaría ya contemplada en el Plan Plurianual 2012-2015 y las atribuciones del Sistema Nacional de Informaciones de Seguridad Pública, Carcelaria y sobre Drogas, la Corte ordena al Estado que publique anualmente un informe oficial con los datos relativos a las muertes producidas durante operativos de la policía en todos los estados del país. Dicho informe debe también contener información actualizada anualmente sobre las investigaciones realizadas respecto a cada incidente resultante en la muerte de un civil o de un policía.</w:t>
      </w:r>
      <w:r w:rsidR="00883A84">
        <w:rPr>
          <w:iCs/>
          <w:lang w:val="es-CL"/>
        </w:rPr>
        <w:t xml:space="preserve"> </w:t>
      </w:r>
      <w:r w:rsidR="00EE2CB5" w:rsidRPr="00F3478A">
        <w:rPr>
          <w:iCs/>
          <w:lang w:val="es-CL"/>
        </w:rPr>
        <w:t>La Corte supervisará esta medida y podrá determinar medidas adicionales o suplementares durante la supervisión del cumplimiento de es</w:t>
      </w:r>
      <w:r w:rsidR="008E7B66">
        <w:rPr>
          <w:iCs/>
          <w:lang w:val="es-CL"/>
        </w:rPr>
        <w:t>t</w:t>
      </w:r>
      <w:r w:rsidR="00EE2CB5" w:rsidRPr="00F3478A">
        <w:rPr>
          <w:iCs/>
          <w:lang w:val="es-CL"/>
        </w:rPr>
        <w:t>a Sentencia, en caso de que los objetivos de la medida no sean verificados satisfactoriamente.</w:t>
      </w:r>
    </w:p>
    <w:p w14:paraId="6E05D47D" w14:textId="77777777" w:rsidR="00605737" w:rsidRPr="00FC0F3D" w:rsidRDefault="00605737" w:rsidP="00605737">
      <w:pPr>
        <w:rPr>
          <w:iCs/>
          <w:lang w:val="es-CL"/>
        </w:rPr>
      </w:pPr>
    </w:p>
    <w:p w14:paraId="70B5ABE7" w14:textId="59C1899E" w:rsidR="00EB1959" w:rsidRPr="00EB1959" w:rsidRDefault="00605737" w:rsidP="00605737">
      <w:pPr>
        <w:numPr>
          <w:ilvl w:val="0"/>
          <w:numId w:val="1"/>
        </w:numPr>
        <w:rPr>
          <w:iCs/>
          <w:lang w:val="es-CL"/>
        </w:rPr>
      </w:pPr>
      <w:r w:rsidRPr="00FC0F3D">
        <w:rPr>
          <w:iCs/>
          <w:lang w:val="es-CL"/>
        </w:rPr>
        <w:t>En lo que se refiere a la creación de Comisiones de Control Externo en el ámbito del Ministerio Público, la Corte destaca el rol de esa institución en las investigaciones criminales, y su mandato constitucional de control externo de la actividad policial</w:t>
      </w:r>
      <w:r w:rsidRPr="00FC0F3D">
        <w:rPr>
          <w:iCs/>
          <w:lang w:val="es-ES"/>
        </w:rPr>
        <w:t>.</w:t>
      </w:r>
      <w:r w:rsidRPr="00FC0F3D">
        <w:rPr>
          <w:iCs/>
          <w:lang w:val="es-CL"/>
        </w:rPr>
        <w:t xml:space="preserve"> Por otra parte, la Corte destaca las siguientes Resoluciones del Consejo Nacional del Ministerio Publico (CNMP): No. 13, de 2 de octubre de 2006, sobre la instauración y tramitación del procedimiento investigativo criminal; No. 20, de 28 de mayo de 2007, que disciplina el control externo de la actividad policial por parte del Ministerio Público; y No. 129, de 22 de septiembre de 2015, sobre el control externo del Ministerio Público en investigaciones de muertes decurrentes de intervención policial. Además, toma nota del artículo 130-A.2, de la Constitución Federal, que determina que incumbe al Consejo Nacional del Ministerio Público el </w:t>
      </w:r>
      <w:r w:rsidRPr="00FC0F3D">
        <w:t xml:space="preserve">control del cumplimiento de los deberes funcionales de sus miembros. </w:t>
      </w:r>
    </w:p>
    <w:p w14:paraId="0490BDB9" w14:textId="77777777" w:rsidR="00EB1959" w:rsidRDefault="00EB1959" w:rsidP="00EB1959">
      <w:pPr>
        <w:pStyle w:val="ListParagraph"/>
      </w:pPr>
    </w:p>
    <w:p w14:paraId="3FCB1EF9" w14:textId="1D5A2081" w:rsidR="00605737" w:rsidRPr="00FC0F3D" w:rsidRDefault="00605737" w:rsidP="00605737">
      <w:pPr>
        <w:numPr>
          <w:ilvl w:val="0"/>
          <w:numId w:val="1"/>
        </w:numPr>
        <w:rPr>
          <w:iCs/>
          <w:lang w:val="es-CL"/>
        </w:rPr>
      </w:pPr>
      <w:r w:rsidRPr="00FC0F3D">
        <w:t>Sin embargo, aunque la Resol</w:t>
      </w:r>
      <w:r w:rsidR="00BB1670">
        <w:t>ución No. 129 del CNMP determina</w:t>
      </w:r>
      <w:r w:rsidRPr="00FC0F3D">
        <w:t xml:space="preserve"> las medidas a ser adoptadas por el Ministerio Público en casos de </w:t>
      </w:r>
      <w:r w:rsidR="00AF6F87">
        <w:t xml:space="preserve">muerte derivada de intervención </w:t>
      </w:r>
      <w:r w:rsidRPr="00FC0F3D">
        <w:t xml:space="preserve">policial, considerando que la violencia policial es normalmente investigada por la propia policía, la Corte considera necesario que el control externo del Ministerio Público en casos de violencia policial se proyecte más allá de la práctica de supervisión a distancia de las investigaciones realizadas por </w:t>
      </w:r>
      <w:r w:rsidRPr="00FC0F3D">
        <w:rPr>
          <w:i/>
        </w:rPr>
        <w:t xml:space="preserve">delegados </w:t>
      </w:r>
      <w:r w:rsidRPr="00FC0F3D">
        <w:t xml:space="preserve">de la propia policía. </w:t>
      </w:r>
      <w:r w:rsidR="003C45F8" w:rsidRPr="003C45F8">
        <w:t xml:space="preserve">En ese sentido, es fundamental que en supuestos de presuntas muertes, tortura o violencia sexual derivadas de intervención policial en que </w:t>
      </w:r>
      <w:r w:rsidR="003C45F8" w:rsidRPr="00ED3229">
        <w:rPr>
          <w:i/>
        </w:rPr>
        <w:t>prima facie</w:t>
      </w:r>
      <w:r w:rsidR="003C45F8" w:rsidRPr="003C45F8">
        <w:t xml:space="preserve"> aparezca como posible imputado personal policial, el Estado deberá tomar las medidas </w:t>
      </w:r>
      <w:r w:rsidR="00A41610">
        <w:t>normativas</w:t>
      </w:r>
      <w:r w:rsidR="003C45F8" w:rsidRPr="003C45F8">
        <w:t xml:space="preserve"> necesarias para que desde la </w:t>
      </w:r>
      <w:proofErr w:type="spellStart"/>
      <w:r w:rsidR="003C45F8" w:rsidRPr="00ED3229">
        <w:rPr>
          <w:i/>
        </w:rPr>
        <w:t>notitia</w:t>
      </w:r>
      <w:proofErr w:type="spellEnd"/>
      <w:r w:rsidR="003C45F8" w:rsidRPr="00ED3229">
        <w:rPr>
          <w:i/>
        </w:rPr>
        <w:t xml:space="preserve"> </w:t>
      </w:r>
      <w:proofErr w:type="spellStart"/>
      <w:r w:rsidR="003C45F8" w:rsidRPr="00ED3229">
        <w:rPr>
          <w:i/>
        </w:rPr>
        <w:t>criminis</w:t>
      </w:r>
      <w:proofErr w:type="spellEnd"/>
      <w:r w:rsidR="003C45F8" w:rsidRPr="003C45F8">
        <w:t xml:space="preserve"> se encargue la investigación a un órgano </w:t>
      </w:r>
      <w:r w:rsidR="0070282F">
        <w:t xml:space="preserve">independiente y diferente de la fuerza policial involucrada en el incidente, tales como una autoridad </w:t>
      </w:r>
      <w:r w:rsidR="003C45F8" w:rsidRPr="003C45F8">
        <w:t xml:space="preserve">judicial o el Ministerio Público, asistido por personal policial, técnico </w:t>
      </w:r>
      <w:proofErr w:type="spellStart"/>
      <w:r w:rsidR="003C45F8" w:rsidRPr="003C45F8">
        <w:t>criminalístico</w:t>
      </w:r>
      <w:proofErr w:type="spellEnd"/>
      <w:r w:rsidR="003C45F8" w:rsidRPr="003C45F8">
        <w:t xml:space="preserve"> y administrativo ajeno al cuerpo de seguridad al que pertenezca el posible imputado o imputados. Para tanto, el Estado debe </w:t>
      </w:r>
      <w:r w:rsidR="00D67D98">
        <w:t>adoptar las medidas necesaria</w:t>
      </w:r>
      <w:r w:rsidR="003C45F8" w:rsidRPr="003C45F8">
        <w:t xml:space="preserve">s para que ese procedimiento sea </w:t>
      </w:r>
      <w:r w:rsidR="00D67D98">
        <w:t xml:space="preserve">implementado </w:t>
      </w:r>
      <w:r w:rsidR="003C45F8" w:rsidRPr="003C45F8">
        <w:t xml:space="preserve">dentro del plazo de </w:t>
      </w:r>
      <w:r w:rsidR="00D67D98">
        <w:t xml:space="preserve">un año </w:t>
      </w:r>
      <w:r w:rsidR="003C45F8" w:rsidRPr="003C45F8">
        <w:t xml:space="preserve">a partir de la emisión de la presente Sentencia, en conformidad con los estándares de investigación independiente mencionados en los párrafos </w:t>
      </w:r>
      <w:r w:rsidR="00AF6F87">
        <w:t>18</w:t>
      </w:r>
      <w:r w:rsidR="00CC36D9">
        <w:t>3</w:t>
      </w:r>
      <w:r w:rsidR="003C45F8" w:rsidRPr="003C45F8">
        <w:t xml:space="preserve"> a </w:t>
      </w:r>
      <w:r w:rsidR="00AF6F87">
        <w:t>19</w:t>
      </w:r>
      <w:r w:rsidR="00CC36D9">
        <w:t>1</w:t>
      </w:r>
      <w:r w:rsidR="003C45F8" w:rsidRPr="003C45F8">
        <w:t xml:space="preserve"> </w:t>
      </w:r>
      <w:r w:rsidR="003C45F8" w:rsidRPr="003C45F8">
        <w:rPr>
          <w:i/>
        </w:rPr>
        <w:t>supra</w:t>
      </w:r>
      <w:r w:rsidR="003C45F8" w:rsidRPr="003C45F8">
        <w:t>.</w:t>
      </w:r>
    </w:p>
    <w:p w14:paraId="6E701C35" w14:textId="77777777" w:rsidR="00605737" w:rsidRPr="00FC0F3D" w:rsidRDefault="00605737" w:rsidP="00605737">
      <w:pPr>
        <w:rPr>
          <w:iCs/>
          <w:lang w:val="es-CL"/>
        </w:rPr>
      </w:pPr>
    </w:p>
    <w:p w14:paraId="5DF710B8" w14:textId="674C1796" w:rsidR="00605737" w:rsidRDefault="00605737" w:rsidP="00605737">
      <w:pPr>
        <w:numPr>
          <w:ilvl w:val="0"/>
          <w:numId w:val="1"/>
        </w:numPr>
        <w:rPr>
          <w:iCs/>
          <w:lang w:val="es-CL"/>
        </w:rPr>
      </w:pPr>
      <w:r w:rsidRPr="00FC0F3D">
        <w:rPr>
          <w:iCs/>
          <w:lang w:val="es-CL"/>
        </w:rPr>
        <w:t>La Corte</w:t>
      </w:r>
      <w:r w:rsidRPr="00FC0F3D">
        <w:rPr>
          <w:b/>
          <w:i/>
          <w:iCs/>
          <w:lang w:val="es-CL"/>
        </w:rPr>
        <w:t xml:space="preserve"> </w:t>
      </w:r>
      <w:r w:rsidRPr="00FC0F3D">
        <w:rPr>
          <w:iCs/>
          <w:lang w:val="es-CL"/>
        </w:rPr>
        <w:t xml:space="preserve">toma nota de la existencia de la </w:t>
      </w:r>
      <w:proofErr w:type="spellStart"/>
      <w:r w:rsidRPr="00FC0F3D">
        <w:rPr>
          <w:i/>
          <w:iCs/>
          <w:lang w:val="es-CL"/>
        </w:rPr>
        <w:t>Corregedoria</w:t>
      </w:r>
      <w:proofErr w:type="spellEnd"/>
      <w:r w:rsidRPr="00FC0F3D">
        <w:rPr>
          <w:iCs/>
          <w:lang w:val="es-CL"/>
        </w:rPr>
        <w:t xml:space="preserve"> General Unificada en el Estado de Río de Janeiro, creada por la Ley Estadual No. 3.403/2000, de la </w:t>
      </w:r>
      <w:proofErr w:type="spellStart"/>
      <w:r w:rsidRPr="00FC0F3D">
        <w:rPr>
          <w:i/>
          <w:iCs/>
          <w:lang w:val="es-CL"/>
        </w:rPr>
        <w:t>Ouvidoria</w:t>
      </w:r>
      <w:proofErr w:type="spellEnd"/>
      <w:r w:rsidRPr="00FC0F3D">
        <w:rPr>
          <w:iCs/>
          <w:lang w:val="es-CL"/>
        </w:rPr>
        <w:t xml:space="preserve"> de Policía en </w:t>
      </w:r>
      <w:r w:rsidRPr="00FC0F3D">
        <w:rPr>
          <w:iCs/>
          <w:lang w:val="es-CL"/>
        </w:rPr>
        <w:lastRenderedPageBreak/>
        <w:t xml:space="preserve">el Estado de Rio de Janeiro, creada por la Ley No. 3.168/1999, así como de la existencia del Foro Nacional de </w:t>
      </w:r>
      <w:proofErr w:type="spellStart"/>
      <w:r w:rsidRPr="00FC0F3D">
        <w:rPr>
          <w:i/>
          <w:iCs/>
          <w:lang w:val="es-CL"/>
        </w:rPr>
        <w:t>Ouvidorias</w:t>
      </w:r>
      <w:proofErr w:type="spellEnd"/>
      <w:r w:rsidRPr="00FC0F3D">
        <w:rPr>
          <w:iCs/>
          <w:lang w:val="es-CL"/>
        </w:rPr>
        <w:t xml:space="preserve">, órgano colegiado creado por el Decreto Presidencial No. 1/1999 y posteriormente sustituido por el Decreto 3/2006. Por lo tanto, considerando que el Estado ya dispone de dichos mecanismos, la Corte considera que el pedido de divulgación de datos sobre homicidios y </w:t>
      </w:r>
      <w:r w:rsidR="009B7973">
        <w:rPr>
          <w:iCs/>
          <w:lang w:val="es-CL"/>
        </w:rPr>
        <w:t xml:space="preserve">lesiones </w:t>
      </w:r>
      <w:r w:rsidRPr="00FC0F3D">
        <w:rPr>
          <w:iCs/>
          <w:lang w:val="es-CL"/>
        </w:rPr>
        <w:t>derivados de interv</w:t>
      </w:r>
      <w:r w:rsidR="00AC3127">
        <w:rPr>
          <w:iCs/>
          <w:lang w:val="es-CL"/>
        </w:rPr>
        <w:t>ención policial está contemplado</w:t>
      </w:r>
      <w:r w:rsidRPr="00FC0F3D">
        <w:rPr>
          <w:iCs/>
          <w:lang w:val="es-CL"/>
        </w:rPr>
        <w:t xml:space="preserve"> en la medida ordenada en el párrafo </w:t>
      </w:r>
      <w:r w:rsidR="009E5D2D">
        <w:rPr>
          <w:iCs/>
          <w:lang w:val="es-CL"/>
        </w:rPr>
        <w:t>31</w:t>
      </w:r>
      <w:r w:rsidR="00CC36D9">
        <w:rPr>
          <w:iCs/>
          <w:lang w:val="es-CL"/>
        </w:rPr>
        <w:t>7</w:t>
      </w:r>
      <w:r w:rsidRPr="00FC0F3D">
        <w:rPr>
          <w:iCs/>
          <w:lang w:val="es-CL"/>
        </w:rPr>
        <w:t xml:space="preserve"> </w:t>
      </w:r>
      <w:r w:rsidRPr="00FC0F3D">
        <w:rPr>
          <w:i/>
          <w:iCs/>
          <w:lang w:val="es-CL"/>
        </w:rPr>
        <w:t>supra</w:t>
      </w:r>
      <w:r w:rsidRPr="00FC0F3D">
        <w:rPr>
          <w:iCs/>
          <w:lang w:val="es-CL"/>
        </w:rPr>
        <w:t xml:space="preserve">. </w:t>
      </w:r>
    </w:p>
    <w:p w14:paraId="6A49393C" w14:textId="77777777" w:rsidR="00336042" w:rsidRPr="00336042" w:rsidRDefault="00336042" w:rsidP="00336042">
      <w:pPr>
        <w:rPr>
          <w:iCs/>
          <w:lang w:val="es-CL"/>
        </w:rPr>
      </w:pPr>
    </w:p>
    <w:p w14:paraId="16259D33" w14:textId="45A9F45E" w:rsidR="007C0684" w:rsidRDefault="00605737" w:rsidP="00605737">
      <w:pPr>
        <w:numPr>
          <w:ilvl w:val="0"/>
          <w:numId w:val="1"/>
        </w:numPr>
        <w:rPr>
          <w:iCs/>
          <w:lang w:val="es-CL"/>
        </w:rPr>
      </w:pPr>
      <w:r w:rsidRPr="00FC0F3D">
        <w:t xml:space="preserve">Respecto a la creación de </w:t>
      </w:r>
      <w:r w:rsidR="00AF6F87">
        <w:t>c</w:t>
      </w:r>
      <w:r w:rsidRPr="00FC0F3D">
        <w:t xml:space="preserve">omisiones para </w:t>
      </w:r>
      <w:r w:rsidR="00AF6F87">
        <w:t>r</w:t>
      </w:r>
      <w:r w:rsidRPr="00FC0F3D">
        <w:t xml:space="preserve">educción de la </w:t>
      </w:r>
      <w:r w:rsidR="00AF6F87">
        <w:t>l</w:t>
      </w:r>
      <w:r w:rsidRPr="00FC0F3D">
        <w:t xml:space="preserve">etalidad en </w:t>
      </w:r>
      <w:r w:rsidR="00AF6F87">
        <w:t>a</w:t>
      </w:r>
      <w:r w:rsidRPr="00FC0F3D">
        <w:t xml:space="preserve">cciones en ámbito </w:t>
      </w:r>
      <w:r w:rsidR="00AF6F87">
        <w:t>estadual</w:t>
      </w:r>
      <w:r w:rsidRPr="00FC0F3D">
        <w:t>, la Corte reconoce que la competencia del Ministerio Público para realizar el control externo de la actividad policial involucra posibles análisis del uso excesivo de la fuerza por policías. Además, considera que las medidas adoptadas por el Estado en los últimos años</w:t>
      </w:r>
      <w:r w:rsidRPr="00FC0F3D">
        <w:rPr>
          <w:iCs/>
          <w:lang w:val="es-CL"/>
        </w:rPr>
        <w:t xml:space="preserve"> buscan </w:t>
      </w:r>
      <w:r w:rsidR="00AF6F87">
        <w:rPr>
          <w:iCs/>
          <w:lang w:val="es-CL"/>
        </w:rPr>
        <w:t>uniformar</w:t>
      </w:r>
      <w:r w:rsidRPr="00FC0F3D">
        <w:rPr>
          <w:iCs/>
          <w:lang w:val="es-CL"/>
        </w:rPr>
        <w:t xml:space="preserve"> parámetros de uso de fuerza policial. Por ejemplo, </w:t>
      </w:r>
      <w:r w:rsidRPr="00FC0F3D">
        <w:t xml:space="preserve">el Instructivo Interministerial </w:t>
      </w:r>
      <w:r w:rsidRPr="00FC0F3D">
        <w:rPr>
          <w:iCs/>
          <w:lang w:val="es-CL"/>
        </w:rPr>
        <w:t xml:space="preserve">No. 4.226/2010, que determina que el uso de la fuerza por policías debe estar de acuerdo a lo previsto en los documentos internacionales de protección a los derechos humanos y con los principios de la legalidad, necesidad, proporcionalidad, moderación y conveniencia; el Programa Nacional de Derechos Humanos (PNDH-3) prevé en su Directriz 14 el combate a la violencia institucional, con énfasis en la erradicación de la tortura y la reducción de la letalidad policial. </w:t>
      </w:r>
    </w:p>
    <w:p w14:paraId="3C0C5E4E" w14:textId="77777777" w:rsidR="007C0684" w:rsidRDefault="007C0684" w:rsidP="007C0684">
      <w:pPr>
        <w:pStyle w:val="ListParagraph"/>
        <w:rPr>
          <w:iCs/>
          <w:lang w:val="es-CL"/>
        </w:rPr>
      </w:pPr>
    </w:p>
    <w:p w14:paraId="418AB9B1" w14:textId="1020878C" w:rsidR="00605737" w:rsidRPr="003C45F8" w:rsidRDefault="00AF6F87" w:rsidP="003C45F8">
      <w:pPr>
        <w:numPr>
          <w:ilvl w:val="0"/>
          <w:numId w:val="1"/>
        </w:numPr>
        <w:rPr>
          <w:iCs/>
          <w:lang w:val="es-CL"/>
        </w:rPr>
      </w:pPr>
      <w:r>
        <w:rPr>
          <w:iCs/>
          <w:lang w:val="es-CL"/>
        </w:rPr>
        <w:t>No obstante</w:t>
      </w:r>
      <w:r w:rsidR="003C45F8" w:rsidRPr="00FC0F3D">
        <w:rPr>
          <w:iCs/>
          <w:lang w:val="es-CL"/>
        </w:rPr>
        <w:t xml:space="preserve">, ante la gravedad de los datos presentados por las partes en el presente proceso sobre la alta letalidad de la actuación de la policía en Brasil, y especialmente en Río de Janeiro, la Corte determina que el estado de Río de Janeiro </w:t>
      </w:r>
      <w:r w:rsidR="003C45F8">
        <w:rPr>
          <w:iCs/>
          <w:lang w:val="es-CL"/>
        </w:rPr>
        <w:t xml:space="preserve">debe establecer metas y políticas de reducción de la letalidad y </w:t>
      </w:r>
      <w:r>
        <w:rPr>
          <w:iCs/>
          <w:lang w:val="es-CL"/>
        </w:rPr>
        <w:t xml:space="preserve">de </w:t>
      </w:r>
      <w:r w:rsidR="003C45F8">
        <w:rPr>
          <w:iCs/>
          <w:lang w:val="es-CL"/>
        </w:rPr>
        <w:t xml:space="preserve">la violencia policial. </w:t>
      </w:r>
      <w:r w:rsidR="003C45F8" w:rsidRPr="00F3478A">
        <w:rPr>
          <w:iCs/>
          <w:lang w:val="es-CL"/>
        </w:rPr>
        <w:t>La Corte supervisará esta medida y podrá determinar medidas adicionales o suplementar</w:t>
      </w:r>
      <w:r>
        <w:rPr>
          <w:iCs/>
          <w:lang w:val="es-CL"/>
        </w:rPr>
        <w:t>ia</w:t>
      </w:r>
      <w:r w:rsidR="003C45F8" w:rsidRPr="00F3478A">
        <w:rPr>
          <w:iCs/>
          <w:lang w:val="es-CL"/>
        </w:rPr>
        <w:t>s durante la supervisión del cumplimiento de es</w:t>
      </w:r>
      <w:r>
        <w:rPr>
          <w:iCs/>
          <w:lang w:val="es-CL"/>
        </w:rPr>
        <w:t>t</w:t>
      </w:r>
      <w:r w:rsidR="003C45F8" w:rsidRPr="00F3478A">
        <w:rPr>
          <w:iCs/>
          <w:lang w:val="es-CL"/>
        </w:rPr>
        <w:t>a Sentencia, en caso de que los objetivos de esa medida, es decir la reducción de letalidad policial, no sean verificados.</w:t>
      </w:r>
    </w:p>
    <w:p w14:paraId="02028F99" w14:textId="77777777" w:rsidR="00605737" w:rsidRPr="00FC0F3D" w:rsidRDefault="00605737" w:rsidP="00605737">
      <w:pPr>
        <w:rPr>
          <w:iCs/>
          <w:lang w:val="es-CL"/>
        </w:rPr>
      </w:pPr>
    </w:p>
    <w:p w14:paraId="374BA152" w14:textId="1FF4FB74" w:rsidR="00431F77" w:rsidRDefault="00605737" w:rsidP="00605737">
      <w:pPr>
        <w:numPr>
          <w:ilvl w:val="0"/>
          <w:numId w:val="1"/>
        </w:numPr>
      </w:pPr>
      <w:r w:rsidRPr="00FC0F3D">
        <w:t xml:space="preserve">Finalmente, en lo que se refiere a la capacitación de profesionales de salud sobre legislación y normas técnicas vigentes para </w:t>
      </w:r>
      <w:r w:rsidR="00AF6F87">
        <w:t>garantizar</w:t>
      </w:r>
      <w:r w:rsidRPr="00FC0F3D">
        <w:t xml:space="preserve"> el efectivo cumplimiento de la Ley No. 12.845/1</w:t>
      </w:r>
      <w:r w:rsidR="00AF6F87">
        <w:t>3</w:t>
      </w:r>
      <w:r w:rsidRPr="00FC0F3D">
        <w:t>, la Corte</w:t>
      </w:r>
      <w:r w:rsidRPr="00FC0F3D">
        <w:rPr>
          <w:b/>
          <w:i/>
        </w:rPr>
        <w:t xml:space="preserve"> </w:t>
      </w:r>
      <w:r w:rsidRPr="00FC0F3D">
        <w:t>toma nota de la mejora en términos normativos en el trato de la violencia contra las mujeres en Brasil con la reciente aprobación de la Ley No. 12.845/2013, que hace obligatoria la atención a víctimas de violencia sexual; del Decreto No. 7.958/2013, que establece directrices para la atención a víctimas de violencia sexual por profesionales de seguridad pública y de</w:t>
      </w:r>
      <w:r w:rsidR="00AF6F87">
        <w:t>l personal del Sistema Único de Salud</w:t>
      </w:r>
      <w:r w:rsidRPr="00FC0F3D">
        <w:t xml:space="preserve">; del Decreto No. 8086/2013, que creó el Programa Mujer: Vivir Sin Violencia, el cual incluye capacitaciones para garantizar la atención de víctimas de violencia sexual; y del Instructivo No. 485/2014, del Ministerio de la Salud, que redefinió el funcionamiento del servicio de </w:t>
      </w:r>
      <w:r w:rsidR="00AF6F87">
        <w:t xml:space="preserve">atención </w:t>
      </w:r>
      <w:r w:rsidRPr="00FC0F3D">
        <w:t>para víctimas de violencia sexual. En ámbito estadual, el Estado de Río de Janeiro aprobó la Ley No. 7.448/2016, que crea la categoría “feminicidio” en las actas policiales en dicho estado y Comisarías (</w:t>
      </w:r>
      <w:proofErr w:type="spellStart"/>
      <w:r w:rsidRPr="00FC0F3D">
        <w:rPr>
          <w:i/>
        </w:rPr>
        <w:t>Delegacias</w:t>
      </w:r>
      <w:proofErr w:type="spellEnd"/>
      <w:r w:rsidRPr="00FC0F3D">
        <w:t xml:space="preserve">) Especializadas, un </w:t>
      </w:r>
      <w:r w:rsidR="00AF6F87">
        <w:t>h</w:t>
      </w:r>
      <w:r w:rsidRPr="00FC0F3D">
        <w:t xml:space="preserve">ospital y una sala en el Instituto Médico Legal </w:t>
      </w:r>
      <w:r w:rsidR="00AF6F87">
        <w:t xml:space="preserve">Central </w:t>
      </w:r>
      <w:r w:rsidRPr="00FC0F3D">
        <w:t>para la atención de mujeres</w:t>
      </w:r>
      <w:r w:rsidR="00FA3EB7">
        <w:t xml:space="preserve"> víctimas de violencia sexual</w:t>
      </w:r>
      <w:r w:rsidRPr="00FC0F3D">
        <w:t xml:space="preserve">. Asimismo, la Policía Civil de Río de Janeiro adoptó dos Instructivos relevantes para el presente caso: el No. 620/2013, que establece la rutina básica a ser observada por la autoridad policial en casos de </w:t>
      </w:r>
      <w:r w:rsidR="00FA3EB7">
        <w:t xml:space="preserve">homicidios en los que las víctimas son </w:t>
      </w:r>
      <w:r w:rsidRPr="00FC0F3D">
        <w:t>mujeres, y el No. 752/2016, que crea un Grupo de Trabajo para la adaptación del Protocolo Latino</w:t>
      </w:r>
      <w:r w:rsidR="00FA3EB7">
        <w:t>a</w:t>
      </w:r>
      <w:r w:rsidRPr="00FC0F3D">
        <w:t xml:space="preserve">mericano de Investigación de Muertes Violentas de Mujeres por cuestiones de género. </w:t>
      </w:r>
    </w:p>
    <w:p w14:paraId="6B789E3B" w14:textId="77777777" w:rsidR="00431F77" w:rsidRDefault="00431F77" w:rsidP="00431F77"/>
    <w:p w14:paraId="0D5B2D4E" w14:textId="77777777" w:rsidR="00605737" w:rsidRDefault="00605737" w:rsidP="00605737">
      <w:pPr>
        <w:numPr>
          <w:ilvl w:val="0"/>
          <w:numId w:val="1"/>
        </w:numPr>
      </w:pPr>
      <w:r w:rsidRPr="00FC0F3D">
        <w:rPr>
          <w:lang w:val="es-CL"/>
        </w:rPr>
        <w:t xml:space="preserve">La Corte valora las medidas adoptadas por el Estado, sin embargo, destaca que la simple existencia de instrumentos legales en ese sentido es insuficiente para garantizar la efectiva protección de las mujeres víctimas de violencia sexual, en particular cuando los perpetradores son agentes del Estado. Por lo tanto, la Corte considera fundamental que </w:t>
      </w:r>
      <w:r w:rsidRPr="00FC0F3D">
        <w:t xml:space="preserve">el Estado continúe con las acciones desarrolladas e implemente, en un plazo razonable, un programa o curso permanente y obligatorio sobre atención a mujeres víctimas de violación </w:t>
      </w:r>
      <w:r w:rsidRPr="00FC0F3D">
        <w:lastRenderedPageBreak/>
        <w:t xml:space="preserve">sexual, </w:t>
      </w:r>
      <w:proofErr w:type="gramStart"/>
      <w:r w:rsidRPr="00FC0F3D">
        <w:t>dirigido</w:t>
      </w:r>
      <w:proofErr w:type="gramEnd"/>
      <w:r w:rsidRPr="00FC0F3D">
        <w:t xml:space="preserve"> a todos los niveles jerárquicos de las Policías Civil y Militar de Río de Janeiro y a funcionarios de atención de salud. Como parte de esta formación, se deberá incluir la presente Sentencia, la jurisprudencia de la Corte Interamericana respecto a violencia sexual y tortura, así como los estándares internacionales en materia de atención a víctimas e investigación de ese tipo de casos.</w:t>
      </w:r>
    </w:p>
    <w:p w14:paraId="683EE951" w14:textId="77777777" w:rsidR="00605737" w:rsidRPr="00FC0F3D" w:rsidRDefault="00605737" w:rsidP="00547D83">
      <w:pPr>
        <w:pStyle w:val="TOC1"/>
        <w:rPr>
          <w:lang w:val="es-CL"/>
        </w:rPr>
      </w:pPr>
    </w:p>
    <w:p w14:paraId="5089AA0F" w14:textId="77777777" w:rsidR="00605737" w:rsidRPr="00FC0F3D" w:rsidRDefault="008C65BB" w:rsidP="00123780">
      <w:pPr>
        <w:pStyle w:val="TOC2"/>
      </w:pPr>
      <w:bookmarkStart w:id="467" w:name="_Toc469404536"/>
      <w:bookmarkStart w:id="468" w:name="_Toc472608981"/>
      <w:r>
        <w:t>E.2</w:t>
      </w:r>
      <w:r w:rsidR="00605737" w:rsidRPr="00FC0F3D">
        <w:t>.    Adopción de Reformas Legislativas</w:t>
      </w:r>
      <w:bookmarkEnd w:id="467"/>
      <w:bookmarkEnd w:id="468"/>
      <w:r w:rsidR="00605737" w:rsidRPr="00FC0F3D">
        <w:t xml:space="preserve"> </w:t>
      </w:r>
    </w:p>
    <w:p w14:paraId="4C4DE5ED" w14:textId="77777777" w:rsidR="00605737" w:rsidRPr="00FC0F3D" w:rsidRDefault="00605737" w:rsidP="00605737">
      <w:pPr>
        <w:rPr>
          <w:iCs/>
        </w:rPr>
      </w:pPr>
    </w:p>
    <w:p w14:paraId="637AA530" w14:textId="269BAA47" w:rsidR="00605737" w:rsidRPr="00FC0F3D" w:rsidRDefault="00605737" w:rsidP="00605737">
      <w:pPr>
        <w:numPr>
          <w:ilvl w:val="0"/>
          <w:numId w:val="1"/>
        </w:numPr>
      </w:pPr>
      <w:r w:rsidRPr="00FC0F3D">
        <w:rPr>
          <w:iCs/>
          <w:lang w:val="es-ES"/>
        </w:rPr>
        <w:t xml:space="preserve">La </w:t>
      </w:r>
      <w:r w:rsidRPr="00FC0F3D">
        <w:rPr>
          <w:b/>
          <w:i/>
          <w:iCs/>
          <w:lang w:val="es-ES"/>
        </w:rPr>
        <w:t>Comisión</w:t>
      </w:r>
      <w:r w:rsidRPr="00FC0F3D">
        <w:rPr>
          <w:b/>
          <w:iCs/>
          <w:lang w:val="es-ES"/>
        </w:rPr>
        <w:t xml:space="preserve"> </w:t>
      </w:r>
      <w:r w:rsidRPr="00FC0F3D">
        <w:rPr>
          <w:iCs/>
          <w:lang w:val="es-ES"/>
        </w:rPr>
        <w:t xml:space="preserve">solicitó que sean aprobadas leyes internas </w:t>
      </w:r>
      <w:r w:rsidRPr="00FC0F3D">
        <w:t>a fin de prevenir, investigar y sancionar cualquier violación de derechos humanos resultante de actos de violencia cometidos por agentes del Estado</w:t>
      </w:r>
      <w:r w:rsidRPr="00FC0F3D">
        <w:rPr>
          <w:iCs/>
          <w:lang w:val="es-ES"/>
        </w:rPr>
        <w:t xml:space="preserve">, así como </w:t>
      </w:r>
      <w:r w:rsidRPr="00FC0F3D">
        <w:t>la regulación legal de los procedimientos policiales que involucran uso legítimo de la fuerza</w:t>
      </w:r>
      <w:r w:rsidR="000118FE">
        <w:t>.</w:t>
      </w:r>
      <w:r w:rsidRPr="00FC0F3D">
        <w:rPr>
          <w:iCs/>
          <w:lang w:val="es-ES"/>
        </w:rPr>
        <w:t xml:space="preserve"> </w:t>
      </w:r>
    </w:p>
    <w:p w14:paraId="73201872" w14:textId="77777777" w:rsidR="00605737" w:rsidRPr="00FC0F3D" w:rsidRDefault="00605737" w:rsidP="00605737">
      <w:pPr>
        <w:rPr>
          <w:iCs/>
          <w:lang w:val="es-ES_tradnl"/>
        </w:rPr>
      </w:pPr>
    </w:p>
    <w:p w14:paraId="3156D0D7" w14:textId="00067D26" w:rsidR="00605737" w:rsidRPr="00FC0F3D" w:rsidRDefault="00605737" w:rsidP="00605737">
      <w:pPr>
        <w:numPr>
          <w:ilvl w:val="0"/>
          <w:numId w:val="1"/>
        </w:numPr>
        <w:rPr>
          <w:iCs/>
          <w:lang w:val="es-ES_tradnl"/>
        </w:rPr>
      </w:pPr>
      <w:r w:rsidRPr="00FC0F3D">
        <w:rPr>
          <w:iCs/>
          <w:lang w:val="es-CL"/>
        </w:rPr>
        <w:t xml:space="preserve">Los </w:t>
      </w:r>
      <w:r w:rsidRPr="00FC0F3D">
        <w:rPr>
          <w:b/>
          <w:i/>
          <w:iCs/>
          <w:lang w:val="es-CL"/>
        </w:rPr>
        <w:t>representantes</w:t>
      </w:r>
      <w:r w:rsidRPr="00FC0F3D">
        <w:rPr>
          <w:iCs/>
          <w:lang w:val="es-CL"/>
        </w:rPr>
        <w:t xml:space="preserve"> solicitaron que sea aprobada una ley en todos los estados de Brasil que otorgue autonomía a l</w:t>
      </w:r>
      <w:r w:rsidR="00A6687D">
        <w:rPr>
          <w:iCs/>
          <w:lang w:val="es-CL"/>
        </w:rPr>
        <w:t>o</w:t>
      </w:r>
      <w:r w:rsidRPr="00FC0F3D">
        <w:rPr>
          <w:iCs/>
          <w:lang w:val="es-CL"/>
        </w:rPr>
        <w:t>s peri</w:t>
      </w:r>
      <w:r w:rsidR="00A6687D">
        <w:rPr>
          <w:iCs/>
          <w:lang w:val="es-CL"/>
        </w:rPr>
        <w:t>tos</w:t>
      </w:r>
      <w:r w:rsidRPr="00FC0F3D">
        <w:rPr>
          <w:iCs/>
          <w:lang w:val="es-CL"/>
        </w:rPr>
        <w:t xml:space="preserve"> en relación con las policías, por medio de la creación de una carrera específica e independiente </w:t>
      </w:r>
      <w:r w:rsidR="00A6687D">
        <w:rPr>
          <w:iCs/>
          <w:lang w:val="es-CL"/>
        </w:rPr>
        <w:t>y la garantía de</w:t>
      </w:r>
      <w:r w:rsidRPr="00FC0F3D">
        <w:rPr>
          <w:iCs/>
          <w:lang w:val="es-CL"/>
        </w:rPr>
        <w:t xml:space="preserve"> recursos humanos, financieros y estructurales para la realización de sus funciones; y también un marco legal infra constitucional respecto al Incidente de Traslado de Competencia (</w:t>
      </w:r>
      <w:r w:rsidRPr="00FC0F3D">
        <w:rPr>
          <w:i/>
          <w:iCs/>
          <w:lang w:val="es-CL"/>
        </w:rPr>
        <w:t xml:space="preserve">Incidente de </w:t>
      </w:r>
      <w:proofErr w:type="spellStart"/>
      <w:r w:rsidRPr="00FC0F3D">
        <w:rPr>
          <w:i/>
          <w:iCs/>
          <w:lang w:val="es-CL"/>
        </w:rPr>
        <w:t>Deslocamento</w:t>
      </w:r>
      <w:proofErr w:type="spellEnd"/>
      <w:r w:rsidRPr="00FC0F3D">
        <w:rPr>
          <w:i/>
          <w:iCs/>
          <w:lang w:val="es-CL"/>
        </w:rPr>
        <w:t xml:space="preserve"> de </w:t>
      </w:r>
      <w:proofErr w:type="spellStart"/>
      <w:r w:rsidRPr="00FC0F3D">
        <w:rPr>
          <w:i/>
          <w:iCs/>
          <w:lang w:val="es-CL"/>
        </w:rPr>
        <w:t>Compet</w:t>
      </w:r>
      <w:r w:rsidR="00E55A20">
        <w:rPr>
          <w:i/>
          <w:iCs/>
          <w:lang w:val="es-CL"/>
        </w:rPr>
        <w:t>ê</w:t>
      </w:r>
      <w:r w:rsidRPr="00FC0F3D">
        <w:rPr>
          <w:i/>
          <w:iCs/>
          <w:lang w:val="es-CL"/>
        </w:rPr>
        <w:t>ncia</w:t>
      </w:r>
      <w:proofErr w:type="spellEnd"/>
      <w:r w:rsidRPr="00FC0F3D">
        <w:rPr>
          <w:iCs/>
          <w:lang w:val="es-CL"/>
        </w:rPr>
        <w:t xml:space="preserve">), que determine expresamente los casos de violencia policial como una hipótesis de traslado de competencia desde la jurisdicción estadual hacia la justicia federal. Solicitaron también cambios legislativos para incluir </w:t>
      </w:r>
      <w:r w:rsidR="00816353">
        <w:rPr>
          <w:iCs/>
          <w:lang w:val="es-CL"/>
        </w:rPr>
        <w:t xml:space="preserve">expresamente </w:t>
      </w:r>
      <w:r w:rsidRPr="00FC0F3D">
        <w:rPr>
          <w:iCs/>
          <w:lang w:val="es-CL"/>
        </w:rPr>
        <w:t xml:space="preserve">entre las hipótesis de producción anticipada de prueba en el ámbito criminal, el caso de testigos de violencia perpetrada por agentes policiales y, alternativamente, que sea determinada la presunción de riesgo concreto que permita que los Jueces autoricen la producción de prueba anticipada en casos de violencia policial. </w:t>
      </w:r>
      <w:r w:rsidR="00816353">
        <w:rPr>
          <w:iCs/>
          <w:lang w:val="es-CL"/>
        </w:rPr>
        <w:t>Alternativamente, solicitaron que se determine la presunción de riesgo concreto en esos casos de forma a generar la determinación de producción de prueba anticipada por parte de autoridades judiciales. Asimismo</w:t>
      </w:r>
      <w:r w:rsidRPr="00FC0F3D">
        <w:rPr>
          <w:iCs/>
          <w:lang w:val="es-CL"/>
        </w:rPr>
        <w:t xml:space="preserve">, requirieron la creación de un mecanismo de participación de víctimas y organizaciones de la sociedad civil en investigaciones sobre crímenes practicados por policías contra ciudadanos. </w:t>
      </w:r>
    </w:p>
    <w:p w14:paraId="6A9692A8" w14:textId="77777777" w:rsidR="00605737" w:rsidRPr="00FC0F3D" w:rsidRDefault="00605737" w:rsidP="00605737">
      <w:pPr>
        <w:rPr>
          <w:iCs/>
          <w:lang w:val="es-ES_tradnl"/>
        </w:rPr>
      </w:pPr>
    </w:p>
    <w:p w14:paraId="2D852CF8" w14:textId="3B7C307B" w:rsidR="00605737" w:rsidRPr="00FC0F3D" w:rsidRDefault="00605737" w:rsidP="00605737">
      <w:pPr>
        <w:numPr>
          <w:ilvl w:val="0"/>
          <w:numId w:val="1"/>
        </w:numPr>
        <w:rPr>
          <w:iCs/>
          <w:lang w:val="es-CL"/>
        </w:rPr>
      </w:pPr>
      <w:r w:rsidRPr="00FC0F3D">
        <w:rPr>
          <w:iCs/>
          <w:lang w:val="es-CL"/>
        </w:rPr>
        <w:t xml:space="preserve">El </w:t>
      </w:r>
      <w:r w:rsidRPr="00FC0F3D">
        <w:rPr>
          <w:b/>
          <w:i/>
          <w:iCs/>
          <w:lang w:val="es-CL"/>
        </w:rPr>
        <w:t>Estado</w:t>
      </w:r>
      <w:r w:rsidRPr="00FC0F3D">
        <w:rPr>
          <w:iCs/>
          <w:lang w:val="es-CL"/>
        </w:rPr>
        <w:t xml:space="preserve"> consideró que el pedido de los representantes, en relación a la aprobación de leyes en cada Estado de la federación que garantice la independencia de los peritos, es jurídicamente imposible, toda vez que el Estado no tiene poderes de injerencia en leyes estaduales. De todos modos, afirmó que existe en el ámbito federal la Ley </w:t>
      </w:r>
      <w:r w:rsidRPr="00FC0F3D">
        <w:t xml:space="preserve">No. </w:t>
      </w:r>
      <w:r w:rsidRPr="00FC0F3D">
        <w:rPr>
          <w:iCs/>
          <w:lang w:val="es-CL"/>
        </w:rPr>
        <w:t xml:space="preserve">12.030/2009, que garantiza la autonomía técnica, científica y funcional de los peritos y también se encuentra en trámite el Proyecto de Enmienda Constitucional 499/2010, para determinar la carrera de peritos como autónoma. En lo que respecta al traslado de competencia, el Estado afirmó que </w:t>
      </w:r>
      <w:r w:rsidR="00816353">
        <w:rPr>
          <w:iCs/>
          <w:lang w:val="es-CL"/>
        </w:rPr>
        <w:t xml:space="preserve">el Incidente de Traslado de Competencia </w:t>
      </w:r>
      <w:r w:rsidRPr="00FC0F3D">
        <w:rPr>
          <w:iCs/>
          <w:lang w:val="es-CL"/>
        </w:rPr>
        <w:t xml:space="preserve">ya es plenamente eficaz, sin embargo mencionó el Proyecto de Ley No. 6.647/2006, que trata de </w:t>
      </w:r>
      <w:r w:rsidR="00816353">
        <w:rPr>
          <w:iCs/>
          <w:lang w:val="es-CL"/>
        </w:rPr>
        <w:t>su</w:t>
      </w:r>
      <w:r w:rsidRPr="00FC0F3D">
        <w:rPr>
          <w:iCs/>
          <w:lang w:val="es-CL"/>
        </w:rPr>
        <w:t xml:space="preserve"> reglamentación infra constitucional, y discute cuestiones como el uso del </w:t>
      </w:r>
      <w:r w:rsidR="007F0C73">
        <w:rPr>
          <w:iCs/>
          <w:lang w:val="es-CL"/>
        </w:rPr>
        <w:t>mismo</w:t>
      </w:r>
      <w:r w:rsidR="007F0C73" w:rsidRPr="00FC0F3D">
        <w:rPr>
          <w:iCs/>
          <w:lang w:val="es-CL"/>
        </w:rPr>
        <w:t xml:space="preserve"> </w:t>
      </w:r>
      <w:r w:rsidRPr="00FC0F3D">
        <w:rPr>
          <w:iCs/>
          <w:lang w:val="es-CL"/>
        </w:rPr>
        <w:t xml:space="preserve">en casos de violencia policial. Sobre el pedido de producción de pruebas anticipadas, el Estado </w:t>
      </w:r>
      <w:r w:rsidR="009B7973">
        <w:rPr>
          <w:iCs/>
          <w:lang w:val="es-CL"/>
        </w:rPr>
        <w:t>a</w:t>
      </w:r>
      <w:r w:rsidRPr="00FC0F3D">
        <w:rPr>
          <w:iCs/>
          <w:lang w:val="es-CL"/>
        </w:rPr>
        <w:t xml:space="preserve">claró que el artículo 156 del Código de Proceso Penal </w:t>
      </w:r>
      <w:r w:rsidR="00816353">
        <w:rPr>
          <w:iCs/>
          <w:lang w:val="es-CL"/>
        </w:rPr>
        <w:t xml:space="preserve">(CPP) </w:t>
      </w:r>
      <w:r w:rsidRPr="00FC0F3D">
        <w:rPr>
          <w:iCs/>
          <w:lang w:val="es-CL"/>
        </w:rPr>
        <w:t>permite que el juez determine de oficio la producción anticipada de pruebas y el artículo 155 del mismo instrumento legal determina la producción de pruebas cautelares, incluyendo la prueba testimonial en caso de que el testigo tenga que ausentarse, por enfermedad o por vejez.</w:t>
      </w:r>
    </w:p>
    <w:p w14:paraId="691AFC2F" w14:textId="77777777" w:rsidR="00605737" w:rsidRPr="00FC0F3D" w:rsidRDefault="00605737" w:rsidP="00605737">
      <w:pPr>
        <w:rPr>
          <w:iCs/>
          <w:lang w:val="es-CL"/>
        </w:rPr>
      </w:pPr>
    </w:p>
    <w:p w14:paraId="4B498BF6" w14:textId="29E3DA75" w:rsidR="00605737" w:rsidRDefault="00605737" w:rsidP="00605737">
      <w:pPr>
        <w:numPr>
          <w:ilvl w:val="0"/>
          <w:numId w:val="1"/>
        </w:numPr>
        <w:rPr>
          <w:iCs/>
          <w:lang w:val="es-CL"/>
        </w:rPr>
      </w:pPr>
      <w:r w:rsidRPr="00FC0F3D">
        <w:rPr>
          <w:iCs/>
          <w:lang w:val="es-CL"/>
        </w:rPr>
        <w:t xml:space="preserve">Finalmente, el Estado expuso que </w:t>
      </w:r>
      <w:r w:rsidR="007F0C73">
        <w:rPr>
          <w:iCs/>
          <w:lang w:val="es-CL"/>
        </w:rPr>
        <w:t>su</w:t>
      </w:r>
      <w:r w:rsidRPr="00FC0F3D">
        <w:rPr>
          <w:iCs/>
          <w:lang w:val="es-CL"/>
        </w:rPr>
        <w:t xml:space="preserve"> legislación procesal penal ofrece recursos que permiten el acompañamiento y participación de la sociedad civil en procesos penales, entre ellos el artículo 5º, LIX de la Constitución Federal, que admite la acción privada en crímenes de acción pública si </w:t>
      </w:r>
      <w:r w:rsidR="007F0C73">
        <w:rPr>
          <w:iCs/>
          <w:lang w:val="es-CL"/>
        </w:rPr>
        <w:t xml:space="preserve">esta </w:t>
      </w:r>
      <w:r w:rsidRPr="00FC0F3D">
        <w:rPr>
          <w:iCs/>
          <w:lang w:val="es-CL"/>
        </w:rPr>
        <w:t xml:space="preserve">no es presentada en el plazo legal; el artículo 268 del </w:t>
      </w:r>
      <w:r w:rsidR="007F0C73">
        <w:rPr>
          <w:iCs/>
          <w:lang w:val="es-CL"/>
        </w:rPr>
        <w:t xml:space="preserve">CPP </w:t>
      </w:r>
      <w:r w:rsidRPr="00FC0F3D">
        <w:rPr>
          <w:iCs/>
          <w:lang w:val="es-CL"/>
        </w:rPr>
        <w:t>permite la actuación del ofendido como asistente junto al Ministerio Público en acciones públicas.</w:t>
      </w:r>
    </w:p>
    <w:p w14:paraId="5F8B43FE" w14:textId="77777777" w:rsidR="00083021" w:rsidRDefault="00083021" w:rsidP="00083021">
      <w:pPr>
        <w:pStyle w:val="ListParagraph"/>
        <w:rPr>
          <w:iCs/>
          <w:lang w:val="es-CL"/>
        </w:rPr>
      </w:pPr>
    </w:p>
    <w:p w14:paraId="7CBC4920" w14:textId="254090F9" w:rsidR="00083021" w:rsidRDefault="00083021" w:rsidP="00605737">
      <w:pPr>
        <w:numPr>
          <w:ilvl w:val="0"/>
          <w:numId w:val="1"/>
        </w:numPr>
        <w:rPr>
          <w:iCs/>
          <w:lang w:val="es-CL"/>
        </w:rPr>
      </w:pPr>
      <w:r>
        <w:rPr>
          <w:iCs/>
          <w:lang w:val="es-CL"/>
        </w:rPr>
        <w:lastRenderedPageBreak/>
        <w:t>E</w:t>
      </w:r>
      <w:r w:rsidRPr="00FC0F3D">
        <w:rPr>
          <w:iCs/>
          <w:lang w:val="es-CL"/>
        </w:rPr>
        <w:t xml:space="preserve">n lo que concierne la creación de un mecanismo de participación de víctimas y organizaciones de la sociedad civil en investigaciones sobre crímenes </w:t>
      </w:r>
      <w:r w:rsidR="007F0C73">
        <w:rPr>
          <w:iCs/>
          <w:lang w:val="es-CL"/>
        </w:rPr>
        <w:t xml:space="preserve">derivados </w:t>
      </w:r>
      <w:r w:rsidRPr="00FC0F3D">
        <w:rPr>
          <w:iCs/>
          <w:lang w:val="es-CL"/>
        </w:rPr>
        <w:t xml:space="preserve">de violencia policial, la Corte toma nota </w:t>
      </w:r>
      <w:r w:rsidR="007F0C73">
        <w:rPr>
          <w:iCs/>
          <w:lang w:val="es-CL"/>
        </w:rPr>
        <w:t xml:space="preserve">de </w:t>
      </w:r>
      <w:r w:rsidRPr="00FC0F3D">
        <w:rPr>
          <w:iCs/>
          <w:lang w:val="es-CL"/>
        </w:rPr>
        <w:t>que el Estado cuenta con normas que garantizan la participación de un asistente de acusaci</w:t>
      </w:r>
      <w:r w:rsidR="00990169">
        <w:rPr>
          <w:iCs/>
          <w:lang w:val="es-CL"/>
        </w:rPr>
        <w:t>ón en acciones penales públicas</w:t>
      </w:r>
      <w:r w:rsidRPr="00FC0F3D">
        <w:rPr>
          <w:iCs/>
          <w:lang w:val="es-CL"/>
        </w:rPr>
        <w:t xml:space="preserve">. Sin perjuicio de lo anterior, no proporciona ningún marco legislativo que garantice la participación de las partes en la fase de investigación por parte de la policía o del Ministerio Público. En consideración de </w:t>
      </w:r>
      <w:r w:rsidR="007F0C73">
        <w:rPr>
          <w:iCs/>
          <w:lang w:val="es-CL"/>
        </w:rPr>
        <w:t xml:space="preserve">ello </w:t>
      </w:r>
      <w:r w:rsidRPr="00FC0F3D">
        <w:rPr>
          <w:iCs/>
          <w:lang w:val="es-CL"/>
        </w:rPr>
        <w:t>y en atención a su jurisprudencia sobre la participación de las víctimas en todas las fases de investigación y proceso penal</w:t>
      </w:r>
      <w:r w:rsidRPr="00FC0F3D">
        <w:rPr>
          <w:iCs/>
          <w:vertAlign w:val="superscript"/>
          <w:lang w:val="es-CL"/>
        </w:rPr>
        <w:footnoteReference w:id="338"/>
      </w:r>
      <w:r w:rsidRPr="00FC0F3D">
        <w:rPr>
          <w:iCs/>
          <w:lang w:val="es-CL"/>
        </w:rPr>
        <w:t>, la Corte determina que el Estado adopte las medidas legislativas o de otra índole</w:t>
      </w:r>
      <w:r w:rsidR="007F0C73">
        <w:rPr>
          <w:iCs/>
          <w:lang w:val="es-CL"/>
        </w:rPr>
        <w:t>,</w:t>
      </w:r>
      <w:r w:rsidRPr="00FC0F3D">
        <w:rPr>
          <w:iCs/>
          <w:lang w:val="es-CL"/>
        </w:rPr>
        <w:t xml:space="preserve"> necesarias para permitir a las víctimas de delitos </w:t>
      </w:r>
      <w:r w:rsidR="00AC3127">
        <w:rPr>
          <w:iCs/>
          <w:lang w:val="es-CL"/>
        </w:rPr>
        <w:t xml:space="preserve">o sus familiares </w:t>
      </w:r>
      <w:r w:rsidRPr="00FC0F3D">
        <w:rPr>
          <w:iCs/>
          <w:lang w:val="es-CL"/>
        </w:rPr>
        <w:t xml:space="preserve">participar de manera formal </w:t>
      </w:r>
      <w:r w:rsidR="00990169">
        <w:rPr>
          <w:iCs/>
          <w:lang w:val="es-CL"/>
        </w:rPr>
        <w:t xml:space="preserve">y efectiva </w:t>
      </w:r>
      <w:r w:rsidRPr="00FC0F3D">
        <w:rPr>
          <w:iCs/>
          <w:lang w:val="es-CL"/>
        </w:rPr>
        <w:t>en la investigación de delitos realizada por la policía o el Ministerio Público</w:t>
      </w:r>
      <w:r w:rsidR="003C45F8" w:rsidRPr="003C45F8">
        <w:rPr>
          <w:iCs/>
          <w:lang w:val="es-CL"/>
        </w:rPr>
        <w:t>, sin perjuicio de la necesidad de reserva legal o confidencialidad de dichos procedimientos.</w:t>
      </w:r>
    </w:p>
    <w:p w14:paraId="5E4E595E" w14:textId="77777777" w:rsidR="00083021" w:rsidRDefault="00083021" w:rsidP="00083021">
      <w:pPr>
        <w:pStyle w:val="ListParagraph"/>
        <w:rPr>
          <w:iCs/>
          <w:lang w:val="es-CL"/>
        </w:rPr>
      </w:pPr>
    </w:p>
    <w:p w14:paraId="19FFF064" w14:textId="612FE3A2" w:rsidR="00605737" w:rsidRPr="00FC0F3D" w:rsidRDefault="00AB2AF9" w:rsidP="00123780">
      <w:pPr>
        <w:pStyle w:val="TOC2"/>
      </w:pPr>
      <w:bookmarkStart w:id="469" w:name="_Toc469404537"/>
      <w:bookmarkStart w:id="470" w:name="_Toc472608982"/>
      <w:r>
        <w:t>E.3</w:t>
      </w:r>
      <w:r w:rsidR="00123780">
        <w:t xml:space="preserve">. </w:t>
      </w:r>
      <w:r w:rsidR="00123780">
        <w:tab/>
      </w:r>
      <w:r w:rsidR="00605737" w:rsidRPr="00FC0F3D">
        <w:t>Extinción de autos de resistencia y reducción de la letalidad policial</w:t>
      </w:r>
      <w:bookmarkEnd w:id="469"/>
      <w:bookmarkEnd w:id="470"/>
    </w:p>
    <w:p w14:paraId="0AB5F456" w14:textId="77777777" w:rsidR="00605737" w:rsidRPr="00FC0F3D" w:rsidRDefault="00605737" w:rsidP="00605737">
      <w:pPr>
        <w:rPr>
          <w:lang w:val="es-MX"/>
        </w:rPr>
      </w:pPr>
    </w:p>
    <w:p w14:paraId="016B5014" w14:textId="465560E3" w:rsidR="00605737" w:rsidRPr="00FC0F3D" w:rsidRDefault="00605737" w:rsidP="00605737">
      <w:pPr>
        <w:numPr>
          <w:ilvl w:val="0"/>
          <w:numId w:val="1"/>
        </w:numPr>
        <w:rPr>
          <w:iCs/>
          <w:lang w:val="es-CL"/>
        </w:rPr>
      </w:pPr>
      <w:r w:rsidRPr="00FC0F3D">
        <w:rPr>
          <w:iCs/>
          <w:lang w:val="es-CL"/>
        </w:rPr>
        <w:t xml:space="preserve">La </w:t>
      </w:r>
      <w:r w:rsidRPr="00FC0F3D">
        <w:rPr>
          <w:b/>
          <w:i/>
          <w:iCs/>
          <w:lang w:val="es-CL"/>
        </w:rPr>
        <w:t>Comisión</w:t>
      </w:r>
      <w:r w:rsidRPr="00FC0F3D">
        <w:rPr>
          <w:iCs/>
          <w:lang w:val="es-CL"/>
        </w:rPr>
        <w:t xml:space="preserve"> solicitó la eliminación inmediata del registro automático de muertes perpetradas por la policía como “</w:t>
      </w:r>
      <w:r w:rsidR="007F0C73">
        <w:rPr>
          <w:iCs/>
          <w:lang w:val="es-CL"/>
        </w:rPr>
        <w:t xml:space="preserve">autos de </w:t>
      </w:r>
      <w:proofErr w:type="spellStart"/>
      <w:r w:rsidR="007F0C73">
        <w:rPr>
          <w:iCs/>
          <w:lang w:val="es-CL"/>
        </w:rPr>
        <w:t>resistência</w:t>
      </w:r>
      <w:proofErr w:type="spellEnd"/>
      <w:r w:rsidRPr="00FC0F3D">
        <w:rPr>
          <w:iCs/>
          <w:lang w:val="es-CL"/>
        </w:rPr>
        <w:t>”</w:t>
      </w:r>
      <w:r w:rsidR="000118FE">
        <w:rPr>
          <w:iCs/>
          <w:lang w:val="es-CL"/>
        </w:rPr>
        <w:t>.</w:t>
      </w:r>
      <w:r w:rsidRPr="00FC0F3D">
        <w:rPr>
          <w:b/>
          <w:iCs/>
          <w:lang w:val="es-ES"/>
        </w:rPr>
        <w:t xml:space="preserve"> </w:t>
      </w:r>
    </w:p>
    <w:p w14:paraId="0CEBB1A9" w14:textId="77777777" w:rsidR="00605737" w:rsidRPr="00FC0F3D" w:rsidRDefault="00605737" w:rsidP="00605737">
      <w:pPr>
        <w:rPr>
          <w:lang w:val="es-ES_tradnl"/>
        </w:rPr>
      </w:pPr>
    </w:p>
    <w:p w14:paraId="490B622F" w14:textId="5472C832" w:rsidR="00605737" w:rsidRPr="00FC0F3D" w:rsidRDefault="00605737" w:rsidP="00605737">
      <w:pPr>
        <w:numPr>
          <w:ilvl w:val="0"/>
          <w:numId w:val="1"/>
        </w:numPr>
        <w:rPr>
          <w:iCs/>
          <w:lang w:val="es-CL"/>
        </w:rPr>
      </w:pPr>
      <w:r w:rsidRPr="00FC0F3D">
        <w:rPr>
          <w:iCs/>
          <w:lang w:val="es-CL"/>
        </w:rPr>
        <w:t xml:space="preserve">Los </w:t>
      </w:r>
      <w:r w:rsidRPr="00FC0F3D">
        <w:rPr>
          <w:b/>
          <w:i/>
          <w:iCs/>
          <w:lang w:val="es-CL"/>
        </w:rPr>
        <w:t>representantes</w:t>
      </w:r>
      <w:r w:rsidRPr="00FC0F3D">
        <w:rPr>
          <w:iCs/>
          <w:lang w:val="es-CL"/>
        </w:rPr>
        <w:t xml:space="preserve"> solicitaron la sustitución de la expresión “</w:t>
      </w:r>
      <w:r w:rsidRPr="00FC0F3D">
        <w:t>autos de resistencia” y “resistencia seguida de muerte”</w:t>
      </w:r>
      <w:r w:rsidRPr="00FC0F3D">
        <w:rPr>
          <w:iCs/>
          <w:lang w:val="es-CL"/>
        </w:rPr>
        <w:t xml:space="preserve"> p</w:t>
      </w:r>
      <w:r w:rsidR="007F0C73">
        <w:rPr>
          <w:iCs/>
          <w:lang w:val="es-CL"/>
        </w:rPr>
        <w:t>o</w:t>
      </w:r>
      <w:r w:rsidRPr="00FC0F3D">
        <w:rPr>
          <w:iCs/>
          <w:lang w:val="es-CL"/>
        </w:rPr>
        <w:t>r “</w:t>
      </w:r>
      <w:r w:rsidRPr="00FC0F3D">
        <w:t>homicidio derivado de intervención policial” o “lesión corporal derivada de intervención policial”; la atribución de la Comisaría de Homicidios (</w:t>
      </w:r>
      <w:proofErr w:type="spellStart"/>
      <w:r w:rsidRPr="00FC0F3D">
        <w:rPr>
          <w:i/>
        </w:rPr>
        <w:t>Delegacia</w:t>
      </w:r>
      <w:proofErr w:type="spellEnd"/>
      <w:r w:rsidRPr="00FC0F3D">
        <w:rPr>
          <w:i/>
        </w:rPr>
        <w:t xml:space="preserve"> de Homicidios</w:t>
      </w:r>
      <w:r w:rsidRPr="00FC0F3D">
        <w:t xml:space="preserve">) en la investigación de casos que se deriven de una intervención policial; la prioridad en el examen pericial de armas </w:t>
      </w:r>
      <w:r w:rsidR="007F0C73">
        <w:t xml:space="preserve">decomisadas </w:t>
      </w:r>
      <w:r w:rsidRPr="00FC0F3D">
        <w:t>en esos casos, y la vinculación de los índices de letalidad policial a las metas e indicadores del sistema de seguridad pública</w:t>
      </w:r>
      <w:r w:rsidRPr="00FC0F3D">
        <w:rPr>
          <w:iCs/>
          <w:lang w:val="es-CL"/>
        </w:rPr>
        <w:t>.</w:t>
      </w:r>
    </w:p>
    <w:p w14:paraId="54C2767C" w14:textId="77777777" w:rsidR="00605737" w:rsidRPr="000118FE" w:rsidRDefault="00605737" w:rsidP="00605737">
      <w:pPr>
        <w:rPr>
          <w:iCs/>
          <w:lang w:val="es-CL"/>
        </w:rPr>
      </w:pPr>
    </w:p>
    <w:p w14:paraId="43484744" w14:textId="05CAC0CC" w:rsidR="00605737" w:rsidRPr="00FC0F3D" w:rsidRDefault="00605737" w:rsidP="00605737">
      <w:pPr>
        <w:numPr>
          <w:ilvl w:val="0"/>
          <w:numId w:val="1"/>
        </w:numPr>
        <w:rPr>
          <w:iCs/>
          <w:lang w:val="es-CL"/>
        </w:rPr>
      </w:pPr>
      <w:r w:rsidRPr="00FC0F3D">
        <w:rPr>
          <w:iCs/>
          <w:lang w:val="es-CL"/>
        </w:rPr>
        <w:t xml:space="preserve">El </w:t>
      </w:r>
      <w:r w:rsidRPr="00FC0F3D">
        <w:rPr>
          <w:b/>
          <w:i/>
          <w:iCs/>
          <w:lang w:val="es-CL"/>
        </w:rPr>
        <w:t>Estado</w:t>
      </w:r>
      <w:r w:rsidRPr="00FC0F3D">
        <w:rPr>
          <w:iCs/>
          <w:lang w:val="es-CL"/>
        </w:rPr>
        <w:t xml:space="preserve"> alegó que en cumplimiento con lo recomendado en el Informe No. 141/11 de la Comisión Interamericana de Derechos Humanos, la Secretaría de Derechos Humanos del gobierno brasileño emitió la Resolución No. 8</w:t>
      </w:r>
      <w:r w:rsidR="007F0C73">
        <w:rPr>
          <w:iCs/>
          <w:lang w:val="es-CL"/>
        </w:rPr>
        <w:t>/2012</w:t>
      </w:r>
      <w:r w:rsidRPr="00FC0F3D">
        <w:rPr>
          <w:iCs/>
          <w:lang w:val="es-CL"/>
        </w:rPr>
        <w:t xml:space="preserve">, determinando el cambio de la expresión “autos de resistencia” </w:t>
      </w:r>
      <w:r w:rsidR="007F0C73">
        <w:rPr>
          <w:iCs/>
          <w:lang w:val="es-CL"/>
        </w:rPr>
        <w:t xml:space="preserve">y “resistencia seguida de muerte” </w:t>
      </w:r>
      <w:r w:rsidRPr="00FC0F3D">
        <w:rPr>
          <w:iCs/>
          <w:lang w:val="es-CL"/>
        </w:rPr>
        <w:t>a “lesión corporal u homicidio derivado de intervención policial”. Destacó también el Programa Nacional de Derechos Humanos (PNDH-3), que recomienda el fin de expresiones genéricas como “autos de resistencia”</w:t>
      </w:r>
      <w:r w:rsidRPr="00FC0F3D">
        <w:rPr>
          <w:iCs/>
          <w:vertAlign w:val="superscript"/>
          <w:lang w:val="es-CL"/>
        </w:rPr>
        <w:footnoteReference w:id="339"/>
      </w:r>
      <w:r w:rsidRPr="00FC0F3D">
        <w:rPr>
          <w:iCs/>
          <w:lang w:val="es-CL"/>
        </w:rPr>
        <w:t>. Además, mencionó la</w:t>
      </w:r>
      <w:r w:rsidRPr="00FC0F3D">
        <w:t xml:space="preserve"> Resolución Conjunta </w:t>
      </w:r>
      <w:r w:rsidRPr="00FC0F3D">
        <w:rPr>
          <w:iCs/>
          <w:lang w:val="es-CL"/>
        </w:rPr>
        <w:t xml:space="preserve">No. </w:t>
      </w:r>
      <w:r w:rsidRPr="00FC0F3D">
        <w:t xml:space="preserve">02/2015 del Departamento de Policía Federal y del Consejo Superior de Policía, que establece que los “autos de resistencia” pasarán a </w:t>
      </w:r>
      <w:r w:rsidR="00A6049D">
        <w:t xml:space="preserve">denominarse </w:t>
      </w:r>
      <w:r w:rsidRPr="00FC0F3D">
        <w:t xml:space="preserve">“lesión corporal u homicidio derivada de oposición a la intervención policial” y determina los procedimientos internos a ser adoptados ante ese tipo de situaciones. </w:t>
      </w:r>
      <w:r w:rsidRPr="00FC0F3D">
        <w:rPr>
          <w:iCs/>
          <w:lang w:val="es-CL"/>
        </w:rPr>
        <w:t xml:space="preserve">Finalmente, presentó el Proyecto de Ley No. 4.471/2012, que se refiere a </w:t>
      </w:r>
      <w:r w:rsidRPr="00FC0F3D">
        <w:t>“</w:t>
      </w:r>
      <w:r w:rsidRPr="00FC0F3D">
        <w:rPr>
          <w:iCs/>
          <w:lang w:val="es-CL"/>
        </w:rPr>
        <w:t xml:space="preserve">la moderación y la necesidad” como objetivos de la acción de legítima defensa adoptadas por agentes públicos para contener la resistencia a la actuación legal, </w:t>
      </w:r>
      <w:r w:rsidR="00A6049D">
        <w:rPr>
          <w:iCs/>
          <w:lang w:val="es-CL"/>
        </w:rPr>
        <w:t xml:space="preserve">y que </w:t>
      </w:r>
      <w:r w:rsidRPr="00FC0F3D">
        <w:rPr>
          <w:iCs/>
          <w:lang w:val="es-CL"/>
        </w:rPr>
        <w:t>prevé reglas específicas para la realización de exámenes periciales y refuerza la reglamentación de las fases y procedimientos de la investigación en ese tipo de casos. En el ámbito del Estado de Río de Janeiro, destacó la edición de los Instructivos No. 553/2011 y No. 617/2013, de la Policía Civil de Río de Janeiro. El primero determina una serie de directrices básicas que la policía debe tomar en cuenta ante un registro de acta de resistencia y el segundo determina la adopción de la expresión técnica “lesión corporal u homicidio derivada de intervención policial” en lugar de “autos de resistencia”</w:t>
      </w:r>
      <w:r w:rsidR="00A6049D">
        <w:rPr>
          <w:iCs/>
          <w:lang w:val="es-CL"/>
        </w:rPr>
        <w:t xml:space="preserve"> y “resistencia seguida de muerte”</w:t>
      </w:r>
      <w:r w:rsidRPr="00FC0F3D">
        <w:rPr>
          <w:iCs/>
          <w:lang w:val="es-CL"/>
        </w:rPr>
        <w:t xml:space="preserve">. </w:t>
      </w:r>
    </w:p>
    <w:p w14:paraId="46E2DBD6" w14:textId="77777777" w:rsidR="00605737" w:rsidRPr="00FC0F3D" w:rsidRDefault="00605737" w:rsidP="00605737">
      <w:pPr>
        <w:rPr>
          <w:iCs/>
          <w:lang w:val="es-CL"/>
        </w:rPr>
      </w:pPr>
    </w:p>
    <w:p w14:paraId="08187C4F" w14:textId="4E52FF84" w:rsidR="00605737" w:rsidRPr="00FC0F3D" w:rsidRDefault="00605737" w:rsidP="00605737">
      <w:pPr>
        <w:numPr>
          <w:ilvl w:val="0"/>
          <w:numId w:val="1"/>
        </w:numPr>
        <w:rPr>
          <w:iCs/>
          <w:lang w:val="es-CL"/>
        </w:rPr>
      </w:pPr>
      <w:r w:rsidRPr="00FC0F3D">
        <w:rPr>
          <w:iCs/>
          <w:lang w:val="es-CL"/>
        </w:rPr>
        <w:lastRenderedPageBreak/>
        <w:t>Aunque el</w:t>
      </w:r>
      <w:r w:rsidRPr="00FC0F3D">
        <w:rPr>
          <w:b/>
          <w:iCs/>
          <w:lang w:val="es-CL"/>
        </w:rPr>
        <w:t xml:space="preserve"> </w:t>
      </w:r>
      <w:r w:rsidRPr="00FC0F3D">
        <w:rPr>
          <w:iCs/>
          <w:lang w:val="es-CL"/>
        </w:rPr>
        <w:t xml:space="preserve">Estado no se haya manifestado directamente en relación a los demás pedidos, informó que en el Estado de Río de Janeiro, los casos de homicidios derivados de intervención policial son investigados por </w:t>
      </w:r>
      <w:r w:rsidRPr="00FC0F3D">
        <w:t>la Comisaría de Homicidios (</w:t>
      </w:r>
      <w:proofErr w:type="spellStart"/>
      <w:r w:rsidRPr="00FC0F3D">
        <w:rPr>
          <w:i/>
        </w:rPr>
        <w:t>Delegacia</w:t>
      </w:r>
      <w:proofErr w:type="spellEnd"/>
      <w:r w:rsidRPr="00FC0F3D">
        <w:rPr>
          <w:i/>
        </w:rPr>
        <w:t xml:space="preserve"> de Homicidios</w:t>
      </w:r>
      <w:r w:rsidRPr="00FC0F3D">
        <w:t xml:space="preserve">) y que fueron creados Grupos Especiales de la Escena del Crimen (GELC) y </w:t>
      </w:r>
      <w:r w:rsidR="00A6049D">
        <w:t xml:space="preserve">un </w:t>
      </w:r>
      <w:r w:rsidRPr="00FC0F3D">
        <w:t>grupo de trabajo para implementar curso de instructores de investigación de la escena del crimen mediante el Instructivo 776/2016</w:t>
      </w:r>
      <w:r w:rsidRPr="00FC0F3D">
        <w:rPr>
          <w:iCs/>
          <w:lang w:val="es-CL"/>
        </w:rPr>
        <w:t>.</w:t>
      </w:r>
    </w:p>
    <w:p w14:paraId="2E6594D4" w14:textId="77777777" w:rsidR="00605737" w:rsidRPr="00FC0F3D" w:rsidRDefault="00605737" w:rsidP="00605737">
      <w:pPr>
        <w:rPr>
          <w:iCs/>
          <w:lang w:val="es-CL"/>
        </w:rPr>
      </w:pPr>
    </w:p>
    <w:p w14:paraId="0A0B505A" w14:textId="7BF967D1" w:rsidR="00605737" w:rsidRPr="00FC0F3D" w:rsidRDefault="00605737" w:rsidP="00605737">
      <w:pPr>
        <w:numPr>
          <w:ilvl w:val="0"/>
          <w:numId w:val="1"/>
        </w:numPr>
      </w:pPr>
      <w:r w:rsidRPr="00FC0F3D">
        <w:rPr>
          <w:iCs/>
        </w:rPr>
        <w:t xml:space="preserve">En relación a la sustitución de la expresión </w:t>
      </w:r>
      <w:r w:rsidRPr="00FC0F3D">
        <w:t xml:space="preserve">de “autos de resistencia”, la Corte comparte lo expresado por el perito Marlon </w:t>
      </w:r>
      <w:proofErr w:type="spellStart"/>
      <w:r w:rsidRPr="00FC0F3D">
        <w:t>Weichert</w:t>
      </w:r>
      <w:proofErr w:type="spellEnd"/>
      <w:r w:rsidRPr="00FC0F3D">
        <w:t xml:space="preserve"> en audiencia, y</w:t>
      </w:r>
      <w:r w:rsidRPr="00FC0F3D">
        <w:rPr>
          <w:b/>
        </w:rPr>
        <w:t xml:space="preserve"> </w:t>
      </w:r>
      <w:r w:rsidRPr="00FC0F3D">
        <w:t xml:space="preserve">considera que, aunque el cambio del título del procedimiento no </w:t>
      </w:r>
      <w:r w:rsidR="00A6049D">
        <w:t>modifica</w:t>
      </w:r>
      <w:r w:rsidR="00A6049D" w:rsidRPr="00FC0F3D">
        <w:t xml:space="preserve"> </w:t>
      </w:r>
      <w:r w:rsidRPr="00FC0F3D">
        <w:t xml:space="preserve">el procedimiento </w:t>
      </w:r>
      <w:r w:rsidRPr="00FC0F3D">
        <w:rPr>
          <w:i/>
        </w:rPr>
        <w:t>per se</w:t>
      </w:r>
      <w:r w:rsidRPr="00FC0F3D">
        <w:t xml:space="preserve">, existe un valor simbólico en buscar una expresión más apropiada. La Corte toma nota de que el Estado aprobó normativas en el ámbito nacional mediante </w:t>
      </w:r>
      <w:r w:rsidRPr="00FC0F3D">
        <w:rPr>
          <w:iCs/>
          <w:lang w:val="es-CL"/>
        </w:rPr>
        <w:t xml:space="preserve">el Programa Nacional de Derechos Humanos (PNDH-3), </w:t>
      </w:r>
      <w:r w:rsidRPr="00FC0F3D">
        <w:t xml:space="preserve">la </w:t>
      </w:r>
      <w:r w:rsidRPr="00FC0F3D">
        <w:rPr>
          <w:iCs/>
          <w:lang w:val="es-CL"/>
        </w:rPr>
        <w:t>Resolución No. 8</w:t>
      </w:r>
      <w:r w:rsidR="00A6049D">
        <w:rPr>
          <w:iCs/>
          <w:lang w:val="es-CL"/>
        </w:rPr>
        <w:t>/</w:t>
      </w:r>
      <w:r w:rsidRPr="00FC0F3D">
        <w:rPr>
          <w:iCs/>
          <w:lang w:val="es-CL"/>
        </w:rPr>
        <w:t xml:space="preserve">2012, de la Secretaría de Derechos Humanos y la </w:t>
      </w:r>
      <w:r w:rsidRPr="00FC0F3D">
        <w:t xml:space="preserve">Resolución Conjunta </w:t>
      </w:r>
      <w:r w:rsidRPr="00FC0F3D">
        <w:rPr>
          <w:iCs/>
          <w:lang w:val="es-CL"/>
        </w:rPr>
        <w:t xml:space="preserve">No. </w:t>
      </w:r>
      <w:r w:rsidRPr="00FC0F3D">
        <w:t>02/2015, del Departamento de Policía Federal y del Consejo Superior de Policía</w:t>
      </w:r>
      <w:r w:rsidRPr="00FC0F3D">
        <w:rPr>
          <w:iCs/>
          <w:lang w:val="es-CL"/>
        </w:rPr>
        <w:t>;</w:t>
      </w:r>
      <w:r w:rsidRPr="00FC0F3D">
        <w:t xml:space="preserve"> y en el ámbito estadual en Río de Janeiro, mediante </w:t>
      </w:r>
      <w:r w:rsidRPr="00FC0F3D">
        <w:rPr>
          <w:iCs/>
          <w:lang w:val="es-CL"/>
        </w:rPr>
        <w:t xml:space="preserve">el Instructivo No. 617/2013 de la Policía Civil de Río de Janeiro. Sin embargo, la Corte considera </w:t>
      </w:r>
      <w:r w:rsidRPr="00FC0F3D">
        <w:t xml:space="preserve">que, aunque la </w:t>
      </w:r>
      <w:r w:rsidRPr="00FC0F3D">
        <w:rPr>
          <w:iCs/>
          <w:lang w:val="es-CL"/>
        </w:rPr>
        <w:t>Resolución No. 8</w:t>
      </w:r>
      <w:r w:rsidR="00A6049D">
        <w:rPr>
          <w:iCs/>
          <w:lang w:val="es-CL"/>
        </w:rPr>
        <w:t>/2012</w:t>
      </w:r>
      <w:r w:rsidRPr="00FC0F3D">
        <w:rPr>
          <w:iCs/>
          <w:lang w:val="es-CL"/>
        </w:rPr>
        <w:t xml:space="preserve"> de la Secretaría de Derechos Humanos haya propuesto el cambio de “autos de resistencia” por “lesión corporal u homicidio derivado de intervención policial”, la </w:t>
      </w:r>
      <w:r w:rsidRPr="00FC0F3D">
        <w:t xml:space="preserve">Resolución Conjunta </w:t>
      </w:r>
      <w:r w:rsidRPr="00FC0F3D">
        <w:rPr>
          <w:iCs/>
          <w:lang w:val="es-CL"/>
        </w:rPr>
        <w:t xml:space="preserve">No. </w:t>
      </w:r>
      <w:r w:rsidRPr="00FC0F3D">
        <w:t>02/2015, del Departamento de Policía Federal y del Consejo Superior de Policía, estableció que los “autos de resistencia” deberían ser nombrad</w:t>
      </w:r>
      <w:r w:rsidR="009B7973">
        <w:t>o</w:t>
      </w:r>
      <w:r w:rsidRPr="00FC0F3D">
        <w:t xml:space="preserve">s como “lesión corporal u homicidio derivada de oposición a la intervención policial”. Lo anterior significa que no hay uniformidad en la expresión que debe ser usada por la policía para referirse a los homicidios o lesiones causados por intervención policial. </w:t>
      </w:r>
    </w:p>
    <w:p w14:paraId="6F163D2C" w14:textId="77777777" w:rsidR="00605737" w:rsidRPr="00FC0F3D" w:rsidRDefault="00605737" w:rsidP="00605737"/>
    <w:p w14:paraId="4335AED4" w14:textId="7369823C" w:rsidR="00605737" w:rsidRPr="00FC0F3D" w:rsidRDefault="00605737" w:rsidP="00605737">
      <w:pPr>
        <w:numPr>
          <w:ilvl w:val="0"/>
          <w:numId w:val="1"/>
        </w:numPr>
      </w:pPr>
      <w:r w:rsidRPr="00FC0F3D">
        <w:t xml:space="preserve">Por lo tanto, la Corte toma nota del </w:t>
      </w:r>
      <w:r w:rsidRPr="00FC0F3D">
        <w:rPr>
          <w:iCs/>
          <w:lang w:val="es-CL"/>
        </w:rPr>
        <w:t xml:space="preserve">Instructivo No. 617/2013 de la Policía Civil de Río de Janeiro que determina que la expresión técnica para los referidos registros debe ser </w:t>
      </w:r>
      <w:r w:rsidRPr="00FC0F3D">
        <w:t xml:space="preserve">“lesión corporal u homicidio derivada de intervención policial” y la considera apropiada y en línea con lo establecido en el Programa Nacional de Derechos Humanos. En ese sentido, la Corte ordena que el Estado adopte las medidas necesarias para </w:t>
      </w:r>
      <w:r w:rsidR="00AF6F87">
        <w:t>uniformar</w:t>
      </w:r>
      <w:r w:rsidRPr="00FC0F3D">
        <w:t xml:space="preserve"> dicha expresión en los reportes e investigaciones realizadas por la policía o el Ministerio Público </w:t>
      </w:r>
      <w:r w:rsidR="00590925" w:rsidRPr="00FC0F3D">
        <w:rPr>
          <w:iCs/>
          <w:lang w:val="es-CL"/>
        </w:rPr>
        <w:t>de Río de Janeiro</w:t>
      </w:r>
      <w:r w:rsidR="00590925" w:rsidRPr="00FC0F3D">
        <w:t xml:space="preserve"> </w:t>
      </w:r>
      <w:r w:rsidRPr="00FC0F3D">
        <w:t xml:space="preserve">en casos de muertes o lesiones provocadas por la actuación policial. El concepto de “oposición” o “resistencia” a la actuación policial debe ser abolido. </w:t>
      </w:r>
    </w:p>
    <w:p w14:paraId="7D80DFF1" w14:textId="77777777" w:rsidR="00605737" w:rsidRPr="00FC0F3D" w:rsidRDefault="00605737" w:rsidP="00605737"/>
    <w:p w14:paraId="541C1417" w14:textId="51EB1D73" w:rsidR="00605737" w:rsidRPr="00FC0F3D" w:rsidRDefault="00605737" w:rsidP="00605737">
      <w:pPr>
        <w:numPr>
          <w:ilvl w:val="0"/>
          <w:numId w:val="1"/>
        </w:numPr>
      </w:pPr>
      <w:r w:rsidRPr="00FC0F3D">
        <w:t>En relación a los medios de conducción de una investigación en casos de muerte de civiles provocada por la policía, la Corte</w:t>
      </w:r>
      <w:r w:rsidRPr="00FC0F3D">
        <w:rPr>
          <w:b/>
          <w:i/>
        </w:rPr>
        <w:t xml:space="preserve"> </w:t>
      </w:r>
      <w:r w:rsidRPr="00FC0F3D">
        <w:t xml:space="preserve">considera </w:t>
      </w:r>
      <w:r w:rsidRPr="00FC0F3D">
        <w:rPr>
          <w:iCs/>
        </w:rPr>
        <w:t xml:space="preserve">que en el ámbito nacional, </w:t>
      </w:r>
      <w:r w:rsidRPr="00FC0F3D">
        <w:rPr>
          <w:iCs/>
          <w:lang w:val="es-CL"/>
        </w:rPr>
        <w:t>la</w:t>
      </w:r>
      <w:r w:rsidRPr="00FC0F3D">
        <w:t xml:space="preserve"> Resolución Conjunta </w:t>
      </w:r>
      <w:r w:rsidRPr="00FC0F3D">
        <w:rPr>
          <w:iCs/>
          <w:lang w:val="es-CL"/>
        </w:rPr>
        <w:t xml:space="preserve">No. </w:t>
      </w:r>
      <w:r w:rsidRPr="00FC0F3D">
        <w:t>02/2015 del Departamento de Policía Federal y del Consejo Superior de Policía ya determina los procedimientos internos a ser adoptados ante ese tipo de situaciones y en</w:t>
      </w:r>
      <w:r w:rsidRPr="00FC0F3D">
        <w:rPr>
          <w:iCs/>
        </w:rPr>
        <w:t xml:space="preserve"> el ámbito del Estado de Río de Janeiro, el Instructivo No. 553/2011 igualmente prevé una serie de directrices básicas que la policía debe tomar en cuenta ante un registro de muerte </w:t>
      </w:r>
      <w:r w:rsidR="00A6049D">
        <w:rPr>
          <w:iCs/>
        </w:rPr>
        <w:t>derivada</w:t>
      </w:r>
      <w:r w:rsidR="00A6049D" w:rsidRPr="00FC0F3D">
        <w:rPr>
          <w:iCs/>
        </w:rPr>
        <w:t xml:space="preserve"> </w:t>
      </w:r>
      <w:r w:rsidRPr="00FC0F3D">
        <w:rPr>
          <w:iCs/>
        </w:rPr>
        <w:t xml:space="preserve">de acción policial. Sin embargo, la Corte no deja de notar la importancia de la aprobación del Proyecto de Ley No. 4.471/2012, el cual establecería normas para preservar </w:t>
      </w:r>
      <w:r w:rsidRPr="00FC0F3D">
        <w:t xml:space="preserve">los medios de prueba en relación con la pericia técnica, la recolección y conservación de pruebas y una investigación </w:t>
      </w:r>
      <w:r w:rsidRPr="0046548D">
        <w:t>exenta</w:t>
      </w:r>
      <w:r w:rsidRPr="00FC0F3D">
        <w:t xml:space="preserve"> por parte de los órganos del sistema de justicia. Por lo tanto, la Corte insta al Estado que busque la aprobación de tales medidas mediante la aprobación diligente de la referida Ley. </w:t>
      </w:r>
      <w:r w:rsidR="005833E9">
        <w:t>Lo anterior no será supervisado por la Corte.</w:t>
      </w:r>
    </w:p>
    <w:p w14:paraId="543B93CA" w14:textId="77777777" w:rsidR="00605737" w:rsidRDefault="00605737" w:rsidP="00605737"/>
    <w:p w14:paraId="02B2F212" w14:textId="77777777" w:rsidR="003C45F8" w:rsidRPr="006D5380" w:rsidRDefault="003C45F8" w:rsidP="003C45F8">
      <w:pPr>
        <w:pStyle w:val="Heading4"/>
        <w:contextualSpacing w:val="0"/>
        <w:rPr>
          <w:rFonts w:cstheme="minorBidi"/>
          <w:szCs w:val="22"/>
        </w:rPr>
      </w:pPr>
      <w:r w:rsidRPr="006D5380">
        <w:rPr>
          <w:rFonts w:cstheme="minorBidi"/>
          <w:szCs w:val="22"/>
        </w:rPr>
        <w:t xml:space="preserve">E.4. </w:t>
      </w:r>
      <w:r w:rsidRPr="006D5380">
        <w:rPr>
          <w:rFonts w:cstheme="minorBidi"/>
          <w:szCs w:val="22"/>
        </w:rPr>
        <w:tab/>
        <w:t>Otras medidas solicitadas</w:t>
      </w:r>
    </w:p>
    <w:p w14:paraId="25FD52B7" w14:textId="77777777" w:rsidR="003C45F8" w:rsidRPr="006D5380" w:rsidRDefault="003C45F8" w:rsidP="003C45F8"/>
    <w:p w14:paraId="025AF67A" w14:textId="43D5A775" w:rsidR="003C45F8" w:rsidRPr="006D5380" w:rsidRDefault="003C45F8" w:rsidP="003C45F8">
      <w:pPr>
        <w:numPr>
          <w:ilvl w:val="0"/>
          <w:numId w:val="1"/>
        </w:numPr>
        <w:rPr>
          <w:iCs/>
          <w:lang w:val="es-CL"/>
        </w:rPr>
      </w:pPr>
      <w:r w:rsidRPr="006D5380">
        <w:rPr>
          <w:iCs/>
          <w:lang w:val="es-CL"/>
        </w:rPr>
        <w:t xml:space="preserve">En relación a la elaboración de un protocolo nacional de debida diligencia en casos de violencia policial, la Corte considera que la normativa doméstica dispone de reglas y procedimientos suficientemente claros en caso de muertes derivadas de una intervención policial. </w:t>
      </w:r>
      <w:r w:rsidRPr="006D5380">
        <w:t>En el ámbito del estado de Río de Janeiro, la Corte</w:t>
      </w:r>
      <w:r w:rsidRPr="006D5380">
        <w:rPr>
          <w:i/>
        </w:rPr>
        <w:t xml:space="preserve"> </w:t>
      </w:r>
      <w:r w:rsidRPr="006D5380">
        <w:t>toma nota del Instructivo No. 553</w:t>
      </w:r>
      <w:r w:rsidR="009B214D">
        <w:t>/</w:t>
      </w:r>
      <w:r w:rsidRPr="006D5380">
        <w:t xml:space="preserve"> 2011, que dispone </w:t>
      </w:r>
      <w:r w:rsidR="009B214D">
        <w:t xml:space="preserve">las </w:t>
      </w:r>
      <w:r w:rsidRPr="006D5380">
        <w:t xml:space="preserve">directrices básicas procedimentales en caso de investigaciones </w:t>
      </w:r>
      <w:r w:rsidRPr="006D5380">
        <w:lastRenderedPageBreak/>
        <w:t>relacionadas con lesión corporal u homicidio provenientes de una intervención policial. Por todo lo expuesto, la Corte estima que esa solicitud no es procedente.</w:t>
      </w:r>
    </w:p>
    <w:p w14:paraId="76AE4F14" w14:textId="77777777" w:rsidR="003C45F8" w:rsidRPr="006D5380" w:rsidRDefault="003C45F8" w:rsidP="003C45F8">
      <w:pPr>
        <w:pStyle w:val="ListParagraph"/>
        <w:rPr>
          <w:iCs/>
          <w:lang w:val="es-CL"/>
        </w:rPr>
      </w:pPr>
    </w:p>
    <w:p w14:paraId="181CAB48" w14:textId="768615CF" w:rsidR="003C45F8" w:rsidRPr="006D5380" w:rsidRDefault="003C45F8" w:rsidP="003C45F8">
      <w:pPr>
        <w:numPr>
          <w:ilvl w:val="0"/>
          <w:numId w:val="1"/>
        </w:numPr>
        <w:rPr>
          <w:iCs/>
          <w:lang w:val="es-CL"/>
        </w:rPr>
      </w:pPr>
      <w:r w:rsidRPr="006D5380">
        <w:rPr>
          <w:iCs/>
          <w:lang w:val="es-CL"/>
        </w:rPr>
        <w:t>La Corte también considera improcedentes los pedidos de creación de Juzgados Especializados para delitos derivados de violencia policial y el establecimiento de criterios objetivos para la sustitución de jueces titulares en caso de su ausencia, toda vez que los Juzgados Criminales poseen competencia y capacidad técnica para juzgar crímenes de violencia policial</w:t>
      </w:r>
      <w:r w:rsidRPr="006D5380">
        <w:rPr>
          <w:iCs/>
          <w:lang w:val="es-ES"/>
        </w:rPr>
        <w:t>.</w:t>
      </w:r>
      <w:r w:rsidRPr="006D5380">
        <w:rPr>
          <w:b/>
          <w:iCs/>
          <w:lang w:val="es-ES"/>
        </w:rPr>
        <w:t xml:space="preserve"> </w:t>
      </w:r>
      <w:r w:rsidRPr="006D5380">
        <w:rPr>
          <w:iCs/>
          <w:lang w:val="es-ES"/>
        </w:rPr>
        <w:t>Además,</w:t>
      </w:r>
      <w:r w:rsidRPr="006D5380">
        <w:rPr>
          <w:b/>
          <w:iCs/>
          <w:lang w:val="es-ES"/>
        </w:rPr>
        <w:t xml:space="preserve"> </w:t>
      </w:r>
      <w:r w:rsidRPr="006D5380">
        <w:rPr>
          <w:iCs/>
          <w:lang w:val="es-CL"/>
        </w:rPr>
        <w:t xml:space="preserve">la legislación nacional ya dispone de criterios objetivos para la sustitución de jueces. </w:t>
      </w:r>
    </w:p>
    <w:p w14:paraId="1EE39AB0" w14:textId="77777777" w:rsidR="003C45F8" w:rsidRPr="006D5380" w:rsidRDefault="003C45F8" w:rsidP="003C45F8">
      <w:pPr>
        <w:rPr>
          <w:iCs/>
          <w:lang w:val="es-CL"/>
        </w:rPr>
      </w:pPr>
    </w:p>
    <w:p w14:paraId="1CB207E3" w14:textId="10FF8C08" w:rsidR="003C45F8" w:rsidRPr="006D5380" w:rsidRDefault="003C45F8" w:rsidP="003C45F8">
      <w:pPr>
        <w:numPr>
          <w:ilvl w:val="0"/>
          <w:numId w:val="1"/>
        </w:numPr>
        <w:rPr>
          <w:iCs/>
          <w:lang w:val="es-CL"/>
        </w:rPr>
      </w:pPr>
      <w:r w:rsidRPr="006D5380">
        <w:rPr>
          <w:iCs/>
          <w:lang w:val="es-CL"/>
        </w:rPr>
        <w:t>Respecto al ofrecimiento de apoyo psicológico y técnico a policías sometidos a situaciones de riesgo y la separación de los policías acusados de participación en casos graves bajo investigación de la policía, la Corte toma nota de los esfuerzos realizados por el Estado, tales como el Objetivo III del Programa Nacional de Derechos Humanos (PNDH-3), que propone el acompañamiento permanente de salud mental de los profesionales del sistema de seguridad pública y el Instructivo Interministerial No. 2, de la Secretaría de Derechos Humanos y del Ministerio de Justicia, que establece directrices nacionales de promoción y defensa de los derechos humanos de profesionales de seguridad pública. Por lo que no considera necesario ordenar la medida de reparación solicitada.</w:t>
      </w:r>
    </w:p>
    <w:p w14:paraId="74E560E9" w14:textId="77777777" w:rsidR="003C45F8" w:rsidRPr="006D5380" w:rsidRDefault="003C45F8" w:rsidP="003C45F8">
      <w:pPr>
        <w:rPr>
          <w:iCs/>
          <w:lang w:val="es-CL"/>
        </w:rPr>
      </w:pPr>
    </w:p>
    <w:p w14:paraId="1EC3B57F" w14:textId="77777777" w:rsidR="003C45F8" w:rsidRPr="006D5380" w:rsidRDefault="003C45F8" w:rsidP="003C45F8">
      <w:pPr>
        <w:numPr>
          <w:ilvl w:val="0"/>
          <w:numId w:val="1"/>
        </w:numPr>
        <w:rPr>
          <w:iCs/>
          <w:lang w:val="es-CL"/>
        </w:rPr>
      </w:pPr>
      <w:r w:rsidRPr="006D5380">
        <w:rPr>
          <w:iCs/>
          <w:lang w:val="es-CL"/>
        </w:rPr>
        <w:t xml:space="preserve">En relación con la solicitud de fortalecimiento del Programa de Protección a Defensores de Derechos Humanos y del </w:t>
      </w:r>
      <w:r w:rsidRPr="006D5380">
        <w:rPr>
          <w:iCs/>
        </w:rPr>
        <w:t>Programa de Protección a las Víctimas y Testigos Amenazados (PROVITA)</w:t>
      </w:r>
      <w:r w:rsidRPr="006D5380">
        <w:rPr>
          <w:iCs/>
          <w:lang w:val="es-CL"/>
        </w:rPr>
        <w:t>, la Corte la considera improcedente una vez que no tiene relación con el presente caso</w:t>
      </w:r>
      <w:r w:rsidRPr="006D5380">
        <w:rPr>
          <w:iCs/>
        </w:rPr>
        <w:t xml:space="preserve">. </w:t>
      </w:r>
    </w:p>
    <w:p w14:paraId="55167D5C" w14:textId="77777777" w:rsidR="003C45F8" w:rsidRPr="006D5380" w:rsidRDefault="003C45F8" w:rsidP="003C45F8">
      <w:pPr>
        <w:rPr>
          <w:iCs/>
          <w:lang w:val="es-CL"/>
        </w:rPr>
      </w:pPr>
    </w:p>
    <w:p w14:paraId="5AD4236A" w14:textId="36ABBCB0" w:rsidR="003C45F8" w:rsidRPr="006D5380" w:rsidRDefault="003C45F8" w:rsidP="003C45F8">
      <w:pPr>
        <w:numPr>
          <w:ilvl w:val="0"/>
          <w:numId w:val="1"/>
        </w:numPr>
        <w:rPr>
          <w:iCs/>
          <w:lang w:val="es-CL"/>
        </w:rPr>
      </w:pPr>
      <w:r w:rsidRPr="006D5380">
        <w:rPr>
          <w:iCs/>
          <w:lang w:val="es-CL"/>
        </w:rPr>
        <w:t xml:space="preserve">Con respecto a la creación de un sistema continuo de numeración y acompañamiento de investigaciones y procesos ante diversos órganos estatales, la Corte toma nota de las medidas adoptadas por el Estado desde 1996, entre otras, las Resoluciones No. 177/1996 del Consejo de la Justicia Federal (CJF), que </w:t>
      </w:r>
      <w:r w:rsidRPr="006D5380">
        <w:t>instituye el sistema de portada y numeración únicas para el procesamiento de casos ante la 1ª Instancia de la Justicia Federal</w:t>
      </w:r>
      <w:r w:rsidRPr="006D5380">
        <w:rPr>
          <w:iCs/>
          <w:lang w:val="es-CL"/>
        </w:rPr>
        <w:t xml:space="preserve">; No. 441/2005 del CJF, que dispone sobre la distribución de procesos en la Justicia Federal; No. 12/2006 del Consejo Nacional de Justicia (CNJ), que </w:t>
      </w:r>
      <w:r w:rsidRPr="006D5380">
        <w:t>crea el Banco de Soluciones del Poder Judicial</w:t>
      </w:r>
      <w:r w:rsidRPr="006D5380">
        <w:rPr>
          <w:iCs/>
          <w:lang w:val="es-CL"/>
        </w:rPr>
        <w:t>; No. 46/2007 del CNJ que</w:t>
      </w:r>
      <w:r w:rsidRPr="006D5380">
        <w:t xml:space="preserve"> crea tablas procesales unificadas en el Poder Judicial</w:t>
      </w:r>
      <w:r w:rsidRPr="006D5380">
        <w:rPr>
          <w:iCs/>
          <w:lang w:val="es-CL"/>
        </w:rPr>
        <w:t>; No. 65/2008 del CNJ que dispone sobre la uniformización del número de los procesos en los órganos del Poder Judicial; No. 121/2010 del CNJ que dispone sobre</w:t>
      </w:r>
      <w:r w:rsidRPr="006D5380">
        <w:t xml:space="preserve"> la divulgación de datos procesales electrónicos en la internet; </w:t>
      </w:r>
      <w:r w:rsidRPr="006D5380">
        <w:rPr>
          <w:iCs/>
          <w:lang w:val="es-CL"/>
        </w:rPr>
        <w:t>No. 00318/2014 del CJF que crea el programa de gestión documental y memoria en la justicia federal</w:t>
      </w:r>
      <w:r w:rsidRPr="006D5380">
        <w:t xml:space="preserve">; y del Instructivo </w:t>
      </w:r>
      <w:r w:rsidRPr="006D5380">
        <w:rPr>
          <w:iCs/>
          <w:lang w:val="es-CL"/>
        </w:rPr>
        <w:t xml:space="preserve">No. </w:t>
      </w:r>
      <w:r w:rsidRPr="006D5380">
        <w:t>11/200</w:t>
      </w:r>
      <w:r w:rsidR="009B214D">
        <w:t>1</w:t>
      </w:r>
      <w:r w:rsidRPr="006D5380">
        <w:t xml:space="preserve"> del Departamento de Policía Federal que define y consolida normas operacionales para ejecución de la actividad de Policía Judiciaria</w:t>
      </w:r>
      <w:r w:rsidRPr="006D5380">
        <w:rPr>
          <w:iCs/>
          <w:lang w:val="es-ES"/>
        </w:rPr>
        <w:t>.</w:t>
      </w:r>
      <w:r w:rsidRPr="006D5380">
        <w:rPr>
          <w:b/>
          <w:iCs/>
          <w:lang w:val="es-ES"/>
        </w:rPr>
        <w:t xml:space="preserve"> </w:t>
      </w:r>
      <w:r w:rsidRPr="006D5380">
        <w:t xml:space="preserve">Por lo tanto, considerando la evolución en la organización procesal de la Justicia brasileña en los últimos años, la Corte estima innecesario ordenar la presente medida. </w:t>
      </w:r>
    </w:p>
    <w:p w14:paraId="175F700E" w14:textId="77777777" w:rsidR="003C45F8" w:rsidRPr="006D5380" w:rsidRDefault="003C45F8" w:rsidP="003C45F8"/>
    <w:p w14:paraId="435A74B2" w14:textId="2A10C6CC" w:rsidR="003C45F8" w:rsidRPr="006D5380" w:rsidRDefault="003C45F8" w:rsidP="003C45F8">
      <w:pPr>
        <w:numPr>
          <w:ilvl w:val="0"/>
          <w:numId w:val="1"/>
        </w:numPr>
        <w:rPr>
          <w:iCs/>
          <w:lang w:val="es-CL"/>
        </w:rPr>
      </w:pPr>
      <w:r w:rsidRPr="006D5380">
        <w:rPr>
          <w:iCs/>
          <w:lang w:val="es-CO"/>
        </w:rPr>
        <w:t xml:space="preserve">En relación con la medida de reparación de creación de </w:t>
      </w:r>
      <w:r w:rsidRPr="006D5380">
        <w:rPr>
          <w:iCs/>
          <w:lang w:val="es-CL"/>
        </w:rPr>
        <w:t>un espacio que ofrezca cursos de capacitación profesional y una escuela en la Favela Nova Brasilia, la Corte considera que no tienen relación con los hechos del caso y no estima pertinente ordenarlas. Asimismo, la Corte</w:t>
      </w:r>
      <w:r w:rsidRPr="006D5380">
        <w:rPr>
          <w:b/>
          <w:i/>
          <w:iCs/>
          <w:lang w:val="es-CL"/>
        </w:rPr>
        <w:t xml:space="preserve"> </w:t>
      </w:r>
      <w:r w:rsidRPr="006D5380">
        <w:rPr>
          <w:iCs/>
          <w:lang w:val="es-CL"/>
        </w:rPr>
        <w:t xml:space="preserve">recuerda que no cuenta con elementos para determinar la violación al derecho de circulación y residencia en el presente caso, por lo que no corresponde otorgar la medida relacionada a una vivienda para L.R.J. </w:t>
      </w:r>
    </w:p>
    <w:p w14:paraId="003B9F91" w14:textId="77777777" w:rsidR="003C45F8" w:rsidRPr="006D5380" w:rsidRDefault="003C45F8" w:rsidP="003C45F8">
      <w:pPr>
        <w:rPr>
          <w:iCs/>
          <w:lang w:val="es-ES_tradnl"/>
        </w:rPr>
      </w:pPr>
    </w:p>
    <w:p w14:paraId="0A653B6C" w14:textId="53EA1F67" w:rsidR="003C45F8" w:rsidRPr="006D5380" w:rsidRDefault="003C45F8" w:rsidP="003C45F8">
      <w:pPr>
        <w:numPr>
          <w:ilvl w:val="0"/>
          <w:numId w:val="1"/>
        </w:numPr>
        <w:rPr>
          <w:iCs/>
          <w:lang w:val="es-ES_tradnl"/>
        </w:rPr>
      </w:pPr>
      <w:r w:rsidRPr="006D5380">
        <w:rPr>
          <w:iCs/>
          <w:lang w:val="es-CL"/>
        </w:rPr>
        <w:t>En relación con el pedido de garantía de autonomía de l</w:t>
      </w:r>
      <w:r w:rsidR="00A6687D">
        <w:rPr>
          <w:iCs/>
          <w:lang w:val="es-CL"/>
        </w:rPr>
        <w:t>o</w:t>
      </w:r>
      <w:r w:rsidRPr="006D5380">
        <w:rPr>
          <w:iCs/>
          <w:lang w:val="es-CL"/>
        </w:rPr>
        <w:t>s peri</w:t>
      </w:r>
      <w:r w:rsidR="00A6687D">
        <w:rPr>
          <w:iCs/>
          <w:lang w:val="es-CL"/>
        </w:rPr>
        <w:t>tos</w:t>
      </w:r>
      <w:r w:rsidRPr="006D5380">
        <w:rPr>
          <w:iCs/>
          <w:lang w:val="es-CL"/>
        </w:rPr>
        <w:t xml:space="preserve"> con respecto a las policías, por medio de la creación de una carrera específica e independiente con recursos humanos, financieros y estructurales para la realización de sus funciones, la Corte</w:t>
      </w:r>
      <w:r w:rsidRPr="006D5380">
        <w:rPr>
          <w:b/>
          <w:iCs/>
          <w:lang w:val="es-CL"/>
        </w:rPr>
        <w:t xml:space="preserve"> </w:t>
      </w:r>
      <w:r w:rsidRPr="006D5380">
        <w:rPr>
          <w:iCs/>
          <w:lang w:val="es-CL"/>
        </w:rPr>
        <w:t xml:space="preserve">toma nota que desde 2009, el artículo 2º de la Ley No. 12.030/2009 garantiza </w:t>
      </w:r>
      <w:r w:rsidRPr="006D5380">
        <w:t xml:space="preserve">autonomía técnica, </w:t>
      </w:r>
      <w:r w:rsidRPr="006D5380">
        <w:lastRenderedPageBreak/>
        <w:t xml:space="preserve">científica y funcional para los peritos criminales en Brasil. Además, la Corte observa la existencia de dos proyectos de ley en tramitación en el Congreso Nacional (499/2010 y 325/2009) con el objetivo de incluir dos incisos en el artículo 144 de la Constitución Federal, a fin de garantizar que la pericia criminal federal y las pericias criminales de los Estados y del Distrito Federal </w:t>
      </w:r>
      <w:r w:rsidR="009B214D">
        <w:t>se conviertan</w:t>
      </w:r>
      <w:r w:rsidR="009B214D" w:rsidRPr="006D5380">
        <w:t xml:space="preserve"> </w:t>
      </w:r>
      <w:r w:rsidRPr="006D5380">
        <w:t>en órganos independientes de seguridad pública en Brasil</w:t>
      </w:r>
      <w:r w:rsidRPr="006D5380">
        <w:rPr>
          <w:iCs/>
          <w:lang w:val="es-CL"/>
        </w:rPr>
        <w:t xml:space="preserve">. En el ámbito estadual, la Corte toma nota de las iniciativas del Estado de Goiás, que mediante la Ley No. 16.897/2010 determina que la carrera de perito criminal esté vinculada a la </w:t>
      </w:r>
      <w:r w:rsidRPr="006D5380">
        <w:t>Superintendencia de Policía Técnico-Científica de la Secretar</w:t>
      </w:r>
      <w:r w:rsidR="009B214D">
        <w:t>í</w:t>
      </w:r>
      <w:r w:rsidRPr="006D5380">
        <w:t xml:space="preserve">a de Seguridad Pública </w:t>
      </w:r>
      <w:r w:rsidRPr="006D5380">
        <w:rPr>
          <w:iCs/>
          <w:lang w:val="es-CL"/>
        </w:rPr>
        <w:t xml:space="preserve">y del Estado de São Paulo, que determina que el </w:t>
      </w:r>
      <w:r w:rsidRPr="006D5380">
        <w:rPr>
          <w:lang w:val="es-CL"/>
        </w:rPr>
        <w:t>Instituto de Criminalística y el Instituto Médico-Legal estén igualmente sometidos</w:t>
      </w:r>
      <w:r w:rsidRPr="006D5380">
        <w:rPr>
          <w:iCs/>
          <w:lang w:val="es-CL"/>
        </w:rPr>
        <w:t xml:space="preserve"> a la </w:t>
      </w:r>
      <w:r w:rsidRPr="006D5380">
        <w:t>Superintendencia</w:t>
      </w:r>
      <w:r w:rsidRPr="006D5380">
        <w:rPr>
          <w:lang w:val="es-CL"/>
        </w:rPr>
        <w:t xml:space="preserve"> de </w:t>
      </w:r>
      <w:r w:rsidRPr="006D5380">
        <w:t>Policía Técnico-Científica del Estado</w:t>
      </w:r>
      <w:r w:rsidRPr="006D5380">
        <w:rPr>
          <w:iCs/>
          <w:lang w:val="es-CL"/>
        </w:rPr>
        <w:t>.</w:t>
      </w:r>
      <w:r w:rsidRPr="006D5380">
        <w:rPr>
          <w:b/>
          <w:iCs/>
          <w:lang w:val="es-CL"/>
        </w:rPr>
        <w:t xml:space="preserve"> </w:t>
      </w:r>
      <w:r w:rsidRPr="006D5380">
        <w:rPr>
          <w:iCs/>
          <w:lang w:val="es-CL"/>
        </w:rPr>
        <w:t>Por lo anterior, la Corte no considera necesario ordenar la medida de reparación solicitada.</w:t>
      </w:r>
    </w:p>
    <w:p w14:paraId="68A5451F" w14:textId="77777777" w:rsidR="003C45F8" w:rsidRPr="006D5380" w:rsidRDefault="003C45F8" w:rsidP="003C45F8">
      <w:pPr>
        <w:rPr>
          <w:lang w:val="es-ES_tradnl"/>
        </w:rPr>
      </w:pPr>
    </w:p>
    <w:p w14:paraId="2759A8E5" w14:textId="1E95E848" w:rsidR="003C45F8" w:rsidRPr="006D5380" w:rsidRDefault="003C45F8" w:rsidP="003C45F8">
      <w:pPr>
        <w:numPr>
          <w:ilvl w:val="0"/>
          <w:numId w:val="1"/>
        </w:numPr>
        <w:rPr>
          <w:iCs/>
        </w:rPr>
      </w:pPr>
      <w:r w:rsidRPr="006D5380">
        <w:rPr>
          <w:iCs/>
          <w:lang w:val="es-CL"/>
        </w:rPr>
        <w:t xml:space="preserve">Sobre el pedido de los representantes para que se determine expresamente los casos de violencia policial como una hipótesis de traslado de competencia de la justicia estadual para la justicia federal, la Corte considera que la previsión del artículo 109, párrafo quinto de la Constitución garantiza el uso del mecanismo de Incidente de Traslado de Competencia en casos de graves violaciones de derechos humanos, lo que incluye posibles casos de violencia policial. Igualmente, la Corte nota el carácter excepcional de esa medida en el ordenamiento jurídico brasileño. Conforme </w:t>
      </w:r>
      <w:r w:rsidR="009B214D">
        <w:rPr>
          <w:iCs/>
          <w:lang w:val="es-CL"/>
        </w:rPr>
        <w:t xml:space="preserve">lo </w:t>
      </w:r>
      <w:r w:rsidRPr="006D5380">
        <w:rPr>
          <w:iCs/>
          <w:lang w:val="es-CL"/>
        </w:rPr>
        <w:t>decidido por el Superior Tribunal de Justicia (STJ) de Brasil, la federalización de casos depende de tres presupuestos: i) la existencia de grave violación a derechos humanos, ii) el riesgo de responsabilidad internacional del Estado por incumplimiento de obligaciones jurídicas asumidas en tratados internacionales, y iii) la incapacidad de autoridades locales en ofrecer respuestas efectivas. El referido STJ ya decidió que los homicidios dolosos practicados por un agente funcional de cualquier órgano público puede</w:t>
      </w:r>
      <w:r w:rsidR="00232B6F">
        <w:rPr>
          <w:iCs/>
          <w:lang w:val="es-CL"/>
        </w:rPr>
        <w:t>n</w:t>
      </w:r>
      <w:r w:rsidRPr="006D5380">
        <w:rPr>
          <w:iCs/>
          <w:lang w:val="es-CL"/>
        </w:rPr>
        <w:t xml:space="preserve"> ser considerado</w:t>
      </w:r>
      <w:r w:rsidR="00232B6F">
        <w:rPr>
          <w:iCs/>
          <w:lang w:val="es-CL"/>
        </w:rPr>
        <w:t>s</w:t>
      </w:r>
      <w:r w:rsidRPr="006D5380">
        <w:rPr>
          <w:iCs/>
          <w:lang w:val="es-CL"/>
        </w:rPr>
        <w:t xml:space="preserve"> una grave violación de derechos humanos y justificar el traslado de competencia, hipótesis que incluso generó el traslado de competencia de un caso de violaciones a los derechos humanos cometidas por policías militares (IDC No. 3). En razón de lo expuesto, </w:t>
      </w:r>
      <w:r w:rsidRPr="006D5380">
        <w:rPr>
          <w:lang w:val="es-ES"/>
        </w:rPr>
        <w:t xml:space="preserve">a partir de las conclusiones establecidas en la presente Sentencia respecto a las violaciones a los derechos a la protección judicial y a las garantías judiciales, el Estado, a través del Procurador General de la República del Ministerio Público Federal, debe evaluar si los hechos referentes a las redadas de 1994 y 1995 deben ser objeto de solicitud de </w:t>
      </w:r>
      <w:r w:rsidRPr="006D5380">
        <w:rPr>
          <w:i/>
          <w:lang w:val="es-ES"/>
        </w:rPr>
        <w:t xml:space="preserve">Incidente de </w:t>
      </w:r>
      <w:r w:rsidR="009B214D">
        <w:rPr>
          <w:i/>
          <w:lang w:val="es-ES"/>
        </w:rPr>
        <w:t>Traslado</w:t>
      </w:r>
      <w:r w:rsidR="009B214D" w:rsidRPr="006D5380">
        <w:rPr>
          <w:i/>
          <w:lang w:val="es-ES"/>
        </w:rPr>
        <w:t xml:space="preserve"> </w:t>
      </w:r>
      <w:r w:rsidRPr="006D5380">
        <w:rPr>
          <w:i/>
          <w:lang w:val="es-ES"/>
        </w:rPr>
        <w:t>de Competencia</w:t>
      </w:r>
      <w:r w:rsidRPr="006D5380">
        <w:rPr>
          <w:lang w:val="es-ES"/>
        </w:rPr>
        <w:t xml:space="preserve">. </w:t>
      </w:r>
    </w:p>
    <w:p w14:paraId="35B1204D" w14:textId="77777777" w:rsidR="003C45F8" w:rsidRPr="006D5380" w:rsidRDefault="003C45F8" w:rsidP="003C45F8">
      <w:pPr>
        <w:rPr>
          <w:iCs/>
          <w:lang w:val="es-CL"/>
        </w:rPr>
      </w:pPr>
    </w:p>
    <w:p w14:paraId="6730EBE8" w14:textId="77FCDEA8" w:rsidR="003C45F8" w:rsidRPr="006D5380" w:rsidRDefault="003C45F8" w:rsidP="003C45F8">
      <w:pPr>
        <w:numPr>
          <w:ilvl w:val="0"/>
          <w:numId w:val="1"/>
        </w:numPr>
        <w:rPr>
          <w:iCs/>
          <w:lang w:val="es-CL"/>
        </w:rPr>
      </w:pPr>
      <w:r w:rsidRPr="006D5380">
        <w:rPr>
          <w:iCs/>
          <w:lang w:val="es-CL"/>
        </w:rPr>
        <w:t xml:space="preserve">En cuanto al cambio legislativo a fin de incluir entre las hipótesis de producción anticipada de prueba la situación de testigos de violencia perpetrada por agentes policiales o la determinación, por parte de la autoridad judicial, de la presunción de riesgo concreto que propicie la producción de prueba anticipada en casos de violencia policial, la Corte considera que la producción anticipada de prueba, cuando </w:t>
      </w:r>
      <w:r w:rsidR="00232B6F">
        <w:rPr>
          <w:iCs/>
          <w:lang w:val="es-CL"/>
        </w:rPr>
        <w:t xml:space="preserve">se ha </w:t>
      </w:r>
      <w:r w:rsidRPr="006D5380">
        <w:rPr>
          <w:iCs/>
          <w:lang w:val="es-CL"/>
        </w:rPr>
        <w:t>demostrad</w:t>
      </w:r>
      <w:r w:rsidR="00232B6F">
        <w:rPr>
          <w:iCs/>
          <w:lang w:val="es-CL"/>
        </w:rPr>
        <w:t>o</w:t>
      </w:r>
      <w:r w:rsidRPr="006D5380">
        <w:rPr>
          <w:iCs/>
          <w:lang w:val="es-CL"/>
        </w:rPr>
        <w:t xml:space="preserve"> su urgencia y relevancia ya está prevista en el artículo 156, I del Código de Proceso Penal. Consecuentemente, la Corte no considera necesario ordenar esa medida de reparación. </w:t>
      </w:r>
    </w:p>
    <w:p w14:paraId="5AD71D7D" w14:textId="77777777" w:rsidR="003C45F8" w:rsidRPr="006D5380" w:rsidRDefault="003C45F8" w:rsidP="003C45F8"/>
    <w:p w14:paraId="09932812" w14:textId="4D3B30A7" w:rsidR="003C45F8" w:rsidRPr="006D5380" w:rsidRDefault="003C45F8" w:rsidP="003C45F8">
      <w:pPr>
        <w:numPr>
          <w:ilvl w:val="0"/>
          <w:numId w:val="1"/>
        </w:numPr>
      </w:pPr>
      <w:r w:rsidRPr="006D5380">
        <w:t>En lo que se refiere a la atribución a la Comisaría de Homicidios (</w:t>
      </w:r>
      <w:proofErr w:type="spellStart"/>
      <w:r w:rsidRPr="006D5380">
        <w:rPr>
          <w:i/>
        </w:rPr>
        <w:t>Delegacia</w:t>
      </w:r>
      <w:proofErr w:type="spellEnd"/>
      <w:r w:rsidRPr="006D5380">
        <w:rPr>
          <w:i/>
        </w:rPr>
        <w:t xml:space="preserve"> de Homicidios</w:t>
      </w:r>
      <w:r w:rsidRPr="006D5380">
        <w:t xml:space="preserve">) la investigación de casos derivados de intervención policial, </w:t>
      </w:r>
      <w:r w:rsidR="00232B6F">
        <w:t xml:space="preserve">sin perjuicio de lo ordenado en el párrafo 320 de la Sentencia, </w:t>
      </w:r>
      <w:r w:rsidRPr="006D5380">
        <w:t>la Corte</w:t>
      </w:r>
      <w:r w:rsidRPr="006D5380">
        <w:rPr>
          <w:b/>
        </w:rPr>
        <w:t xml:space="preserve"> </w:t>
      </w:r>
      <w:r w:rsidRPr="006D5380">
        <w:t xml:space="preserve">considera que el Estado ya atendió ese pedido. </w:t>
      </w:r>
    </w:p>
    <w:p w14:paraId="6D74DDFA" w14:textId="77777777" w:rsidR="003C45F8" w:rsidRPr="006D5380" w:rsidRDefault="003C45F8" w:rsidP="003C45F8"/>
    <w:p w14:paraId="3774BCCD" w14:textId="77777777" w:rsidR="003C45F8" w:rsidRPr="006D5380" w:rsidRDefault="003C45F8" w:rsidP="003C45F8">
      <w:pPr>
        <w:numPr>
          <w:ilvl w:val="0"/>
          <w:numId w:val="1"/>
        </w:numPr>
      </w:pPr>
      <w:r w:rsidRPr="006D5380">
        <w:t>Sobre las solicitudes de ordenar la prioridad en el examen pericial de armas aprendidas en casos de violencia policial y la vinculación de índices de letalidad a metas o indicadores del sistema de seguridad pública, la Corte considera que ya fueron atendidas mediante otras medidas ordenadas en la presente Sentencia</w:t>
      </w:r>
      <w:r w:rsidRPr="006D5380">
        <w:rPr>
          <w:iCs/>
          <w:lang w:val="es-CL"/>
        </w:rPr>
        <w:t xml:space="preserve">. </w:t>
      </w:r>
    </w:p>
    <w:p w14:paraId="20AAC48B" w14:textId="77777777" w:rsidR="00605737" w:rsidRPr="003C45F8" w:rsidRDefault="00605737" w:rsidP="00605737">
      <w:pPr>
        <w:rPr>
          <w:iCs/>
        </w:rPr>
      </w:pPr>
    </w:p>
    <w:p w14:paraId="5242DBD1" w14:textId="7BCA2344" w:rsidR="00C63796" w:rsidRPr="00C63796" w:rsidRDefault="009E1F63" w:rsidP="00123780">
      <w:pPr>
        <w:pStyle w:val="TOC2"/>
      </w:pPr>
      <w:bookmarkStart w:id="471" w:name="_Toc469404540"/>
      <w:bookmarkStart w:id="472" w:name="_Toc472608983"/>
      <w:r>
        <w:t xml:space="preserve">F. </w:t>
      </w:r>
      <w:r>
        <w:tab/>
      </w:r>
      <w:r w:rsidR="00605737" w:rsidRPr="00FC0F3D">
        <w:t>Indemnización compensatoria</w:t>
      </w:r>
      <w:bookmarkEnd w:id="471"/>
      <w:bookmarkEnd w:id="472"/>
    </w:p>
    <w:p w14:paraId="69F7BA2A" w14:textId="77777777" w:rsidR="00605737" w:rsidRPr="00FC0F3D" w:rsidRDefault="00605737" w:rsidP="00605737">
      <w:pPr>
        <w:rPr>
          <w:i/>
          <w:iCs/>
          <w:lang w:val="es-ES_tradnl"/>
        </w:rPr>
      </w:pPr>
    </w:p>
    <w:p w14:paraId="5FADC3E8" w14:textId="31D91218" w:rsidR="00605737" w:rsidRPr="00FC0F3D" w:rsidRDefault="00C63796" w:rsidP="00123780">
      <w:pPr>
        <w:pStyle w:val="TOC2"/>
      </w:pPr>
      <w:bookmarkStart w:id="473" w:name="_Toc460433071"/>
      <w:bookmarkStart w:id="474" w:name="_Toc460442002"/>
      <w:bookmarkStart w:id="475" w:name="_Toc462751144"/>
      <w:bookmarkStart w:id="476" w:name="_Toc469404541"/>
      <w:bookmarkStart w:id="477" w:name="_Toc472608984"/>
      <w:r>
        <w:t>F</w:t>
      </w:r>
      <w:r w:rsidR="00E773AE">
        <w:t>.1.   Daño</w:t>
      </w:r>
      <w:r w:rsidR="003C45F8">
        <w:t xml:space="preserve"> </w:t>
      </w:r>
      <w:r w:rsidR="00605737" w:rsidRPr="00FC0F3D">
        <w:t>material</w:t>
      </w:r>
      <w:bookmarkEnd w:id="473"/>
      <w:bookmarkEnd w:id="474"/>
      <w:bookmarkEnd w:id="475"/>
      <w:bookmarkEnd w:id="476"/>
      <w:bookmarkEnd w:id="477"/>
    </w:p>
    <w:p w14:paraId="284195A4" w14:textId="77777777" w:rsidR="00605737" w:rsidRPr="00FC0F3D" w:rsidRDefault="00605737" w:rsidP="00605737">
      <w:pPr>
        <w:rPr>
          <w:lang w:val="es-MX"/>
        </w:rPr>
      </w:pPr>
    </w:p>
    <w:p w14:paraId="3FE96A4C" w14:textId="57C3843D" w:rsidR="00605737" w:rsidRPr="003C45F8" w:rsidRDefault="003C45F8" w:rsidP="003C45F8">
      <w:pPr>
        <w:numPr>
          <w:ilvl w:val="0"/>
          <w:numId w:val="1"/>
        </w:numPr>
        <w:rPr>
          <w:lang w:val="es-EC"/>
        </w:rPr>
      </w:pPr>
      <w:r w:rsidRPr="00FC0F3D">
        <w:rPr>
          <w:lang w:val="es-EC"/>
        </w:rPr>
        <w:t xml:space="preserve">En sus alegatos finales escritos los representantes solicitaron el pago de “daño patrimonial”, lo que incluye daño material y daño emergente en equidad, por no </w:t>
      </w:r>
      <w:r w:rsidR="00A6687D">
        <w:rPr>
          <w:lang w:val="es-EC"/>
        </w:rPr>
        <w:t xml:space="preserve">conservar </w:t>
      </w:r>
      <w:r w:rsidRPr="00FC0F3D">
        <w:rPr>
          <w:lang w:val="es-EC"/>
        </w:rPr>
        <w:t>registros de los respectivos gastos. Al respecto, la Corte recuerda que el momento procesal oportuno para la solicitud de medidas de reparación es el escrito de solicitudes, alegatos y pruebas. Como los representantes no realizaron ninguna solicitud de indemnización por daño material en el referido escrito, la solicitud presentada en sus alegatos finales escritos es extemporánea.</w:t>
      </w:r>
      <w:r w:rsidR="00605737" w:rsidRPr="003C45F8">
        <w:rPr>
          <w:iCs/>
          <w:lang w:val="es-ES_tradnl"/>
        </w:rPr>
        <w:t xml:space="preserve"> </w:t>
      </w:r>
    </w:p>
    <w:p w14:paraId="789FCB6F" w14:textId="77777777" w:rsidR="00605737" w:rsidRPr="00FC0F3D" w:rsidRDefault="00605737" w:rsidP="00605737"/>
    <w:p w14:paraId="254C5BC2" w14:textId="0D3F272F" w:rsidR="00605737" w:rsidRPr="00FC0F3D" w:rsidRDefault="0052127E" w:rsidP="00123780">
      <w:pPr>
        <w:pStyle w:val="TOC2"/>
      </w:pPr>
      <w:bookmarkStart w:id="478" w:name="_Toc469404542"/>
      <w:bookmarkStart w:id="479" w:name="_Toc472608985"/>
      <w:r>
        <w:t>F.2.   Daño</w:t>
      </w:r>
      <w:r w:rsidR="00605737" w:rsidRPr="00FC0F3D">
        <w:t xml:space="preserve"> </w:t>
      </w:r>
      <w:r w:rsidR="003C45F8">
        <w:t>in</w:t>
      </w:r>
      <w:r w:rsidR="00605737" w:rsidRPr="00FC0F3D">
        <w:t>material</w:t>
      </w:r>
      <w:bookmarkEnd w:id="478"/>
      <w:bookmarkEnd w:id="479"/>
      <w:r w:rsidR="00605737" w:rsidRPr="00FC0F3D">
        <w:t xml:space="preserve"> </w:t>
      </w:r>
    </w:p>
    <w:p w14:paraId="7D68F3D2" w14:textId="77777777" w:rsidR="00605737" w:rsidRPr="00FC0F3D" w:rsidRDefault="00605737" w:rsidP="00605737">
      <w:pPr>
        <w:rPr>
          <w:lang w:val="es-EC"/>
        </w:rPr>
      </w:pPr>
    </w:p>
    <w:p w14:paraId="2D3914EC" w14:textId="26F07A8D" w:rsidR="003C45F8" w:rsidRPr="00FC0F3D" w:rsidRDefault="003C45F8" w:rsidP="003C45F8">
      <w:pPr>
        <w:numPr>
          <w:ilvl w:val="0"/>
          <w:numId w:val="1"/>
        </w:numPr>
      </w:pPr>
      <w:r w:rsidRPr="00FC0F3D">
        <w:rPr>
          <w:iCs/>
          <w:lang w:val="es-ES_tradnl"/>
        </w:rPr>
        <w:t xml:space="preserve">La </w:t>
      </w:r>
      <w:r w:rsidRPr="00FC0F3D">
        <w:rPr>
          <w:b/>
          <w:i/>
          <w:iCs/>
          <w:lang w:val="es-ES_tradnl"/>
        </w:rPr>
        <w:t>Comisión</w:t>
      </w:r>
      <w:r w:rsidRPr="00FC0F3D">
        <w:rPr>
          <w:iCs/>
          <w:lang w:val="es-ES_tradnl"/>
        </w:rPr>
        <w:t xml:space="preserve"> solicitó que se adopten </w:t>
      </w:r>
      <w:r w:rsidRPr="00FC0F3D">
        <w:t>todas las medidas necesarias para garantizar una compensación adecuada y completa tanto por los daños morales como por los daños materiales generados por las violaciones perpetradas en el presente caso, a favor de los familiares de las 26 víctimas que murieron en las redas policiales así como a favor de  L.R.J., C.S.S., J.F.C.</w:t>
      </w:r>
    </w:p>
    <w:p w14:paraId="01E47E46" w14:textId="77777777" w:rsidR="003C45F8" w:rsidRPr="00FC0F3D" w:rsidRDefault="003C45F8" w:rsidP="003C45F8"/>
    <w:p w14:paraId="35CD036B" w14:textId="244ED334" w:rsidR="003C45F8" w:rsidRPr="00FC0F3D" w:rsidRDefault="003C45F8" w:rsidP="003C45F8">
      <w:pPr>
        <w:numPr>
          <w:ilvl w:val="0"/>
          <w:numId w:val="1"/>
        </w:numPr>
      </w:pPr>
      <w:r w:rsidRPr="00FC0F3D">
        <w:rPr>
          <w:iCs/>
          <w:lang w:val="es-CL"/>
        </w:rPr>
        <w:t>Los</w:t>
      </w:r>
      <w:r w:rsidRPr="00FC0F3D">
        <w:rPr>
          <w:b/>
          <w:i/>
          <w:iCs/>
          <w:lang w:val="es-CL"/>
        </w:rPr>
        <w:t xml:space="preserve"> representantes</w:t>
      </w:r>
      <w:r w:rsidRPr="00FC0F3D">
        <w:rPr>
          <w:iCs/>
          <w:lang w:val="es-CL"/>
        </w:rPr>
        <w:t xml:space="preserve"> solicitaron la indemnización de los daños sufridos por las personas identificadas como víctimas. En cuanto al daño inmaterial solicitaron US$ 35.000 para cada víctima de las redadas policiales de 1994 y 1995 en la Favela Nova Brasilia  y US$ 50.000 a cada una de las tres víctimas de violencia sexual de la redada policial de 1994</w:t>
      </w:r>
      <w:r w:rsidRPr="000118FE">
        <w:rPr>
          <w:iCs/>
          <w:lang w:val="es-CL"/>
        </w:rPr>
        <w:t>.</w:t>
      </w:r>
    </w:p>
    <w:p w14:paraId="1508FE5C" w14:textId="77777777" w:rsidR="003C45F8" w:rsidRPr="000118FE" w:rsidRDefault="003C45F8" w:rsidP="000118FE">
      <w:pPr>
        <w:pStyle w:val="CommentText"/>
        <w:rPr>
          <w:iCs/>
          <w:szCs w:val="22"/>
          <w:lang w:val="es-CL"/>
        </w:rPr>
      </w:pPr>
    </w:p>
    <w:p w14:paraId="1512DBC7" w14:textId="1E558887" w:rsidR="003C45F8" w:rsidRPr="00FC0F3D" w:rsidRDefault="003C45F8" w:rsidP="003C45F8">
      <w:pPr>
        <w:numPr>
          <w:ilvl w:val="0"/>
          <w:numId w:val="1"/>
        </w:numPr>
      </w:pPr>
      <w:r w:rsidRPr="00FC0F3D">
        <w:rPr>
          <w:iCs/>
          <w:lang w:val="es-CL"/>
        </w:rPr>
        <w:t xml:space="preserve">El </w:t>
      </w:r>
      <w:r w:rsidRPr="00FC0F3D">
        <w:rPr>
          <w:b/>
          <w:i/>
          <w:iCs/>
          <w:lang w:val="es-CL"/>
        </w:rPr>
        <w:t>Estado</w:t>
      </w:r>
      <w:r w:rsidRPr="00FC0F3D">
        <w:rPr>
          <w:iCs/>
          <w:lang w:val="es-CL"/>
        </w:rPr>
        <w:t xml:space="preserve"> alegó que la indemnización por daño moral a las víctimas y sus familiares es indebida, una vez que el pronunciamiento de la sentencia ya sería suficiente como satisfacción de da</w:t>
      </w:r>
      <w:r w:rsidR="00232B6F">
        <w:rPr>
          <w:iCs/>
          <w:lang w:val="es-CL"/>
        </w:rPr>
        <w:t>ñ</w:t>
      </w:r>
      <w:r w:rsidRPr="00FC0F3D">
        <w:rPr>
          <w:iCs/>
          <w:lang w:val="es-CL"/>
        </w:rPr>
        <w:t xml:space="preserve">os morales. Destacó también que los representantes de las víctimas no demostraron relación afectiva y de dependencia económica entre los hermanos de las víctimas directas y las propias víctimas, y que por consiguiente ellos no pueden ser considerados como terceros perjudicados. </w:t>
      </w:r>
    </w:p>
    <w:p w14:paraId="0F86184B" w14:textId="77777777" w:rsidR="003C45F8" w:rsidRPr="00FC0F3D" w:rsidRDefault="003C45F8" w:rsidP="003C45F8">
      <w:pPr>
        <w:rPr>
          <w:iCs/>
          <w:lang w:val="es-ES_tradnl"/>
        </w:rPr>
      </w:pPr>
    </w:p>
    <w:p w14:paraId="2E3B2039" w14:textId="77777777" w:rsidR="003C45F8" w:rsidRDefault="003C45F8" w:rsidP="003C45F8">
      <w:pPr>
        <w:numPr>
          <w:ilvl w:val="0"/>
          <w:numId w:val="1"/>
        </w:numPr>
      </w:pPr>
      <w:r w:rsidRPr="00FC0F3D">
        <w:rPr>
          <w:iCs/>
          <w:lang w:val="es-ES_tradnl"/>
        </w:rPr>
        <w:t>La Corte ha desarrollado en su jurisprudencia el concepto de daño inmaterial y ha establecido que este “puede comprender tanto los sufrimientos y las aflicciones causados por la violación como el menoscabo de valores muy significativos para las personas y cualquier alteración, de carácter no pecuniario, en las condiciones de existencia de las víctimas”</w:t>
      </w:r>
      <w:r w:rsidRPr="00FC0F3D">
        <w:rPr>
          <w:vertAlign w:val="superscript"/>
          <w:lang w:val="es-ES_tradnl"/>
        </w:rPr>
        <w:footnoteReference w:id="340"/>
      </w:r>
      <w:r w:rsidRPr="00FC0F3D">
        <w:rPr>
          <w:iCs/>
          <w:lang w:val="es-ES_tradnl"/>
        </w:rPr>
        <w:t>. Dado que no es posible asignar al daño inmaterial un equivalente monetario preciso, solo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FC0F3D">
        <w:rPr>
          <w:vertAlign w:val="superscript"/>
          <w:lang w:val="es-ES_tradnl"/>
        </w:rPr>
        <w:footnoteReference w:id="341"/>
      </w:r>
      <w:r w:rsidRPr="00FC0F3D">
        <w:rPr>
          <w:iCs/>
          <w:lang w:val="es-ES_tradnl"/>
        </w:rPr>
        <w:t>.</w:t>
      </w:r>
    </w:p>
    <w:p w14:paraId="3BB8021E" w14:textId="77777777" w:rsidR="003C45F8" w:rsidRDefault="003C45F8" w:rsidP="003C45F8">
      <w:pPr>
        <w:pStyle w:val="ListParagraph"/>
        <w:rPr>
          <w:iCs/>
          <w:lang w:val="es-ES_tradnl"/>
        </w:rPr>
      </w:pPr>
    </w:p>
    <w:p w14:paraId="51BA4F8E" w14:textId="6ED5D2F4" w:rsidR="00605737" w:rsidRPr="003C45F8" w:rsidRDefault="003C45F8" w:rsidP="003C45F8">
      <w:pPr>
        <w:numPr>
          <w:ilvl w:val="0"/>
          <w:numId w:val="1"/>
        </w:numPr>
      </w:pPr>
      <w:r w:rsidRPr="003C45F8">
        <w:rPr>
          <w:iCs/>
          <w:lang w:val="es-ES_tradnl"/>
        </w:rPr>
        <w:t>En el capítulo VII se declaró la responsabilidad internacional del Estado por las violaciones a los derechos establecidos en los artículos 5, 8 y 25 de la Convención Americana, en relación con los artículos 1.1 y 2 del mismo instrumento (</w:t>
      </w:r>
      <w:r w:rsidRPr="003C45F8">
        <w:rPr>
          <w:i/>
          <w:iCs/>
          <w:lang w:val="es-ES_tradnl"/>
        </w:rPr>
        <w:t xml:space="preserve">supra </w:t>
      </w:r>
      <w:proofErr w:type="spellStart"/>
      <w:r w:rsidRPr="003C45F8">
        <w:rPr>
          <w:iCs/>
          <w:lang w:val="es-ES_tradnl"/>
        </w:rPr>
        <w:t>párr</w:t>
      </w:r>
      <w:r w:rsidR="00232B6F">
        <w:rPr>
          <w:iCs/>
          <w:lang w:val="es-ES_tradnl"/>
        </w:rPr>
        <w:t>s</w:t>
      </w:r>
      <w:proofErr w:type="spellEnd"/>
      <w:r w:rsidRPr="003C45F8">
        <w:rPr>
          <w:iCs/>
          <w:lang w:val="es-ES_tradnl"/>
        </w:rPr>
        <w:t xml:space="preserve">. </w:t>
      </w:r>
      <w:r w:rsidR="00232B6F">
        <w:rPr>
          <w:iCs/>
          <w:lang w:val="es-ES_tradnl"/>
        </w:rPr>
        <w:t>22</w:t>
      </w:r>
      <w:r w:rsidR="00CC36D9">
        <w:rPr>
          <w:iCs/>
          <w:lang w:val="es-ES_tradnl"/>
        </w:rPr>
        <w:t>4</w:t>
      </w:r>
      <w:r w:rsidR="00232B6F">
        <w:rPr>
          <w:iCs/>
          <w:lang w:val="es-ES_tradnl"/>
        </w:rPr>
        <w:t>, 23</w:t>
      </w:r>
      <w:r w:rsidR="00CC36D9">
        <w:rPr>
          <w:iCs/>
          <w:lang w:val="es-ES_tradnl"/>
        </w:rPr>
        <w:t>1</w:t>
      </w:r>
      <w:r w:rsidR="00232B6F">
        <w:rPr>
          <w:iCs/>
          <w:lang w:val="es-ES_tradnl"/>
        </w:rPr>
        <w:t>, 2</w:t>
      </w:r>
      <w:r w:rsidR="00CC36D9">
        <w:rPr>
          <w:iCs/>
          <w:lang w:val="es-ES_tradnl"/>
        </w:rPr>
        <w:t>39</w:t>
      </w:r>
      <w:r w:rsidR="00232B6F">
        <w:rPr>
          <w:iCs/>
          <w:lang w:val="es-ES_tradnl"/>
        </w:rPr>
        <w:t>, 24</w:t>
      </w:r>
      <w:r w:rsidR="00CC36D9">
        <w:rPr>
          <w:iCs/>
          <w:lang w:val="es-ES_tradnl"/>
        </w:rPr>
        <w:t>2</w:t>
      </w:r>
      <w:r w:rsidR="00232B6F">
        <w:rPr>
          <w:iCs/>
          <w:lang w:val="es-ES_tradnl"/>
        </w:rPr>
        <w:t xml:space="preserve"> y 27</w:t>
      </w:r>
      <w:r w:rsidR="00CC36D9">
        <w:rPr>
          <w:iCs/>
          <w:lang w:val="es-ES_tradnl"/>
        </w:rPr>
        <w:t>4</w:t>
      </w:r>
      <w:r w:rsidRPr="003C45F8">
        <w:rPr>
          <w:iCs/>
          <w:lang w:val="es-ES_tradnl"/>
        </w:rPr>
        <w:t>) y, en relación con L.R.J., C.S.S. y J.F.C. también en relación con los artículos 1, 6 y 8 de la CIPST y 7 de la Convención de Belém do Pará (</w:t>
      </w:r>
      <w:r w:rsidRPr="003C45F8">
        <w:rPr>
          <w:i/>
          <w:iCs/>
          <w:lang w:val="es-ES_tradnl"/>
        </w:rPr>
        <w:t xml:space="preserve">supra </w:t>
      </w:r>
      <w:proofErr w:type="spellStart"/>
      <w:r w:rsidRPr="003C45F8">
        <w:rPr>
          <w:iCs/>
          <w:lang w:val="es-ES_tradnl"/>
        </w:rPr>
        <w:t>párr</w:t>
      </w:r>
      <w:r w:rsidR="00232B6F">
        <w:rPr>
          <w:iCs/>
          <w:lang w:val="es-ES_tradnl"/>
        </w:rPr>
        <w:t>s</w:t>
      </w:r>
      <w:proofErr w:type="spellEnd"/>
      <w:r w:rsidRPr="003C45F8">
        <w:rPr>
          <w:iCs/>
          <w:lang w:val="es-ES_tradnl"/>
        </w:rPr>
        <w:t xml:space="preserve">. </w:t>
      </w:r>
      <w:r w:rsidR="00232B6F">
        <w:rPr>
          <w:iCs/>
          <w:lang w:val="es-ES_tradnl"/>
        </w:rPr>
        <w:t>25</w:t>
      </w:r>
      <w:r w:rsidR="00CC36D9">
        <w:rPr>
          <w:iCs/>
          <w:lang w:val="es-ES_tradnl"/>
        </w:rPr>
        <w:t>8</w:t>
      </w:r>
      <w:r w:rsidR="00232B6F">
        <w:rPr>
          <w:iCs/>
          <w:lang w:val="es-ES_tradnl"/>
        </w:rPr>
        <w:t xml:space="preserve"> y 2</w:t>
      </w:r>
      <w:r w:rsidR="00B43B79">
        <w:rPr>
          <w:iCs/>
          <w:lang w:val="es-ES_tradnl"/>
        </w:rPr>
        <w:t>59</w:t>
      </w:r>
      <w:r w:rsidRPr="003C45F8">
        <w:rPr>
          <w:iCs/>
          <w:lang w:val="es-ES_tradnl"/>
        </w:rPr>
        <w:t xml:space="preserve">). En consideración de lo expuesto y a las diferentes violaciones determinadas en la presente Sentencia, este Tribunal fija en equidad la suma de US$ 35,000.00 (treinta y cinco </w:t>
      </w:r>
      <w:r w:rsidRPr="003C45F8">
        <w:rPr>
          <w:iCs/>
          <w:lang w:val="es-ES_tradnl"/>
        </w:rPr>
        <w:lastRenderedPageBreak/>
        <w:t>mil dólares de los Estados Unidos de América)</w:t>
      </w:r>
      <w:r w:rsidR="006D5380">
        <w:rPr>
          <w:iCs/>
          <w:lang w:val="es-ES_tradnl"/>
        </w:rPr>
        <w:t>, una única vez,</w:t>
      </w:r>
      <w:r w:rsidRPr="003C45F8">
        <w:rPr>
          <w:iCs/>
          <w:lang w:val="es-ES_tradnl"/>
        </w:rPr>
        <w:t xml:space="preserve"> para cada una de las  </w:t>
      </w:r>
      <w:r w:rsidRPr="003C45F8">
        <w:rPr>
          <w:iCs/>
          <w:lang w:val="es-ES"/>
        </w:rPr>
        <w:t xml:space="preserve">víctimas de violaciones a los derechos a las garantías judiciales, a la protección judicial y a la integridad personal reconocidos en los párrafos </w:t>
      </w:r>
      <w:r w:rsidR="00232B6F">
        <w:rPr>
          <w:iCs/>
          <w:lang w:val="es-ES_tradnl"/>
        </w:rPr>
        <w:t>22</w:t>
      </w:r>
      <w:r w:rsidR="00B43B79">
        <w:rPr>
          <w:iCs/>
          <w:lang w:val="es-ES_tradnl"/>
        </w:rPr>
        <w:t>4</w:t>
      </w:r>
      <w:r w:rsidR="00232B6F">
        <w:rPr>
          <w:iCs/>
          <w:lang w:val="es-ES_tradnl"/>
        </w:rPr>
        <w:t>, 23</w:t>
      </w:r>
      <w:r w:rsidR="00B43B79">
        <w:rPr>
          <w:iCs/>
          <w:lang w:val="es-ES_tradnl"/>
        </w:rPr>
        <w:t>1</w:t>
      </w:r>
      <w:r w:rsidR="00232B6F">
        <w:rPr>
          <w:iCs/>
          <w:lang w:val="es-ES_tradnl"/>
        </w:rPr>
        <w:t>, 2</w:t>
      </w:r>
      <w:r w:rsidR="00B43B79">
        <w:rPr>
          <w:iCs/>
          <w:lang w:val="es-ES_tradnl"/>
        </w:rPr>
        <w:t>39</w:t>
      </w:r>
      <w:r w:rsidR="00232B6F">
        <w:rPr>
          <w:iCs/>
          <w:lang w:val="es-ES_tradnl"/>
        </w:rPr>
        <w:t>, 24</w:t>
      </w:r>
      <w:r w:rsidR="00B43B79">
        <w:rPr>
          <w:iCs/>
          <w:lang w:val="es-ES_tradnl"/>
        </w:rPr>
        <w:t>2</w:t>
      </w:r>
      <w:r w:rsidR="00232B6F">
        <w:rPr>
          <w:iCs/>
          <w:lang w:val="es-ES_tradnl"/>
        </w:rPr>
        <w:t>, 25</w:t>
      </w:r>
      <w:r w:rsidR="00B43B79">
        <w:rPr>
          <w:iCs/>
          <w:lang w:val="es-ES_tradnl"/>
        </w:rPr>
        <w:t>8</w:t>
      </w:r>
      <w:r w:rsidR="00232B6F">
        <w:rPr>
          <w:iCs/>
          <w:lang w:val="es-ES_tradnl"/>
        </w:rPr>
        <w:t>, 2</w:t>
      </w:r>
      <w:r w:rsidR="00B43B79">
        <w:rPr>
          <w:iCs/>
          <w:lang w:val="es-ES_tradnl"/>
        </w:rPr>
        <w:t>59</w:t>
      </w:r>
      <w:r w:rsidR="00232B6F">
        <w:rPr>
          <w:iCs/>
          <w:lang w:val="es-ES_tradnl"/>
        </w:rPr>
        <w:t xml:space="preserve"> y 27</w:t>
      </w:r>
      <w:r w:rsidR="00CC36D9">
        <w:rPr>
          <w:iCs/>
          <w:lang w:val="es-ES_tradnl"/>
        </w:rPr>
        <w:t xml:space="preserve">4 </w:t>
      </w:r>
      <w:r w:rsidRPr="003C45F8">
        <w:rPr>
          <w:iCs/>
          <w:lang w:val="es-ES"/>
        </w:rPr>
        <w:t xml:space="preserve">de la presente Sentencia y la suma adicional de US$ 15,000.00 (quince dólares de los Estados Unidos de América) para </w:t>
      </w:r>
      <w:r w:rsidRPr="003C45F8">
        <w:rPr>
          <w:iCs/>
          <w:lang w:val="es-ES_tradnl"/>
        </w:rPr>
        <w:t>L.R.J., C.S.S. y J.F.C.</w:t>
      </w:r>
      <w:r w:rsidR="00232B6F">
        <w:rPr>
          <w:iCs/>
          <w:lang w:val="es-ES_tradnl"/>
        </w:rPr>
        <w:t xml:space="preserve"> individualmente.</w:t>
      </w:r>
    </w:p>
    <w:p w14:paraId="0184AE8D" w14:textId="77777777" w:rsidR="003C45F8" w:rsidRPr="00FC0F3D" w:rsidRDefault="003C45F8" w:rsidP="00605737">
      <w:pPr>
        <w:rPr>
          <w:lang w:val="es-EC"/>
        </w:rPr>
      </w:pPr>
    </w:p>
    <w:p w14:paraId="738AD7A5" w14:textId="01A9AE6A" w:rsidR="002F51EC" w:rsidRPr="002F51EC" w:rsidRDefault="009E1F63" w:rsidP="009E1F63">
      <w:pPr>
        <w:pStyle w:val="TOC2"/>
      </w:pPr>
      <w:bookmarkStart w:id="480" w:name="_Toc469404543"/>
      <w:bookmarkStart w:id="481" w:name="_Toc462751145"/>
      <w:bookmarkStart w:id="482" w:name="_Toc472608986"/>
      <w:r>
        <w:t xml:space="preserve">G. </w:t>
      </w:r>
      <w:r>
        <w:tab/>
      </w:r>
      <w:r w:rsidR="00605737" w:rsidRPr="00FC0F3D">
        <w:t>Costas y gastos</w:t>
      </w:r>
      <w:bookmarkStart w:id="483" w:name="_Toc426108490"/>
      <w:bookmarkStart w:id="484" w:name="_Toc430339043"/>
      <w:bookmarkStart w:id="485" w:name="_Toc451267379"/>
      <w:bookmarkEnd w:id="480"/>
      <w:bookmarkEnd w:id="481"/>
      <w:bookmarkEnd w:id="482"/>
    </w:p>
    <w:p w14:paraId="307FC5B6" w14:textId="0F9E695E" w:rsidR="00605737" w:rsidRPr="00FC0F3D" w:rsidRDefault="00605737" w:rsidP="00605737">
      <w:pPr>
        <w:rPr>
          <w:iCs/>
          <w:lang w:val="es-CL"/>
        </w:rPr>
      </w:pPr>
    </w:p>
    <w:p w14:paraId="30D098D5" w14:textId="77777777" w:rsidR="00605737" w:rsidRPr="00FC0F3D" w:rsidRDefault="00605737" w:rsidP="00605737">
      <w:pPr>
        <w:numPr>
          <w:ilvl w:val="0"/>
          <w:numId w:val="1"/>
        </w:numPr>
        <w:rPr>
          <w:iCs/>
          <w:lang w:val="es-CL"/>
        </w:rPr>
      </w:pPr>
      <w:r w:rsidRPr="00FC0F3D">
        <w:rPr>
          <w:iCs/>
          <w:lang w:val="es-CL"/>
        </w:rPr>
        <w:t xml:space="preserve">Los </w:t>
      </w:r>
      <w:r w:rsidRPr="00FC0F3D">
        <w:rPr>
          <w:b/>
          <w:bCs/>
          <w:i/>
          <w:iCs/>
          <w:lang w:val="es-CL"/>
        </w:rPr>
        <w:t xml:space="preserve">representantes </w:t>
      </w:r>
      <w:r w:rsidRPr="00FC0F3D">
        <w:rPr>
          <w:iCs/>
          <w:lang w:val="es-CL"/>
        </w:rPr>
        <w:t>solicitaron el pago por los gastos incurridos en la tramitación del presente proceso, desde la presentación de la petición ante la Comisión hasta las diligencias llevadas a cabo ante la Corte.</w:t>
      </w:r>
    </w:p>
    <w:p w14:paraId="4D83E251" w14:textId="77777777" w:rsidR="00605737" w:rsidRPr="00FC0F3D" w:rsidRDefault="00605737" w:rsidP="00605737">
      <w:pPr>
        <w:rPr>
          <w:iCs/>
          <w:lang w:val="es-CL"/>
        </w:rPr>
      </w:pPr>
    </w:p>
    <w:p w14:paraId="578E2D71" w14:textId="4A95DFFC" w:rsidR="00605737" w:rsidRPr="00FC0F3D" w:rsidRDefault="00605737" w:rsidP="00605737">
      <w:pPr>
        <w:numPr>
          <w:ilvl w:val="0"/>
          <w:numId w:val="1"/>
        </w:numPr>
        <w:rPr>
          <w:iCs/>
          <w:lang w:val="es-CL"/>
        </w:rPr>
      </w:pPr>
      <w:r w:rsidRPr="00FC0F3D">
        <w:rPr>
          <w:iCs/>
          <w:lang w:val="es-CL"/>
        </w:rPr>
        <w:t xml:space="preserve">Los representantes señalaron que los gastos y costas del Instituto de Estudios de la Religión (ISER) ascendieron a US$24.673,67. Esa suma está dividida de la siguiente manera: i) US$ 3.734,60 por gastos de reuniones y viajes; ii) US$ 762,27 por gastos de </w:t>
      </w:r>
      <w:r w:rsidR="006B24EB">
        <w:rPr>
          <w:iCs/>
          <w:lang w:val="es-CL"/>
        </w:rPr>
        <w:t>correos y foto</w:t>
      </w:r>
      <w:r w:rsidRPr="00FC0F3D">
        <w:rPr>
          <w:iCs/>
          <w:lang w:val="es-CL"/>
        </w:rPr>
        <w:t>copias; y iii) US$ 20.176,80 por salarios. Por su parte los gastos y costas de CEJIL alcanzaron la suma de US$90.009,10. Los representantes dividieron esa suma de la siguiente manera: i) US$26.893,74 por gastos de reuniones y viajes; ii) US$1.996,42 por gastos de corre</w:t>
      </w:r>
      <w:r w:rsidR="006B24EB">
        <w:rPr>
          <w:iCs/>
          <w:lang w:val="es-CL"/>
        </w:rPr>
        <w:t>o</w:t>
      </w:r>
      <w:r w:rsidRPr="00FC0F3D">
        <w:rPr>
          <w:iCs/>
          <w:lang w:val="es-CL"/>
        </w:rPr>
        <w:t xml:space="preserve">s y </w:t>
      </w:r>
      <w:r w:rsidR="006B24EB">
        <w:rPr>
          <w:iCs/>
          <w:lang w:val="es-CL"/>
        </w:rPr>
        <w:t>foto</w:t>
      </w:r>
      <w:r w:rsidRPr="00FC0F3D">
        <w:rPr>
          <w:iCs/>
          <w:lang w:val="es-CL"/>
        </w:rPr>
        <w:t xml:space="preserve">copias; iii) US$170,71 por gastos de material de </w:t>
      </w:r>
      <w:r w:rsidR="006B24EB">
        <w:rPr>
          <w:iCs/>
          <w:lang w:val="es-CL"/>
        </w:rPr>
        <w:t>investigación</w:t>
      </w:r>
      <w:r w:rsidR="006B24EB" w:rsidRPr="00FC0F3D">
        <w:rPr>
          <w:iCs/>
          <w:lang w:val="es-CL"/>
        </w:rPr>
        <w:t xml:space="preserve"> </w:t>
      </w:r>
      <w:r w:rsidRPr="00FC0F3D">
        <w:rPr>
          <w:iCs/>
          <w:lang w:val="es-CL"/>
        </w:rPr>
        <w:t xml:space="preserve">y papelería; iv) US$ 1228,09 por </w:t>
      </w:r>
      <w:r w:rsidR="006B24EB">
        <w:rPr>
          <w:iCs/>
          <w:lang w:val="es-CL"/>
        </w:rPr>
        <w:t xml:space="preserve">traducciones y </w:t>
      </w:r>
      <w:r w:rsidRPr="00FC0F3D">
        <w:rPr>
          <w:iCs/>
          <w:lang w:val="es-CL"/>
        </w:rPr>
        <w:t>tasas judiciales; v) US$59.720,14 por salarios.</w:t>
      </w:r>
    </w:p>
    <w:p w14:paraId="04723719" w14:textId="77777777" w:rsidR="00605737" w:rsidRPr="00FC0F3D" w:rsidRDefault="00605737" w:rsidP="00605737">
      <w:pPr>
        <w:rPr>
          <w:iCs/>
          <w:lang w:val="es-CL"/>
        </w:rPr>
      </w:pPr>
    </w:p>
    <w:p w14:paraId="2CB874E7" w14:textId="167D833E" w:rsidR="00605737" w:rsidRPr="00FC0F3D" w:rsidRDefault="00605737" w:rsidP="00605737">
      <w:pPr>
        <w:numPr>
          <w:ilvl w:val="0"/>
          <w:numId w:val="1"/>
        </w:numPr>
        <w:rPr>
          <w:iCs/>
          <w:lang w:val="es-CL"/>
        </w:rPr>
      </w:pPr>
      <w:r w:rsidRPr="00FC0F3D">
        <w:rPr>
          <w:iCs/>
          <w:lang w:val="es-CL"/>
        </w:rPr>
        <w:t xml:space="preserve">El </w:t>
      </w:r>
      <w:r w:rsidRPr="00FC0F3D">
        <w:rPr>
          <w:b/>
          <w:i/>
          <w:iCs/>
          <w:lang w:val="es-CL"/>
        </w:rPr>
        <w:t>Estado</w:t>
      </w:r>
      <w:r w:rsidRPr="00FC0F3D">
        <w:rPr>
          <w:iCs/>
          <w:lang w:val="es-CL"/>
        </w:rPr>
        <w:t xml:space="preserve"> solicitó que en caso de que no se declare su responsabilidad internacional, no sea condenado a pagar ningún monto por gastos y costas. Adicionalmente, en caso de ser condenado a pagar costas y gastos, el Estado señaló que debe ser por montos razonables y debidamente comprobados que tengan relación directa con el caso concreto. En particular, Brasil consideró que los gastos por salarios de abogados no cumplen con estos requisitos pues se trata de simples estimados imposibles de ser corroborados. </w:t>
      </w:r>
    </w:p>
    <w:p w14:paraId="3B698BF3" w14:textId="77777777" w:rsidR="00605737" w:rsidRPr="00FC0F3D" w:rsidRDefault="00605737" w:rsidP="00605737">
      <w:pPr>
        <w:rPr>
          <w:iCs/>
          <w:lang w:val="es-ES_tradnl"/>
        </w:rPr>
      </w:pPr>
    </w:p>
    <w:p w14:paraId="5B2AAE6F" w14:textId="77777777" w:rsidR="00605737" w:rsidRPr="00FC0F3D" w:rsidRDefault="00605737" w:rsidP="00605737">
      <w:pPr>
        <w:numPr>
          <w:ilvl w:val="0"/>
          <w:numId w:val="1"/>
        </w:numPr>
        <w:rPr>
          <w:iCs/>
          <w:lang w:val="es-CL"/>
        </w:rPr>
      </w:pPr>
      <w:r w:rsidRPr="00FC0F3D">
        <w:rPr>
          <w:iCs/>
          <w:lang w:val="es-ES_tradnl"/>
        </w:rPr>
        <w:t>La Corte reitera que, conforme a su jurisprudencia, las costas y gastos hacen parte del concepto de reparación, toda vez que las actividades desplegadas por las víctimas con el fin de obtener justicia, tanto a nivel nacional como internacional, implican erogaciones que deben ser compensadas cuando la responsabilidad internacional del Estado es declarada mediante una sentencia condenatoria. En cuanto al reembolso de gastos, corresponde a la Corte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quantum sea razonable</w:t>
      </w:r>
      <w:r w:rsidRPr="00FC0F3D">
        <w:rPr>
          <w:iCs/>
          <w:vertAlign w:val="superscript"/>
          <w:lang w:val="es-ES_tradnl"/>
        </w:rPr>
        <w:footnoteReference w:id="342"/>
      </w:r>
      <w:r w:rsidRPr="00FC0F3D">
        <w:rPr>
          <w:iCs/>
          <w:lang w:val="es-ES_tradnl"/>
        </w:rPr>
        <w:t>. Como ha señalado en otras ocasiones, la Corte recuerda que no es suficiente la remisión de documentos probatorios, sino que se requiere que las partes hagan una argumentación que relacione la prueba con el hecho que se considera representado, y que, al tratarse de alegados desembolsos económicos, se establezca con claridad los rubros y la justificación de los mismos</w:t>
      </w:r>
      <w:r w:rsidRPr="00FC0F3D">
        <w:rPr>
          <w:iCs/>
          <w:vertAlign w:val="superscript"/>
          <w:lang w:val="es-ES_tradnl"/>
        </w:rPr>
        <w:footnoteReference w:id="343"/>
      </w:r>
      <w:r w:rsidRPr="00FC0F3D">
        <w:rPr>
          <w:iCs/>
          <w:lang w:val="es-ES_tradnl"/>
        </w:rPr>
        <w:t>.</w:t>
      </w:r>
    </w:p>
    <w:p w14:paraId="0F72CB44" w14:textId="77777777" w:rsidR="00605737" w:rsidRPr="00FC0F3D" w:rsidRDefault="00605737" w:rsidP="00605737">
      <w:pPr>
        <w:rPr>
          <w:iCs/>
          <w:lang w:val="es-CL"/>
        </w:rPr>
      </w:pPr>
    </w:p>
    <w:p w14:paraId="76574FD2" w14:textId="644E76F9" w:rsidR="003C45F8" w:rsidRPr="00DE3BA1" w:rsidRDefault="003C45F8" w:rsidP="003C45F8">
      <w:pPr>
        <w:numPr>
          <w:ilvl w:val="0"/>
          <w:numId w:val="1"/>
        </w:numPr>
        <w:rPr>
          <w:iCs/>
          <w:lang w:val="es-CL"/>
        </w:rPr>
      </w:pPr>
      <w:r w:rsidRPr="00FC0F3D">
        <w:rPr>
          <w:iCs/>
          <w:lang w:val="es-CL"/>
        </w:rPr>
        <w:t xml:space="preserve">Del análisis de los antecedentes aportados, la Corte concluye que algunos montos solicitados se encuentran justificados y comprobados. En consecuencia, la Corte determina </w:t>
      </w:r>
      <w:r w:rsidRPr="00FC0F3D">
        <w:rPr>
          <w:iCs/>
          <w:lang w:val="es-CL"/>
        </w:rPr>
        <w:lastRenderedPageBreak/>
        <w:t xml:space="preserve">en equidad que el Estado debe pagar la suma de US$ </w:t>
      </w:r>
      <w:r>
        <w:rPr>
          <w:iCs/>
          <w:lang w:val="es-CL"/>
        </w:rPr>
        <w:t>20</w:t>
      </w:r>
      <w:r w:rsidRPr="00FC0F3D">
        <w:rPr>
          <w:iCs/>
          <w:lang w:val="es-CL"/>
        </w:rPr>
        <w:t>,000.00  (</w:t>
      </w:r>
      <w:r>
        <w:rPr>
          <w:iCs/>
          <w:lang w:val="es-CL"/>
        </w:rPr>
        <w:t>veinte</w:t>
      </w:r>
      <w:r w:rsidRPr="00FC0F3D">
        <w:rPr>
          <w:iCs/>
          <w:lang w:val="es-CL"/>
        </w:rPr>
        <w:t xml:space="preserve"> mil dólares de los Estados Unidos de América) al ISER y US$ </w:t>
      </w:r>
      <w:r>
        <w:rPr>
          <w:iCs/>
          <w:lang w:val="es-CL"/>
        </w:rPr>
        <w:t>3</w:t>
      </w:r>
      <w:r w:rsidRPr="00FC0F3D">
        <w:rPr>
          <w:iCs/>
          <w:lang w:val="es-CL"/>
        </w:rPr>
        <w:t>5,000.00 (</w:t>
      </w:r>
      <w:r>
        <w:rPr>
          <w:iCs/>
          <w:lang w:val="es-CL"/>
        </w:rPr>
        <w:t>treinta</w:t>
      </w:r>
      <w:r w:rsidRPr="00FC0F3D">
        <w:rPr>
          <w:iCs/>
          <w:lang w:val="es-CL"/>
        </w:rPr>
        <w:t xml:space="preserve"> y cinco mil dólares de los Estados Unidos de América) a CEJIL.</w:t>
      </w:r>
      <w:r w:rsidRPr="00FC0F3D">
        <w:rPr>
          <w:b/>
          <w:iCs/>
          <w:lang w:val="es-CL"/>
        </w:rPr>
        <w:t xml:space="preserve"> </w:t>
      </w:r>
    </w:p>
    <w:p w14:paraId="31E60339" w14:textId="77777777" w:rsidR="00DE3BA1" w:rsidRPr="003C45F8" w:rsidRDefault="00DE3BA1" w:rsidP="00DE3BA1">
      <w:pPr>
        <w:pStyle w:val="Estilo1"/>
        <w:numPr>
          <w:ilvl w:val="0"/>
          <w:numId w:val="0"/>
        </w:numPr>
        <w:spacing w:after="0"/>
        <w:rPr>
          <w:lang w:val="es-CL"/>
        </w:rPr>
      </w:pPr>
    </w:p>
    <w:p w14:paraId="60167A58" w14:textId="77777777" w:rsidR="00DE3BA1" w:rsidRPr="00FC0F3D" w:rsidRDefault="00DE3BA1" w:rsidP="00DE3BA1">
      <w:pPr>
        <w:numPr>
          <w:ilvl w:val="0"/>
          <w:numId w:val="1"/>
        </w:numPr>
        <w:rPr>
          <w:iCs/>
          <w:lang w:val="es-CL"/>
        </w:rPr>
      </w:pPr>
      <w:r w:rsidRPr="00FE35EF">
        <w:t>En la etapa de supervisión de cumplimiento de la presente Sentencia, la Corte podrá disponer el reembolso por parte del Estado a las víctimas o su representante de gastos posteriores, razonables y debidamente comprobados</w:t>
      </w:r>
      <w:r w:rsidRPr="00FE35EF">
        <w:rPr>
          <w:rStyle w:val="FootnoteReference"/>
        </w:rPr>
        <w:footnoteReference w:id="344"/>
      </w:r>
      <w:r w:rsidRPr="00FE35EF">
        <w:t>.</w:t>
      </w:r>
    </w:p>
    <w:p w14:paraId="59607D99" w14:textId="77777777" w:rsidR="00605737" w:rsidRPr="00FC0F3D" w:rsidRDefault="00605737" w:rsidP="00605737">
      <w:pPr>
        <w:rPr>
          <w:iCs/>
          <w:lang w:val="es-CL"/>
        </w:rPr>
      </w:pPr>
    </w:p>
    <w:p w14:paraId="65BF4B8B" w14:textId="6E98640F" w:rsidR="002F51EC" w:rsidRPr="002F51EC" w:rsidRDefault="009E1F63" w:rsidP="009E1F63">
      <w:pPr>
        <w:pStyle w:val="TOC2"/>
        <w:rPr>
          <w:lang w:val="es-CL"/>
        </w:rPr>
      </w:pPr>
      <w:bookmarkStart w:id="486" w:name="_Toc469404544"/>
      <w:bookmarkStart w:id="487" w:name="_Toc472608987"/>
      <w:r>
        <w:t xml:space="preserve">H. </w:t>
      </w:r>
      <w:r>
        <w:tab/>
      </w:r>
      <w:r w:rsidR="00605737" w:rsidRPr="00FC0F3D">
        <w:t xml:space="preserve">Reintegro de los gastos al </w:t>
      </w:r>
      <w:r w:rsidR="00605737" w:rsidRPr="00FC0F3D">
        <w:rPr>
          <w:lang w:val="es-CL"/>
        </w:rPr>
        <w:t>Fondo de Asistencia Legal</w:t>
      </w:r>
      <w:bookmarkEnd w:id="486"/>
      <w:bookmarkEnd w:id="487"/>
      <w:r w:rsidR="00605737" w:rsidRPr="00FC0F3D">
        <w:rPr>
          <w:lang w:val="es-CL"/>
        </w:rPr>
        <w:t xml:space="preserve"> </w:t>
      </w:r>
    </w:p>
    <w:p w14:paraId="76C20216" w14:textId="77777777" w:rsidR="00605737" w:rsidRPr="00FC0F3D" w:rsidRDefault="00605737" w:rsidP="00605737">
      <w:pPr>
        <w:rPr>
          <w:b/>
          <w:iCs/>
          <w:lang w:val="es-CL"/>
        </w:rPr>
      </w:pPr>
    </w:p>
    <w:p w14:paraId="0BD70A18" w14:textId="6820A1E2" w:rsidR="00605737" w:rsidRPr="00FC0F3D" w:rsidRDefault="00605737" w:rsidP="00605737">
      <w:pPr>
        <w:numPr>
          <w:ilvl w:val="0"/>
          <w:numId w:val="1"/>
        </w:numPr>
        <w:rPr>
          <w:iCs/>
          <w:lang w:val="es-CL"/>
        </w:rPr>
      </w:pPr>
      <w:r w:rsidRPr="00FC0F3D">
        <w:rPr>
          <w:iCs/>
        </w:rPr>
        <w:t>Los representantes de las víctimas solicitaron el apoyo del Fondo de Asistencia Legal de Víctimas de la Corte para cubrir la participación en el proceso de las personas que esta Corte llame a declarar. En este sentido, solicitaron que se cubran los gastos de transporte aéreo, hospedaje, alimentación y servicios notariales de declaraciones de presuntas víctimas, peritos y testigos</w:t>
      </w:r>
      <w:r w:rsidRPr="00FC0F3D">
        <w:rPr>
          <w:iCs/>
          <w:lang w:val="es-CL"/>
        </w:rPr>
        <w:t xml:space="preserve">. </w:t>
      </w:r>
      <w:r w:rsidRPr="00FC0F3D">
        <w:rPr>
          <w:iCs/>
        </w:rPr>
        <w:t xml:space="preserve">Mediante la Resolución del Presidente </w:t>
      </w:r>
      <w:r w:rsidRPr="00FC0F3D">
        <w:rPr>
          <w:iCs/>
          <w:lang w:val="es-ES_tradnl"/>
        </w:rPr>
        <w:t>3 de diciembre de 2015, se declaró procedente la solicitud interpuesta por las presuntas víctimas a través de sus representantes, para acogerse al Fondo de Asistencia de la Corte</w:t>
      </w:r>
      <w:r w:rsidRPr="00FC0F3D">
        <w:rPr>
          <w:iCs/>
        </w:rPr>
        <w:t xml:space="preserve"> y se autorizó otorgar la asistencia económica necesaria para la presentación de cinco declaraciones, ya sea en audiencia o por </w:t>
      </w:r>
      <w:r w:rsidR="004422AF">
        <w:rPr>
          <w:iCs/>
        </w:rPr>
        <w:t>affidávit</w:t>
      </w:r>
      <w:r w:rsidRPr="00FC0F3D">
        <w:rPr>
          <w:iCs/>
        </w:rPr>
        <w:t xml:space="preserve">. </w:t>
      </w:r>
    </w:p>
    <w:p w14:paraId="53AAF72F" w14:textId="77777777" w:rsidR="00605737" w:rsidRPr="00FC0F3D" w:rsidRDefault="00605737" w:rsidP="00605737">
      <w:pPr>
        <w:rPr>
          <w:iCs/>
          <w:lang w:val="es-CL"/>
        </w:rPr>
      </w:pPr>
    </w:p>
    <w:p w14:paraId="60D9B651" w14:textId="46068CA0" w:rsidR="00605737" w:rsidRPr="00FC0F3D" w:rsidRDefault="00605737" w:rsidP="00605737">
      <w:pPr>
        <w:numPr>
          <w:ilvl w:val="0"/>
          <w:numId w:val="1"/>
        </w:numPr>
        <w:rPr>
          <w:iCs/>
          <w:lang w:val="es-CL"/>
        </w:rPr>
      </w:pPr>
      <w:r w:rsidRPr="00FC0F3D">
        <w:rPr>
          <w:iCs/>
        </w:rPr>
        <w:t xml:space="preserve">El </w:t>
      </w:r>
      <w:r w:rsidR="009D2288">
        <w:rPr>
          <w:iCs/>
        </w:rPr>
        <w:t>16</w:t>
      </w:r>
      <w:r w:rsidRPr="00FC0F3D">
        <w:rPr>
          <w:iCs/>
        </w:rPr>
        <w:t xml:space="preserve"> de diciembre de 2016 le fue remitido al Estado un informe de erogaciones según lo dispuesto en el artículo 5 del Reglamento de la Corte sobre el funcionamiento del referido Fondo. El Estado tuvo la oportunidad de presentar sus observaciones sobre las erogaciones realizadas, las cuales ascendieron a la suma de US$ </w:t>
      </w:r>
      <w:r w:rsidR="009D2288" w:rsidRPr="00FC0F3D">
        <w:rPr>
          <w:iCs/>
        </w:rPr>
        <w:t xml:space="preserve">US$ </w:t>
      </w:r>
      <w:r w:rsidR="009D2288">
        <w:rPr>
          <w:iCs/>
        </w:rPr>
        <w:t xml:space="preserve">7,397.51 </w:t>
      </w:r>
      <w:r w:rsidRPr="00FC0F3D">
        <w:rPr>
          <w:iCs/>
        </w:rPr>
        <w:t xml:space="preserve">por los gastos incurridos. Brasil </w:t>
      </w:r>
      <w:r w:rsidR="009D2288">
        <w:rPr>
          <w:iCs/>
        </w:rPr>
        <w:t xml:space="preserve">no presentó observaciones. </w:t>
      </w:r>
    </w:p>
    <w:p w14:paraId="1B341F04" w14:textId="77777777" w:rsidR="00605737" w:rsidRPr="00FC0F3D" w:rsidRDefault="00605737" w:rsidP="00605737">
      <w:pPr>
        <w:rPr>
          <w:iCs/>
        </w:rPr>
      </w:pPr>
    </w:p>
    <w:p w14:paraId="39968AE9" w14:textId="308D1EA5" w:rsidR="00605737" w:rsidRPr="00FC0F3D" w:rsidRDefault="00605737" w:rsidP="00605737">
      <w:pPr>
        <w:numPr>
          <w:ilvl w:val="0"/>
          <w:numId w:val="1"/>
        </w:numPr>
        <w:rPr>
          <w:iCs/>
          <w:lang w:val="es-CL"/>
        </w:rPr>
      </w:pPr>
      <w:r w:rsidRPr="00FC0F3D">
        <w:rPr>
          <w:iCs/>
        </w:rPr>
        <w:t xml:space="preserve">En razón de las violaciones declaradas en la presente Sentencia y del cumplimiento de los requisitos para acogerse al Fondo, la Corte ordena </w:t>
      </w:r>
      <w:r w:rsidR="00F21D92">
        <w:rPr>
          <w:iCs/>
        </w:rPr>
        <w:t xml:space="preserve">al Estado </w:t>
      </w:r>
      <w:r w:rsidRPr="00FC0F3D">
        <w:rPr>
          <w:iCs/>
        </w:rPr>
        <w:t xml:space="preserve">reintegrar a dicho fondo la cantidad de US$ </w:t>
      </w:r>
      <w:r w:rsidR="009D2288">
        <w:rPr>
          <w:iCs/>
        </w:rPr>
        <w:t xml:space="preserve">7,397.51 </w:t>
      </w:r>
      <w:r w:rsidRPr="00FC0F3D">
        <w:rPr>
          <w:iCs/>
        </w:rPr>
        <w:t>(</w:t>
      </w:r>
      <w:r w:rsidR="009D2288">
        <w:rPr>
          <w:iCs/>
        </w:rPr>
        <w:t xml:space="preserve">siete mil trecientos noventa y siete dólares </w:t>
      </w:r>
      <w:r w:rsidRPr="00FC0F3D">
        <w:rPr>
          <w:iCs/>
        </w:rPr>
        <w:t>de los Estados Unidos de América</w:t>
      </w:r>
      <w:r w:rsidR="009D2288">
        <w:rPr>
          <w:iCs/>
        </w:rPr>
        <w:t xml:space="preserve"> con cincuenta y un centavos</w:t>
      </w:r>
      <w:r w:rsidRPr="00FC0F3D">
        <w:rPr>
          <w:iCs/>
        </w:rPr>
        <w:t>) por los gastos incurridos. Este monto deberá ser reintegrado a la Corte Interamericana en el plazo de</w:t>
      </w:r>
      <w:r w:rsidR="00DF45AD">
        <w:rPr>
          <w:iCs/>
        </w:rPr>
        <w:t xml:space="preserve"> seis meses</w:t>
      </w:r>
      <w:r w:rsidRPr="00FC0F3D">
        <w:rPr>
          <w:iCs/>
        </w:rPr>
        <w:t>, contados a partir de la notificación de la presente Sentencia.</w:t>
      </w:r>
    </w:p>
    <w:p w14:paraId="5F5BD7CC" w14:textId="77777777" w:rsidR="00605737" w:rsidRPr="00FC0F3D" w:rsidRDefault="00605737" w:rsidP="00605737">
      <w:pPr>
        <w:rPr>
          <w:iCs/>
          <w:lang w:val="es-CL"/>
        </w:rPr>
      </w:pPr>
    </w:p>
    <w:p w14:paraId="61728E11" w14:textId="62F58737" w:rsidR="002F51EC" w:rsidRPr="002F51EC" w:rsidRDefault="009E1F63" w:rsidP="009E1F63">
      <w:pPr>
        <w:pStyle w:val="TOC2"/>
      </w:pPr>
      <w:bookmarkStart w:id="488" w:name="_Toc462751146"/>
      <w:bookmarkStart w:id="489" w:name="_Toc469404545"/>
      <w:bookmarkStart w:id="490" w:name="_Toc472608988"/>
      <w:r>
        <w:t xml:space="preserve">I. </w:t>
      </w:r>
      <w:r>
        <w:tab/>
      </w:r>
      <w:r w:rsidR="00605737" w:rsidRPr="00FC0F3D">
        <w:t>Modalidad de cumplimiento de los pagos ordenados</w:t>
      </w:r>
      <w:bookmarkEnd w:id="483"/>
      <w:bookmarkEnd w:id="484"/>
      <w:bookmarkEnd w:id="485"/>
      <w:bookmarkEnd w:id="488"/>
      <w:bookmarkEnd w:id="489"/>
      <w:bookmarkEnd w:id="490"/>
    </w:p>
    <w:p w14:paraId="02C0FDAB" w14:textId="77777777" w:rsidR="00605737" w:rsidRPr="00FC0F3D" w:rsidRDefault="00605737" w:rsidP="00605737">
      <w:pPr>
        <w:rPr>
          <w:iCs/>
          <w:lang w:val="es-ES_tradnl"/>
        </w:rPr>
      </w:pPr>
    </w:p>
    <w:p w14:paraId="40D03448" w14:textId="30DD5C8F" w:rsidR="00605737" w:rsidRPr="0012349F" w:rsidRDefault="00605737" w:rsidP="0012349F">
      <w:pPr>
        <w:pStyle w:val="CommentText"/>
        <w:numPr>
          <w:ilvl w:val="0"/>
          <w:numId w:val="1"/>
        </w:numPr>
        <w:rPr>
          <w:iCs/>
          <w:szCs w:val="22"/>
          <w:lang w:val="es-ES_tradnl"/>
        </w:rPr>
      </w:pPr>
      <w:r w:rsidRPr="0012349F">
        <w:rPr>
          <w:iCs/>
          <w:szCs w:val="22"/>
          <w:lang w:val="es-ES_tradnl"/>
        </w:rPr>
        <w:t xml:space="preserve">El Estado deberá efectuar el pago de las indemnizaciones por concepto de daño inmaterial, así como el reintegro de las costas y gastos establecidos en la presente Sentencia directamente a las personas </w:t>
      </w:r>
      <w:r w:rsidR="0028439F">
        <w:rPr>
          <w:iCs/>
          <w:szCs w:val="22"/>
          <w:lang w:val="es-ES_tradnl"/>
        </w:rPr>
        <w:t>y</w:t>
      </w:r>
      <w:r w:rsidRPr="0012349F">
        <w:rPr>
          <w:iCs/>
          <w:szCs w:val="22"/>
          <w:lang w:val="es-ES_tradnl"/>
        </w:rPr>
        <w:t xml:space="preserve"> organizaciones indicadas en la misma, dentro del plazo de un año contado a partir de la notificación del presente Fallo, en los términos de los siguientes párrafos.</w:t>
      </w:r>
    </w:p>
    <w:p w14:paraId="0E72799D" w14:textId="77777777" w:rsidR="00605737" w:rsidRPr="00FC0F3D" w:rsidRDefault="00605737" w:rsidP="00605737">
      <w:pPr>
        <w:rPr>
          <w:iCs/>
          <w:lang w:val="es-ES_tradnl"/>
        </w:rPr>
      </w:pPr>
    </w:p>
    <w:p w14:paraId="58B04324" w14:textId="3734B1C4" w:rsidR="00605737" w:rsidRPr="00FC0F3D" w:rsidRDefault="00605737" w:rsidP="00605737">
      <w:pPr>
        <w:numPr>
          <w:ilvl w:val="0"/>
          <w:numId w:val="1"/>
        </w:numPr>
        <w:rPr>
          <w:iCs/>
          <w:lang w:val="es-ES_tradnl"/>
        </w:rPr>
      </w:pPr>
      <w:r w:rsidRPr="00FC0F3D">
        <w:rPr>
          <w:iCs/>
          <w:lang w:val="es-ES"/>
        </w:rPr>
        <w:t xml:space="preserve">En caso de que alguno de los beneficiarios haya fallecido o fallezca antes de que les sean entregadas las indemnizaciones respectivas, </w:t>
      </w:r>
      <w:r w:rsidR="0028439F">
        <w:rPr>
          <w:iCs/>
          <w:lang w:val="es-ES"/>
        </w:rPr>
        <w:t>e</w:t>
      </w:r>
      <w:r w:rsidRPr="00FC0F3D">
        <w:rPr>
          <w:iCs/>
          <w:lang w:val="es-ES"/>
        </w:rPr>
        <w:t>stas se efectuarán directamente a sus derechos habientes, conforme al derecho interno aplicable.</w:t>
      </w:r>
    </w:p>
    <w:p w14:paraId="7D0CA460" w14:textId="77777777" w:rsidR="00605737" w:rsidRPr="00FC0F3D" w:rsidRDefault="00605737" w:rsidP="00605737">
      <w:pPr>
        <w:rPr>
          <w:iCs/>
          <w:lang w:val="es-ES_tradnl"/>
        </w:rPr>
      </w:pPr>
    </w:p>
    <w:p w14:paraId="690AF115" w14:textId="77777777" w:rsidR="00605737" w:rsidRPr="00FC0F3D" w:rsidRDefault="00605737" w:rsidP="00605737">
      <w:pPr>
        <w:numPr>
          <w:ilvl w:val="0"/>
          <w:numId w:val="1"/>
        </w:numPr>
        <w:rPr>
          <w:iCs/>
          <w:lang w:val="es-ES_tradnl"/>
        </w:rPr>
      </w:pPr>
      <w:r w:rsidRPr="00FC0F3D">
        <w:rPr>
          <w:iCs/>
          <w:lang w:val="es-ES"/>
        </w:rPr>
        <w:t>El Estado debe cumplir sus obligaciones monetarias mediante el pago en dólares de los Estados Unidos de América, o su equivalente en moneda brasileña, utilizando para el cálculo respectivo el tipo de cambio que se encuentre vigente en la bolsa de Nueva York, Estados Unidos de América, el día anterior al pago.</w:t>
      </w:r>
    </w:p>
    <w:p w14:paraId="63CF965B" w14:textId="77777777" w:rsidR="00605737" w:rsidRPr="00FC0F3D" w:rsidRDefault="00605737" w:rsidP="00605737">
      <w:pPr>
        <w:rPr>
          <w:iCs/>
          <w:lang w:val="es-ES_tradnl"/>
        </w:rPr>
      </w:pPr>
    </w:p>
    <w:p w14:paraId="2DC81832" w14:textId="77777777" w:rsidR="00605737" w:rsidRPr="00FC0F3D" w:rsidRDefault="00605737" w:rsidP="00605737">
      <w:pPr>
        <w:numPr>
          <w:ilvl w:val="0"/>
          <w:numId w:val="1"/>
        </w:numPr>
        <w:rPr>
          <w:iCs/>
          <w:lang w:val="es-ES_tradnl"/>
        </w:rPr>
      </w:pPr>
      <w:r w:rsidRPr="00FC0F3D">
        <w:rPr>
          <w:iCs/>
          <w:lang w:val="es-ES_tradnl"/>
        </w:rPr>
        <w:lastRenderedPageBreak/>
        <w:t>Si por causas atribuibles a alguno de los beneficiarios de las indemnizaciones o a sus derecho habientes no fuese posible el pago de todo o parte de las cantidades determinadas dentro del plazo indicado, el Estado consignará dichos montos a su favor en una cuenta o certificado de depósito en una institución financiera brasileña solvente, en dólares de los Estados Unidos de América, y en las condiciones financieras más favorables que permitan la legislación y la práctica bancaria del Estado. Si no se reclama la indemnización correspondiente una vez transcurridos diez años, las cantidades serán devueltas al Estado con los intereses devengados.</w:t>
      </w:r>
    </w:p>
    <w:p w14:paraId="705508A8" w14:textId="77777777" w:rsidR="00605737" w:rsidRPr="00FC0F3D" w:rsidRDefault="00605737" w:rsidP="00605737">
      <w:pPr>
        <w:rPr>
          <w:iCs/>
          <w:lang w:val="es-ES_tradnl"/>
        </w:rPr>
      </w:pPr>
    </w:p>
    <w:p w14:paraId="093A14B6" w14:textId="7B94818B" w:rsidR="00605737" w:rsidRPr="00FC0F3D" w:rsidRDefault="00605737" w:rsidP="00605737">
      <w:pPr>
        <w:numPr>
          <w:ilvl w:val="0"/>
          <w:numId w:val="1"/>
        </w:numPr>
        <w:rPr>
          <w:iCs/>
          <w:lang w:val="es-ES_tradnl"/>
        </w:rPr>
      </w:pPr>
      <w:r w:rsidRPr="00FC0F3D">
        <w:rPr>
          <w:iCs/>
          <w:lang w:val="es-ES"/>
        </w:rPr>
        <w:t>Las cantidades asignadas en la presente Sentencia como indemnización por daño inmaterial, y como reintegro de costas y gastos deberán ser entregadas</w:t>
      </w:r>
      <w:r w:rsidR="0028439F">
        <w:rPr>
          <w:iCs/>
          <w:lang w:val="es-ES"/>
        </w:rPr>
        <w:t xml:space="preserve"> de forma íntegra</w:t>
      </w:r>
      <w:r w:rsidRPr="00FC0F3D">
        <w:rPr>
          <w:iCs/>
          <w:lang w:val="es-ES"/>
        </w:rPr>
        <w:t xml:space="preserve"> a las personas </w:t>
      </w:r>
      <w:r w:rsidR="0028439F">
        <w:rPr>
          <w:iCs/>
          <w:lang w:val="es-ES"/>
        </w:rPr>
        <w:t>y</w:t>
      </w:r>
      <w:r w:rsidRPr="00FC0F3D">
        <w:rPr>
          <w:iCs/>
          <w:lang w:val="es-ES"/>
        </w:rPr>
        <w:t xml:space="preserve"> organizaciones indicadas en forma íntegra, conforme a lo establecido en este Fallo, sin reducciones derivadas de eventuales cargas fiscales. </w:t>
      </w:r>
    </w:p>
    <w:p w14:paraId="14395161" w14:textId="77777777" w:rsidR="00605737" w:rsidRPr="00FC0F3D" w:rsidRDefault="00605737" w:rsidP="00605737">
      <w:pPr>
        <w:rPr>
          <w:iCs/>
          <w:lang w:val="es-ES_tradnl"/>
        </w:rPr>
      </w:pPr>
    </w:p>
    <w:p w14:paraId="75F39FBF" w14:textId="77777777" w:rsidR="00605737" w:rsidRPr="00FC0F3D" w:rsidRDefault="00605737" w:rsidP="00605737">
      <w:pPr>
        <w:numPr>
          <w:ilvl w:val="0"/>
          <w:numId w:val="1"/>
        </w:numPr>
        <w:rPr>
          <w:iCs/>
          <w:lang w:val="es-ES_tradnl"/>
        </w:rPr>
      </w:pPr>
      <w:r w:rsidRPr="00FC0F3D">
        <w:rPr>
          <w:iCs/>
        </w:rPr>
        <w:t>En caso de que el Estado incurriera en mora, deberá pagar un interés sobre la cantidad adeudada, correspondiente al interés bancario moratorio en la República Federativa de Brasil.</w:t>
      </w:r>
    </w:p>
    <w:p w14:paraId="1E44545B" w14:textId="77777777" w:rsidR="00605737" w:rsidRPr="00FC0F3D" w:rsidRDefault="00605737" w:rsidP="00605737">
      <w:pPr>
        <w:rPr>
          <w:lang w:val="es-ES_tradnl"/>
        </w:rPr>
      </w:pPr>
    </w:p>
    <w:p w14:paraId="3E64E52D" w14:textId="2B59970D" w:rsidR="00605737" w:rsidRPr="00E855A4" w:rsidRDefault="00926CE3" w:rsidP="00547D83">
      <w:pPr>
        <w:pStyle w:val="TOC1"/>
        <w:rPr>
          <w:lang w:val="es-ES_tradnl"/>
        </w:rPr>
      </w:pPr>
      <w:bookmarkStart w:id="491" w:name="_Toc375517156"/>
      <w:bookmarkStart w:id="492" w:name="_Toc459158160"/>
      <w:bookmarkStart w:id="493" w:name="_Toc464813999"/>
      <w:r>
        <w:rPr>
          <w:lang w:val="es-ES_tradnl"/>
        </w:rPr>
        <w:t>I</w:t>
      </w:r>
      <w:r w:rsidR="00605737" w:rsidRPr="00E855A4">
        <w:rPr>
          <w:lang w:val="es-ES_tradnl"/>
        </w:rPr>
        <w:t>X</w:t>
      </w:r>
      <w:r w:rsidR="00605737" w:rsidRPr="00E855A4">
        <w:rPr>
          <w:lang w:val="es-ES_tradnl"/>
        </w:rPr>
        <w:br/>
        <w:t>PUNTOS RESOLUTIVOS</w:t>
      </w:r>
      <w:bookmarkEnd w:id="491"/>
      <w:bookmarkEnd w:id="492"/>
      <w:bookmarkEnd w:id="493"/>
    </w:p>
    <w:p w14:paraId="3FB8B914" w14:textId="77777777" w:rsidR="00605737" w:rsidRPr="00E855A4" w:rsidRDefault="00605737" w:rsidP="00605737">
      <w:pPr>
        <w:pStyle w:val="ListParagraph"/>
        <w:ind w:left="0"/>
        <w:rPr>
          <w:iCs/>
          <w:lang w:val="es-ES_tradnl"/>
        </w:rPr>
      </w:pPr>
    </w:p>
    <w:p w14:paraId="2CA103EA" w14:textId="77777777" w:rsidR="00605737" w:rsidRPr="00E855A4" w:rsidRDefault="00605737" w:rsidP="00605737">
      <w:pPr>
        <w:pStyle w:val="ListParagraph"/>
        <w:numPr>
          <w:ilvl w:val="0"/>
          <w:numId w:val="1"/>
        </w:numPr>
        <w:rPr>
          <w:iCs/>
          <w:lang w:val="es-ES_tradnl"/>
        </w:rPr>
      </w:pPr>
      <w:r w:rsidRPr="00E855A4">
        <w:rPr>
          <w:iCs/>
          <w:lang w:val="es-ES_tradnl"/>
        </w:rPr>
        <w:t xml:space="preserve">Por tanto, </w:t>
      </w:r>
    </w:p>
    <w:p w14:paraId="38200512" w14:textId="77777777" w:rsidR="00605737" w:rsidRPr="00E855A4" w:rsidRDefault="00605737" w:rsidP="00605737">
      <w:pPr>
        <w:pStyle w:val="ListParagraph"/>
        <w:ind w:left="0"/>
        <w:rPr>
          <w:iCs/>
          <w:lang w:val="es-ES_tradnl"/>
        </w:rPr>
      </w:pPr>
    </w:p>
    <w:p w14:paraId="3F6F4DF1" w14:textId="77777777" w:rsidR="00605737" w:rsidRPr="00E855A4" w:rsidRDefault="00605737" w:rsidP="00387937">
      <w:pPr>
        <w:pStyle w:val="ListParagraph"/>
        <w:ind w:left="0"/>
        <w:rPr>
          <w:iCs/>
          <w:lang w:val="es-ES_tradnl"/>
        </w:rPr>
      </w:pPr>
      <w:r w:rsidRPr="00E855A4">
        <w:rPr>
          <w:b/>
          <w:bCs/>
          <w:iCs/>
          <w:lang w:val="es-ES_tradnl"/>
        </w:rPr>
        <w:t xml:space="preserve">LA CORTE </w:t>
      </w:r>
    </w:p>
    <w:p w14:paraId="2C0DFE8E" w14:textId="77777777" w:rsidR="00605737" w:rsidRPr="00E855A4" w:rsidRDefault="00605737" w:rsidP="00605737">
      <w:pPr>
        <w:pStyle w:val="ListParagraph"/>
        <w:ind w:left="0"/>
        <w:rPr>
          <w:iCs/>
          <w:lang w:val="es-ES_tradnl"/>
        </w:rPr>
      </w:pPr>
    </w:p>
    <w:p w14:paraId="2FEB458F" w14:textId="77777777" w:rsidR="00605737" w:rsidRPr="00E855A4" w:rsidRDefault="00605737" w:rsidP="00387937">
      <w:pPr>
        <w:pStyle w:val="ListParagraph"/>
        <w:ind w:left="0"/>
        <w:rPr>
          <w:b/>
          <w:iCs/>
          <w:lang w:val="es-ES_tradnl"/>
        </w:rPr>
      </w:pPr>
      <w:r w:rsidRPr="00E855A4">
        <w:rPr>
          <w:b/>
          <w:iCs/>
          <w:lang w:val="es-ES_tradnl"/>
        </w:rPr>
        <w:t xml:space="preserve">DECIDE, </w:t>
      </w:r>
    </w:p>
    <w:p w14:paraId="6FD84CB9" w14:textId="77777777" w:rsidR="00605737" w:rsidRPr="00E855A4" w:rsidRDefault="00605737" w:rsidP="00605737">
      <w:pPr>
        <w:pStyle w:val="ListParagraph"/>
        <w:ind w:left="0"/>
        <w:rPr>
          <w:iCs/>
          <w:lang w:val="es-ES_tradnl"/>
        </w:rPr>
      </w:pPr>
      <w:r w:rsidRPr="00E855A4">
        <w:rPr>
          <w:iCs/>
          <w:lang w:val="es-ES_tradnl"/>
        </w:rPr>
        <w:t xml:space="preserve"> </w:t>
      </w:r>
    </w:p>
    <w:p w14:paraId="08516BD9" w14:textId="01FAA5A7" w:rsidR="00387937" w:rsidRPr="00E90FA0" w:rsidRDefault="00387937" w:rsidP="00387937">
      <w:pPr>
        <w:tabs>
          <w:tab w:val="left" w:pos="720"/>
        </w:tabs>
        <w:ind w:right="-90"/>
        <w:contextualSpacing/>
        <w:rPr>
          <w:rFonts w:eastAsia="MS Mincho" w:cs="Times New Roman"/>
          <w:szCs w:val="20"/>
          <w:lang w:val="es-ES_tradnl" w:bidi="en-US"/>
        </w:rPr>
      </w:pPr>
      <w:r w:rsidRPr="00E90FA0">
        <w:rPr>
          <w:rFonts w:eastAsia="MS Mincho" w:cs="Times New Roman"/>
          <w:szCs w:val="20"/>
          <w:lang w:val="es-ES_tradnl" w:bidi="en-US"/>
        </w:rPr>
        <w:t xml:space="preserve">Por </w:t>
      </w:r>
      <w:r w:rsidR="0028439F">
        <w:rPr>
          <w:rFonts w:eastAsia="MS Mincho" w:cs="Times New Roman"/>
          <w:szCs w:val="20"/>
          <w:lang w:val="es-ES_tradnl" w:bidi="en-US"/>
        </w:rPr>
        <w:t>unanimidad</w:t>
      </w:r>
      <w:r w:rsidR="0028439F" w:rsidRPr="00E90FA0">
        <w:rPr>
          <w:rFonts w:eastAsia="MS Mincho" w:cs="Times New Roman"/>
          <w:szCs w:val="20"/>
          <w:lang w:val="es-ES_tradnl" w:bidi="en-US"/>
        </w:rPr>
        <w:t xml:space="preserve">, </w:t>
      </w:r>
    </w:p>
    <w:p w14:paraId="3A1FAE94" w14:textId="77777777" w:rsidR="00387937" w:rsidRDefault="00387937" w:rsidP="00387937">
      <w:pPr>
        <w:tabs>
          <w:tab w:val="left" w:pos="720"/>
        </w:tabs>
        <w:ind w:right="-90"/>
        <w:contextualSpacing/>
        <w:rPr>
          <w:rFonts w:eastAsia="MS Mincho" w:cs="Times New Roman"/>
          <w:szCs w:val="20"/>
          <w:lang w:val="es-ES_tradnl" w:bidi="en-US"/>
        </w:rPr>
      </w:pPr>
    </w:p>
    <w:p w14:paraId="274C7FB2" w14:textId="2C044F84" w:rsidR="00387937" w:rsidRPr="00387937" w:rsidRDefault="00387937" w:rsidP="00387937">
      <w:pPr>
        <w:pStyle w:val="ListParagraph"/>
        <w:numPr>
          <w:ilvl w:val="3"/>
          <w:numId w:val="1"/>
        </w:numPr>
        <w:tabs>
          <w:tab w:val="left" w:pos="720"/>
        </w:tabs>
        <w:ind w:left="0" w:right="-90" w:firstLine="0"/>
        <w:rPr>
          <w:rFonts w:eastAsia="Cambria" w:cs="Times New Roman"/>
        </w:rPr>
      </w:pPr>
      <w:r w:rsidRPr="00387937">
        <w:rPr>
          <w:rFonts w:eastAsia="MS Mincho" w:cs="Times New Roman"/>
          <w:szCs w:val="20"/>
        </w:rPr>
        <w:t>Desestimar</w:t>
      </w:r>
      <w:r w:rsidRPr="00387937">
        <w:rPr>
          <w:rFonts w:eastAsia="Cambria" w:cs="Times New Roman"/>
          <w:szCs w:val="20"/>
        </w:rPr>
        <w:t xml:space="preserve"> las excepciones preliminares interpuestas por el Estado relativas a la i</w:t>
      </w:r>
      <w:r w:rsidRPr="00387937">
        <w:rPr>
          <w:rFonts w:eastAsia="Batang" w:cs="Times"/>
          <w:noProof/>
          <w:szCs w:val="24"/>
          <w:lang w:val="es-MX" w:eastAsia="es-ES"/>
        </w:rPr>
        <w:t xml:space="preserve">nadmisibilidad del sometimiento del caso a la Corte en virtud de la publicación del Informe de Fondo por parte de la Comisión; la incompetencia </w:t>
      </w:r>
      <w:r w:rsidRPr="00387937">
        <w:rPr>
          <w:rFonts w:eastAsia="Batang" w:cs="Times"/>
          <w:i/>
          <w:noProof/>
          <w:szCs w:val="24"/>
          <w:lang w:val="es-MX" w:eastAsia="es-ES"/>
        </w:rPr>
        <w:t>ratione personae</w:t>
      </w:r>
      <w:r w:rsidRPr="00387937">
        <w:rPr>
          <w:rFonts w:eastAsia="Batang" w:cs="Times"/>
          <w:noProof/>
          <w:szCs w:val="24"/>
          <w:lang w:val="es-MX" w:eastAsia="es-ES"/>
        </w:rPr>
        <w:t xml:space="preserve">, respecto de presuntas víctimas que no otorgaron </w:t>
      </w:r>
      <w:r>
        <w:rPr>
          <w:rFonts w:eastAsia="Batang" w:cs="Times"/>
          <w:noProof/>
          <w:szCs w:val="24"/>
          <w:lang w:val="es-MX" w:eastAsia="es-ES"/>
        </w:rPr>
        <w:t xml:space="preserve">poder de representación </w:t>
      </w:r>
      <w:r w:rsidRPr="00387937">
        <w:rPr>
          <w:rFonts w:eastAsia="Batang" w:cs="Times"/>
          <w:noProof/>
          <w:szCs w:val="24"/>
          <w:lang w:val="es-MX" w:eastAsia="es-ES"/>
        </w:rPr>
        <w:t xml:space="preserve">o que no estaban relacionadas con los hechos del caso; la incompetencia </w:t>
      </w:r>
      <w:r w:rsidRPr="00387937">
        <w:rPr>
          <w:rFonts w:eastAsia="Batang" w:cs="Times"/>
          <w:i/>
          <w:noProof/>
          <w:szCs w:val="24"/>
          <w:lang w:val="es-MX" w:eastAsia="es-ES"/>
        </w:rPr>
        <w:t>ratione materiae</w:t>
      </w:r>
      <w:r w:rsidRPr="00387937">
        <w:rPr>
          <w:rFonts w:eastAsia="Batang" w:cs="Times"/>
          <w:noProof/>
          <w:szCs w:val="24"/>
          <w:lang w:val="es-MX" w:eastAsia="es-ES"/>
        </w:rPr>
        <w:t xml:space="preserve"> por violación al principio de subsidiaridad del Sistema Interamericano; la incompetencia </w:t>
      </w:r>
      <w:r w:rsidRPr="00387937">
        <w:rPr>
          <w:rFonts w:eastAsia="Batang" w:cs="Times"/>
          <w:i/>
          <w:noProof/>
          <w:szCs w:val="24"/>
          <w:lang w:val="es-MX" w:eastAsia="es-ES"/>
        </w:rPr>
        <w:t>ratione materiae</w:t>
      </w:r>
      <w:r w:rsidRPr="00387937">
        <w:rPr>
          <w:rFonts w:eastAsia="Batang" w:cs="Times"/>
          <w:noProof/>
          <w:szCs w:val="24"/>
          <w:lang w:val="es-MX" w:eastAsia="es-ES"/>
        </w:rPr>
        <w:t xml:space="preserve"> relativa a presuntas violaciones de la </w:t>
      </w:r>
      <w:r w:rsidR="009B1A8F">
        <w:rPr>
          <w:rFonts w:eastAsia="Batang" w:cs="Times"/>
          <w:noProof/>
          <w:szCs w:val="24"/>
          <w:lang w:val="es-MX" w:eastAsia="es-ES"/>
        </w:rPr>
        <w:t>Convención Interamericana para P</w:t>
      </w:r>
      <w:r>
        <w:rPr>
          <w:rFonts w:eastAsia="Batang" w:cs="Times"/>
          <w:noProof/>
          <w:szCs w:val="24"/>
          <w:lang w:val="es-MX" w:eastAsia="es-ES"/>
        </w:rPr>
        <w:t>revenir y Sancionar la Tortura</w:t>
      </w:r>
      <w:r w:rsidR="0084197D">
        <w:rPr>
          <w:rFonts w:eastAsia="Batang" w:cs="Times"/>
          <w:noProof/>
          <w:szCs w:val="24"/>
          <w:lang w:val="es-MX" w:eastAsia="es-ES"/>
        </w:rPr>
        <w:t xml:space="preserve"> y la Convención Interamericana para Prevenir, Sancionar y Erradicar la Violencia contra la Mujer</w:t>
      </w:r>
      <w:r w:rsidRPr="00387937">
        <w:rPr>
          <w:rFonts w:eastAsia="Batang" w:cs="Times"/>
          <w:noProof/>
          <w:szCs w:val="24"/>
          <w:lang w:val="es-MX" w:eastAsia="es-ES"/>
        </w:rPr>
        <w:t xml:space="preserve">; la falta de agotamiento previo de los recursos internos, y la </w:t>
      </w:r>
      <w:r w:rsidR="0084197D">
        <w:rPr>
          <w:rFonts w:eastAsia="Batang" w:cs="Times"/>
          <w:noProof/>
          <w:szCs w:val="24"/>
          <w:lang w:val="es-MX" w:eastAsia="es-ES"/>
        </w:rPr>
        <w:t>inobservancia del plazo razonable para someter el caso a la Comisión</w:t>
      </w:r>
      <w:r w:rsidRPr="00387937">
        <w:rPr>
          <w:rFonts w:eastAsia="Cambria" w:cs="Times New Roman"/>
          <w:szCs w:val="20"/>
        </w:rPr>
        <w:t xml:space="preserve">, en los términos de los párrafos </w:t>
      </w:r>
      <w:r w:rsidR="001C2861">
        <w:rPr>
          <w:rFonts w:eastAsia="Cambria" w:cs="Times New Roman"/>
          <w:szCs w:val="20"/>
        </w:rPr>
        <w:t>2</w:t>
      </w:r>
      <w:r w:rsidR="00B43B79">
        <w:rPr>
          <w:rFonts w:eastAsia="Cambria" w:cs="Times New Roman"/>
          <w:szCs w:val="20"/>
        </w:rPr>
        <w:t>4</w:t>
      </w:r>
      <w:r w:rsidR="001C2861">
        <w:rPr>
          <w:rFonts w:eastAsia="Cambria" w:cs="Times New Roman"/>
          <w:szCs w:val="20"/>
        </w:rPr>
        <w:t xml:space="preserve"> a </w:t>
      </w:r>
      <w:r w:rsidR="00B43B79">
        <w:rPr>
          <w:rFonts w:eastAsia="Cambria" w:cs="Times New Roman"/>
          <w:szCs w:val="20"/>
        </w:rPr>
        <w:t>29</w:t>
      </w:r>
      <w:r w:rsidR="001C2861">
        <w:rPr>
          <w:rFonts w:eastAsia="Cambria" w:cs="Times New Roman"/>
          <w:szCs w:val="20"/>
        </w:rPr>
        <w:t>, 3</w:t>
      </w:r>
      <w:r w:rsidR="00B43B79">
        <w:rPr>
          <w:rFonts w:eastAsia="Cambria" w:cs="Times New Roman"/>
          <w:szCs w:val="20"/>
        </w:rPr>
        <w:t>5</w:t>
      </w:r>
      <w:r w:rsidR="00124430">
        <w:rPr>
          <w:rFonts w:eastAsia="Cambria" w:cs="Times New Roman"/>
          <w:szCs w:val="20"/>
        </w:rPr>
        <w:t>, 3</w:t>
      </w:r>
      <w:r w:rsidR="00B43B79">
        <w:rPr>
          <w:rFonts w:eastAsia="Cambria" w:cs="Times New Roman"/>
          <w:szCs w:val="20"/>
        </w:rPr>
        <w:t>6</w:t>
      </w:r>
      <w:r w:rsidR="00124430">
        <w:rPr>
          <w:rFonts w:eastAsia="Cambria" w:cs="Times New Roman"/>
          <w:szCs w:val="20"/>
        </w:rPr>
        <w:t>, 3</w:t>
      </w:r>
      <w:r w:rsidR="00B43B79">
        <w:rPr>
          <w:rFonts w:eastAsia="Cambria" w:cs="Times New Roman"/>
          <w:szCs w:val="20"/>
        </w:rPr>
        <w:t>7</w:t>
      </w:r>
      <w:r w:rsidR="00124430">
        <w:rPr>
          <w:rFonts w:eastAsia="Cambria" w:cs="Times New Roman"/>
          <w:szCs w:val="20"/>
        </w:rPr>
        <w:t>, 4</w:t>
      </w:r>
      <w:r w:rsidR="00B43B79">
        <w:rPr>
          <w:rFonts w:eastAsia="Cambria" w:cs="Times New Roman"/>
          <w:szCs w:val="20"/>
        </w:rPr>
        <w:t>0</w:t>
      </w:r>
      <w:r w:rsidR="00124430">
        <w:rPr>
          <w:rFonts w:eastAsia="Cambria" w:cs="Times New Roman"/>
          <w:szCs w:val="20"/>
        </w:rPr>
        <w:t>, 4</w:t>
      </w:r>
      <w:r w:rsidR="00B43B79">
        <w:rPr>
          <w:rFonts w:eastAsia="Cambria" w:cs="Times New Roman"/>
          <w:szCs w:val="20"/>
        </w:rPr>
        <w:t>1</w:t>
      </w:r>
      <w:r w:rsidR="00124430">
        <w:rPr>
          <w:rFonts w:eastAsia="Cambria" w:cs="Times New Roman"/>
          <w:szCs w:val="20"/>
        </w:rPr>
        <w:t xml:space="preserve">, </w:t>
      </w:r>
      <w:r w:rsidR="009B1A8F">
        <w:rPr>
          <w:rFonts w:eastAsia="Cambria" w:cs="Times New Roman"/>
          <w:szCs w:val="20"/>
        </w:rPr>
        <w:t xml:space="preserve">42, </w:t>
      </w:r>
      <w:r w:rsidR="001C2861">
        <w:rPr>
          <w:rFonts w:eastAsia="Cambria" w:cs="Times New Roman"/>
          <w:szCs w:val="20"/>
        </w:rPr>
        <w:t>5</w:t>
      </w:r>
      <w:r w:rsidR="00B43B79">
        <w:rPr>
          <w:rFonts w:eastAsia="Cambria" w:cs="Times New Roman"/>
          <w:szCs w:val="20"/>
        </w:rPr>
        <w:t>5</w:t>
      </w:r>
      <w:r w:rsidR="001C2861">
        <w:rPr>
          <w:rFonts w:eastAsia="Cambria" w:cs="Times New Roman"/>
          <w:szCs w:val="20"/>
        </w:rPr>
        <w:t xml:space="preserve"> a 5</w:t>
      </w:r>
      <w:r w:rsidR="00B43B79">
        <w:rPr>
          <w:rFonts w:eastAsia="Cambria" w:cs="Times New Roman"/>
          <w:szCs w:val="20"/>
        </w:rPr>
        <w:t>8</w:t>
      </w:r>
      <w:r w:rsidR="001C2861">
        <w:rPr>
          <w:rFonts w:eastAsia="Cambria" w:cs="Times New Roman"/>
          <w:szCs w:val="20"/>
        </w:rPr>
        <w:t>, 6</w:t>
      </w:r>
      <w:r w:rsidR="00B43B79">
        <w:rPr>
          <w:rFonts w:eastAsia="Cambria" w:cs="Times New Roman"/>
          <w:szCs w:val="20"/>
        </w:rPr>
        <w:t>4</w:t>
      </w:r>
      <w:r w:rsidR="0084197D">
        <w:rPr>
          <w:rFonts w:eastAsia="Cambria" w:cs="Times New Roman"/>
          <w:szCs w:val="20"/>
        </w:rPr>
        <w:t xml:space="preserve"> a </w:t>
      </w:r>
      <w:r w:rsidR="001C2861">
        <w:rPr>
          <w:rFonts w:eastAsia="Cambria" w:cs="Times New Roman"/>
          <w:szCs w:val="20"/>
        </w:rPr>
        <w:t>6</w:t>
      </w:r>
      <w:r w:rsidR="00B43B79">
        <w:rPr>
          <w:rFonts w:eastAsia="Cambria" w:cs="Times New Roman"/>
          <w:szCs w:val="20"/>
        </w:rPr>
        <w:t>7</w:t>
      </w:r>
      <w:r w:rsidR="001C2861">
        <w:rPr>
          <w:rFonts w:eastAsia="Cambria" w:cs="Times New Roman"/>
          <w:szCs w:val="20"/>
        </w:rPr>
        <w:t>, 7</w:t>
      </w:r>
      <w:r w:rsidR="00B43B79">
        <w:rPr>
          <w:rFonts w:eastAsia="Cambria" w:cs="Times New Roman"/>
          <w:szCs w:val="20"/>
        </w:rPr>
        <w:t>6</w:t>
      </w:r>
      <w:r w:rsidR="001C2861">
        <w:rPr>
          <w:rFonts w:eastAsia="Cambria" w:cs="Times New Roman"/>
          <w:szCs w:val="20"/>
        </w:rPr>
        <w:t xml:space="preserve"> a 8</w:t>
      </w:r>
      <w:r w:rsidR="00B43B79">
        <w:rPr>
          <w:rFonts w:eastAsia="Cambria" w:cs="Times New Roman"/>
          <w:szCs w:val="20"/>
        </w:rPr>
        <w:t>0</w:t>
      </w:r>
      <w:r w:rsidR="001C2861">
        <w:rPr>
          <w:rFonts w:eastAsia="Cambria" w:cs="Times New Roman"/>
          <w:szCs w:val="20"/>
        </w:rPr>
        <w:t>, 8</w:t>
      </w:r>
      <w:r w:rsidR="00B43B79">
        <w:rPr>
          <w:rFonts w:eastAsia="Cambria" w:cs="Times New Roman"/>
          <w:szCs w:val="20"/>
        </w:rPr>
        <w:t>5</w:t>
      </w:r>
      <w:r w:rsidR="001C2861">
        <w:rPr>
          <w:rFonts w:eastAsia="Cambria" w:cs="Times New Roman"/>
          <w:szCs w:val="20"/>
        </w:rPr>
        <w:t xml:space="preserve"> a 8</w:t>
      </w:r>
      <w:r w:rsidR="00B43B79">
        <w:rPr>
          <w:rFonts w:eastAsia="Cambria" w:cs="Times New Roman"/>
          <w:szCs w:val="20"/>
        </w:rPr>
        <w:t>8</w:t>
      </w:r>
      <w:r w:rsidRPr="00387937">
        <w:rPr>
          <w:rFonts w:eastAsia="Cambria" w:cs="Times New Roman"/>
          <w:szCs w:val="20"/>
        </w:rPr>
        <w:t xml:space="preserve"> de la presente Sentencia. </w:t>
      </w:r>
      <w:r w:rsidRPr="00387937">
        <w:rPr>
          <w:rFonts w:eastAsia="Cambria" w:cs="Times New Roman"/>
          <w:szCs w:val="20"/>
        </w:rPr>
        <w:cr/>
      </w:r>
    </w:p>
    <w:p w14:paraId="3CCB96D9" w14:textId="35D25996" w:rsidR="00387937" w:rsidRPr="00335787" w:rsidRDefault="00387937" w:rsidP="00335787">
      <w:pPr>
        <w:pStyle w:val="ListParagraph"/>
        <w:numPr>
          <w:ilvl w:val="3"/>
          <w:numId w:val="1"/>
        </w:numPr>
        <w:tabs>
          <w:tab w:val="left" w:pos="720"/>
        </w:tabs>
        <w:ind w:left="0" w:right="-90" w:firstLine="0"/>
        <w:rPr>
          <w:rFonts w:eastAsia="Cambria" w:cs="Times New Roman"/>
        </w:rPr>
      </w:pPr>
      <w:r w:rsidRPr="00335787">
        <w:rPr>
          <w:rFonts w:eastAsia="MS Mincho" w:cs="Times New Roman"/>
          <w:szCs w:val="20"/>
        </w:rPr>
        <w:t>Declarar parcialmente procedente</w:t>
      </w:r>
      <w:r w:rsidR="00554FA9" w:rsidRPr="00335787">
        <w:rPr>
          <w:rFonts w:eastAsia="MS Mincho" w:cs="Times New Roman"/>
          <w:szCs w:val="20"/>
        </w:rPr>
        <w:t>s</w:t>
      </w:r>
      <w:r w:rsidRPr="00335787">
        <w:rPr>
          <w:rFonts w:eastAsia="Cambria" w:cs="Times New Roman"/>
          <w:szCs w:val="20"/>
        </w:rPr>
        <w:t xml:space="preserve"> la</w:t>
      </w:r>
      <w:r w:rsidR="00554FA9" w:rsidRPr="00335787">
        <w:rPr>
          <w:rFonts w:eastAsia="Cambria" w:cs="Times New Roman"/>
          <w:szCs w:val="20"/>
        </w:rPr>
        <w:t>s excepcio</w:t>
      </w:r>
      <w:r w:rsidRPr="00335787">
        <w:rPr>
          <w:rFonts w:eastAsia="Cambria" w:cs="Times New Roman"/>
          <w:szCs w:val="20"/>
        </w:rPr>
        <w:t>n</w:t>
      </w:r>
      <w:r w:rsidR="00554FA9" w:rsidRPr="00335787">
        <w:rPr>
          <w:rFonts w:eastAsia="Cambria" w:cs="Times New Roman"/>
          <w:szCs w:val="20"/>
        </w:rPr>
        <w:t>es</w:t>
      </w:r>
      <w:r w:rsidRPr="00335787">
        <w:rPr>
          <w:rFonts w:eastAsia="Cambria" w:cs="Times New Roman"/>
          <w:szCs w:val="20"/>
        </w:rPr>
        <w:t xml:space="preserve"> preliminar</w:t>
      </w:r>
      <w:r w:rsidR="00554FA9" w:rsidRPr="00335787">
        <w:rPr>
          <w:rFonts w:eastAsia="Cambria" w:cs="Times New Roman"/>
          <w:szCs w:val="20"/>
        </w:rPr>
        <w:t>es</w:t>
      </w:r>
      <w:r w:rsidRPr="00335787">
        <w:rPr>
          <w:rFonts w:eastAsia="Cambria" w:cs="Times New Roman"/>
          <w:szCs w:val="20"/>
        </w:rPr>
        <w:t xml:space="preserve"> interpuesta</w:t>
      </w:r>
      <w:r w:rsidR="00554FA9" w:rsidRPr="00335787">
        <w:rPr>
          <w:rFonts w:eastAsia="Cambria" w:cs="Times New Roman"/>
          <w:szCs w:val="20"/>
        </w:rPr>
        <w:t>s</w:t>
      </w:r>
      <w:r w:rsidRPr="00335787">
        <w:rPr>
          <w:rFonts w:eastAsia="Cambria" w:cs="Times New Roman"/>
          <w:szCs w:val="20"/>
        </w:rPr>
        <w:t xml:space="preserve"> por el Estado relativa</w:t>
      </w:r>
      <w:r w:rsidR="00554FA9" w:rsidRPr="00335787">
        <w:rPr>
          <w:rFonts w:eastAsia="Cambria" w:cs="Times New Roman"/>
          <w:szCs w:val="20"/>
        </w:rPr>
        <w:t>s</w:t>
      </w:r>
      <w:r w:rsidRPr="00335787">
        <w:rPr>
          <w:rFonts w:eastAsia="Cambria" w:cs="Times New Roman"/>
          <w:szCs w:val="20"/>
        </w:rPr>
        <w:t xml:space="preserve"> a</w:t>
      </w:r>
      <w:r w:rsidR="00554FA9" w:rsidRPr="00335787">
        <w:rPr>
          <w:rFonts w:eastAsia="Cambria" w:cs="Times New Roman"/>
          <w:szCs w:val="20"/>
        </w:rPr>
        <w:t xml:space="preserve"> </w:t>
      </w:r>
      <w:r w:rsidR="00554FA9" w:rsidRPr="00335787">
        <w:rPr>
          <w:rFonts w:eastAsia="Batang" w:cs="Times"/>
          <w:noProof/>
          <w:szCs w:val="24"/>
          <w:lang w:val="es-MX" w:eastAsia="es-ES"/>
        </w:rPr>
        <w:t xml:space="preserve">la incompetencia </w:t>
      </w:r>
      <w:r w:rsidR="00554FA9" w:rsidRPr="00335787">
        <w:rPr>
          <w:rFonts w:eastAsia="Batang" w:cs="Times"/>
          <w:i/>
          <w:noProof/>
          <w:szCs w:val="24"/>
          <w:lang w:val="es-MX" w:eastAsia="es-ES"/>
        </w:rPr>
        <w:t>ratione personae</w:t>
      </w:r>
      <w:r w:rsidR="00554FA9" w:rsidRPr="00335787">
        <w:rPr>
          <w:rFonts w:eastAsia="Batang" w:cs="Times"/>
          <w:noProof/>
          <w:szCs w:val="24"/>
          <w:lang w:val="es-MX" w:eastAsia="es-ES"/>
        </w:rPr>
        <w:t>, respecto de</w:t>
      </w:r>
      <w:r w:rsidR="00554FA9" w:rsidRPr="00335787">
        <w:rPr>
          <w:rFonts w:eastAsia="Cambria" w:cs="Times New Roman"/>
          <w:szCs w:val="20"/>
        </w:rPr>
        <w:t xml:space="preserve"> víctimas </w:t>
      </w:r>
      <w:r w:rsidR="00554FA9" w:rsidRPr="00335787">
        <w:rPr>
          <w:rFonts w:eastAsia="Batang" w:cs="Times"/>
          <w:noProof/>
          <w:szCs w:val="24"/>
          <w:lang w:val="es-MX" w:eastAsia="es-ES"/>
        </w:rPr>
        <w:t xml:space="preserve">no </w:t>
      </w:r>
      <w:r w:rsidR="008028A2">
        <w:rPr>
          <w:rFonts w:eastAsia="Batang" w:cs="Times"/>
          <w:noProof/>
          <w:szCs w:val="24"/>
          <w:lang w:val="es-MX" w:eastAsia="es-ES"/>
        </w:rPr>
        <w:t xml:space="preserve">includídas </w:t>
      </w:r>
      <w:r w:rsidR="00554FA9" w:rsidRPr="00335787">
        <w:rPr>
          <w:rFonts w:eastAsia="Batang" w:cs="Times"/>
          <w:noProof/>
          <w:szCs w:val="24"/>
          <w:lang w:val="es-MX" w:eastAsia="es-ES"/>
        </w:rPr>
        <w:t>en el Informe de Fondo de la Comisión, y</w:t>
      </w:r>
      <w:r w:rsidRPr="00335787">
        <w:rPr>
          <w:rFonts w:eastAsia="Cambria" w:cs="Times New Roman"/>
          <w:szCs w:val="20"/>
        </w:rPr>
        <w:t xml:space="preserve"> </w:t>
      </w:r>
      <w:r w:rsidRPr="00335787">
        <w:rPr>
          <w:rFonts w:eastAsia="Batang" w:cs="Times"/>
          <w:noProof/>
          <w:szCs w:val="24"/>
          <w:lang w:val="es-MX" w:eastAsia="es-ES"/>
        </w:rPr>
        <w:t xml:space="preserve">la incompetencia </w:t>
      </w:r>
      <w:r w:rsidRPr="00335787">
        <w:rPr>
          <w:rFonts w:eastAsia="Batang" w:cs="Times"/>
          <w:i/>
          <w:noProof/>
          <w:szCs w:val="24"/>
          <w:lang w:val="es-MX" w:eastAsia="es-ES"/>
        </w:rPr>
        <w:t>ratione temporis</w:t>
      </w:r>
      <w:r w:rsidRPr="00335787">
        <w:rPr>
          <w:rFonts w:eastAsia="Batang" w:cs="Times"/>
          <w:noProof/>
          <w:szCs w:val="24"/>
          <w:lang w:val="es-MX" w:eastAsia="es-ES"/>
        </w:rPr>
        <w:t xml:space="preserve"> respecto de hechos anteriores a la fecha de reconocimiento de la jurisdicción de la Corte por parte del Estado, </w:t>
      </w:r>
      <w:r w:rsidRPr="00335787">
        <w:rPr>
          <w:rFonts w:eastAsia="Cambria" w:cs="Times New Roman"/>
          <w:szCs w:val="20"/>
        </w:rPr>
        <w:t xml:space="preserve">en los términos de los párrafos </w:t>
      </w:r>
      <w:r w:rsidR="00124430">
        <w:rPr>
          <w:rFonts w:eastAsia="Cambria" w:cs="Times New Roman"/>
          <w:szCs w:val="20"/>
        </w:rPr>
        <w:t>3</w:t>
      </w:r>
      <w:r w:rsidR="00B43B79">
        <w:rPr>
          <w:rFonts w:eastAsia="Cambria" w:cs="Times New Roman"/>
          <w:szCs w:val="20"/>
        </w:rPr>
        <w:t>5</w:t>
      </w:r>
      <w:r w:rsidR="00124430">
        <w:rPr>
          <w:rFonts w:eastAsia="Cambria" w:cs="Times New Roman"/>
          <w:szCs w:val="20"/>
        </w:rPr>
        <w:t xml:space="preserve"> a 4</w:t>
      </w:r>
      <w:r w:rsidR="00B43B79">
        <w:rPr>
          <w:rFonts w:eastAsia="Cambria" w:cs="Times New Roman"/>
          <w:szCs w:val="20"/>
        </w:rPr>
        <w:t>0</w:t>
      </w:r>
      <w:r w:rsidR="00124430">
        <w:rPr>
          <w:rFonts w:eastAsia="Cambria" w:cs="Times New Roman"/>
          <w:szCs w:val="20"/>
        </w:rPr>
        <w:t xml:space="preserve"> y </w:t>
      </w:r>
      <w:r w:rsidR="00B43B79">
        <w:rPr>
          <w:rFonts w:eastAsia="Cambria" w:cs="Times New Roman"/>
          <w:szCs w:val="20"/>
        </w:rPr>
        <w:t>49</w:t>
      </w:r>
      <w:r w:rsidR="001C2861">
        <w:rPr>
          <w:rFonts w:eastAsia="Cambria" w:cs="Times New Roman"/>
          <w:szCs w:val="20"/>
        </w:rPr>
        <w:t xml:space="preserve"> a 5</w:t>
      </w:r>
      <w:r w:rsidR="00B43B79">
        <w:rPr>
          <w:rFonts w:eastAsia="Cambria" w:cs="Times New Roman"/>
          <w:szCs w:val="20"/>
        </w:rPr>
        <w:t>1</w:t>
      </w:r>
      <w:r w:rsidR="001C2861">
        <w:rPr>
          <w:rFonts w:eastAsia="Cambria" w:cs="Times New Roman"/>
          <w:szCs w:val="20"/>
        </w:rPr>
        <w:t xml:space="preserve"> </w:t>
      </w:r>
      <w:r w:rsidRPr="00335787">
        <w:rPr>
          <w:rFonts w:eastAsia="Cambria" w:cs="Times New Roman"/>
          <w:szCs w:val="20"/>
        </w:rPr>
        <w:t xml:space="preserve">de la presente Sentencia. </w:t>
      </w:r>
      <w:r w:rsidRPr="00335787">
        <w:rPr>
          <w:rFonts w:eastAsia="Cambria" w:cs="Times New Roman"/>
          <w:szCs w:val="20"/>
        </w:rPr>
        <w:cr/>
      </w:r>
    </w:p>
    <w:p w14:paraId="6966CBBC" w14:textId="77777777" w:rsidR="00387937" w:rsidRPr="00E90FA0" w:rsidRDefault="00387937" w:rsidP="00387937">
      <w:pPr>
        <w:tabs>
          <w:tab w:val="left" w:pos="720"/>
        </w:tabs>
        <w:ind w:right="-90"/>
        <w:contextualSpacing/>
        <w:rPr>
          <w:rFonts w:eastAsia="MS Mincho" w:cs="Times New Roman"/>
          <w:szCs w:val="20"/>
          <w:lang w:val="es-ES_tradnl" w:bidi="en-US"/>
        </w:rPr>
      </w:pPr>
      <w:r w:rsidRPr="00E90FA0">
        <w:rPr>
          <w:rFonts w:eastAsia="MS Mincho" w:cs="Times New Roman"/>
          <w:b/>
          <w:bCs/>
          <w:szCs w:val="20"/>
          <w:lang w:val="es-ES_tradnl" w:bidi="en-US"/>
        </w:rPr>
        <w:t xml:space="preserve">DECLARA: </w:t>
      </w:r>
    </w:p>
    <w:p w14:paraId="27A2E163" w14:textId="77777777" w:rsidR="00387937" w:rsidRPr="00E90FA0" w:rsidRDefault="00387937" w:rsidP="00387937">
      <w:pPr>
        <w:tabs>
          <w:tab w:val="left" w:pos="720"/>
        </w:tabs>
        <w:ind w:right="-90"/>
        <w:contextualSpacing/>
        <w:rPr>
          <w:rFonts w:eastAsia="MS Mincho" w:cs="Times New Roman"/>
          <w:szCs w:val="20"/>
          <w:lang w:val="es-ES_tradnl" w:bidi="en-US"/>
        </w:rPr>
      </w:pPr>
    </w:p>
    <w:p w14:paraId="49FB1D22" w14:textId="06C22636" w:rsidR="00387937" w:rsidRDefault="0028439F" w:rsidP="00387937">
      <w:pPr>
        <w:ind w:right="-90"/>
        <w:contextualSpacing/>
        <w:rPr>
          <w:rFonts w:eastAsia="MS Mincho" w:cs="Times New Roman"/>
          <w:szCs w:val="20"/>
          <w:lang w:val="es-ES_tradnl" w:bidi="en-US"/>
        </w:rPr>
      </w:pPr>
      <w:r w:rsidRPr="00E90FA0">
        <w:rPr>
          <w:rFonts w:eastAsia="MS Mincho" w:cs="Times New Roman"/>
          <w:szCs w:val="20"/>
          <w:lang w:val="es-ES_tradnl" w:bidi="en-US"/>
        </w:rPr>
        <w:t xml:space="preserve">Por </w:t>
      </w:r>
      <w:r>
        <w:rPr>
          <w:rFonts w:eastAsia="MS Mincho" w:cs="Times New Roman"/>
          <w:szCs w:val="20"/>
          <w:lang w:val="es-ES_tradnl" w:bidi="en-US"/>
        </w:rPr>
        <w:t>unanimidad</w:t>
      </w:r>
      <w:r w:rsidRPr="00E90FA0">
        <w:rPr>
          <w:rFonts w:eastAsia="MS Mincho" w:cs="Times New Roman"/>
          <w:szCs w:val="20"/>
          <w:lang w:val="es-ES_tradnl" w:bidi="en-US"/>
        </w:rPr>
        <w:t>,</w:t>
      </w:r>
      <w:r>
        <w:rPr>
          <w:rFonts w:eastAsia="MS Mincho" w:cs="Times New Roman"/>
          <w:szCs w:val="20"/>
          <w:lang w:val="es-ES_tradnl" w:bidi="en-US"/>
        </w:rPr>
        <w:t xml:space="preserve"> que:</w:t>
      </w:r>
    </w:p>
    <w:p w14:paraId="2D1AB863" w14:textId="77777777" w:rsidR="000C4C76" w:rsidRPr="00E90FA0" w:rsidRDefault="000C4C76" w:rsidP="00387937">
      <w:pPr>
        <w:ind w:right="-90"/>
        <w:contextualSpacing/>
        <w:rPr>
          <w:rFonts w:eastAsia="MS Mincho" w:cs="Times New Roman"/>
          <w:szCs w:val="20"/>
          <w:lang w:val="es-ES_tradnl" w:bidi="en-US"/>
        </w:rPr>
      </w:pPr>
    </w:p>
    <w:p w14:paraId="419989BA" w14:textId="2862FABB" w:rsidR="00387937" w:rsidRPr="00C11590" w:rsidRDefault="00387937" w:rsidP="007217DB">
      <w:pPr>
        <w:pStyle w:val="ListParagraph"/>
        <w:numPr>
          <w:ilvl w:val="3"/>
          <w:numId w:val="1"/>
        </w:numPr>
        <w:tabs>
          <w:tab w:val="left" w:pos="720"/>
        </w:tabs>
        <w:ind w:left="0" w:right="-90" w:firstLine="0"/>
        <w:rPr>
          <w:rFonts w:eastAsia="Cambria" w:cs="Times New Roman"/>
          <w:szCs w:val="20"/>
          <w:lang w:val="es-ES"/>
        </w:rPr>
      </w:pPr>
      <w:r w:rsidRPr="00C11590">
        <w:rPr>
          <w:rFonts w:eastAsia="Cambria" w:cs="Times New Roman"/>
          <w:szCs w:val="20"/>
          <w:lang w:val="es-ES"/>
        </w:rPr>
        <w:t xml:space="preserve">El </w:t>
      </w:r>
      <w:r w:rsidRPr="00C11590">
        <w:rPr>
          <w:rFonts w:eastAsia="MS Mincho" w:cs="Times New Roman"/>
          <w:szCs w:val="20"/>
          <w:lang w:val="es-ES"/>
        </w:rPr>
        <w:t>Estado</w:t>
      </w:r>
      <w:r w:rsidRPr="00C11590">
        <w:rPr>
          <w:rFonts w:eastAsia="Cambria" w:cs="Times New Roman"/>
          <w:szCs w:val="20"/>
          <w:lang w:val="es-ES"/>
        </w:rPr>
        <w:t xml:space="preserve"> es responsable por </w:t>
      </w:r>
      <w:r w:rsidRPr="00C11590">
        <w:rPr>
          <w:rFonts w:eastAsia="Cambria" w:cs="Times New Roman"/>
          <w:lang w:val="es-ES"/>
        </w:rPr>
        <w:t>la violación de</w:t>
      </w:r>
      <w:r w:rsidR="008028A2" w:rsidRPr="00C11590">
        <w:rPr>
          <w:rFonts w:eastAsia="Cambria" w:cs="Times New Roman"/>
          <w:lang w:val="es-ES"/>
        </w:rPr>
        <w:t>l derecho a</w:t>
      </w:r>
      <w:r w:rsidR="0099307C" w:rsidRPr="00C11590">
        <w:rPr>
          <w:rFonts w:eastAsia="Cambria" w:cs="Times New Roman"/>
          <w:lang w:val="es-ES"/>
        </w:rPr>
        <w:t xml:space="preserve"> las garantías </w:t>
      </w:r>
      <w:r w:rsidR="008028A2" w:rsidRPr="00C11590">
        <w:rPr>
          <w:rFonts w:eastAsia="Cambria" w:cs="Times New Roman"/>
          <w:lang w:val="es-ES"/>
        </w:rPr>
        <w:t xml:space="preserve">judiciales </w:t>
      </w:r>
      <w:r w:rsidR="0099307C" w:rsidRPr="00C11590">
        <w:rPr>
          <w:rFonts w:eastAsia="Cambria" w:cs="Times New Roman"/>
          <w:lang w:val="es-ES"/>
        </w:rPr>
        <w:t>de independencia e imparcialidad</w:t>
      </w:r>
      <w:r w:rsidR="008028A2" w:rsidRPr="00C11590">
        <w:rPr>
          <w:rFonts w:eastAsia="Cambria" w:cs="Times New Roman"/>
          <w:lang w:val="es-ES"/>
        </w:rPr>
        <w:t xml:space="preserve"> de la investigación</w:t>
      </w:r>
      <w:r w:rsidR="0099307C" w:rsidRPr="00C11590">
        <w:rPr>
          <w:rFonts w:eastAsia="Cambria" w:cs="Times New Roman"/>
          <w:lang w:val="es-ES"/>
        </w:rPr>
        <w:t xml:space="preserve">, debida diligencia y plazo razonable, </w:t>
      </w:r>
      <w:r w:rsidR="0099307C" w:rsidRPr="00C11590">
        <w:rPr>
          <w:rFonts w:eastAsia="Cambria" w:cs="Times New Roman"/>
          <w:lang w:val="es-ES"/>
        </w:rPr>
        <w:lastRenderedPageBreak/>
        <w:t>establecidas en el artículo 8</w:t>
      </w:r>
      <w:r w:rsidRPr="00C11590">
        <w:rPr>
          <w:rFonts w:eastAsia="Cambria" w:cs="Times New Roman"/>
          <w:lang w:val="es-ES"/>
        </w:rPr>
        <w:t xml:space="preserve">.1 de la Convención Americana sobre Derechos Humanos, en relación con </w:t>
      </w:r>
      <w:r w:rsidR="0099307C" w:rsidRPr="00C11590">
        <w:rPr>
          <w:rFonts w:eastAsia="Cambria" w:cs="Times New Roman"/>
          <w:lang w:val="es-ES"/>
        </w:rPr>
        <w:t xml:space="preserve">el artículo 1.1 </w:t>
      </w:r>
      <w:r w:rsidRPr="00C11590">
        <w:rPr>
          <w:rFonts w:eastAsia="Cambria" w:cs="Times New Roman"/>
          <w:lang w:val="es-ES"/>
        </w:rPr>
        <w:t>del mismo instrumen</w:t>
      </w:r>
      <w:r w:rsidR="0099307C" w:rsidRPr="00C11590">
        <w:rPr>
          <w:rFonts w:eastAsia="Cambria" w:cs="Times New Roman"/>
          <w:lang w:val="es-ES"/>
        </w:rPr>
        <w:t xml:space="preserve">to, en perjuicio de </w:t>
      </w:r>
      <w:r w:rsidR="008028A2" w:rsidRPr="00C11590">
        <w:rPr>
          <w:rFonts w:eastAsia="Cambria" w:cs="Times New Roman"/>
          <w:lang w:val="es-ES"/>
        </w:rPr>
        <w:t>las personas indicadas e</w:t>
      </w:r>
      <w:r w:rsidR="003B46A2">
        <w:rPr>
          <w:rFonts w:eastAsia="Cambria" w:cs="Times New Roman"/>
          <w:lang w:val="es-ES"/>
        </w:rPr>
        <w:t>n</w:t>
      </w:r>
      <w:r w:rsidR="008028A2" w:rsidRPr="00C11590">
        <w:rPr>
          <w:rFonts w:eastAsia="Cambria" w:cs="Times New Roman"/>
          <w:lang w:val="es-ES"/>
        </w:rPr>
        <w:t xml:space="preserve"> </w:t>
      </w:r>
      <w:r w:rsidR="00124430">
        <w:rPr>
          <w:rFonts w:eastAsia="Cambria" w:cs="Times New Roman"/>
          <w:lang w:val="es-ES"/>
        </w:rPr>
        <w:t>los</w:t>
      </w:r>
      <w:r w:rsidR="008028A2" w:rsidRPr="00C11590">
        <w:rPr>
          <w:rFonts w:eastAsia="Cambria" w:cs="Times New Roman"/>
          <w:lang w:val="es-ES"/>
        </w:rPr>
        <w:t xml:space="preserve"> párrafo</w:t>
      </w:r>
      <w:r w:rsidR="00124430">
        <w:rPr>
          <w:rFonts w:eastAsia="Cambria" w:cs="Times New Roman"/>
          <w:lang w:val="es-ES"/>
        </w:rPr>
        <w:t>s</w:t>
      </w:r>
      <w:r w:rsidR="008028A2" w:rsidRPr="00C11590">
        <w:rPr>
          <w:rFonts w:eastAsia="Cambria" w:cs="Times New Roman"/>
          <w:lang w:val="es-ES"/>
        </w:rPr>
        <w:t xml:space="preserve"> </w:t>
      </w:r>
      <w:r w:rsidR="00124430">
        <w:rPr>
          <w:rFonts w:eastAsia="Cambria" w:cs="Times New Roman"/>
          <w:lang w:val="es-ES"/>
        </w:rPr>
        <w:t>22</w:t>
      </w:r>
      <w:r w:rsidR="00B43B79">
        <w:rPr>
          <w:rFonts w:eastAsia="Cambria" w:cs="Times New Roman"/>
          <w:lang w:val="es-ES"/>
        </w:rPr>
        <w:t>4</w:t>
      </w:r>
      <w:r w:rsidR="00124430">
        <w:rPr>
          <w:rFonts w:eastAsia="Cambria" w:cs="Times New Roman"/>
          <w:lang w:val="es-ES"/>
        </w:rPr>
        <w:t xml:space="preserve"> y 23</w:t>
      </w:r>
      <w:r w:rsidR="00B43B79">
        <w:rPr>
          <w:rFonts w:eastAsia="Cambria" w:cs="Times New Roman"/>
          <w:lang w:val="es-ES"/>
        </w:rPr>
        <w:t>1</w:t>
      </w:r>
      <w:r w:rsidR="008028A2" w:rsidRPr="00C11590">
        <w:rPr>
          <w:rFonts w:eastAsia="Cambria" w:cs="Times New Roman"/>
          <w:lang w:val="es-ES"/>
        </w:rPr>
        <w:t xml:space="preserve"> de la presente Sentencia, </w:t>
      </w:r>
      <w:r w:rsidRPr="00C11590">
        <w:rPr>
          <w:rFonts w:eastAsia="Cambria" w:cs="Times New Roman"/>
          <w:szCs w:val="20"/>
          <w:lang w:val="es-ES"/>
        </w:rPr>
        <w:t xml:space="preserve">en los términos de los párrafos </w:t>
      </w:r>
      <w:r w:rsidR="00124430">
        <w:rPr>
          <w:rFonts w:eastAsia="Cambria" w:cs="Times New Roman"/>
          <w:szCs w:val="20"/>
          <w:lang w:val="es-ES"/>
        </w:rPr>
        <w:t>17</w:t>
      </w:r>
      <w:r w:rsidR="00B43B79">
        <w:rPr>
          <w:rFonts w:eastAsia="Cambria" w:cs="Times New Roman"/>
          <w:szCs w:val="20"/>
          <w:lang w:val="es-ES"/>
        </w:rPr>
        <w:t>2</w:t>
      </w:r>
      <w:r w:rsidR="00124430">
        <w:rPr>
          <w:rFonts w:eastAsia="Cambria" w:cs="Times New Roman"/>
          <w:szCs w:val="20"/>
          <w:lang w:val="es-ES"/>
        </w:rPr>
        <w:t xml:space="preserve"> a 23</w:t>
      </w:r>
      <w:r w:rsidR="00B43B79">
        <w:rPr>
          <w:rFonts w:eastAsia="Cambria" w:cs="Times New Roman"/>
          <w:szCs w:val="20"/>
          <w:lang w:val="es-ES"/>
        </w:rPr>
        <w:t>1</w:t>
      </w:r>
      <w:r w:rsidRPr="00C11590">
        <w:rPr>
          <w:rFonts w:eastAsia="Cambria" w:cs="Times New Roman"/>
          <w:szCs w:val="20"/>
          <w:lang w:val="es-ES"/>
        </w:rPr>
        <w:t xml:space="preserve"> de la </w:t>
      </w:r>
      <w:r w:rsidR="008028A2" w:rsidRPr="00C11590">
        <w:rPr>
          <w:rFonts w:eastAsia="Cambria" w:cs="Times New Roman"/>
          <w:szCs w:val="20"/>
          <w:lang w:val="es-ES"/>
        </w:rPr>
        <w:t>misma</w:t>
      </w:r>
      <w:r w:rsidRPr="00C11590">
        <w:rPr>
          <w:rFonts w:eastAsia="Cambria" w:cs="Times New Roman"/>
          <w:lang w:val="es-ES"/>
        </w:rPr>
        <w:t xml:space="preserve">. </w:t>
      </w:r>
    </w:p>
    <w:p w14:paraId="435BBDE0" w14:textId="77777777" w:rsidR="00387937" w:rsidRPr="00C11590" w:rsidRDefault="00387937" w:rsidP="00387937">
      <w:pPr>
        <w:ind w:right="-90"/>
        <w:contextualSpacing/>
        <w:rPr>
          <w:rFonts w:eastAsia="MS Mincho" w:cs="Times New Roman"/>
          <w:szCs w:val="20"/>
          <w:lang w:val="es-ES" w:bidi="en-US"/>
        </w:rPr>
      </w:pPr>
    </w:p>
    <w:p w14:paraId="319004DB" w14:textId="06327FE9" w:rsidR="00387937" w:rsidRPr="00E90FA0" w:rsidRDefault="00387937" w:rsidP="00387937">
      <w:pPr>
        <w:ind w:right="-90"/>
        <w:contextualSpacing/>
        <w:rPr>
          <w:rFonts w:eastAsia="MS Mincho" w:cs="Times New Roman"/>
          <w:szCs w:val="20"/>
          <w:lang w:val="es-ES_tradnl" w:bidi="en-US"/>
        </w:rPr>
      </w:pPr>
      <w:r w:rsidRPr="00E90FA0">
        <w:rPr>
          <w:rFonts w:eastAsia="MS Mincho" w:cs="Times New Roman"/>
          <w:szCs w:val="20"/>
          <w:lang w:val="es-ES_tradnl" w:bidi="en-US"/>
        </w:rPr>
        <w:t xml:space="preserve">Por </w:t>
      </w:r>
      <w:r w:rsidR="0028439F">
        <w:rPr>
          <w:rFonts w:eastAsia="MS Mincho" w:cs="Times New Roman"/>
          <w:szCs w:val="20"/>
          <w:lang w:val="es-ES_tradnl" w:bidi="en-US"/>
        </w:rPr>
        <w:t>unanimidad</w:t>
      </w:r>
      <w:r w:rsidR="0028439F" w:rsidRPr="00E90FA0">
        <w:rPr>
          <w:rFonts w:eastAsia="MS Mincho" w:cs="Times New Roman"/>
          <w:szCs w:val="20"/>
          <w:lang w:val="es-ES_tradnl" w:bidi="en-US"/>
        </w:rPr>
        <w:t xml:space="preserve">, </w:t>
      </w:r>
      <w:r w:rsidRPr="00E90FA0">
        <w:rPr>
          <w:rFonts w:eastAsia="MS Mincho" w:cs="Times New Roman"/>
          <w:szCs w:val="20"/>
          <w:lang w:val="es-ES_tradnl" w:bidi="en-US"/>
        </w:rPr>
        <w:t>que:</w:t>
      </w:r>
    </w:p>
    <w:p w14:paraId="7D170E29" w14:textId="77777777" w:rsidR="00387937" w:rsidRPr="00E90FA0" w:rsidRDefault="00387937" w:rsidP="00387937">
      <w:pPr>
        <w:ind w:right="-90"/>
        <w:contextualSpacing/>
        <w:rPr>
          <w:rFonts w:eastAsia="MS Mincho" w:cs="Times New Roman"/>
          <w:szCs w:val="20"/>
          <w:lang w:val="es-ES_tradnl" w:bidi="en-US"/>
        </w:rPr>
      </w:pPr>
    </w:p>
    <w:p w14:paraId="5C13D43A" w14:textId="57594815" w:rsidR="007779D8" w:rsidRPr="00C11590" w:rsidRDefault="00387937" w:rsidP="007779D8">
      <w:pPr>
        <w:pStyle w:val="ListParagraph"/>
        <w:numPr>
          <w:ilvl w:val="3"/>
          <w:numId w:val="1"/>
        </w:numPr>
        <w:tabs>
          <w:tab w:val="left" w:pos="720"/>
        </w:tabs>
        <w:ind w:left="0" w:right="-90" w:firstLine="0"/>
        <w:rPr>
          <w:rFonts w:eastAsia="Cambria" w:cs="Times New Roman"/>
          <w:szCs w:val="20"/>
          <w:lang w:val="es-ES"/>
        </w:rPr>
      </w:pPr>
      <w:r w:rsidRPr="00C11590">
        <w:rPr>
          <w:rFonts w:eastAsia="Cambria" w:cs="Times New Roman"/>
          <w:szCs w:val="20"/>
          <w:lang w:val="es-ES"/>
        </w:rPr>
        <w:t xml:space="preserve">El Estado es responsable por </w:t>
      </w:r>
      <w:r w:rsidR="008D43C3">
        <w:rPr>
          <w:rFonts w:eastAsia="Cambria" w:cs="Times New Roman"/>
          <w:szCs w:val="20"/>
          <w:lang w:val="es-ES"/>
        </w:rPr>
        <w:t>la violación d</w:t>
      </w:r>
      <w:r w:rsidRPr="00C11590">
        <w:rPr>
          <w:rFonts w:eastAsia="Cambria" w:cs="Times New Roman"/>
          <w:szCs w:val="20"/>
          <w:lang w:val="es-ES"/>
        </w:rPr>
        <w:t xml:space="preserve">el derecho a la protección judicial, previsto en el artículo 25 de la Convención Americana sobre Derechos Humanos, en relación con los artículos 1.1 y 2 del mismo instrumento en perjuicio de </w:t>
      </w:r>
      <w:r w:rsidR="008028A2" w:rsidRPr="00C11590">
        <w:rPr>
          <w:rFonts w:eastAsia="Cambria" w:cs="Times New Roman"/>
          <w:szCs w:val="20"/>
          <w:lang w:val="es-ES"/>
        </w:rPr>
        <w:t xml:space="preserve">las personas indicadas en </w:t>
      </w:r>
      <w:r w:rsidR="00124430">
        <w:rPr>
          <w:rFonts w:eastAsia="Cambria" w:cs="Times New Roman"/>
          <w:szCs w:val="20"/>
          <w:lang w:val="es-ES"/>
        </w:rPr>
        <w:t>los</w:t>
      </w:r>
      <w:r w:rsidR="008028A2" w:rsidRPr="00C11590">
        <w:rPr>
          <w:rFonts w:eastAsia="Cambria" w:cs="Times New Roman"/>
          <w:szCs w:val="20"/>
          <w:lang w:val="es-ES"/>
        </w:rPr>
        <w:t xml:space="preserve"> párrafo</w:t>
      </w:r>
      <w:r w:rsidR="00124430">
        <w:rPr>
          <w:rFonts w:eastAsia="Cambria" w:cs="Times New Roman"/>
          <w:szCs w:val="20"/>
          <w:lang w:val="es-ES"/>
        </w:rPr>
        <w:t>s</w:t>
      </w:r>
      <w:r w:rsidR="008028A2" w:rsidRPr="00C11590">
        <w:rPr>
          <w:rFonts w:eastAsia="Cambria" w:cs="Times New Roman"/>
          <w:szCs w:val="20"/>
          <w:lang w:val="es-ES"/>
        </w:rPr>
        <w:t xml:space="preserve"> </w:t>
      </w:r>
      <w:r w:rsidR="00B43B79">
        <w:rPr>
          <w:rFonts w:eastAsia="Cambria" w:cs="Times New Roman"/>
          <w:szCs w:val="20"/>
          <w:lang w:val="es-ES"/>
        </w:rPr>
        <w:t>239</w:t>
      </w:r>
      <w:r w:rsidR="00124430">
        <w:rPr>
          <w:rFonts w:eastAsia="Cambria" w:cs="Times New Roman"/>
          <w:szCs w:val="20"/>
          <w:lang w:val="es-ES"/>
        </w:rPr>
        <w:t xml:space="preserve"> y 24</w:t>
      </w:r>
      <w:r w:rsidR="00B43B79">
        <w:rPr>
          <w:rFonts w:eastAsia="Cambria" w:cs="Times New Roman"/>
          <w:szCs w:val="20"/>
          <w:lang w:val="es-ES"/>
        </w:rPr>
        <w:t>2</w:t>
      </w:r>
      <w:r w:rsidR="008028A2" w:rsidRPr="00C11590">
        <w:rPr>
          <w:rFonts w:eastAsia="Cambria" w:cs="Times New Roman"/>
          <w:szCs w:val="20"/>
          <w:lang w:val="es-ES"/>
        </w:rPr>
        <w:t xml:space="preserve"> de la presente Sentencia, </w:t>
      </w:r>
      <w:r w:rsidR="005B670E" w:rsidRPr="00C11590">
        <w:rPr>
          <w:rFonts w:eastAsia="Cambria" w:cs="Times New Roman"/>
          <w:szCs w:val="20"/>
          <w:lang w:val="es-ES"/>
        </w:rPr>
        <w:t xml:space="preserve">en los términos de los párrafos </w:t>
      </w:r>
      <w:r w:rsidR="00497767">
        <w:rPr>
          <w:rFonts w:eastAsia="Cambria" w:cs="Times New Roman"/>
          <w:szCs w:val="20"/>
          <w:lang w:val="es-ES"/>
        </w:rPr>
        <w:t>17</w:t>
      </w:r>
      <w:r w:rsidR="00B43B79">
        <w:rPr>
          <w:rFonts w:eastAsia="Cambria" w:cs="Times New Roman"/>
          <w:szCs w:val="20"/>
          <w:lang w:val="es-ES"/>
        </w:rPr>
        <w:t>2</w:t>
      </w:r>
      <w:r w:rsidR="00497767">
        <w:rPr>
          <w:rFonts w:eastAsia="Cambria" w:cs="Times New Roman"/>
          <w:szCs w:val="20"/>
          <w:lang w:val="es-ES"/>
        </w:rPr>
        <w:t xml:space="preserve"> a 19</w:t>
      </w:r>
      <w:r w:rsidR="00B43B79">
        <w:rPr>
          <w:rFonts w:eastAsia="Cambria" w:cs="Times New Roman"/>
          <w:szCs w:val="20"/>
          <w:lang w:val="es-ES"/>
        </w:rPr>
        <w:t>7</w:t>
      </w:r>
      <w:r w:rsidR="00497767">
        <w:rPr>
          <w:rFonts w:eastAsia="Cambria" w:cs="Times New Roman"/>
          <w:szCs w:val="20"/>
          <w:lang w:val="es-ES"/>
        </w:rPr>
        <w:t xml:space="preserve"> y </w:t>
      </w:r>
      <w:r w:rsidR="00124430">
        <w:rPr>
          <w:rFonts w:eastAsia="Cambria" w:cs="Times New Roman"/>
          <w:szCs w:val="20"/>
          <w:lang w:val="es-ES"/>
        </w:rPr>
        <w:t>23</w:t>
      </w:r>
      <w:r w:rsidR="00B43B79">
        <w:rPr>
          <w:rFonts w:eastAsia="Cambria" w:cs="Times New Roman"/>
          <w:szCs w:val="20"/>
          <w:lang w:val="es-ES"/>
        </w:rPr>
        <w:t>2</w:t>
      </w:r>
      <w:r w:rsidR="00124430">
        <w:rPr>
          <w:rFonts w:eastAsia="Cambria" w:cs="Times New Roman"/>
          <w:szCs w:val="20"/>
          <w:lang w:val="es-ES"/>
        </w:rPr>
        <w:t xml:space="preserve"> </w:t>
      </w:r>
      <w:r w:rsidR="00497767">
        <w:rPr>
          <w:rFonts w:eastAsia="Cambria" w:cs="Times New Roman"/>
          <w:szCs w:val="20"/>
          <w:lang w:val="es-ES"/>
        </w:rPr>
        <w:t>a</w:t>
      </w:r>
      <w:r w:rsidR="00124430">
        <w:rPr>
          <w:rFonts w:eastAsia="Cambria" w:cs="Times New Roman"/>
          <w:szCs w:val="20"/>
          <w:lang w:val="es-ES"/>
        </w:rPr>
        <w:t xml:space="preserve"> 24</w:t>
      </w:r>
      <w:r w:rsidR="00B43B79">
        <w:rPr>
          <w:rFonts w:eastAsia="Cambria" w:cs="Times New Roman"/>
          <w:szCs w:val="20"/>
          <w:lang w:val="es-ES"/>
        </w:rPr>
        <w:t>2</w:t>
      </w:r>
      <w:r w:rsidR="005B670E" w:rsidRPr="00C11590">
        <w:rPr>
          <w:rFonts w:eastAsia="Cambria" w:cs="Times New Roman"/>
          <w:szCs w:val="20"/>
          <w:lang w:val="es-ES"/>
        </w:rPr>
        <w:t xml:space="preserve"> de la </w:t>
      </w:r>
      <w:r w:rsidR="008028A2" w:rsidRPr="00C11590">
        <w:rPr>
          <w:rFonts w:eastAsia="Cambria" w:cs="Times New Roman"/>
          <w:szCs w:val="20"/>
          <w:lang w:val="es-ES"/>
        </w:rPr>
        <w:t>misma</w:t>
      </w:r>
      <w:r w:rsidRPr="00C11590">
        <w:rPr>
          <w:rFonts w:eastAsia="Cambria" w:cs="Times New Roman"/>
          <w:szCs w:val="20"/>
          <w:lang w:val="es-ES"/>
        </w:rPr>
        <w:t>.</w:t>
      </w:r>
    </w:p>
    <w:p w14:paraId="080D10AA" w14:textId="77777777" w:rsidR="007779D8" w:rsidRPr="00C11590" w:rsidRDefault="007779D8" w:rsidP="007779D8">
      <w:pPr>
        <w:ind w:right="-90"/>
        <w:contextualSpacing/>
        <w:rPr>
          <w:rFonts w:eastAsia="MS Mincho" w:cs="Times New Roman"/>
          <w:szCs w:val="20"/>
          <w:lang w:val="es-ES" w:bidi="en-US"/>
        </w:rPr>
      </w:pPr>
    </w:p>
    <w:p w14:paraId="5FE878C0" w14:textId="5A61D127" w:rsidR="007779D8" w:rsidRPr="00E90FA0" w:rsidRDefault="007779D8" w:rsidP="007779D8">
      <w:pPr>
        <w:ind w:right="-90"/>
        <w:contextualSpacing/>
        <w:rPr>
          <w:rFonts w:eastAsia="MS Mincho" w:cs="Times New Roman"/>
          <w:szCs w:val="20"/>
          <w:lang w:val="es-ES_tradnl" w:bidi="en-US"/>
        </w:rPr>
      </w:pPr>
      <w:r w:rsidRPr="00E90FA0">
        <w:rPr>
          <w:rFonts w:eastAsia="MS Mincho" w:cs="Times New Roman"/>
          <w:szCs w:val="20"/>
          <w:lang w:val="es-ES_tradnl" w:bidi="en-US"/>
        </w:rPr>
        <w:t xml:space="preserve">Por </w:t>
      </w:r>
      <w:r w:rsidR="0028439F">
        <w:rPr>
          <w:rFonts w:eastAsia="MS Mincho" w:cs="Times New Roman"/>
          <w:szCs w:val="20"/>
          <w:lang w:val="es-ES_tradnl" w:bidi="en-US"/>
        </w:rPr>
        <w:t>unanimidad</w:t>
      </w:r>
      <w:r w:rsidRPr="00E90FA0">
        <w:rPr>
          <w:rFonts w:eastAsia="MS Mincho" w:cs="Times New Roman"/>
          <w:szCs w:val="20"/>
          <w:lang w:val="es-ES_tradnl" w:bidi="en-US"/>
        </w:rPr>
        <w:t>, que:</w:t>
      </w:r>
    </w:p>
    <w:p w14:paraId="746D3E68" w14:textId="77777777" w:rsidR="007779D8" w:rsidRPr="00E90FA0" w:rsidRDefault="007779D8" w:rsidP="007779D8">
      <w:pPr>
        <w:ind w:right="-90"/>
        <w:contextualSpacing/>
        <w:rPr>
          <w:rFonts w:eastAsia="MS Mincho" w:cs="Times New Roman"/>
          <w:szCs w:val="20"/>
          <w:lang w:val="es-ES_tradnl" w:bidi="en-US"/>
        </w:rPr>
      </w:pPr>
    </w:p>
    <w:p w14:paraId="35FCC2EE" w14:textId="7AC87DA3" w:rsidR="00062461" w:rsidRDefault="00062461" w:rsidP="00062461">
      <w:pPr>
        <w:pStyle w:val="ListParagraph"/>
        <w:numPr>
          <w:ilvl w:val="3"/>
          <w:numId w:val="1"/>
        </w:numPr>
        <w:tabs>
          <w:tab w:val="left" w:pos="720"/>
        </w:tabs>
        <w:ind w:left="0" w:right="-90" w:firstLine="0"/>
        <w:rPr>
          <w:rFonts w:eastAsia="Cambria" w:cs="Times New Roman"/>
          <w:szCs w:val="20"/>
          <w:lang w:val="es-ES"/>
        </w:rPr>
      </w:pPr>
      <w:r w:rsidRPr="007779D8">
        <w:rPr>
          <w:rFonts w:eastAsia="Cambria" w:cs="Times New Roman"/>
          <w:szCs w:val="20"/>
          <w:lang w:val="es-ES"/>
        </w:rPr>
        <w:t xml:space="preserve">El Estado es responsable por </w:t>
      </w:r>
      <w:r w:rsidR="008D43C3">
        <w:rPr>
          <w:rFonts w:eastAsia="Cambria" w:cs="Times New Roman"/>
          <w:szCs w:val="20"/>
          <w:lang w:val="es-ES"/>
        </w:rPr>
        <w:t xml:space="preserve">la violación de </w:t>
      </w:r>
      <w:r>
        <w:rPr>
          <w:rFonts w:eastAsia="Cambria" w:cs="Times New Roman"/>
          <w:szCs w:val="20"/>
          <w:lang w:val="es-ES"/>
        </w:rPr>
        <w:t xml:space="preserve">los </w:t>
      </w:r>
      <w:r w:rsidRPr="007779D8">
        <w:rPr>
          <w:rFonts w:eastAsia="Cambria" w:cs="Times New Roman"/>
          <w:szCs w:val="20"/>
          <w:lang w:val="es-ES"/>
        </w:rPr>
        <w:t>derecho</w:t>
      </w:r>
      <w:r>
        <w:rPr>
          <w:rFonts w:eastAsia="Cambria" w:cs="Times New Roman"/>
          <w:szCs w:val="20"/>
          <w:lang w:val="es-ES"/>
        </w:rPr>
        <w:t>s</w:t>
      </w:r>
      <w:r w:rsidRPr="007779D8">
        <w:rPr>
          <w:rFonts w:eastAsia="Cambria" w:cs="Times New Roman"/>
          <w:szCs w:val="20"/>
          <w:lang w:val="es-ES"/>
        </w:rPr>
        <w:t xml:space="preserve"> a la protección judicial</w:t>
      </w:r>
      <w:r>
        <w:rPr>
          <w:rFonts w:eastAsia="Cambria" w:cs="Times New Roman"/>
          <w:szCs w:val="20"/>
          <w:lang w:val="es-ES"/>
        </w:rPr>
        <w:t xml:space="preserve"> </w:t>
      </w:r>
      <w:r w:rsidRPr="001A47DA">
        <w:rPr>
          <w:rFonts w:eastAsia="Cambria" w:cs="Times New Roman"/>
          <w:szCs w:val="20"/>
          <w:lang w:val="es-ES"/>
        </w:rPr>
        <w:t>y a las garantías judiciales</w:t>
      </w:r>
      <w:r w:rsidRPr="007779D8">
        <w:rPr>
          <w:rFonts w:eastAsia="Cambria" w:cs="Times New Roman"/>
          <w:szCs w:val="20"/>
          <w:lang w:val="es-ES"/>
        </w:rPr>
        <w:t>, previsto</w:t>
      </w:r>
      <w:r>
        <w:rPr>
          <w:rFonts w:eastAsia="Cambria" w:cs="Times New Roman"/>
          <w:szCs w:val="20"/>
          <w:lang w:val="es-ES"/>
        </w:rPr>
        <w:t>s</w:t>
      </w:r>
      <w:r w:rsidRPr="007779D8">
        <w:rPr>
          <w:rFonts w:eastAsia="Cambria" w:cs="Times New Roman"/>
          <w:szCs w:val="20"/>
          <w:lang w:val="es-ES"/>
        </w:rPr>
        <w:t xml:space="preserve"> en </w:t>
      </w:r>
      <w:r>
        <w:rPr>
          <w:rFonts w:eastAsia="Cambria" w:cs="Times New Roman"/>
          <w:szCs w:val="20"/>
          <w:lang w:val="es-ES"/>
        </w:rPr>
        <w:t xml:space="preserve">los </w:t>
      </w:r>
      <w:r w:rsidRPr="007779D8">
        <w:rPr>
          <w:rFonts w:eastAsia="Cambria" w:cs="Times New Roman"/>
          <w:szCs w:val="20"/>
          <w:lang w:val="es-ES"/>
        </w:rPr>
        <w:t>artículo</w:t>
      </w:r>
      <w:r>
        <w:rPr>
          <w:rFonts w:eastAsia="Cambria" w:cs="Times New Roman"/>
          <w:szCs w:val="20"/>
          <w:lang w:val="es-ES"/>
        </w:rPr>
        <w:t>s</w:t>
      </w:r>
      <w:r w:rsidRPr="007779D8">
        <w:rPr>
          <w:rFonts w:eastAsia="Cambria" w:cs="Times New Roman"/>
          <w:szCs w:val="20"/>
          <w:lang w:val="es-ES"/>
        </w:rPr>
        <w:t xml:space="preserve"> 25 </w:t>
      </w:r>
      <w:r w:rsidRPr="001A47DA">
        <w:rPr>
          <w:rFonts w:eastAsia="Cambria" w:cs="Times New Roman"/>
          <w:szCs w:val="20"/>
          <w:lang w:val="es-ES"/>
        </w:rPr>
        <w:t>y 8.1</w:t>
      </w:r>
      <w:r>
        <w:rPr>
          <w:rFonts w:eastAsia="Cambria" w:cs="Times New Roman"/>
          <w:szCs w:val="20"/>
          <w:lang w:val="es-ES"/>
        </w:rPr>
        <w:t xml:space="preserve"> </w:t>
      </w:r>
      <w:r w:rsidRPr="007779D8">
        <w:rPr>
          <w:rFonts w:eastAsia="Cambria" w:cs="Times New Roman"/>
          <w:szCs w:val="20"/>
          <w:lang w:val="es-ES"/>
        </w:rPr>
        <w:t xml:space="preserve">de la Convención Americana sobre Derechos Humanos, en relación con </w:t>
      </w:r>
      <w:r>
        <w:rPr>
          <w:rFonts w:eastAsia="Cambria" w:cs="Times New Roman"/>
          <w:szCs w:val="20"/>
          <w:lang w:val="es-ES"/>
        </w:rPr>
        <w:t>el</w:t>
      </w:r>
      <w:r w:rsidRPr="007779D8">
        <w:rPr>
          <w:rFonts w:eastAsia="Cambria" w:cs="Times New Roman"/>
          <w:szCs w:val="20"/>
          <w:lang w:val="es-ES"/>
        </w:rPr>
        <w:t xml:space="preserve"> artículo 1.1 del mismo instrumento</w:t>
      </w:r>
      <w:r w:rsidR="008E7B66">
        <w:rPr>
          <w:rFonts w:eastAsia="Cambria" w:cs="Times New Roman"/>
          <w:szCs w:val="20"/>
          <w:lang w:val="es-ES"/>
        </w:rPr>
        <w:t xml:space="preserve">, </w:t>
      </w:r>
      <w:r w:rsidR="008E7B66" w:rsidRPr="007F1355">
        <w:rPr>
          <w:szCs w:val="20"/>
          <w:lang w:val="es-ES"/>
        </w:rPr>
        <w:t xml:space="preserve">y </w:t>
      </w:r>
      <w:r w:rsidR="008E7B66">
        <w:rPr>
          <w:szCs w:val="20"/>
          <w:lang w:val="es-ES"/>
        </w:rPr>
        <w:t xml:space="preserve">los artículos </w:t>
      </w:r>
      <w:r w:rsidR="008E7B66" w:rsidRPr="007F1355">
        <w:rPr>
          <w:rFonts w:cs="Arial"/>
          <w:szCs w:val="20"/>
          <w:lang w:val="es-CO"/>
        </w:rPr>
        <w:t>1, 6 y 8 de la Convención Interamericana para Prevenir y Sancionar la Tortura, así como el artículo 7 de la Convención</w:t>
      </w:r>
      <w:r w:rsidR="008E7B66">
        <w:rPr>
          <w:rFonts w:cs="Arial"/>
          <w:szCs w:val="20"/>
          <w:lang w:val="es-CO"/>
        </w:rPr>
        <w:t xml:space="preserve"> Belém </w:t>
      </w:r>
      <w:r w:rsidR="008E7B66" w:rsidRPr="007F1355">
        <w:rPr>
          <w:rFonts w:cs="Arial"/>
          <w:szCs w:val="20"/>
          <w:lang w:val="es-CO"/>
        </w:rPr>
        <w:t>do Pará,</w:t>
      </w:r>
      <w:r w:rsidR="008E7B66" w:rsidRPr="007F1355">
        <w:rPr>
          <w:szCs w:val="20"/>
          <w:lang w:val="es-ES"/>
        </w:rPr>
        <w:t xml:space="preserve"> </w:t>
      </w:r>
      <w:r w:rsidRPr="007779D8">
        <w:rPr>
          <w:rFonts w:eastAsia="Cambria" w:cs="Times New Roman"/>
          <w:szCs w:val="20"/>
          <w:lang w:val="es-ES"/>
        </w:rPr>
        <w:t>en perjuicio de</w:t>
      </w:r>
      <w:r>
        <w:rPr>
          <w:rFonts w:eastAsia="Cambria" w:cs="Times New Roman"/>
          <w:szCs w:val="20"/>
          <w:lang w:val="es-ES"/>
        </w:rPr>
        <w:t xml:space="preserve"> L.R.J., C.S.S. y J.F.C., </w:t>
      </w:r>
      <w:r w:rsidRPr="003E3D88">
        <w:rPr>
          <w:rFonts w:eastAsia="Cambria" w:cs="Times New Roman"/>
          <w:szCs w:val="20"/>
          <w:lang w:val="es-ES"/>
        </w:rPr>
        <w:t>en los términos de</w:t>
      </w:r>
      <w:r>
        <w:rPr>
          <w:rFonts w:eastAsia="Cambria" w:cs="Times New Roman"/>
          <w:szCs w:val="20"/>
          <w:lang w:val="es-ES"/>
        </w:rPr>
        <w:t xml:space="preserve"> los</w:t>
      </w:r>
      <w:r w:rsidRPr="003E3D88">
        <w:rPr>
          <w:rFonts w:eastAsia="Cambria" w:cs="Times New Roman"/>
          <w:szCs w:val="20"/>
          <w:lang w:val="es-ES"/>
        </w:rPr>
        <w:t xml:space="preserve"> párrafo</w:t>
      </w:r>
      <w:r>
        <w:rPr>
          <w:rFonts w:eastAsia="Cambria" w:cs="Times New Roman"/>
          <w:szCs w:val="20"/>
          <w:lang w:val="es-ES"/>
        </w:rPr>
        <w:t>s</w:t>
      </w:r>
      <w:r w:rsidRPr="003E3D88">
        <w:rPr>
          <w:rFonts w:eastAsia="Cambria" w:cs="Times New Roman"/>
          <w:szCs w:val="20"/>
          <w:lang w:val="es-ES"/>
        </w:rPr>
        <w:t xml:space="preserve"> </w:t>
      </w:r>
      <w:r w:rsidR="00497767">
        <w:rPr>
          <w:rFonts w:eastAsia="Cambria" w:cs="Times New Roman"/>
          <w:szCs w:val="20"/>
          <w:lang w:val="es-ES"/>
        </w:rPr>
        <w:t>24</w:t>
      </w:r>
      <w:r w:rsidR="00B43B79">
        <w:rPr>
          <w:rFonts w:eastAsia="Cambria" w:cs="Times New Roman"/>
          <w:szCs w:val="20"/>
          <w:lang w:val="es-ES"/>
        </w:rPr>
        <w:t>3</w:t>
      </w:r>
      <w:r w:rsidR="00497767">
        <w:rPr>
          <w:rFonts w:eastAsia="Cambria" w:cs="Times New Roman"/>
          <w:szCs w:val="20"/>
          <w:lang w:val="es-ES"/>
        </w:rPr>
        <w:t xml:space="preserve"> a 2</w:t>
      </w:r>
      <w:r w:rsidR="00B43B79">
        <w:rPr>
          <w:rFonts w:eastAsia="Cambria" w:cs="Times New Roman"/>
          <w:szCs w:val="20"/>
          <w:lang w:val="es-ES"/>
        </w:rPr>
        <w:t>59</w:t>
      </w:r>
      <w:r w:rsidRPr="003E3D88">
        <w:rPr>
          <w:rFonts w:eastAsia="Cambria" w:cs="Times New Roman"/>
          <w:szCs w:val="20"/>
          <w:lang w:val="es-ES"/>
        </w:rPr>
        <w:t xml:space="preserve"> de la presente Sentencia.</w:t>
      </w:r>
    </w:p>
    <w:p w14:paraId="3CCEE905" w14:textId="77777777" w:rsidR="00062461" w:rsidRDefault="00062461" w:rsidP="00062461">
      <w:pPr>
        <w:pStyle w:val="ListParagraph"/>
        <w:tabs>
          <w:tab w:val="left" w:pos="720"/>
        </w:tabs>
        <w:ind w:left="0" w:right="-90"/>
        <w:rPr>
          <w:rFonts w:eastAsia="MS Mincho" w:cs="Times New Roman"/>
          <w:szCs w:val="20"/>
          <w:lang w:val="es-ES_tradnl" w:bidi="en-US"/>
        </w:rPr>
      </w:pPr>
    </w:p>
    <w:p w14:paraId="68CE465F" w14:textId="75A1B841" w:rsidR="00062461" w:rsidRDefault="00062461" w:rsidP="00062461">
      <w:pPr>
        <w:pStyle w:val="ListParagraph"/>
        <w:tabs>
          <w:tab w:val="left" w:pos="720"/>
        </w:tabs>
        <w:ind w:left="0" w:right="-90"/>
        <w:rPr>
          <w:rFonts w:eastAsia="MS Mincho" w:cs="Times New Roman"/>
          <w:szCs w:val="20"/>
          <w:lang w:val="es-ES_tradnl" w:bidi="en-US"/>
        </w:rPr>
      </w:pPr>
      <w:r w:rsidRPr="00E90FA0">
        <w:rPr>
          <w:rFonts w:eastAsia="MS Mincho" w:cs="Times New Roman"/>
          <w:szCs w:val="20"/>
          <w:lang w:val="es-ES_tradnl" w:bidi="en-US"/>
        </w:rPr>
        <w:t xml:space="preserve">Por </w:t>
      </w:r>
      <w:r w:rsidR="0028439F">
        <w:rPr>
          <w:rFonts w:eastAsia="MS Mincho" w:cs="Times New Roman"/>
          <w:szCs w:val="20"/>
          <w:lang w:val="es-ES_tradnl" w:bidi="en-US"/>
        </w:rPr>
        <w:t>unanimidad</w:t>
      </w:r>
      <w:r w:rsidRPr="00E90FA0">
        <w:rPr>
          <w:rFonts w:eastAsia="MS Mincho" w:cs="Times New Roman"/>
          <w:szCs w:val="20"/>
          <w:lang w:val="es-ES_tradnl" w:bidi="en-US"/>
        </w:rPr>
        <w:t>, que:</w:t>
      </w:r>
    </w:p>
    <w:p w14:paraId="4C6E9762" w14:textId="77777777" w:rsidR="00062461" w:rsidRDefault="00062461" w:rsidP="00062461">
      <w:pPr>
        <w:pStyle w:val="ListParagraph"/>
        <w:tabs>
          <w:tab w:val="left" w:pos="720"/>
        </w:tabs>
        <w:ind w:left="0" w:right="-90"/>
        <w:rPr>
          <w:rFonts w:eastAsia="Cambria" w:cs="Times New Roman"/>
          <w:szCs w:val="20"/>
          <w:lang w:val="es-ES"/>
        </w:rPr>
      </w:pPr>
    </w:p>
    <w:p w14:paraId="49B26185" w14:textId="259DB8E6" w:rsidR="00062461" w:rsidRPr="007779D8" w:rsidRDefault="00062461" w:rsidP="00062461">
      <w:pPr>
        <w:pStyle w:val="ListParagraph"/>
        <w:numPr>
          <w:ilvl w:val="3"/>
          <w:numId w:val="1"/>
        </w:numPr>
        <w:tabs>
          <w:tab w:val="left" w:pos="720"/>
        </w:tabs>
        <w:ind w:left="0" w:right="-90" w:firstLine="0"/>
        <w:rPr>
          <w:rFonts w:eastAsia="Cambria" w:cs="Times New Roman"/>
          <w:szCs w:val="20"/>
          <w:lang w:val="es-ES"/>
        </w:rPr>
      </w:pPr>
      <w:r>
        <w:t xml:space="preserve">El </w:t>
      </w:r>
      <w:r w:rsidRPr="00071E09">
        <w:t xml:space="preserve">Estado </w:t>
      </w:r>
      <w:r w:rsidRPr="007779D8">
        <w:rPr>
          <w:rFonts w:eastAsia="Cambria" w:cs="Times New Roman"/>
          <w:szCs w:val="20"/>
          <w:lang w:val="es-ES"/>
        </w:rPr>
        <w:t xml:space="preserve">es responsable por </w:t>
      </w:r>
      <w:r w:rsidR="008D43C3">
        <w:rPr>
          <w:rFonts w:eastAsia="Cambria" w:cs="Times New Roman"/>
          <w:szCs w:val="20"/>
          <w:lang w:val="es-ES"/>
        </w:rPr>
        <w:t xml:space="preserve">la violación del </w:t>
      </w:r>
      <w:r w:rsidRPr="00071E09">
        <w:t>derecho a la integridad personal, previsto en el artículo 5.1 de la Convención Americana</w:t>
      </w:r>
      <w:r>
        <w:t xml:space="preserve"> </w:t>
      </w:r>
      <w:r w:rsidRPr="007779D8">
        <w:rPr>
          <w:rFonts w:eastAsia="Cambria" w:cs="Times New Roman"/>
          <w:szCs w:val="20"/>
          <w:lang w:val="es-ES"/>
        </w:rPr>
        <w:t>sobre Derechos Humanos</w:t>
      </w:r>
      <w:r>
        <w:t>, en relación con e</w:t>
      </w:r>
      <w:r w:rsidRPr="00071E09">
        <w:t xml:space="preserve">l artículo 1.1 del mismo instrumento, en perjuicio de: </w:t>
      </w:r>
      <w:proofErr w:type="spellStart"/>
      <w:r w:rsidR="003D6A7B">
        <w:rPr>
          <w:szCs w:val="20"/>
        </w:rPr>
        <w:t>Mônica</w:t>
      </w:r>
      <w:proofErr w:type="spellEnd"/>
      <w:r w:rsidRPr="005D45E6">
        <w:rPr>
          <w:szCs w:val="20"/>
        </w:rPr>
        <w:t xml:space="preserve"> Santos de Souza </w:t>
      </w:r>
      <w:proofErr w:type="spellStart"/>
      <w:r w:rsidRPr="005D45E6">
        <w:rPr>
          <w:szCs w:val="20"/>
        </w:rPr>
        <w:t>Rodrigues</w:t>
      </w:r>
      <w:proofErr w:type="spellEnd"/>
      <w:r w:rsidRPr="005D45E6">
        <w:rPr>
          <w:szCs w:val="20"/>
        </w:rPr>
        <w:t xml:space="preserve">; Evelyn Santos de Souza </w:t>
      </w:r>
      <w:proofErr w:type="spellStart"/>
      <w:r w:rsidRPr="005D45E6">
        <w:rPr>
          <w:szCs w:val="20"/>
        </w:rPr>
        <w:t>Rodrigues</w:t>
      </w:r>
      <w:proofErr w:type="spellEnd"/>
      <w:r w:rsidRPr="005D45E6">
        <w:rPr>
          <w:szCs w:val="20"/>
        </w:rPr>
        <w:t xml:space="preserve">; </w:t>
      </w:r>
      <w:proofErr w:type="spellStart"/>
      <w:r w:rsidRPr="005D45E6">
        <w:rPr>
          <w:szCs w:val="20"/>
        </w:rPr>
        <w:t>Maria</w:t>
      </w:r>
      <w:proofErr w:type="spellEnd"/>
      <w:r w:rsidRPr="005D45E6">
        <w:rPr>
          <w:szCs w:val="20"/>
        </w:rPr>
        <w:t xml:space="preserve"> das </w:t>
      </w:r>
      <w:proofErr w:type="spellStart"/>
      <w:r w:rsidRPr="005D45E6">
        <w:rPr>
          <w:szCs w:val="20"/>
        </w:rPr>
        <w:t>Graças</w:t>
      </w:r>
      <w:proofErr w:type="spellEnd"/>
      <w:r w:rsidRPr="005D45E6">
        <w:rPr>
          <w:szCs w:val="20"/>
        </w:rPr>
        <w:t xml:space="preserve"> da Silva; Samuel da Silva </w:t>
      </w:r>
      <w:proofErr w:type="spellStart"/>
      <w:r w:rsidRPr="005D45E6">
        <w:rPr>
          <w:szCs w:val="20"/>
        </w:rPr>
        <w:t>Rodrigues</w:t>
      </w:r>
      <w:proofErr w:type="spellEnd"/>
      <w:r w:rsidRPr="005D45E6">
        <w:rPr>
          <w:szCs w:val="20"/>
        </w:rPr>
        <w:t xml:space="preserve">; </w:t>
      </w:r>
      <w:proofErr w:type="spellStart"/>
      <w:r w:rsidRPr="005D45E6">
        <w:rPr>
          <w:szCs w:val="20"/>
        </w:rPr>
        <w:t>Robson</w:t>
      </w:r>
      <w:proofErr w:type="spellEnd"/>
      <w:r w:rsidRPr="005D45E6">
        <w:rPr>
          <w:szCs w:val="20"/>
        </w:rPr>
        <w:t xml:space="preserve"> Genuino dos Santos Jr.; Michelle Mariano dos Santos; Bruna Fonseca Costa; Joyce Neri da Silva Dantas; </w:t>
      </w:r>
      <w:proofErr w:type="spellStart"/>
      <w:r w:rsidRPr="005D45E6">
        <w:rPr>
          <w:szCs w:val="20"/>
        </w:rPr>
        <w:t>Geni</w:t>
      </w:r>
      <w:proofErr w:type="spellEnd"/>
      <w:r w:rsidRPr="005D45E6">
        <w:rPr>
          <w:szCs w:val="20"/>
        </w:rPr>
        <w:t xml:space="preserve"> Pereira </w:t>
      </w:r>
      <w:proofErr w:type="spellStart"/>
      <w:r w:rsidRPr="005D45E6">
        <w:rPr>
          <w:szCs w:val="20"/>
        </w:rPr>
        <w:t>Dutra</w:t>
      </w:r>
      <w:proofErr w:type="spellEnd"/>
      <w:r w:rsidRPr="005D45E6">
        <w:rPr>
          <w:szCs w:val="20"/>
        </w:rPr>
        <w:t xml:space="preserve">; </w:t>
      </w:r>
      <w:proofErr w:type="spellStart"/>
      <w:r w:rsidRPr="005D45E6">
        <w:rPr>
          <w:szCs w:val="20"/>
        </w:rPr>
        <w:t>Diogo</w:t>
      </w:r>
      <w:proofErr w:type="spellEnd"/>
      <w:r w:rsidRPr="005D45E6">
        <w:rPr>
          <w:szCs w:val="20"/>
        </w:rPr>
        <w:t xml:space="preserve"> da Silva Genoveva; </w:t>
      </w:r>
      <w:r w:rsidR="00897DF5">
        <w:rPr>
          <w:szCs w:val="20"/>
        </w:rPr>
        <w:t>João Alves</w:t>
      </w:r>
      <w:r w:rsidRPr="005D45E6">
        <w:rPr>
          <w:szCs w:val="20"/>
        </w:rPr>
        <w:t xml:space="preserve"> de </w:t>
      </w:r>
      <w:proofErr w:type="spellStart"/>
      <w:r w:rsidRPr="005D45E6">
        <w:rPr>
          <w:szCs w:val="20"/>
        </w:rPr>
        <w:t>Moura</w:t>
      </w:r>
      <w:proofErr w:type="spellEnd"/>
      <w:r w:rsidRPr="005D45E6">
        <w:rPr>
          <w:szCs w:val="20"/>
        </w:rPr>
        <w:t xml:space="preserve">; Helena </w:t>
      </w:r>
      <w:proofErr w:type="spellStart"/>
      <w:r w:rsidRPr="005D45E6">
        <w:rPr>
          <w:szCs w:val="20"/>
        </w:rPr>
        <w:t>Vian</w:t>
      </w:r>
      <w:r w:rsidR="00CC6D82">
        <w:rPr>
          <w:szCs w:val="20"/>
        </w:rPr>
        <w:t>n</w:t>
      </w:r>
      <w:r w:rsidRPr="005D45E6">
        <w:rPr>
          <w:szCs w:val="20"/>
        </w:rPr>
        <w:t>a</w:t>
      </w:r>
      <w:proofErr w:type="spellEnd"/>
      <w:r w:rsidRPr="005D45E6">
        <w:rPr>
          <w:szCs w:val="20"/>
        </w:rPr>
        <w:t xml:space="preserve"> dos Santos; </w:t>
      </w:r>
      <w:proofErr w:type="spellStart"/>
      <w:r w:rsidRPr="005D45E6">
        <w:rPr>
          <w:szCs w:val="20"/>
        </w:rPr>
        <w:t>Ota</w:t>
      </w:r>
      <w:r>
        <w:rPr>
          <w:szCs w:val="20"/>
        </w:rPr>
        <w:t>cilio</w:t>
      </w:r>
      <w:proofErr w:type="spellEnd"/>
      <w:r>
        <w:rPr>
          <w:szCs w:val="20"/>
        </w:rPr>
        <w:t xml:space="preserve"> Costa; </w:t>
      </w:r>
      <w:proofErr w:type="spellStart"/>
      <w:r w:rsidR="00CC6D82">
        <w:rPr>
          <w:szCs w:val="20"/>
        </w:rPr>
        <w:t>Pricila</w:t>
      </w:r>
      <w:proofErr w:type="spellEnd"/>
      <w:r>
        <w:rPr>
          <w:szCs w:val="20"/>
        </w:rPr>
        <w:t xml:space="preserve"> </w:t>
      </w:r>
      <w:proofErr w:type="spellStart"/>
      <w:r>
        <w:rPr>
          <w:szCs w:val="20"/>
        </w:rPr>
        <w:t>Rodrigues</w:t>
      </w:r>
      <w:proofErr w:type="spellEnd"/>
      <w:r>
        <w:rPr>
          <w:szCs w:val="20"/>
        </w:rPr>
        <w:t>;</w:t>
      </w:r>
      <w:r w:rsidRPr="005D45E6">
        <w:rPr>
          <w:szCs w:val="20"/>
        </w:rPr>
        <w:t xml:space="preserve"> William Mariano dos Santos</w:t>
      </w:r>
      <w:r>
        <w:rPr>
          <w:szCs w:val="20"/>
        </w:rPr>
        <w:t xml:space="preserve">; </w:t>
      </w:r>
      <w:r>
        <w:t xml:space="preserve">L.R.J.; C.S.S., y J.F.C., </w:t>
      </w:r>
      <w:r w:rsidRPr="003E3D88">
        <w:rPr>
          <w:rFonts w:eastAsia="Cambria" w:cs="Times New Roman"/>
          <w:szCs w:val="20"/>
          <w:lang w:val="es-ES"/>
        </w:rPr>
        <w:t xml:space="preserve">en los términos de los párrafos </w:t>
      </w:r>
      <w:r w:rsidR="00497767">
        <w:rPr>
          <w:rFonts w:eastAsia="Cambria" w:cs="Times New Roman"/>
          <w:szCs w:val="20"/>
          <w:lang w:val="es-ES"/>
        </w:rPr>
        <w:t>2</w:t>
      </w:r>
      <w:r w:rsidR="00B43B79">
        <w:rPr>
          <w:rFonts w:eastAsia="Cambria" w:cs="Times New Roman"/>
          <w:szCs w:val="20"/>
          <w:lang w:val="es-ES"/>
        </w:rPr>
        <w:t>69</w:t>
      </w:r>
      <w:r w:rsidR="00497767">
        <w:rPr>
          <w:rFonts w:eastAsia="Cambria" w:cs="Times New Roman"/>
          <w:szCs w:val="20"/>
          <w:lang w:val="es-ES"/>
        </w:rPr>
        <w:t xml:space="preserve"> a 27</w:t>
      </w:r>
      <w:r w:rsidR="00B43B79">
        <w:rPr>
          <w:rFonts w:eastAsia="Cambria" w:cs="Times New Roman"/>
          <w:szCs w:val="20"/>
          <w:lang w:val="es-ES"/>
        </w:rPr>
        <w:t>4</w:t>
      </w:r>
      <w:r w:rsidRPr="003E3D88">
        <w:rPr>
          <w:rFonts w:eastAsia="Cambria" w:cs="Times New Roman"/>
          <w:szCs w:val="20"/>
          <w:lang w:val="es-ES"/>
        </w:rPr>
        <w:t xml:space="preserve"> de la presente Sentencia.</w:t>
      </w:r>
    </w:p>
    <w:p w14:paraId="5B53F9C4" w14:textId="77777777" w:rsidR="00062461" w:rsidRDefault="00062461" w:rsidP="00062461">
      <w:pPr>
        <w:tabs>
          <w:tab w:val="left" w:pos="720"/>
        </w:tabs>
        <w:ind w:right="-90"/>
        <w:contextualSpacing/>
        <w:rPr>
          <w:rFonts w:eastAsia="Cambria" w:cs="Times New Roman"/>
          <w:szCs w:val="20"/>
          <w:lang w:val="es-ES"/>
        </w:rPr>
      </w:pPr>
    </w:p>
    <w:p w14:paraId="3FA1B4DC" w14:textId="5B4E44AC" w:rsidR="00062461" w:rsidRDefault="00062461" w:rsidP="00062461">
      <w:pPr>
        <w:pStyle w:val="ListParagraph"/>
        <w:tabs>
          <w:tab w:val="left" w:pos="720"/>
        </w:tabs>
        <w:ind w:left="0" w:right="-90"/>
        <w:rPr>
          <w:rFonts w:eastAsia="MS Mincho" w:cs="Times New Roman"/>
          <w:szCs w:val="20"/>
          <w:lang w:val="es-ES_tradnl" w:bidi="en-US"/>
        </w:rPr>
      </w:pPr>
      <w:r w:rsidRPr="00E90FA0">
        <w:rPr>
          <w:rFonts w:eastAsia="MS Mincho" w:cs="Times New Roman"/>
          <w:szCs w:val="20"/>
          <w:lang w:val="es-ES_tradnl" w:bidi="en-US"/>
        </w:rPr>
        <w:t xml:space="preserve">Por </w:t>
      </w:r>
      <w:r w:rsidR="0028439F">
        <w:rPr>
          <w:rFonts w:eastAsia="MS Mincho" w:cs="Times New Roman"/>
          <w:szCs w:val="20"/>
          <w:lang w:val="es-ES_tradnl" w:bidi="en-US"/>
        </w:rPr>
        <w:t>unanimidad</w:t>
      </w:r>
      <w:r w:rsidRPr="00E90FA0">
        <w:rPr>
          <w:rFonts w:eastAsia="MS Mincho" w:cs="Times New Roman"/>
          <w:szCs w:val="20"/>
          <w:lang w:val="es-ES_tradnl" w:bidi="en-US"/>
        </w:rPr>
        <w:t>, que:</w:t>
      </w:r>
    </w:p>
    <w:p w14:paraId="39A441E6" w14:textId="77777777" w:rsidR="00062461" w:rsidRDefault="00062461" w:rsidP="00062461">
      <w:pPr>
        <w:tabs>
          <w:tab w:val="left" w:pos="720"/>
        </w:tabs>
        <w:ind w:right="-90"/>
        <w:contextualSpacing/>
        <w:rPr>
          <w:rFonts w:eastAsia="Cambria" w:cs="Times New Roman"/>
          <w:szCs w:val="20"/>
          <w:lang w:val="es-ES"/>
        </w:rPr>
      </w:pPr>
    </w:p>
    <w:p w14:paraId="6D80F68F" w14:textId="78CC942A" w:rsidR="00062461" w:rsidRPr="00ED3229" w:rsidRDefault="00062461" w:rsidP="00062461">
      <w:pPr>
        <w:pStyle w:val="ListParagraph"/>
        <w:numPr>
          <w:ilvl w:val="3"/>
          <w:numId w:val="1"/>
        </w:numPr>
        <w:tabs>
          <w:tab w:val="left" w:pos="720"/>
        </w:tabs>
        <w:ind w:left="0" w:right="-90" w:firstLine="0"/>
        <w:rPr>
          <w:rFonts w:eastAsia="Cambria" w:cs="Times New Roman"/>
          <w:szCs w:val="20"/>
          <w:lang w:val="pt-BR"/>
        </w:rPr>
      </w:pPr>
      <w:r w:rsidRPr="00ED3229">
        <w:rPr>
          <w:lang w:val="pt-BR"/>
        </w:rPr>
        <w:t xml:space="preserve">El Estado no </w:t>
      </w:r>
      <w:r w:rsidR="008D43C3" w:rsidRPr="00ED3229">
        <w:rPr>
          <w:rFonts w:eastAsia="Cambria" w:cs="Times New Roman"/>
          <w:szCs w:val="20"/>
          <w:lang w:val="pt-BR"/>
        </w:rPr>
        <w:t xml:space="preserve">violó </w:t>
      </w:r>
      <w:r w:rsidRPr="00ED3229">
        <w:rPr>
          <w:lang w:val="pt-BR"/>
        </w:rPr>
        <w:t xml:space="preserve">el derecho a la integridad personal, previsto en el artículo 5.1 de la Convención Americana </w:t>
      </w:r>
      <w:r w:rsidRPr="00ED3229">
        <w:rPr>
          <w:rFonts w:eastAsia="Cambria" w:cs="Times New Roman"/>
          <w:szCs w:val="20"/>
          <w:lang w:val="pt-BR"/>
        </w:rPr>
        <w:t>sobre Derechos Humanos</w:t>
      </w:r>
      <w:r w:rsidRPr="00ED3229">
        <w:rPr>
          <w:lang w:val="pt-BR"/>
        </w:rPr>
        <w:t xml:space="preserve">, en relación con el artículo 1.1 del mismo instrumento, en perjuicio de </w:t>
      </w:r>
      <w:r w:rsidR="004848B6" w:rsidRPr="00ED3229">
        <w:rPr>
          <w:lang w:val="pt-BR"/>
        </w:rPr>
        <w:t>Cirene dos Santos, Edna Ribeiro Raimundo Neves, José Francisco Sobrinho, José Rodrigues do Nascimento, Maria da Gloria Mendes, Maria de Lourdes Genuino</w:t>
      </w:r>
      <w:r w:rsidR="004848B6">
        <w:rPr>
          <w:lang w:val="pt-BR"/>
        </w:rPr>
        <w:t>,</w:t>
      </w:r>
      <w:r w:rsidR="004848B6" w:rsidRPr="00ED3229">
        <w:rPr>
          <w:lang w:val="pt-BR"/>
        </w:rPr>
        <w:t xml:space="preserve"> Ronaldo Inacio da Silva</w:t>
      </w:r>
      <w:r w:rsidR="004848B6">
        <w:rPr>
          <w:lang w:val="pt-BR"/>
        </w:rPr>
        <w:t xml:space="preserve">, </w:t>
      </w:r>
      <w:r w:rsidR="00CC6D82" w:rsidRPr="00CC6D82">
        <w:rPr>
          <w:lang w:val="pt-BR"/>
        </w:rPr>
        <w:t xml:space="preserve">Alcides Ramos, Thiago da Silva, Alberto da Silva, Rosiane dos Santos, Vera Lúcia dos Santos de Miranda, Lucia Helena Neri da Silva, Edson Faria Neves, Mac Laine Faria Neves, Valdenice Fernandes Vieira, Neuza Ribeiro Raymundo, Eliane Elene Fernandes Vieira, Rogério Genuino dos Santos, Jucelena Rocha dos Santos, Norival Pinto Donato, Celia da Cruz Silva, Nilcéia de Oliveira, Diogo Vieira dos Santos, Adriana Vianna dos Santos, Sandro Vianna dos Santos, Alessandra Vianna Vieira, Zeferino Marques de Oliveira, Aline da Silva, Efigenia Margarida Alves, Sergio Rosa Mendes, Sonia Maria Mendes, Francisco José de Souza, Martinha Martino de Souza, Luiz Henrique de Souza, Ronald Marcos de Souza, Eva Maria dos Santos Moura, João Batista de Souza, Josefa Maria de Souza, Waldomiro Genoveva, Océlia Rosa, Rosane da Silva Genoveva, Paulo Cesar da Silva Porto, Daniel Paulino da Silva, Georgina Soares Pinto, Nilton Ramos de Oliveira, Maria da Conceição Sampaio de Oliveira, Vinicius Ramos de Oliveira, Geraldo José da Silva Filho, Georgina Abrantes, Paulo Roberto Felix, Beatriz Fonseca Costa, Dalvaci Melo Rodrigues, Lucas Abreu da Silva, Cecília Cristina do Nascimento Rodrigues, Adriana Melo Rodrigues, Roseleide </w:t>
      </w:r>
      <w:r w:rsidR="00CC6D82" w:rsidRPr="00CC6D82">
        <w:rPr>
          <w:lang w:val="pt-BR"/>
        </w:rPr>
        <w:lastRenderedPageBreak/>
        <w:t>Rodrigues do Nascimento, Shirley de Almeida, Catia Regina Almeida da Silva, Valdemar da Silveira Dutra, Vera Lucia Jacinto da Silva, Cesar Braga Castor, Vera Lucia Ribeiro Castor, Pedro Marciano dos Reis, Hilda Alves dos Reis y Rosemary Alves dos Reis</w:t>
      </w:r>
      <w:r w:rsidRPr="00ED3229">
        <w:rPr>
          <w:lang w:val="pt-BR"/>
        </w:rPr>
        <w:t xml:space="preserve">, </w:t>
      </w:r>
      <w:r w:rsidRPr="00ED3229">
        <w:rPr>
          <w:rFonts w:eastAsia="Cambria" w:cs="Times New Roman"/>
          <w:szCs w:val="20"/>
          <w:lang w:val="pt-BR"/>
        </w:rPr>
        <w:t xml:space="preserve">en los términos del párrafo </w:t>
      </w:r>
      <w:r w:rsidR="00497767" w:rsidRPr="00ED3229">
        <w:rPr>
          <w:rFonts w:eastAsia="Cambria" w:cs="Times New Roman"/>
          <w:szCs w:val="20"/>
          <w:lang w:val="pt-BR"/>
        </w:rPr>
        <w:t>27</w:t>
      </w:r>
      <w:r w:rsidR="004848B6">
        <w:rPr>
          <w:rFonts w:eastAsia="Cambria" w:cs="Times New Roman"/>
          <w:szCs w:val="20"/>
          <w:lang w:val="pt-BR"/>
        </w:rPr>
        <w:t>2</w:t>
      </w:r>
      <w:r w:rsidRPr="00ED3229">
        <w:rPr>
          <w:rFonts w:eastAsia="Cambria" w:cs="Times New Roman"/>
          <w:szCs w:val="20"/>
          <w:lang w:val="pt-BR"/>
        </w:rPr>
        <w:t xml:space="preserve"> de la presente Sentencia.</w:t>
      </w:r>
      <w:r w:rsidRPr="00ED3229">
        <w:rPr>
          <w:lang w:val="pt-BR"/>
        </w:rPr>
        <w:t xml:space="preserve"> </w:t>
      </w:r>
    </w:p>
    <w:p w14:paraId="077FBC45" w14:textId="77777777" w:rsidR="00062461" w:rsidRPr="00ED3229" w:rsidRDefault="00062461" w:rsidP="00062461">
      <w:pPr>
        <w:tabs>
          <w:tab w:val="left" w:pos="720"/>
        </w:tabs>
        <w:ind w:right="-90"/>
        <w:contextualSpacing/>
        <w:rPr>
          <w:rFonts w:eastAsia="Cambria" w:cs="Times New Roman"/>
          <w:szCs w:val="20"/>
          <w:lang w:val="pt-BR"/>
        </w:rPr>
      </w:pPr>
    </w:p>
    <w:p w14:paraId="4A666155" w14:textId="64AD5AD7" w:rsidR="00062461" w:rsidRPr="00E90FA0" w:rsidRDefault="00062461" w:rsidP="00062461">
      <w:pPr>
        <w:tabs>
          <w:tab w:val="left" w:pos="720"/>
        </w:tabs>
        <w:ind w:right="-90"/>
        <w:contextualSpacing/>
        <w:rPr>
          <w:rFonts w:eastAsia="Cambria" w:cs="Times New Roman"/>
          <w:szCs w:val="20"/>
        </w:rPr>
      </w:pPr>
      <w:r w:rsidRPr="00E90FA0">
        <w:rPr>
          <w:rFonts w:eastAsia="Cambria" w:cs="Times New Roman"/>
          <w:szCs w:val="20"/>
        </w:rPr>
        <w:t xml:space="preserve">Por </w:t>
      </w:r>
      <w:r w:rsidR="0028439F">
        <w:rPr>
          <w:rFonts w:eastAsia="MS Mincho" w:cs="Times New Roman"/>
          <w:szCs w:val="20"/>
          <w:lang w:val="es-ES_tradnl" w:bidi="en-US"/>
        </w:rPr>
        <w:t>unanimidad</w:t>
      </w:r>
      <w:r w:rsidRPr="00E90FA0">
        <w:rPr>
          <w:rFonts w:eastAsia="Cambria" w:cs="Times New Roman"/>
          <w:szCs w:val="20"/>
        </w:rPr>
        <w:t xml:space="preserve">, que: </w:t>
      </w:r>
    </w:p>
    <w:p w14:paraId="54B0D18B" w14:textId="77777777" w:rsidR="00062461" w:rsidRPr="00E90FA0" w:rsidRDefault="00062461" w:rsidP="00062461">
      <w:pPr>
        <w:tabs>
          <w:tab w:val="left" w:pos="720"/>
        </w:tabs>
        <w:ind w:right="-90"/>
        <w:contextualSpacing/>
        <w:rPr>
          <w:rFonts w:eastAsia="Cambria" w:cs="Times New Roman"/>
          <w:szCs w:val="20"/>
        </w:rPr>
      </w:pPr>
    </w:p>
    <w:p w14:paraId="1E63AF45" w14:textId="6816E979" w:rsidR="00062461" w:rsidRPr="004E0386" w:rsidRDefault="00062461" w:rsidP="00062461">
      <w:pPr>
        <w:pStyle w:val="ListParagraph"/>
        <w:numPr>
          <w:ilvl w:val="3"/>
          <w:numId w:val="1"/>
        </w:numPr>
        <w:tabs>
          <w:tab w:val="left" w:pos="720"/>
        </w:tabs>
        <w:ind w:left="0" w:right="-90" w:firstLine="0"/>
        <w:rPr>
          <w:rFonts w:eastAsia="Cambria" w:cs="Times New Roman"/>
          <w:szCs w:val="20"/>
        </w:rPr>
      </w:pPr>
      <w:r w:rsidRPr="004E0386">
        <w:rPr>
          <w:rFonts w:eastAsia="Cambria" w:cs="Times New Roman"/>
          <w:szCs w:val="20"/>
        </w:rPr>
        <w:t xml:space="preserve">El Estado no </w:t>
      </w:r>
      <w:r w:rsidR="008D43C3">
        <w:rPr>
          <w:rFonts w:eastAsia="Cambria" w:cs="Times New Roman"/>
          <w:szCs w:val="20"/>
        </w:rPr>
        <w:t xml:space="preserve">violó </w:t>
      </w:r>
      <w:r>
        <w:rPr>
          <w:rFonts w:eastAsia="Cambria" w:cs="Arial"/>
          <w:iCs/>
          <w:szCs w:val="20"/>
          <w:lang w:val="es-GT"/>
        </w:rPr>
        <w:t>e</w:t>
      </w:r>
      <w:r w:rsidRPr="004E0386">
        <w:rPr>
          <w:rFonts w:eastAsia="Cambria" w:cs="Arial"/>
          <w:iCs/>
          <w:szCs w:val="20"/>
          <w:lang w:val="es-GT"/>
        </w:rPr>
        <w:t xml:space="preserve">l </w:t>
      </w:r>
      <w:r w:rsidRPr="004E0386">
        <w:rPr>
          <w:rFonts w:eastAsia="Cambria" w:cs="Arial"/>
          <w:iCs/>
          <w:szCs w:val="20"/>
          <w:lang w:val="es-ES"/>
        </w:rPr>
        <w:t xml:space="preserve">derecho </w:t>
      </w:r>
      <w:r>
        <w:rPr>
          <w:rFonts w:eastAsia="Cambria" w:cs="Arial"/>
          <w:iCs/>
          <w:szCs w:val="20"/>
          <w:lang w:val="es-ES"/>
        </w:rPr>
        <w:t>de</w:t>
      </w:r>
      <w:r w:rsidRPr="004E0386">
        <w:rPr>
          <w:rFonts w:eastAsia="Cambria" w:cs="Arial"/>
          <w:iCs/>
          <w:szCs w:val="20"/>
          <w:lang w:val="es-ES"/>
        </w:rPr>
        <w:t xml:space="preserve"> circulación y </w:t>
      </w:r>
      <w:r>
        <w:rPr>
          <w:rFonts w:eastAsia="Cambria" w:cs="Arial"/>
          <w:iCs/>
          <w:szCs w:val="20"/>
          <w:lang w:val="es-ES"/>
        </w:rPr>
        <w:t xml:space="preserve">de </w:t>
      </w:r>
      <w:r w:rsidRPr="004E0386">
        <w:rPr>
          <w:rFonts w:eastAsia="Cambria" w:cs="Arial"/>
          <w:iCs/>
          <w:szCs w:val="20"/>
          <w:lang w:val="es-ES"/>
        </w:rPr>
        <w:t xml:space="preserve">residencia, </w:t>
      </w:r>
      <w:r>
        <w:t>establecido en el artículo 22.1 de la Convención Americana, en relación con el artículo 1.1 del mismo instrumento, en perjuicio de C.S.S., J.F.C. y L.R.J.</w:t>
      </w:r>
      <w:r w:rsidRPr="004E0386">
        <w:rPr>
          <w:rFonts w:eastAsia="Cambria" w:cs="Times New Roman"/>
          <w:szCs w:val="20"/>
        </w:rPr>
        <w:t xml:space="preserve">, </w:t>
      </w:r>
      <w:r w:rsidRPr="004E0386">
        <w:rPr>
          <w:rFonts w:eastAsia="Cambria" w:cs="Times New Roman"/>
          <w:szCs w:val="20"/>
          <w:lang w:val="es-ES"/>
        </w:rPr>
        <w:t>en los términos de</w:t>
      </w:r>
      <w:r>
        <w:rPr>
          <w:rFonts w:eastAsia="Cambria" w:cs="Times New Roman"/>
          <w:szCs w:val="20"/>
          <w:lang w:val="es-ES"/>
        </w:rPr>
        <w:t xml:space="preserve"> </w:t>
      </w:r>
      <w:r w:rsidRPr="004E0386">
        <w:rPr>
          <w:rFonts w:eastAsia="Cambria" w:cs="Times New Roman"/>
          <w:szCs w:val="20"/>
          <w:lang w:val="es-ES"/>
        </w:rPr>
        <w:t>l</w:t>
      </w:r>
      <w:r>
        <w:rPr>
          <w:rFonts w:eastAsia="Cambria" w:cs="Times New Roman"/>
          <w:szCs w:val="20"/>
          <w:lang w:val="es-ES"/>
        </w:rPr>
        <w:t>os</w:t>
      </w:r>
      <w:r w:rsidRPr="004E0386">
        <w:rPr>
          <w:rFonts w:eastAsia="Cambria" w:cs="Times New Roman"/>
          <w:szCs w:val="20"/>
          <w:lang w:val="es-ES"/>
        </w:rPr>
        <w:t xml:space="preserve"> párrafo</w:t>
      </w:r>
      <w:r>
        <w:rPr>
          <w:rFonts w:eastAsia="Cambria" w:cs="Times New Roman"/>
          <w:szCs w:val="20"/>
          <w:lang w:val="es-ES"/>
        </w:rPr>
        <w:t>s</w:t>
      </w:r>
      <w:r w:rsidRPr="004E0386">
        <w:rPr>
          <w:rFonts w:eastAsia="Cambria" w:cs="Times New Roman"/>
          <w:szCs w:val="20"/>
          <w:lang w:val="es-ES"/>
        </w:rPr>
        <w:t xml:space="preserve"> </w:t>
      </w:r>
      <w:r w:rsidR="00497767">
        <w:rPr>
          <w:rFonts w:eastAsia="Cambria" w:cs="Times New Roman"/>
          <w:szCs w:val="20"/>
          <w:lang w:val="es-ES"/>
        </w:rPr>
        <w:t>28</w:t>
      </w:r>
      <w:r w:rsidR="00B43B79">
        <w:rPr>
          <w:rFonts w:eastAsia="Cambria" w:cs="Times New Roman"/>
          <w:szCs w:val="20"/>
          <w:lang w:val="es-ES"/>
        </w:rPr>
        <w:t>1</w:t>
      </w:r>
      <w:r w:rsidR="00497767">
        <w:rPr>
          <w:rFonts w:eastAsia="Cambria" w:cs="Times New Roman"/>
          <w:szCs w:val="20"/>
          <w:lang w:val="es-ES"/>
        </w:rPr>
        <w:t xml:space="preserve"> y 28</w:t>
      </w:r>
      <w:r w:rsidR="00B43B79">
        <w:rPr>
          <w:rFonts w:eastAsia="Cambria" w:cs="Times New Roman"/>
          <w:szCs w:val="20"/>
          <w:lang w:val="es-ES"/>
        </w:rPr>
        <w:t>2</w:t>
      </w:r>
      <w:r w:rsidRPr="004E0386">
        <w:rPr>
          <w:rFonts w:eastAsia="Cambria" w:cs="Times New Roman"/>
          <w:szCs w:val="20"/>
          <w:lang w:val="es-ES"/>
        </w:rPr>
        <w:t xml:space="preserve"> de la presente Sentencia</w:t>
      </w:r>
      <w:r w:rsidRPr="004E0386">
        <w:rPr>
          <w:rFonts w:eastAsia="Cambria" w:cs="Times New Roman"/>
          <w:szCs w:val="20"/>
        </w:rPr>
        <w:t>.</w:t>
      </w:r>
    </w:p>
    <w:p w14:paraId="4C1A3859" w14:textId="77777777" w:rsidR="00387937" w:rsidRPr="00062461" w:rsidRDefault="00387937" w:rsidP="00387937">
      <w:pPr>
        <w:ind w:right="-90"/>
        <w:contextualSpacing/>
        <w:rPr>
          <w:rFonts w:eastAsia="MS Mincho" w:cs="Times New Roman"/>
          <w:szCs w:val="20"/>
          <w:lang w:bidi="en-US"/>
        </w:rPr>
      </w:pPr>
    </w:p>
    <w:p w14:paraId="24F08733" w14:textId="77777777" w:rsidR="00387937" w:rsidRPr="00E90FA0" w:rsidRDefault="00387937" w:rsidP="00387937">
      <w:pPr>
        <w:tabs>
          <w:tab w:val="left" w:pos="720"/>
        </w:tabs>
        <w:ind w:right="-90"/>
        <w:contextualSpacing/>
        <w:rPr>
          <w:rFonts w:eastAsia="MS Mincho" w:cs="Times New Roman"/>
          <w:b/>
          <w:bCs/>
          <w:szCs w:val="20"/>
          <w:lang w:val="es-ES_tradnl" w:bidi="en-US"/>
        </w:rPr>
      </w:pPr>
      <w:r w:rsidRPr="00E90FA0">
        <w:rPr>
          <w:rFonts w:eastAsia="MS Mincho" w:cs="Times New Roman"/>
          <w:b/>
          <w:bCs/>
          <w:szCs w:val="20"/>
          <w:lang w:val="es-ES_tradnl" w:bidi="en-US"/>
        </w:rPr>
        <w:t>Y DISPONE:</w:t>
      </w:r>
    </w:p>
    <w:p w14:paraId="3A7F7357" w14:textId="77777777" w:rsidR="00387937" w:rsidRPr="00E90FA0" w:rsidRDefault="00387937" w:rsidP="00387937">
      <w:pPr>
        <w:tabs>
          <w:tab w:val="left" w:pos="720"/>
        </w:tabs>
        <w:ind w:right="-90"/>
        <w:contextualSpacing/>
        <w:rPr>
          <w:rFonts w:eastAsia="MS Mincho" w:cs="Times New Roman"/>
          <w:b/>
          <w:bCs/>
          <w:szCs w:val="20"/>
          <w:lang w:val="es-ES_tradnl" w:bidi="en-US"/>
        </w:rPr>
      </w:pPr>
    </w:p>
    <w:p w14:paraId="467892D8" w14:textId="6982DA92" w:rsidR="00387937" w:rsidRPr="00E90FA0" w:rsidRDefault="00387937" w:rsidP="00387937">
      <w:pPr>
        <w:tabs>
          <w:tab w:val="left" w:pos="720"/>
        </w:tabs>
        <w:ind w:right="-90"/>
        <w:contextualSpacing/>
        <w:rPr>
          <w:rFonts w:eastAsia="MS Mincho" w:cs="Times New Roman"/>
          <w:bCs/>
          <w:szCs w:val="20"/>
          <w:lang w:val="es-ES_tradnl" w:bidi="en-US"/>
        </w:rPr>
      </w:pPr>
      <w:r w:rsidRPr="00E90FA0">
        <w:rPr>
          <w:rFonts w:eastAsia="MS Mincho" w:cs="Times New Roman"/>
          <w:szCs w:val="20"/>
          <w:lang w:val="es-ES_tradnl" w:bidi="en-US"/>
        </w:rPr>
        <w:t xml:space="preserve">Por </w:t>
      </w:r>
      <w:r w:rsidR="0028439F">
        <w:rPr>
          <w:rFonts w:eastAsia="MS Mincho" w:cs="Times New Roman"/>
          <w:szCs w:val="20"/>
          <w:lang w:val="es-ES_tradnl" w:bidi="en-US"/>
        </w:rPr>
        <w:t>unanimidad</w:t>
      </w:r>
      <w:r w:rsidRPr="00E90FA0">
        <w:rPr>
          <w:rFonts w:eastAsia="MS Mincho" w:cs="Times New Roman"/>
          <w:szCs w:val="20"/>
          <w:lang w:val="es-ES_tradnl" w:bidi="en-US"/>
        </w:rPr>
        <w:t>,</w:t>
      </w:r>
      <w:r w:rsidRPr="00E90FA0">
        <w:rPr>
          <w:rFonts w:eastAsia="MS Mincho" w:cs="Times New Roman"/>
          <w:bCs/>
          <w:szCs w:val="20"/>
          <w:lang w:val="es-ES_tradnl" w:bidi="en-US"/>
        </w:rPr>
        <w:t xml:space="preserve"> que:</w:t>
      </w:r>
    </w:p>
    <w:p w14:paraId="1AA631D3" w14:textId="77777777" w:rsidR="00387937" w:rsidRPr="00E90FA0" w:rsidRDefault="00387937" w:rsidP="00387937">
      <w:pPr>
        <w:tabs>
          <w:tab w:val="left" w:pos="720"/>
        </w:tabs>
        <w:ind w:right="-90"/>
        <w:contextualSpacing/>
        <w:rPr>
          <w:rFonts w:eastAsia="MS Mincho" w:cs="Times New Roman"/>
          <w:bCs/>
          <w:szCs w:val="20"/>
          <w:lang w:val="es-ES_tradnl" w:bidi="en-US"/>
        </w:rPr>
      </w:pPr>
    </w:p>
    <w:p w14:paraId="743FA229" w14:textId="77777777" w:rsidR="00062461" w:rsidRDefault="00062461" w:rsidP="00062461">
      <w:pPr>
        <w:pStyle w:val="ListParagraph"/>
        <w:numPr>
          <w:ilvl w:val="3"/>
          <w:numId w:val="1"/>
        </w:numPr>
        <w:tabs>
          <w:tab w:val="left" w:pos="720"/>
        </w:tabs>
        <w:ind w:left="0" w:right="-90" w:firstLine="0"/>
        <w:rPr>
          <w:rFonts w:eastAsia="Cambria" w:cs="Times New Roman"/>
          <w:bCs/>
          <w:szCs w:val="20"/>
        </w:rPr>
      </w:pPr>
      <w:r w:rsidRPr="00783020">
        <w:rPr>
          <w:rFonts w:eastAsia="Cambria" w:cs="Times New Roman"/>
          <w:szCs w:val="20"/>
        </w:rPr>
        <w:t>Esta</w:t>
      </w:r>
      <w:r w:rsidRPr="00783020">
        <w:rPr>
          <w:rFonts w:eastAsia="Cambria" w:cs="Times New Roman"/>
          <w:bCs/>
          <w:szCs w:val="20"/>
        </w:rPr>
        <w:t xml:space="preserve"> Sentencia constituye, </w:t>
      </w:r>
      <w:r w:rsidRPr="00783020">
        <w:rPr>
          <w:rFonts w:eastAsia="Cambria" w:cs="Times New Roman"/>
          <w:bCs/>
          <w:i/>
          <w:szCs w:val="20"/>
        </w:rPr>
        <w:t>per se</w:t>
      </w:r>
      <w:r w:rsidRPr="00783020">
        <w:rPr>
          <w:rFonts w:eastAsia="Cambria" w:cs="Times New Roman"/>
          <w:bCs/>
          <w:szCs w:val="20"/>
        </w:rPr>
        <w:t>, una forma de reparación.</w:t>
      </w:r>
    </w:p>
    <w:p w14:paraId="483CE53F" w14:textId="77777777" w:rsidR="00062461" w:rsidRDefault="00062461" w:rsidP="00062461">
      <w:pPr>
        <w:pStyle w:val="ListParagraph"/>
        <w:tabs>
          <w:tab w:val="left" w:pos="720"/>
        </w:tabs>
        <w:ind w:left="0" w:right="-90"/>
        <w:rPr>
          <w:rFonts w:eastAsia="Cambria" w:cs="Times New Roman"/>
          <w:bCs/>
          <w:szCs w:val="20"/>
        </w:rPr>
      </w:pPr>
    </w:p>
    <w:p w14:paraId="6333805F" w14:textId="04C879FD" w:rsidR="00062461" w:rsidRDefault="00062461" w:rsidP="00062461">
      <w:pPr>
        <w:pStyle w:val="ListParagraph"/>
        <w:numPr>
          <w:ilvl w:val="3"/>
          <w:numId w:val="1"/>
        </w:numPr>
        <w:tabs>
          <w:tab w:val="left" w:pos="720"/>
        </w:tabs>
        <w:ind w:left="0" w:right="-90" w:firstLine="0"/>
        <w:rPr>
          <w:rFonts w:eastAsia="Cambria" w:cs="Times New Roman"/>
          <w:bCs/>
          <w:szCs w:val="20"/>
        </w:rPr>
      </w:pPr>
      <w:r w:rsidRPr="00783020">
        <w:rPr>
          <w:rFonts w:eastAsia="Cambria" w:cs="Times New Roman"/>
          <w:bCs/>
          <w:szCs w:val="20"/>
        </w:rPr>
        <w:t xml:space="preserve">El Estado </w:t>
      </w:r>
      <w:r w:rsidRPr="00783020">
        <w:rPr>
          <w:lang w:val="es-ES"/>
        </w:rPr>
        <w:t>debe conducir eficazmente la investigación en curso sobre los hechos relacionados con las muertes ocurridas en la redada de 1994, con la debida diligencia y en un plazo razonable para identificar, procesar y, en su caso, sancionar a los responsables</w:t>
      </w:r>
      <w:r>
        <w:rPr>
          <w:lang w:val="es-ES"/>
        </w:rPr>
        <w:t xml:space="preserve">, en los términos de los párrafos </w:t>
      </w:r>
      <w:r w:rsidR="00B43B79">
        <w:rPr>
          <w:lang w:val="es-ES"/>
        </w:rPr>
        <w:t>291 y</w:t>
      </w:r>
      <w:r w:rsidR="00497767">
        <w:rPr>
          <w:lang w:val="es-ES"/>
        </w:rPr>
        <w:t xml:space="preserve"> 29</w:t>
      </w:r>
      <w:r w:rsidR="00B43B79">
        <w:rPr>
          <w:lang w:val="es-ES"/>
        </w:rPr>
        <w:t>2</w:t>
      </w:r>
      <w:r>
        <w:rPr>
          <w:lang w:val="es-ES"/>
        </w:rPr>
        <w:t xml:space="preserve"> de la presente Sentencia</w:t>
      </w:r>
      <w:r w:rsidRPr="00783020">
        <w:rPr>
          <w:lang w:val="es-ES"/>
        </w:rPr>
        <w:t>. Respecto a las muertes ocurridas en la redada de 1995, el Estado debe iniciar o reactivar una investigación eficaz respecto a estos hechos</w:t>
      </w:r>
      <w:r>
        <w:rPr>
          <w:lang w:val="es-ES"/>
        </w:rPr>
        <w:t xml:space="preserve">, en los términos de los párrafos </w:t>
      </w:r>
      <w:r w:rsidR="00732F7C">
        <w:rPr>
          <w:lang w:val="es-ES"/>
        </w:rPr>
        <w:t>29</w:t>
      </w:r>
      <w:r w:rsidR="00B43B79">
        <w:rPr>
          <w:lang w:val="es-ES"/>
        </w:rPr>
        <w:t>1</w:t>
      </w:r>
      <w:r w:rsidR="00732F7C">
        <w:rPr>
          <w:lang w:val="es-ES"/>
        </w:rPr>
        <w:t xml:space="preserve"> y 29</w:t>
      </w:r>
      <w:r w:rsidR="00B43B79">
        <w:rPr>
          <w:lang w:val="es-ES"/>
        </w:rPr>
        <w:t>2</w:t>
      </w:r>
      <w:r>
        <w:rPr>
          <w:lang w:val="es-ES"/>
        </w:rPr>
        <w:t xml:space="preserve"> de la presente Sentencia</w:t>
      </w:r>
      <w:r w:rsidRPr="00783020">
        <w:rPr>
          <w:lang w:val="es-ES"/>
        </w:rPr>
        <w:t xml:space="preserve">. Asimismo, el Estado, a través del Procurador General de la República del Ministerio Público Federal, debe evaluar si los hechos referentes a las redadas de 1994 y 1995 deben ser objeto de solicitud de </w:t>
      </w:r>
      <w:r w:rsidRPr="00783020">
        <w:rPr>
          <w:i/>
          <w:lang w:val="es-ES"/>
        </w:rPr>
        <w:t xml:space="preserve">Incidente de </w:t>
      </w:r>
      <w:r w:rsidR="00295172">
        <w:rPr>
          <w:i/>
          <w:lang w:val="es-ES"/>
        </w:rPr>
        <w:t>Traslado</w:t>
      </w:r>
      <w:r w:rsidR="00295172" w:rsidRPr="00783020">
        <w:rPr>
          <w:i/>
          <w:lang w:val="es-ES"/>
        </w:rPr>
        <w:t xml:space="preserve"> </w:t>
      </w:r>
      <w:r w:rsidRPr="00783020">
        <w:rPr>
          <w:i/>
          <w:lang w:val="es-ES"/>
        </w:rPr>
        <w:t>de Competencia</w:t>
      </w:r>
      <w:r w:rsidRPr="00783020">
        <w:rPr>
          <w:lang w:val="es-ES"/>
        </w:rPr>
        <w:t xml:space="preserve">, </w:t>
      </w:r>
      <w:r w:rsidRPr="00783020">
        <w:rPr>
          <w:rFonts w:eastAsia="Cambria" w:cs="Arial"/>
          <w:iCs/>
          <w:szCs w:val="20"/>
          <w:lang w:val="es-ES_tradnl"/>
        </w:rPr>
        <w:t xml:space="preserve">en el sentido dispuesto en </w:t>
      </w:r>
      <w:r w:rsidR="00732F7C">
        <w:rPr>
          <w:rFonts w:eastAsia="Cambria" w:cs="Arial"/>
          <w:iCs/>
          <w:szCs w:val="20"/>
          <w:lang w:val="es-ES_tradnl"/>
        </w:rPr>
        <w:t xml:space="preserve">el </w:t>
      </w:r>
      <w:r w:rsidRPr="00783020">
        <w:rPr>
          <w:rFonts w:eastAsia="Cambria" w:cs="Arial"/>
          <w:iCs/>
          <w:szCs w:val="20"/>
          <w:lang w:val="es-ES_tradnl"/>
        </w:rPr>
        <w:t xml:space="preserve">párrafo </w:t>
      </w:r>
      <w:r w:rsidR="00732F7C">
        <w:rPr>
          <w:rFonts w:eastAsia="Cambria" w:cs="Arial"/>
          <w:iCs/>
          <w:szCs w:val="20"/>
          <w:lang w:val="es-ES_tradnl"/>
        </w:rPr>
        <w:t>29</w:t>
      </w:r>
      <w:r w:rsidR="00B43B79">
        <w:rPr>
          <w:rFonts w:eastAsia="Cambria" w:cs="Arial"/>
          <w:iCs/>
          <w:szCs w:val="20"/>
          <w:lang w:val="es-ES_tradnl"/>
        </w:rPr>
        <w:t>2</w:t>
      </w:r>
      <w:r w:rsidRPr="00783020">
        <w:rPr>
          <w:rFonts w:eastAsia="Cambria" w:cs="Arial"/>
          <w:iCs/>
          <w:szCs w:val="20"/>
          <w:lang w:val="es-ES_tradnl"/>
        </w:rPr>
        <w:t xml:space="preserve"> de la presente Sentencia</w:t>
      </w:r>
      <w:r w:rsidRPr="00783020">
        <w:rPr>
          <w:rFonts w:eastAsia="Cambria" w:cs="Times New Roman"/>
          <w:bCs/>
          <w:szCs w:val="20"/>
        </w:rPr>
        <w:t>.</w:t>
      </w:r>
    </w:p>
    <w:p w14:paraId="49D09839" w14:textId="77777777" w:rsidR="00062461" w:rsidRPr="00783020" w:rsidRDefault="00062461" w:rsidP="00062461">
      <w:pPr>
        <w:pStyle w:val="ListParagraph"/>
        <w:rPr>
          <w:rFonts w:eastAsia="Cambria" w:cs="Times New Roman"/>
          <w:bCs/>
          <w:szCs w:val="20"/>
        </w:rPr>
      </w:pPr>
    </w:p>
    <w:p w14:paraId="626CA922" w14:textId="06D110F0" w:rsidR="00062461" w:rsidRDefault="00062461" w:rsidP="00062461">
      <w:pPr>
        <w:pStyle w:val="ListParagraph"/>
        <w:numPr>
          <w:ilvl w:val="3"/>
          <w:numId w:val="1"/>
        </w:numPr>
        <w:tabs>
          <w:tab w:val="left" w:pos="720"/>
        </w:tabs>
        <w:ind w:left="0" w:right="-90" w:firstLine="0"/>
        <w:rPr>
          <w:rFonts w:eastAsia="Cambria" w:cs="Times New Roman"/>
          <w:bCs/>
          <w:szCs w:val="20"/>
        </w:rPr>
      </w:pPr>
      <w:r>
        <w:t>E</w:t>
      </w:r>
      <w:r w:rsidRPr="00783020">
        <w:rPr>
          <w:lang w:val="es-ES"/>
        </w:rPr>
        <w:t>l Estado debe iniciar una investigación eficaz</w:t>
      </w:r>
      <w:r w:rsidRPr="00FC0F3D">
        <w:t xml:space="preserve"> </w:t>
      </w:r>
      <w:r>
        <w:t>r</w:t>
      </w:r>
      <w:r w:rsidRPr="00FC0F3D">
        <w:t xml:space="preserve">especto </w:t>
      </w:r>
      <w:r>
        <w:t>de</w:t>
      </w:r>
      <w:r w:rsidRPr="00FC0F3D">
        <w:t xml:space="preserve"> los hechos de violencia sexual, </w:t>
      </w:r>
      <w:r w:rsidRPr="00783020">
        <w:rPr>
          <w:rFonts w:eastAsia="Cambria" w:cs="Arial"/>
          <w:iCs/>
          <w:szCs w:val="20"/>
          <w:lang w:val="es-ES_tradnl"/>
        </w:rPr>
        <w:t xml:space="preserve">en el sentido dispuesto en </w:t>
      </w:r>
      <w:r w:rsidR="00732F7C">
        <w:rPr>
          <w:rFonts w:eastAsia="Cambria" w:cs="Arial"/>
          <w:iCs/>
          <w:szCs w:val="20"/>
          <w:lang w:val="es-ES_tradnl"/>
        </w:rPr>
        <w:t xml:space="preserve">el </w:t>
      </w:r>
      <w:r w:rsidRPr="00783020">
        <w:rPr>
          <w:rFonts w:eastAsia="Cambria" w:cs="Arial"/>
          <w:iCs/>
          <w:szCs w:val="20"/>
          <w:lang w:val="es-ES_tradnl"/>
        </w:rPr>
        <w:t xml:space="preserve">párrafo </w:t>
      </w:r>
      <w:r w:rsidR="00732F7C">
        <w:rPr>
          <w:rFonts w:eastAsia="Cambria" w:cs="Arial"/>
          <w:iCs/>
          <w:szCs w:val="20"/>
          <w:lang w:val="es-ES_tradnl"/>
        </w:rPr>
        <w:t>29</w:t>
      </w:r>
      <w:r w:rsidR="00B43B79">
        <w:rPr>
          <w:rFonts w:eastAsia="Cambria" w:cs="Arial"/>
          <w:iCs/>
          <w:szCs w:val="20"/>
          <w:lang w:val="es-ES_tradnl"/>
        </w:rPr>
        <w:t>3</w:t>
      </w:r>
      <w:r w:rsidRPr="00783020">
        <w:rPr>
          <w:rFonts w:eastAsia="Cambria" w:cs="Arial"/>
          <w:iCs/>
          <w:szCs w:val="20"/>
          <w:lang w:val="es-ES_tradnl"/>
        </w:rPr>
        <w:t xml:space="preserve"> de la presente Sentencia</w:t>
      </w:r>
      <w:r w:rsidRPr="00783020">
        <w:rPr>
          <w:rFonts w:eastAsia="Cambria" w:cs="Times New Roman"/>
          <w:bCs/>
          <w:szCs w:val="20"/>
        </w:rPr>
        <w:t>.</w:t>
      </w:r>
    </w:p>
    <w:p w14:paraId="7DA162CD" w14:textId="77777777" w:rsidR="00062461" w:rsidRPr="00783020" w:rsidRDefault="00062461" w:rsidP="00062461">
      <w:pPr>
        <w:pStyle w:val="ListParagraph"/>
        <w:rPr>
          <w:rFonts w:eastAsia="Cambria" w:cs="Times New Roman"/>
          <w:bCs/>
          <w:szCs w:val="20"/>
        </w:rPr>
      </w:pPr>
    </w:p>
    <w:p w14:paraId="3358506E" w14:textId="57EE9E77" w:rsidR="00062461" w:rsidRDefault="00062461" w:rsidP="00062461">
      <w:pPr>
        <w:pStyle w:val="ListParagraph"/>
        <w:numPr>
          <w:ilvl w:val="3"/>
          <w:numId w:val="1"/>
        </w:numPr>
        <w:tabs>
          <w:tab w:val="left" w:pos="720"/>
        </w:tabs>
        <w:ind w:left="0" w:right="-90" w:firstLine="0"/>
        <w:rPr>
          <w:rFonts w:eastAsia="Cambria" w:cs="Times New Roman"/>
          <w:bCs/>
          <w:szCs w:val="20"/>
        </w:rPr>
      </w:pPr>
      <w:r>
        <w:rPr>
          <w:iCs/>
          <w:lang w:val="es-CL"/>
        </w:rPr>
        <w:t>E</w:t>
      </w:r>
      <w:r w:rsidRPr="00FC0F3D">
        <w:rPr>
          <w:iCs/>
          <w:lang w:val="es-CL"/>
        </w:rPr>
        <w:t>l Estado debe brindar gratuitamente, a través de sus instituciones de salud especializadas y de forma inmediata, adecuada y efectiva, el tratamiento psicológico y psiquiátrico que requieran las víctimas, previo consentimiento informado y por el tiempo que sea necesario, incluida la provisión gratuita de medicamentos. Asimismo, los tratamientos respectivos deberán prestarse, en la medida de lo posible, en los centros elegidos por las víctimas</w:t>
      </w:r>
      <w:r>
        <w:rPr>
          <w:iCs/>
          <w:lang w:val="es-CL"/>
        </w:rPr>
        <w:t xml:space="preserve">, </w:t>
      </w:r>
      <w:r w:rsidRPr="00783020">
        <w:rPr>
          <w:rFonts w:eastAsia="Cambria" w:cs="Arial"/>
          <w:iCs/>
          <w:szCs w:val="20"/>
          <w:lang w:val="es-ES_tradnl"/>
        </w:rPr>
        <w:t xml:space="preserve">en el sentido dispuesto en </w:t>
      </w:r>
      <w:r w:rsidR="00732F7C">
        <w:rPr>
          <w:rFonts w:eastAsia="Cambria" w:cs="Arial"/>
          <w:iCs/>
          <w:szCs w:val="20"/>
          <w:lang w:val="es-ES_tradnl"/>
        </w:rPr>
        <w:t xml:space="preserve">el </w:t>
      </w:r>
      <w:r w:rsidRPr="00783020">
        <w:rPr>
          <w:rFonts w:eastAsia="Cambria" w:cs="Arial"/>
          <w:iCs/>
          <w:szCs w:val="20"/>
          <w:lang w:val="es-ES_tradnl"/>
        </w:rPr>
        <w:t>párrafo</w:t>
      </w:r>
      <w:r w:rsidR="00732F7C">
        <w:rPr>
          <w:rFonts w:eastAsia="Cambria" w:cs="Arial"/>
          <w:iCs/>
          <w:szCs w:val="20"/>
          <w:lang w:val="es-ES_tradnl"/>
        </w:rPr>
        <w:t xml:space="preserve"> 29</w:t>
      </w:r>
      <w:r w:rsidR="00B43B79">
        <w:rPr>
          <w:rFonts w:eastAsia="Cambria" w:cs="Arial"/>
          <w:iCs/>
          <w:szCs w:val="20"/>
          <w:lang w:val="es-ES_tradnl"/>
        </w:rPr>
        <w:t>6</w:t>
      </w:r>
      <w:r w:rsidRPr="00783020">
        <w:rPr>
          <w:rFonts w:eastAsia="Cambria" w:cs="Arial"/>
          <w:iCs/>
          <w:szCs w:val="20"/>
          <w:lang w:val="es-ES_tradnl"/>
        </w:rPr>
        <w:t xml:space="preserve"> de la presente Sentencia</w:t>
      </w:r>
      <w:r w:rsidRPr="00783020">
        <w:rPr>
          <w:rFonts w:eastAsia="Cambria" w:cs="Times New Roman"/>
          <w:bCs/>
          <w:szCs w:val="20"/>
        </w:rPr>
        <w:t>.</w:t>
      </w:r>
    </w:p>
    <w:p w14:paraId="5E124C79" w14:textId="77777777" w:rsidR="00062461" w:rsidRPr="00196411" w:rsidRDefault="00062461" w:rsidP="00062461">
      <w:pPr>
        <w:pStyle w:val="ListParagraph"/>
        <w:rPr>
          <w:rFonts w:eastAsia="Cambria" w:cs="Times New Roman"/>
          <w:bCs/>
          <w:szCs w:val="20"/>
        </w:rPr>
      </w:pPr>
    </w:p>
    <w:p w14:paraId="7F0CA6DA" w14:textId="194EEF4D" w:rsidR="00062461" w:rsidRDefault="00062461" w:rsidP="00062461">
      <w:pPr>
        <w:pStyle w:val="ListParagraph"/>
        <w:numPr>
          <w:ilvl w:val="3"/>
          <w:numId w:val="1"/>
        </w:numPr>
        <w:tabs>
          <w:tab w:val="left" w:pos="720"/>
        </w:tabs>
        <w:ind w:left="0" w:right="-90" w:firstLine="0"/>
        <w:rPr>
          <w:rFonts w:eastAsia="Cambria" w:cs="Times New Roman"/>
          <w:bCs/>
          <w:szCs w:val="20"/>
        </w:rPr>
      </w:pPr>
      <w:r w:rsidRPr="00196411">
        <w:rPr>
          <w:rFonts w:eastAsia="Cambria" w:cs="Times New Roman"/>
          <w:bCs/>
          <w:szCs w:val="20"/>
        </w:rPr>
        <w:t xml:space="preserve">El Estado debe realizar las publicaciones indicadas en el párrafo </w:t>
      </w:r>
      <w:r w:rsidR="006E64A5">
        <w:rPr>
          <w:rFonts w:eastAsia="Cambria" w:cs="Times New Roman"/>
          <w:bCs/>
          <w:szCs w:val="20"/>
        </w:rPr>
        <w:t>30</w:t>
      </w:r>
      <w:r w:rsidR="00B43B79">
        <w:rPr>
          <w:rFonts w:eastAsia="Cambria" w:cs="Times New Roman"/>
          <w:bCs/>
          <w:szCs w:val="20"/>
        </w:rPr>
        <w:t>0</w:t>
      </w:r>
      <w:r w:rsidRPr="00196411">
        <w:rPr>
          <w:rFonts w:eastAsia="Cambria" w:cs="Times New Roman"/>
          <w:bCs/>
          <w:szCs w:val="20"/>
        </w:rPr>
        <w:t xml:space="preserve"> de la Sentencia, en los términos dispuestos en la misma.</w:t>
      </w:r>
    </w:p>
    <w:p w14:paraId="236A04CA" w14:textId="77777777" w:rsidR="00062461" w:rsidRPr="00196411" w:rsidRDefault="00062461" w:rsidP="00062461">
      <w:pPr>
        <w:pStyle w:val="ListParagraph"/>
        <w:rPr>
          <w:rFonts w:eastAsia="Cambria" w:cs="Times New Roman"/>
          <w:bCs/>
          <w:szCs w:val="20"/>
        </w:rPr>
      </w:pPr>
    </w:p>
    <w:p w14:paraId="35467C25" w14:textId="656D2AF4" w:rsidR="00062461" w:rsidRDefault="00062461" w:rsidP="00062461">
      <w:pPr>
        <w:pStyle w:val="ListParagraph"/>
        <w:numPr>
          <w:ilvl w:val="3"/>
          <w:numId w:val="1"/>
        </w:numPr>
        <w:tabs>
          <w:tab w:val="left" w:pos="720"/>
        </w:tabs>
        <w:ind w:left="0" w:right="-90" w:firstLine="0"/>
        <w:rPr>
          <w:rFonts w:eastAsia="Cambria" w:cs="Times New Roman"/>
          <w:bCs/>
          <w:szCs w:val="20"/>
        </w:rPr>
      </w:pPr>
      <w:r>
        <w:rPr>
          <w:iCs/>
        </w:rPr>
        <w:t>E</w:t>
      </w:r>
      <w:r w:rsidRPr="00FC0F3D">
        <w:rPr>
          <w:iCs/>
        </w:rPr>
        <w:t xml:space="preserve">l Estado debe realizar un acto </w:t>
      </w:r>
      <w:r w:rsidR="00295172">
        <w:rPr>
          <w:iCs/>
        </w:rPr>
        <w:t xml:space="preserve">público </w:t>
      </w:r>
      <w:r w:rsidRPr="00FC0F3D">
        <w:rPr>
          <w:iCs/>
        </w:rPr>
        <w:t xml:space="preserve">de reconocimiento de responsabilidad </w:t>
      </w:r>
      <w:r>
        <w:rPr>
          <w:iCs/>
        </w:rPr>
        <w:t>internacional</w:t>
      </w:r>
      <w:r w:rsidRPr="00FC0F3D">
        <w:rPr>
          <w:iCs/>
        </w:rPr>
        <w:t>, en relación con los hechos del presente caso y su posterior investigación</w:t>
      </w:r>
      <w:r>
        <w:rPr>
          <w:iCs/>
        </w:rPr>
        <w:t>, y d</w:t>
      </w:r>
      <w:r w:rsidRPr="00FC0F3D">
        <w:rPr>
          <w:iCs/>
        </w:rPr>
        <w:t xml:space="preserve">urante ese acto público deberán ser inauguradas dos placas </w:t>
      </w:r>
      <w:r w:rsidRPr="00FC0F3D">
        <w:rPr>
          <w:iCs/>
          <w:lang w:val="es-CO"/>
        </w:rPr>
        <w:t>en memoria de las víctimas de la presente Sentencia en la plaza principal de la Favela Nova Brasilia</w:t>
      </w:r>
      <w:r>
        <w:rPr>
          <w:iCs/>
          <w:lang w:val="es-CO"/>
        </w:rPr>
        <w:t xml:space="preserve">, </w:t>
      </w:r>
      <w:r w:rsidRPr="00783020">
        <w:rPr>
          <w:rFonts w:eastAsia="Cambria" w:cs="Arial"/>
          <w:iCs/>
          <w:szCs w:val="20"/>
          <w:lang w:val="es-ES_tradnl"/>
        </w:rPr>
        <w:t>en el sen</w:t>
      </w:r>
      <w:r w:rsidR="00732F7C">
        <w:rPr>
          <w:rFonts w:eastAsia="Cambria" w:cs="Arial"/>
          <w:iCs/>
          <w:szCs w:val="20"/>
          <w:lang w:val="es-ES_tradnl"/>
        </w:rPr>
        <w:t>ti</w:t>
      </w:r>
      <w:r w:rsidR="00B43B79">
        <w:rPr>
          <w:rFonts w:eastAsia="Cambria" w:cs="Arial"/>
          <w:iCs/>
          <w:szCs w:val="20"/>
          <w:lang w:val="es-ES_tradnl"/>
        </w:rPr>
        <w:t>do dispuesto en los párrafos 305</w:t>
      </w:r>
      <w:r w:rsidR="00732F7C">
        <w:rPr>
          <w:rFonts w:eastAsia="Cambria" w:cs="Arial"/>
          <w:iCs/>
          <w:szCs w:val="20"/>
          <w:lang w:val="es-ES_tradnl"/>
        </w:rPr>
        <w:t xml:space="preserve"> y 30</w:t>
      </w:r>
      <w:r w:rsidR="00B43B79">
        <w:rPr>
          <w:rFonts w:eastAsia="Cambria" w:cs="Arial"/>
          <w:iCs/>
          <w:szCs w:val="20"/>
          <w:lang w:val="es-ES_tradnl"/>
        </w:rPr>
        <w:t>6</w:t>
      </w:r>
      <w:r w:rsidRPr="00783020">
        <w:rPr>
          <w:rFonts w:eastAsia="Cambria" w:cs="Arial"/>
          <w:iCs/>
          <w:szCs w:val="20"/>
          <w:lang w:val="es-ES_tradnl"/>
        </w:rPr>
        <w:t xml:space="preserve"> de la presente Sentencia</w:t>
      </w:r>
      <w:r w:rsidRPr="00783020">
        <w:rPr>
          <w:rFonts w:eastAsia="Cambria" w:cs="Times New Roman"/>
          <w:bCs/>
          <w:szCs w:val="20"/>
        </w:rPr>
        <w:t>.</w:t>
      </w:r>
    </w:p>
    <w:p w14:paraId="6C156B35" w14:textId="77777777" w:rsidR="00062461" w:rsidRPr="00CC54E0" w:rsidRDefault="00062461" w:rsidP="00062461">
      <w:pPr>
        <w:pStyle w:val="ListParagraph"/>
        <w:rPr>
          <w:rFonts w:eastAsia="Cambria" w:cs="Times New Roman"/>
          <w:bCs/>
          <w:szCs w:val="20"/>
        </w:rPr>
      </w:pPr>
    </w:p>
    <w:p w14:paraId="0CBED34F" w14:textId="58C8E6BD" w:rsidR="00062461" w:rsidRDefault="008D43C3" w:rsidP="00062461">
      <w:pPr>
        <w:pStyle w:val="ListParagraph"/>
        <w:numPr>
          <w:ilvl w:val="3"/>
          <w:numId w:val="1"/>
        </w:numPr>
        <w:tabs>
          <w:tab w:val="left" w:pos="720"/>
        </w:tabs>
        <w:ind w:left="0" w:right="-90" w:firstLine="0"/>
        <w:rPr>
          <w:rFonts w:eastAsia="Cambria" w:cs="Times New Roman"/>
          <w:bCs/>
          <w:szCs w:val="20"/>
        </w:rPr>
      </w:pPr>
      <w:r>
        <w:rPr>
          <w:iCs/>
          <w:lang w:val="es-CL"/>
        </w:rPr>
        <w:t>El Estado debe</w:t>
      </w:r>
      <w:r w:rsidR="00062461">
        <w:rPr>
          <w:iCs/>
          <w:lang w:val="es-CL"/>
        </w:rPr>
        <w:t xml:space="preserve"> publicar</w:t>
      </w:r>
      <w:r w:rsidR="00062461" w:rsidRPr="00FC0F3D">
        <w:rPr>
          <w:iCs/>
          <w:lang w:val="es-CL"/>
        </w:rPr>
        <w:t xml:space="preserve"> anualmente un informe oficial con los datos relativos a las muertes producidas durante operativos de la policía en todos los estados del país. Dicho informe debe también contener información actualizada anualmente sobre las investigaciones realizadas respecto a cada incidente resultante en la muerte de un civil o de un policía</w:t>
      </w:r>
      <w:r w:rsidR="00062461">
        <w:rPr>
          <w:iCs/>
          <w:lang w:val="es-CL"/>
        </w:rPr>
        <w:t xml:space="preserve">, </w:t>
      </w:r>
      <w:r w:rsidR="00062461" w:rsidRPr="00783020">
        <w:rPr>
          <w:rFonts w:eastAsia="Cambria" w:cs="Arial"/>
          <w:iCs/>
          <w:szCs w:val="20"/>
          <w:lang w:val="es-ES_tradnl"/>
        </w:rPr>
        <w:t xml:space="preserve">en el sentido dispuesto en </w:t>
      </w:r>
      <w:r w:rsidR="00062461">
        <w:rPr>
          <w:rFonts w:eastAsia="Cambria" w:cs="Arial"/>
          <w:iCs/>
          <w:szCs w:val="20"/>
          <w:lang w:val="es-ES_tradnl"/>
        </w:rPr>
        <w:t xml:space="preserve">los </w:t>
      </w:r>
      <w:r w:rsidR="00062461" w:rsidRPr="00783020">
        <w:rPr>
          <w:rFonts w:eastAsia="Cambria" w:cs="Arial"/>
          <w:iCs/>
          <w:szCs w:val="20"/>
          <w:lang w:val="es-ES_tradnl"/>
        </w:rPr>
        <w:t>párrafo</w:t>
      </w:r>
      <w:r w:rsidR="00062461">
        <w:rPr>
          <w:rFonts w:eastAsia="Cambria" w:cs="Arial"/>
          <w:iCs/>
          <w:szCs w:val="20"/>
          <w:lang w:val="es-ES_tradnl"/>
        </w:rPr>
        <w:t>s</w:t>
      </w:r>
      <w:r w:rsidR="00062461" w:rsidRPr="00783020">
        <w:rPr>
          <w:rFonts w:eastAsia="Cambria" w:cs="Arial"/>
          <w:iCs/>
          <w:szCs w:val="20"/>
          <w:lang w:val="es-ES_tradnl"/>
        </w:rPr>
        <w:t xml:space="preserve"> </w:t>
      </w:r>
      <w:r w:rsidR="00732F7C">
        <w:rPr>
          <w:rFonts w:eastAsia="Cambria" w:cs="Arial"/>
          <w:iCs/>
          <w:szCs w:val="20"/>
          <w:lang w:val="es-ES_tradnl"/>
        </w:rPr>
        <w:t>31</w:t>
      </w:r>
      <w:r w:rsidR="00B43B79">
        <w:rPr>
          <w:rFonts w:eastAsia="Cambria" w:cs="Arial"/>
          <w:iCs/>
          <w:szCs w:val="20"/>
          <w:lang w:val="es-ES_tradnl"/>
        </w:rPr>
        <w:t>6</w:t>
      </w:r>
      <w:r w:rsidR="00732F7C">
        <w:rPr>
          <w:rFonts w:eastAsia="Cambria" w:cs="Arial"/>
          <w:iCs/>
          <w:szCs w:val="20"/>
          <w:lang w:val="es-ES_tradnl"/>
        </w:rPr>
        <w:t xml:space="preserve"> y 31</w:t>
      </w:r>
      <w:r w:rsidR="00B43B79">
        <w:rPr>
          <w:rFonts w:eastAsia="Cambria" w:cs="Arial"/>
          <w:iCs/>
          <w:szCs w:val="20"/>
          <w:lang w:val="es-ES_tradnl"/>
        </w:rPr>
        <w:t>7</w:t>
      </w:r>
      <w:r w:rsidR="00062461" w:rsidRPr="00783020">
        <w:rPr>
          <w:rFonts w:eastAsia="Cambria" w:cs="Arial"/>
          <w:iCs/>
          <w:szCs w:val="20"/>
          <w:lang w:val="es-ES_tradnl"/>
        </w:rPr>
        <w:t xml:space="preserve"> de la presente Sentencia</w:t>
      </w:r>
      <w:r w:rsidR="00062461" w:rsidRPr="00783020">
        <w:rPr>
          <w:rFonts w:eastAsia="Cambria" w:cs="Times New Roman"/>
          <w:bCs/>
          <w:szCs w:val="20"/>
        </w:rPr>
        <w:t>.</w:t>
      </w:r>
    </w:p>
    <w:p w14:paraId="0FBD2557" w14:textId="77777777" w:rsidR="00062461" w:rsidRPr="001F6921" w:rsidRDefault="00062461" w:rsidP="00062461">
      <w:pPr>
        <w:pStyle w:val="ListParagraph"/>
        <w:rPr>
          <w:rFonts w:eastAsia="Cambria" w:cs="Times New Roman"/>
          <w:bCs/>
          <w:szCs w:val="20"/>
        </w:rPr>
      </w:pPr>
    </w:p>
    <w:p w14:paraId="664E3173" w14:textId="7120BE90" w:rsidR="00062461" w:rsidRDefault="00062461" w:rsidP="00062461">
      <w:pPr>
        <w:pStyle w:val="ListParagraph"/>
        <w:numPr>
          <w:ilvl w:val="3"/>
          <w:numId w:val="1"/>
        </w:numPr>
        <w:tabs>
          <w:tab w:val="left" w:pos="720"/>
        </w:tabs>
        <w:ind w:left="0" w:right="-90" w:firstLine="0"/>
        <w:rPr>
          <w:rFonts w:eastAsia="Cambria" w:cs="Times New Roman"/>
          <w:bCs/>
          <w:szCs w:val="20"/>
        </w:rPr>
      </w:pPr>
      <w:r>
        <w:t>E</w:t>
      </w:r>
      <w:r w:rsidRPr="00FC0F3D">
        <w:t>l Estado</w:t>
      </w:r>
      <w:r w:rsidR="00CF0C59">
        <w:t xml:space="preserve">, </w:t>
      </w:r>
      <w:r w:rsidR="00CF0C59" w:rsidRPr="00FC0F3D">
        <w:t xml:space="preserve">dentro del plazo de </w:t>
      </w:r>
      <w:r w:rsidR="007E454A">
        <w:t xml:space="preserve">un año </w:t>
      </w:r>
      <w:r w:rsidR="00295172">
        <w:t xml:space="preserve">contado </w:t>
      </w:r>
      <w:r w:rsidR="00CF0C59" w:rsidRPr="00FC0F3D">
        <w:t xml:space="preserve">a partir de la </w:t>
      </w:r>
      <w:r w:rsidR="00295172">
        <w:t>notificación</w:t>
      </w:r>
      <w:r w:rsidR="00295172" w:rsidRPr="00FC0F3D">
        <w:t xml:space="preserve"> </w:t>
      </w:r>
      <w:r w:rsidR="00CF0C59" w:rsidRPr="00FC0F3D">
        <w:t>de la presente Sentencia</w:t>
      </w:r>
      <w:r w:rsidR="00CF0C59">
        <w:t>,</w:t>
      </w:r>
      <w:r w:rsidR="00CF0C59" w:rsidRPr="00FC0F3D">
        <w:t xml:space="preserve"> </w:t>
      </w:r>
      <w:r w:rsidRPr="00FC0F3D">
        <w:t>debe establecer los mecanismos normativos necesarios para que</w:t>
      </w:r>
      <w:r w:rsidRPr="00FD443C">
        <w:t xml:space="preserve"> en supuestos de presuntas muertes, tortura o violencia sexual derivadas de intervención policial</w:t>
      </w:r>
      <w:r w:rsidR="00CF0C59" w:rsidRPr="00FD443C">
        <w:t>,</w:t>
      </w:r>
      <w:r w:rsidRPr="00FD443C">
        <w:t xml:space="preserve"> en que </w:t>
      </w:r>
      <w:r w:rsidRPr="00ED3229">
        <w:rPr>
          <w:i/>
        </w:rPr>
        <w:t>prima facie</w:t>
      </w:r>
      <w:r w:rsidRPr="00FD443C">
        <w:t xml:space="preserve"> aparezca como posible imputado personal policial</w:t>
      </w:r>
      <w:r w:rsidR="00D92CEE">
        <w:t>,</w:t>
      </w:r>
      <w:r w:rsidRPr="00FD443C">
        <w:t xml:space="preserve"> desde la </w:t>
      </w:r>
      <w:proofErr w:type="spellStart"/>
      <w:r w:rsidRPr="00ED3229">
        <w:rPr>
          <w:i/>
        </w:rPr>
        <w:t>notitia</w:t>
      </w:r>
      <w:proofErr w:type="spellEnd"/>
      <w:r w:rsidRPr="00ED3229">
        <w:rPr>
          <w:i/>
        </w:rPr>
        <w:t xml:space="preserve"> </w:t>
      </w:r>
      <w:proofErr w:type="spellStart"/>
      <w:r w:rsidRPr="00ED3229">
        <w:rPr>
          <w:i/>
        </w:rPr>
        <w:t>criminis</w:t>
      </w:r>
      <w:proofErr w:type="spellEnd"/>
      <w:r w:rsidRPr="00FD443C">
        <w:t xml:space="preserve"> se encargue la investigación a un órgano </w:t>
      </w:r>
      <w:r w:rsidR="00E24822" w:rsidRPr="00FD443C">
        <w:t>independiente y diferente</w:t>
      </w:r>
      <w:r w:rsidR="00C2400E" w:rsidRPr="00FD443C">
        <w:t xml:space="preserve"> de la fuerza públic</w:t>
      </w:r>
      <w:r w:rsidR="00E94C69" w:rsidRPr="00FD443C">
        <w:t>a</w:t>
      </w:r>
      <w:r w:rsidR="00C2400E" w:rsidRPr="00FD443C">
        <w:t xml:space="preserve"> involucrada en el incidente</w:t>
      </w:r>
      <w:r w:rsidR="00E24822" w:rsidRPr="00FD443C">
        <w:t xml:space="preserve">, tales como una autoridad </w:t>
      </w:r>
      <w:r w:rsidRPr="00FD443C">
        <w:t xml:space="preserve">judicial o el Ministerio Público, asistido por personal policial, técnico </w:t>
      </w:r>
      <w:proofErr w:type="spellStart"/>
      <w:r w:rsidRPr="00FD443C">
        <w:t>criminalístico</w:t>
      </w:r>
      <w:proofErr w:type="spellEnd"/>
      <w:r w:rsidRPr="00FD443C">
        <w:t xml:space="preserve"> y administrativo ajeno al cuerpo de seguridad al que pertenezca el posible imputado o imputados, </w:t>
      </w:r>
      <w:r w:rsidR="007E454A" w:rsidRPr="00FD443C">
        <w:t>de</w:t>
      </w:r>
      <w:r w:rsidRPr="00FD443C">
        <w:t xml:space="preserve"> conformidad con los párrafos  </w:t>
      </w:r>
      <w:r w:rsidR="00732F7C">
        <w:t>31</w:t>
      </w:r>
      <w:r w:rsidR="00B43B79">
        <w:t>8</w:t>
      </w:r>
      <w:r w:rsidR="00732F7C">
        <w:t xml:space="preserve"> y 3</w:t>
      </w:r>
      <w:r w:rsidR="00B43B79">
        <w:t>19</w:t>
      </w:r>
      <w:r w:rsidRPr="00FD443C">
        <w:t xml:space="preserve"> de la presente Sentencia</w:t>
      </w:r>
      <w:r w:rsidRPr="00FD443C">
        <w:rPr>
          <w:rFonts w:eastAsia="Cambria" w:cs="Times New Roman"/>
          <w:bCs/>
          <w:szCs w:val="20"/>
        </w:rPr>
        <w:t>.</w:t>
      </w:r>
    </w:p>
    <w:p w14:paraId="60CC077B" w14:textId="77777777" w:rsidR="00062461" w:rsidRPr="00D85390" w:rsidRDefault="00062461" w:rsidP="00062461">
      <w:pPr>
        <w:pStyle w:val="ListParagraph"/>
        <w:rPr>
          <w:rFonts w:eastAsia="Cambria" w:cs="Times New Roman"/>
          <w:bCs/>
          <w:szCs w:val="20"/>
        </w:rPr>
      </w:pPr>
    </w:p>
    <w:p w14:paraId="0E47D972" w14:textId="548842AF" w:rsidR="00062461" w:rsidRPr="00AA380A" w:rsidRDefault="00062461" w:rsidP="00062461">
      <w:pPr>
        <w:pStyle w:val="ListParagraph"/>
        <w:numPr>
          <w:ilvl w:val="3"/>
          <w:numId w:val="1"/>
        </w:numPr>
        <w:tabs>
          <w:tab w:val="left" w:pos="720"/>
        </w:tabs>
        <w:ind w:left="0" w:right="-90" w:firstLine="0"/>
        <w:rPr>
          <w:rFonts w:eastAsia="Cambria" w:cs="Times New Roman"/>
          <w:bCs/>
          <w:szCs w:val="20"/>
        </w:rPr>
      </w:pPr>
      <w:r>
        <w:t>E</w:t>
      </w:r>
      <w:r w:rsidRPr="00FC0F3D">
        <w:t xml:space="preserve">l Estado </w:t>
      </w:r>
      <w:r w:rsidR="008D43C3">
        <w:t xml:space="preserve">debe adoptar las medidas necesarias para que el Estado </w:t>
      </w:r>
      <w:r>
        <w:t xml:space="preserve">de Río de Janeiro </w:t>
      </w:r>
      <w:r>
        <w:rPr>
          <w:iCs/>
          <w:lang w:val="es-CL"/>
        </w:rPr>
        <w:t>estable</w:t>
      </w:r>
      <w:r w:rsidR="008D43C3">
        <w:rPr>
          <w:iCs/>
          <w:lang w:val="es-CL"/>
        </w:rPr>
        <w:t>zca</w:t>
      </w:r>
      <w:r>
        <w:rPr>
          <w:iCs/>
          <w:lang w:val="es-CL"/>
        </w:rPr>
        <w:t xml:space="preserve"> </w:t>
      </w:r>
      <w:r>
        <w:rPr>
          <w:rFonts w:eastAsia="Cambria" w:cs="Times New Roman"/>
          <w:bCs/>
          <w:szCs w:val="20"/>
        </w:rPr>
        <w:t xml:space="preserve">metas y políticas de reducción de la letalidad y la violencia policial, </w:t>
      </w:r>
      <w:r w:rsidRPr="00AA380A">
        <w:rPr>
          <w:rFonts w:eastAsia="Cambria" w:cs="Arial"/>
          <w:iCs/>
          <w:szCs w:val="20"/>
          <w:lang w:val="es-ES_tradnl"/>
        </w:rPr>
        <w:t xml:space="preserve">en </w:t>
      </w:r>
      <w:r>
        <w:rPr>
          <w:rFonts w:eastAsia="Cambria" w:cs="Arial"/>
          <w:iCs/>
          <w:szCs w:val="20"/>
          <w:lang w:val="es-ES_tradnl"/>
        </w:rPr>
        <w:t xml:space="preserve">los términos de los </w:t>
      </w:r>
      <w:r w:rsidRPr="00AA380A">
        <w:rPr>
          <w:rFonts w:eastAsia="Cambria" w:cs="Arial"/>
          <w:iCs/>
          <w:szCs w:val="20"/>
          <w:lang w:val="es-ES_tradnl"/>
        </w:rPr>
        <w:t>párrafo</w:t>
      </w:r>
      <w:r>
        <w:rPr>
          <w:rFonts w:eastAsia="Cambria" w:cs="Arial"/>
          <w:iCs/>
          <w:szCs w:val="20"/>
          <w:lang w:val="es-ES_tradnl"/>
        </w:rPr>
        <w:t>s</w:t>
      </w:r>
      <w:r w:rsidRPr="00AA380A">
        <w:rPr>
          <w:rFonts w:eastAsia="Cambria" w:cs="Arial"/>
          <w:iCs/>
          <w:szCs w:val="20"/>
          <w:lang w:val="es-ES_tradnl"/>
        </w:rPr>
        <w:t xml:space="preserve"> </w:t>
      </w:r>
      <w:r w:rsidR="00B43B79">
        <w:rPr>
          <w:rFonts w:eastAsia="Cambria" w:cs="Arial"/>
          <w:iCs/>
          <w:szCs w:val="20"/>
          <w:lang w:val="es-ES_tradnl"/>
        </w:rPr>
        <w:t>321</w:t>
      </w:r>
      <w:r w:rsidR="00732F7C">
        <w:rPr>
          <w:rFonts w:eastAsia="Cambria" w:cs="Arial"/>
          <w:iCs/>
          <w:szCs w:val="20"/>
          <w:lang w:val="es-ES_tradnl"/>
        </w:rPr>
        <w:t xml:space="preserve"> y 32</w:t>
      </w:r>
      <w:r w:rsidR="00B43B79">
        <w:rPr>
          <w:rFonts w:eastAsia="Cambria" w:cs="Arial"/>
          <w:iCs/>
          <w:szCs w:val="20"/>
          <w:lang w:val="es-ES_tradnl"/>
        </w:rPr>
        <w:t>2</w:t>
      </w:r>
      <w:r w:rsidRPr="00AA380A">
        <w:rPr>
          <w:rFonts w:eastAsia="Cambria" w:cs="Arial"/>
          <w:iCs/>
          <w:szCs w:val="20"/>
          <w:lang w:val="es-ES_tradnl"/>
        </w:rPr>
        <w:t xml:space="preserve"> de la presente Sentencia</w:t>
      </w:r>
      <w:r w:rsidRPr="00AA380A">
        <w:rPr>
          <w:iCs/>
          <w:lang w:val="es-CL"/>
        </w:rPr>
        <w:t>.</w:t>
      </w:r>
    </w:p>
    <w:p w14:paraId="756DA322" w14:textId="77777777" w:rsidR="00062461" w:rsidRPr="009E2E7A" w:rsidRDefault="00062461" w:rsidP="00062461">
      <w:pPr>
        <w:pStyle w:val="ListParagraph"/>
        <w:rPr>
          <w:rFonts w:eastAsia="Cambria" w:cs="Times New Roman"/>
          <w:bCs/>
          <w:szCs w:val="20"/>
        </w:rPr>
      </w:pPr>
    </w:p>
    <w:p w14:paraId="0A183C73" w14:textId="5DD6EB85" w:rsidR="00062461" w:rsidRPr="0070791F" w:rsidRDefault="00062461" w:rsidP="00062461">
      <w:pPr>
        <w:pStyle w:val="ListParagraph"/>
        <w:numPr>
          <w:ilvl w:val="3"/>
          <w:numId w:val="1"/>
        </w:numPr>
        <w:tabs>
          <w:tab w:val="left" w:pos="720"/>
        </w:tabs>
        <w:ind w:left="0" w:right="-90" w:firstLine="0"/>
        <w:rPr>
          <w:rFonts w:eastAsia="Cambria" w:cs="Times New Roman"/>
          <w:bCs/>
          <w:szCs w:val="20"/>
        </w:rPr>
      </w:pPr>
      <w:r>
        <w:t>E</w:t>
      </w:r>
      <w:r w:rsidRPr="00FC0F3D">
        <w:t>l Estado debe</w:t>
      </w:r>
      <w:r>
        <w:t xml:space="preserve"> implementar</w:t>
      </w:r>
      <w:r w:rsidRPr="00FC0F3D">
        <w:t>, en un plazo razonable, un programa o curso permanente y obligatorio sobre atención a mujeres víctimas de violación sexual, dirigido a todos los niveles jerárquicos de las Policías Civil y Militar de Río de Janeiro y a funcionarios de atención de salud. Como parte de esta formación, se deberá incluir la presente Sentencia, la jurisprudencia de la Corte Interamericana respecto a violencia sexual y tortura, así como los estándares internacionales en materia de atención a víctimas e investigación de ese tipo de casos</w:t>
      </w:r>
      <w:r>
        <w:t xml:space="preserve">, </w:t>
      </w:r>
      <w:r w:rsidRPr="00783020">
        <w:rPr>
          <w:rFonts w:eastAsia="Cambria" w:cs="Arial"/>
          <w:iCs/>
          <w:szCs w:val="20"/>
          <w:lang w:val="es-ES_tradnl"/>
        </w:rPr>
        <w:t xml:space="preserve">en el sentido dispuesto en </w:t>
      </w:r>
      <w:r w:rsidR="008E7B66">
        <w:rPr>
          <w:rFonts w:eastAsia="Cambria" w:cs="Arial"/>
          <w:iCs/>
          <w:szCs w:val="20"/>
          <w:lang w:val="es-ES_tradnl"/>
        </w:rPr>
        <w:t xml:space="preserve">los </w:t>
      </w:r>
      <w:r w:rsidRPr="00783020">
        <w:rPr>
          <w:rFonts w:eastAsia="Cambria" w:cs="Arial"/>
          <w:iCs/>
          <w:szCs w:val="20"/>
          <w:lang w:val="es-ES_tradnl"/>
        </w:rPr>
        <w:t>párrafo</w:t>
      </w:r>
      <w:r w:rsidR="008E7B66">
        <w:rPr>
          <w:rFonts w:eastAsia="Cambria" w:cs="Arial"/>
          <w:iCs/>
          <w:szCs w:val="20"/>
          <w:lang w:val="es-ES_tradnl"/>
        </w:rPr>
        <w:t>s</w:t>
      </w:r>
      <w:r w:rsidRPr="00783020">
        <w:rPr>
          <w:rFonts w:eastAsia="Cambria" w:cs="Arial"/>
          <w:iCs/>
          <w:szCs w:val="20"/>
          <w:lang w:val="es-ES_tradnl"/>
        </w:rPr>
        <w:t xml:space="preserve"> </w:t>
      </w:r>
      <w:r w:rsidR="008E7B66">
        <w:rPr>
          <w:rFonts w:eastAsia="Cambria" w:cs="Arial"/>
          <w:iCs/>
          <w:szCs w:val="20"/>
          <w:lang w:val="es-ES_tradnl"/>
        </w:rPr>
        <w:t xml:space="preserve">323 y </w:t>
      </w:r>
      <w:r w:rsidR="00F34443">
        <w:rPr>
          <w:rFonts w:eastAsia="Cambria" w:cs="Arial"/>
          <w:iCs/>
          <w:szCs w:val="20"/>
          <w:lang w:val="es-ES_tradnl"/>
        </w:rPr>
        <w:t>32</w:t>
      </w:r>
      <w:r w:rsidR="00B43B79">
        <w:rPr>
          <w:rFonts w:eastAsia="Cambria" w:cs="Arial"/>
          <w:iCs/>
          <w:szCs w:val="20"/>
          <w:lang w:val="es-ES_tradnl"/>
        </w:rPr>
        <w:t>4</w:t>
      </w:r>
      <w:r w:rsidRPr="00783020">
        <w:rPr>
          <w:rFonts w:eastAsia="Cambria" w:cs="Arial"/>
          <w:iCs/>
          <w:szCs w:val="20"/>
          <w:lang w:val="es-ES_tradnl"/>
        </w:rPr>
        <w:t xml:space="preserve"> de la presente Sentencia</w:t>
      </w:r>
      <w:r w:rsidRPr="00FC0F3D">
        <w:rPr>
          <w:iCs/>
          <w:lang w:val="es-CL"/>
        </w:rPr>
        <w:t>.</w:t>
      </w:r>
    </w:p>
    <w:p w14:paraId="5ED3CD3C" w14:textId="77777777" w:rsidR="00062461" w:rsidRPr="0070791F" w:rsidRDefault="00062461" w:rsidP="00062461">
      <w:pPr>
        <w:pStyle w:val="ListParagraph"/>
        <w:rPr>
          <w:rFonts w:eastAsia="Cambria" w:cs="Times New Roman"/>
          <w:bCs/>
          <w:szCs w:val="20"/>
        </w:rPr>
      </w:pPr>
    </w:p>
    <w:p w14:paraId="7E755F3E" w14:textId="2F69097D" w:rsidR="00062461" w:rsidRPr="005F2B2C" w:rsidRDefault="00062461" w:rsidP="00062461">
      <w:pPr>
        <w:pStyle w:val="ListParagraph"/>
        <w:numPr>
          <w:ilvl w:val="3"/>
          <w:numId w:val="1"/>
        </w:numPr>
        <w:tabs>
          <w:tab w:val="left" w:pos="720"/>
        </w:tabs>
        <w:ind w:left="0" w:right="-90" w:firstLine="0"/>
        <w:rPr>
          <w:rFonts w:eastAsia="Cambria" w:cs="Times New Roman"/>
          <w:bCs/>
          <w:szCs w:val="20"/>
        </w:rPr>
      </w:pPr>
      <w:r>
        <w:t>E</w:t>
      </w:r>
      <w:r w:rsidRPr="00FC0F3D">
        <w:t>l Estado debe</w:t>
      </w:r>
      <w:r>
        <w:rPr>
          <w:iCs/>
          <w:lang w:val="es-CL"/>
        </w:rPr>
        <w:t xml:space="preserve"> adoptar</w:t>
      </w:r>
      <w:r w:rsidRPr="00FC0F3D">
        <w:rPr>
          <w:iCs/>
          <w:lang w:val="es-CL"/>
        </w:rPr>
        <w:t xml:space="preserve"> las medidas legislativas o de otra índole necesarias para permitir a las víctimas de delitos </w:t>
      </w:r>
      <w:r>
        <w:rPr>
          <w:iCs/>
          <w:lang w:val="es-CL"/>
        </w:rPr>
        <w:t xml:space="preserve">o sus familiares </w:t>
      </w:r>
      <w:r w:rsidRPr="00FC0F3D">
        <w:rPr>
          <w:iCs/>
          <w:lang w:val="es-CL"/>
        </w:rPr>
        <w:t xml:space="preserve">participar de manera formal </w:t>
      </w:r>
      <w:r>
        <w:rPr>
          <w:iCs/>
          <w:lang w:val="es-CL"/>
        </w:rPr>
        <w:t xml:space="preserve">y efectiva </w:t>
      </w:r>
      <w:r w:rsidRPr="00FC0F3D">
        <w:rPr>
          <w:iCs/>
          <w:lang w:val="es-CL"/>
        </w:rPr>
        <w:t>en la investigación de delitos realizada por la policía o el Ministerio Público</w:t>
      </w:r>
      <w:r>
        <w:rPr>
          <w:iCs/>
          <w:lang w:val="es-CL"/>
        </w:rPr>
        <w:t xml:space="preserve">, </w:t>
      </w:r>
      <w:r w:rsidRPr="00783020">
        <w:rPr>
          <w:rFonts w:eastAsia="Cambria" w:cs="Arial"/>
          <w:iCs/>
          <w:szCs w:val="20"/>
          <w:lang w:val="es-ES_tradnl"/>
        </w:rPr>
        <w:t xml:space="preserve">en el sentido dispuesto en el párrafo </w:t>
      </w:r>
      <w:r w:rsidR="00F34443">
        <w:rPr>
          <w:rFonts w:eastAsia="Cambria" w:cs="Arial"/>
          <w:iCs/>
          <w:szCs w:val="20"/>
          <w:lang w:val="es-ES_tradnl"/>
        </w:rPr>
        <w:t>3</w:t>
      </w:r>
      <w:r w:rsidR="00B43B79">
        <w:rPr>
          <w:rFonts w:eastAsia="Cambria" w:cs="Arial"/>
          <w:iCs/>
          <w:szCs w:val="20"/>
          <w:lang w:val="es-ES_tradnl"/>
        </w:rPr>
        <w:t>29</w:t>
      </w:r>
      <w:r w:rsidRPr="00783020">
        <w:rPr>
          <w:rFonts w:eastAsia="Cambria" w:cs="Arial"/>
          <w:iCs/>
          <w:szCs w:val="20"/>
          <w:lang w:val="es-ES_tradnl"/>
        </w:rPr>
        <w:t xml:space="preserve"> de la presente Sentencia</w:t>
      </w:r>
      <w:r w:rsidRPr="00FC0F3D">
        <w:rPr>
          <w:iCs/>
          <w:lang w:val="es-CL"/>
        </w:rPr>
        <w:t>.</w:t>
      </w:r>
      <w:r>
        <w:rPr>
          <w:iCs/>
          <w:lang w:val="es-CL"/>
        </w:rPr>
        <w:t xml:space="preserve"> </w:t>
      </w:r>
    </w:p>
    <w:p w14:paraId="77D3D5AA" w14:textId="77777777" w:rsidR="00062461" w:rsidRPr="005F2B2C" w:rsidRDefault="00062461" w:rsidP="00062461">
      <w:pPr>
        <w:pStyle w:val="ListParagraph"/>
        <w:rPr>
          <w:rFonts w:eastAsia="Cambria" w:cs="Times New Roman"/>
          <w:bCs/>
          <w:szCs w:val="20"/>
        </w:rPr>
      </w:pPr>
    </w:p>
    <w:p w14:paraId="14B8DC9D" w14:textId="6D760B45" w:rsidR="00062461" w:rsidRPr="00A5673C" w:rsidRDefault="00062461" w:rsidP="00062461">
      <w:pPr>
        <w:pStyle w:val="ListParagraph"/>
        <w:numPr>
          <w:ilvl w:val="3"/>
          <w:numId w:val="1"/>
        </w:numPr>
        <w:tabs>
          <w:tab w:val="left" w:pos="720"/>
        </w:tabs>
        <w:ind w:left="0" w:right="-90" w:firstLine="0"/>
        <w:rPr>
          <w:rFonts w:eastAsia="Cambria" w:cs="Times New Roman"/>
          <w:bCs/>
          <w:szCs w:val="20"/>
        </w:rPr>
      </w:pPr>
      <w:r>
        <w:t>E</w:t>
      </w:r>
      <w:r w:rsidRPr="00FC0F3D">
        <w:t>l Estado debe</w:t>
      </w:r>
      <w:r>
        <w:rPr>
          <w:iCs/>
          <w:lang w:val="es-CL"/>
        </w:rPr>
        <w:t xml:space="preserve"> adoptar</w:t>
      </w:r>
      <w:r w:rsidRPr="00FC0F3D">
        <w:t xml:space="preserve"> las medidas necesarias para </w:t>
      </w:r>
      <w:r w:rsidR="00AF6F87">
        <w:t>uniformar</w:t>
      </w:r>
      <w:r w:rsidRPr="00FC0F3D">
        <w:t xml:space="preserve"> </w:t>
      </w:r>
      <w:r>
        <w:t>la</w:t>
      </w:r>
      <w:r w:rsidRPr="00FC0F3D">
        <w:t xml:space="preserve"> expresión</w:t>
      </w:r>
      <w:r>
        <w:t xml:space="preserve"> </w:t>
      </w:r>
      <w:r w:rsidRPr="00FC0F3D">
        <w:t>“lesión corporal u homicidio derivada de intervención policial” en los reportes e investigaciones realizadas por la policía o el Ministerio Público en casos de muertes o lesiones provocadas por la actuación policial. El concepto de “oposición” o “resistencia” a la actuación policial debe ser abolido</w:t>
      </w:r>
      <w:r>
        <w:t xml:space="preserve">, </w:t>
      </w:r>
      <w:r w:rsidRPr="00783020">
        <w:rPr>
          <w:rFonts w:eastAsia="Cambria" w:cs="Arial"/>
          <w:iCs/>
          <w:szCs w:val="20"/>
          <w:lang w:val="es-ES_tradnl"/>
        </w:rPr>
        <w:t xml:space="preserve">en el sentido dispuesto en </w:t>
      </w:r>
      <w:r w:rsidR="00F34443">
        <w:rPr>
          <w:rFonts w:eastAsia="Cambria" w:cs="Arial"/>
          <w:iCs/>
          <w:szCs w:val="20"/>
          <w:lang w:val="es-ES_tradnl"/>
        </w:rPr>
        <w:t xml:space="preserve">los </w:t>
      </w:r>
      <w:r w:rsidRPr="00783020">
        <w:rPr>
          <w:rFonts w:eastAsia="Cambria" w:cs="Arial"/>
          <w:iCs/>
          <w:szCs w:val="20"/>
          <w:lang w:val="es-ES_tradnl"/>
        </w:rPr>
        <w:t>párrafo</w:t>
      </w:r>
      <w:r w:rsidR="00F34443">
        <w:rPr>
          <w:rFonts w:eastAsia="Cambria" w:cs="Arial"/>
          <w:iCs/>
          <w:szCs w:val="20"/>
          <w:lang w:val="es-ES_tradnl"/>
        </w:rPr>
        <w:t>s</w:t>
      </w:r>
      <w:r w:rsidRPr="00783020">
        <w:rPr>
          <w:rFonts w:eastAsia="Cambria" w:cs="Arial"/>
          <w:iCs/>
          <w:szCs w:val="20"/>
          <w:lang w:val="es-ES_tradnl"/>
        </w:rPr>
        <w:t xml:space="preserve"> </w:t>
      </w:r>
      <w:r w:rsidR="00F34443">
        <w:rPr>
          <w:rFonts w:eastAsia="Cambria" w:cs="Arial"/>
          <w:iCs/>
          <w:szCs w:val="20"/>
          <w:lang w:val="es-ES_tradnl"/>
        </w:rPr>
        <w:t>33</w:t>
      </w:r>
      <w:r w:rsidR="00B43B79">
        <w:rPr>
          <w:rFonts w:eastAsia="Cambria" w:cs="Arial"/>
          <w:iCs/>
          <w:szCs w:val="20"/>
          <w:lang w:val="es-ES_tradnl"/>
        </w:rPr>
        <w:t>3</w:t>
      </w:r>
      <w:r w:rsidR="00F34443">
        <w:rPr>
          <w:rFonts w:eastAsia="Cambria" w:cs="Arial"/>
          <w:iCs/>
          <w:szCs w:val="20"/>
          <w:lang w:val="es-ES_tradnl"/>
        </w:rPr>
        <w:t xml:space="preserve"> a 33</w:t>
      </w:r>
      <w:r w:rsidR="00B43B79">
        <w:rPr>
          <w:rFonts w:eastAsia="Cambria" w:cs="Arial"/>
          <w:iCs/>
          <w:szCs w:val="20"/>
          <w:lang w:val="es-ES_tradnl"/>
        </w:rPr>
        <w:t>5</w:t>
      </w:r>
      <w:r w:rsidRPr="00783020">
        <w:rPr>
          <w:rFonts w:eastAsia="Cambria" w:cs="Arial"/>
          <w:iCs/>
          <w:szCs w:val="20"/>
          <w:lang w:val="es-ES_tradnl"/>
        </w:rPr>
        <w:t xml:space="preserve"> de la presente Sentencia</w:t>
      </w:r>
      <w:r w:rsidRPr="00FC0F3D">
        <w:rPr>
          <w:iCs/>
          <w:lang w:val="es-CL"/>
        </w:rPr>
        <w:t>.</w:t>
      </w:r>
    </w:p>
    <w:p w14:paraId="12F41E46" w14:textId="77777777" w:rsidR="00062461" w:rsidRPr="00A5673C" w:rsidRDefault="00062461" w:rsidP="00062461">
      <w:pPr>
        <w:pStyle w:val="ListParagraph"/>
        <w:rPr>
          <w:rFonts w:eastAsia="Cambria" w:cs="Times New Roman"/>
          <w:bCs/>
          <w:szCs w:val="20"/>
        </w:rPr>
      </w:pPr>
    </w:p>
    <w:p w14:paraId="3A3A0F7D" w14:textId="7EDF05C2" w:rsidR="00062461" w:rsidRDefault="00062461" w:rsidP="00062461">
      <w:pPr>
        <w:pStyle w:val="ListParagraph"/>
        <w:numPr>
          <w:ilvl w:val="3"/>
          <w:numId w:val="1"/>
        </w:numPr>
        <w:tabs>
          <w:tab w:val="left" w:pos="720"/>
        </w:tabs>
        <w:ind w:left="0" w:right="-90" w:firstLine="0"/>
        <w:rPr>
          <w:rFonts w:eastAsia="Cambria" w:cs="Times New Roman"/>
          <w:bCs/>
          <w:szCs w:val="20"/>
        </w:rPr>
      </w:pPr>
      <w:r w:rsidRPr="00A5673C">
        <w:rPr>
          <w:rFonts w:eastAsia="Cambria" w:cs="Times New Roman"/>
          <w:bCs/>
          <w:szCs w:val="20"/>
        </w:rPr>
        <w:t xml:space="preserve">El </w:t>
      </w:r>
      <w:r w:rsidRPr="00A5673C">
        <w:rPr>
          <w:rFonts w:eastAsia="Cambria" w:cs="Times New Roman"/>
          <w:szCs w:val="20"/>
        </w:rPr>
        <w:t>Estado</w:t>
      </w:r>
      <w:r w:rsidRPr="00A5673C">
        <w:rPr>
          <w:rFonts w:eastAsia="Cambria" w:cs="Times New Roman"/>
          <w:bCs/>
          <w:szCs w:val="20"/>
        </w:rPr>
        <w:t xml:space="preserve"> debe pagar las cantidades fijadas en el párrafo </w:t>
      </w:r>
      <w:r w:rsidR="00F34443">
        <w:rPr>
          <w:rFonts w:eastAsia="Cambria" w:cs="Times New Roman"/>
          <w:bCs/>
          <w:szCs w:val="20"/>
        </w:rPr>
        <w:t>35</w:t>
      </w:r>
      <w:r w:rsidR="00B43B79">
        <w:rPr>
          <w:rFonts w:eastAsia="Cambria" w:cs="Times New Roman"/>
          <w:bCs/>
          <w:szCs w:val="20"/>
        </w:rPr>
        <w:t>3</w:t>
      </w:r>
      <w:r w:rsidRPr="00A5673C">
        <w:rPr>
          <w:rFonts w:eastAsia="Cambria" w:cs="Times New Roman"/>
          <w:bCs/>
          <w:szCs w:val="20"/>
        </w:rPr>
        <w:t xml:space="preserve"> de la presente Sentencia, por concepto de indemnizaciones por daño inmaterial</w:t>
      </w:r>
      <w:r w:rsidR="006A63B1">
        <w:rPr>
          <w:rFonts w:eastAsia="Cambria" w:cs="Times New Roman"/>
          <w:bCs/>
          <w:szCs w:val="20"/>
        </w:rPr>
        <w:t>;</w:t>
      </w:r>
      <w:r w:rsidRPr="00A5673C">
        <w:rPr>
          <w:rFonts w:eastAsia="Cambria" w:cs="Times New Roman"/>
          <w:bCs/>
          <w:szCs w:val="20"/>
        </w:rPr>
        <w:t xml:space="preserve"> y por el reintegro de costas y gastos, en los términos del párrafo </w:t>
      </w:r>
      <w:r w:rsidR="006A63B1">
        <w:rPr>
          <w:rFonts w:eastAsia="Cambria" w:cs="Times New Roman"/>
          <w:bCs/>
          <w:szCs w:val="20"/>
        </w:rPr>
        <w:t>35</w:t>
      </w:r>
      <w:r w:rsidR="00B43B79">
        <w:rPr>
          <w:rFonts w:eastAsia="Cambria" w:cs="Times New Roman"/>
          <w:bCs/>
          <w:szCs w:val="20"/>
        </w:rPr>
        <w:t>8</w:t>
      </w:r>
      <w:r w:rsidRPr="00A5673C">
        <w:rPr>
          <w:rFonts w:eastAsia="Cambria" w:cs="Times New Roman"/>
          <w:bCs/>
          <w:szCs w:val="20"/>
        </w:rPr>
        <w:t xml:space="preserve"> de la presente Sentencia.</w:t>
      </w:r>
    </w:p>
    <w:p w14:paraId="607100C1" w14:textId="77777777" w:rsidR="00062461" w:rsidRPr="006D31C7" w:rsidRDefault="00062461" w:rsidP="00062461">
      <w:pPr>
        <w:pStyle w:val="ListParagraph"/>
        <w:rPr>
          <w:rFonts w:eastAsia="Cambria" w:cs="Times New Roman"/>
          <w:bCs/>
          <w:szCs w:val="20"/>
        </w:rPr>
      </w:pPr>
    </w:p>
    <w:p w14:paraId="6A36DDDA" w14:textId="72E6CEAF" w:rsidR="00062461" w:rsidRDefault="00062461" w:rsidP="00062461">
      <w:pPr>
        <w:pStyle w:val="ListParagraph"/>
        <w:numPr>
          <w:ilvl w:val="3"/>
          <w:numId w:val="1"/>
        </w:numPr>
        <w:tabs>
          <w:tab w:val="left" w:pos="720"/>
        </w:tabs>
        <w:ind w:left="0" w:right="-90" w:firstLine="0"/>
        <w:rPr>
          <w:rFonts w:eastAsia="Cambria" w:cs="Times New Roman"/>
          <w:bCs/>
          <w:szCs w:val="20"/>
        </w:rPr>
      </w:pPr>
      <w:r>
        <w:t xml:space="preserve">El Estado debe reintegrar al Fondo de Asistencia Legal de Víctimas de la Corte Interamericana de Derechos Humanos la cantidad erogada durante la tramitación del presente caso, en los términos del párrafo </w:t>
      </w:r>
      <w:r w:rsidR="00B43B79">
        <w:t>362</w:t>
      </w:r>
      <w:r>
        <w:t xml:space="preserve"> de esta Sentencia.</w:t>
      </w:r>
    </w:p>
    <w:p w14:paraId="55E9EA0E" w14:textId="77777777" w:rsidR="00062461" w:rsidRPr="008A0F0B" w:rsidRDefault="00062461" w:rsidP="00062461">
      <w:pPr>
        <w:pStyle w:val="ListParagraph"/>
        <w:rPr>
          <w:rFonts w:eastAsia="Cambria" w:cs="Times New Roman"/>
          <w:bCs/>
          <w:szCs w:val="20"/>
        </w:rPr>
      </w:pPr>
    </w:p>
    <w:p w14:paraId="09C51094" w14:textId="77777777" w:rsidR="00062461" w:rsidRDefault="00062461" w:rsidP="00062461">
      <w:pPr>
        <w:pStyle w:val="ListParagraph"/>
        <w:numPr>
          <w:ilvl w:val="3"/>
          <w:numId w:val="1"/>
        </w:numPr>
        <w:tabs>
          <w:tab w:val="left" w:pos="720"/>
        </w:tabs>
        <w:ind w:left="0" w:right="-90" w:firstLine="0"/>
        <w:rPr>
          <w:rFonts w:eastAsia="Cambria" w:cs="Times New Roman"/>
          <w:bCs/>
          <w:szCs w:val="20"/>
        </w:rPr>
      </w:pPr>
      <w:r w:rsidRPr="008A0F0B">
        <w:rPr>
          <w:rFonts w:eastAsia="Cambria" w:cs="Times New Roman"/>
          <w:bCs/>
          <w:szCs w:val="20"/>
        </w:rPr>
        <w:t>El Estado debe, dentro del plazo de un año contado a partir de la notificación de esta Sentencia, rendir al Tribunal un informe sobre las medidas adoptadas para cumplir con la misma.</w:t>
      </w:r>
    </w:p>
    <w:p w14:paraId="6819AA0C" w14:textId="77777777" w:rsidR="00062461" w:rsidRPr="008A0F0B" w:rsidRDefault="00062461" w:rsidP="00062461">
      <w:pPr>
        <w:pStyle w:val="ListParagraph"/>
        <w:rPr>
          <w:rFonts w:eastAsia="Cambria" w:cs="Times New Roman"/>
          <w:bCs/>
          <w:szCs w:val="20"/>
        </w:rPr>
      </w:pPr>
    </w:p>
    <w:p w14:paraId="3B9D759C" w14:textId="77777777" w:rsidR="00062461" w:rsidRPr="008A0F0B" w:rsidRDefault="00062461" w:rsidP="00062461">
      <w:pPr>
        <w:pStyle w:val="ListParagraph"/>
        <w:numPr>
          <w:ilvl w:val="3"/>
          <w:numId w:val="1"/>
        </w:numPr>
        <w:tabs>
          <w:tab w:val="left" w:pos="720"/>
        </w:tabs>
        <w:ind w:left="0" w:right="-90" w:firstLine="0"/>
        <w:rPr>
          <w:rFonts w:eastAsia="Cambria" w:cs="Times New Roman"/>
          <w:bCs/>
          <w:szCs w:val="20"/>
        </w:rPr>
      </w:pPr>
      <w:r w:rsidRPr="008A0F0B">
        <w:rPr>
          <w:rFonts w:eastAsia="Cambria" w:cs="Times New Roman"/>
          <w:bCs/>
          <w:szCs w:val="2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w:t>
      </w:r>
      <w:r>
        <w:rPr>
          <w:rFonts w:eastAsia="Cambria" w:cs="Times New Roman"/>
          <w:bCs/>
          <w:szCs w:val="20"/>
        </w:rPr>
        <w:t>ento a lo dispuesto en la misma.</w:t>
      </w:r>
    </w:p>
    <w:p w14:paraId="1E4736C6" w14:textId="43D24220" w:rsidR="00E33FD7" w:rsidRDefault="00E33FD7" w:rsidP="00062461">
      <w:pPr>
        <w:pStyle w:val="ListParagraph"/>
        <w:tabs>
          <w:tab w:val="left" w:pos="720"/>
        </w:tabs>
        <w:ind w:left="0" w:right="-90"/>
        <w:rPr>
          <w:rFonts w:eastAsia="Cambria" w:cs="Times New Roman"/>
          <w:bCs/>
          <w:szCs w:val="20"/>
        </w:rPr>
      </w:pPr>
    </w:p>
    <w:p w14:paraId="63F4F96E" w14:textId="77777777" w:rsidR="00FC2E67" w:rsidRDefault="00FC2E67" w:rsidP="00062461">
      <w:pPr>
        <w:pStyle w:val="ListParagraph"/>
        <w:tabs>
          <w:tab w:val="left" w:pos="720"/>
        </w:tabs>
        <w:ind w:left="0" w:right="-90"/>
        <w:rPr>
          <w:rFonts w:eastAsia="Cambria" w:cs="Times New Roman"/>
          <w:bCs/>
          <w:szCs w:val="20"/>
        </w:rPr>
      </w:pPr>
    </w:p>
    <w:p w14:paraId="4811D0CB" w14:textId="77777777" w:rsidR="00FC2E67" w:rsidRDefault="00FC2E67" w:rsidP="00062461">
      <w:pPr>
        <w:pStyle w:val="ListParagraph"/>
        <w:tabs>
          <w:tab w:val="left" w:pos="720"/>
        </w:tabs>
        <w:ind w:left="0" w:right="-90"/>
        <w:rPr>
          <w:rFonts w:eastAsia="Cambria" w:cs="Times New Roman"/>
          <w:bCs/>
          <w:szCs w:val="20"/>
        </w:rPr>
      </w:pPr>
    </w:p>
    <w:p w14:paraId="547A3815" w14:textId="77777777" w:rsidR="00FC2E67" w:rsidRPr="00D660E3" w:rsidRDefault="00FC2E67" w:rsidP="00FC2E67">
      <w:pPr>
        <w:rPr>
          <w:i/>
          <w:lang w:val="es-ES"/>
        </w:rPr>
      </w:pPr>
      <w:r w:rsidRPr="00F478D4">
        <w:rPr>
          <w:lang w:val="pt-BR"/>
        </w:rPr>
        <w:lastRenderedPageBreak/>
        <w:t xml:space="preserve">Sentencia de </w:t>
      </w:r>
      <w:r>
        <w:rPr>
          <w:lang w:val="pt-BR"/>
        </w:rPr>
        <w:t xml:space="preserve">16 de febrero de 2017 de </w:t>
      </w:r>
      <w:r w:rsidRPr="00F478D4">
        <w:rPr>
          <w:lang w:val="pt-BR"/>
        </w:rPr>
        <w:t xml:space="preserve">la Corte Interamericana de Derechos Humanos. </w:t>
      </w:r>
      <w:r w:rsidRPr="00D660E3">
        <w:rPr>
          <w:i/>
          <w:lang w:val="es-ES"/>
        </w:rPr>
        <w:t>Caso Favela Nova Brasilia Vs. Brasil</w:t>
      </w:r>
      <w:r w:rsidRPr="00F478D4">
        <w:rPr>
          <w:lang w:val="es-ES"/>
        </w:rPr>
        <w:t xml:space="preserve">. </w:t>
      </w:r>
      <w:r w:rsidRPr="00D660E3">
        <w:rPr>
          <w:i/>
          <w:lang w:val="es-ES"/>
        </w:rPr>
        <w:t>Fondo, Reparaciones y Costas.</w:t>
      </w:r>
    </w:p>
    <w:p w14:paraId="6FC669E6" w14:textId="77777777" w:rsidR="00FC2E67" w:rsidRPr="00F478D4" w:rsidRDefault="00FC2E67" w:rsidP="00FC2E67">
      <w:pPr>
        <w:jc w:val="center"/>
        <w:rPr>
          <w:lang w:val="es-ES"/>
        </w:rPr>
      </w:pPr>
    </w:p>
    <w:p w14:paraId="29D98874" w14:textId="77777777" w:rsidR="00FC2E67" w:rsidRDefault="00FC2E67" w:rsidP="00FC2E67">
      <w:pPr>
        <w:rPr>
          <w:strike/>
        </w:rPr>
      </w:pPr>
    </w:p>
    <w:p w14:paraId="19549333" w14:textId="77777777" w:rsidR="00FC2E67" w:rsidRPr="00F478D4" w:rsidRDefault="00FC2E67" w:rsidP="00FC2E67">
      <w:pPr>
        <w:rPr>
          <w:strike/>
        </w:rPr>
      </w:pPr>
    </w:p>
    <w:p w14:paraId="5C9FC2D3" w14:textId="77777777" w:rsidR="00FC2E67" w:rsidRPr="00F478D4" w:rsidRDefault="00FC2E67" w:rsidP="00FC2E67"/>
    <w:p w14:paraId="7801F470" w14:textId="77777777" w:rsidR="00FC2E67" w:rsidRPr="00F478D4" w:rsidRDefault="00FC2E67" w:rsidP="00FC2E67"/>
    <w:p w14:paraId="7E0B5A14" w14:textId="77777777" w:rsidR="00FC2E67" w:rsidRPr="00F478D4" w:rsidRDefault="00FC2E67" w:rsidP="00FC2E67"/>
    <w:p w14:paraId="148BB8F7" w14:textId="77777777" w:rsidR="00FC2E67" w:rsidRPr="00F478D4" w:rsidRDefault="00FC2E67" w:rsidP="00FC2E67">
      <w:pPr>
        <w:jc w:val="center"/>
        <w:rPr>
          <w:lang w:val="es-ES"/>
        </w:rPr>
      </w:pPr>
      <w:r w:rsidRPr="00F478D4">
        <w:rPr>
          <w:lang w:val="es-ES"/>
        </w:rPr>
        <w:t>Eduardo Ferrer Mac-</w:t>
      </w:r>
      <w:proofErr w:type="spellStart"/>
      <w:r w:rsidRPr="00F478D4">
        <w:rPr>
          <w:lang w:val="es-ES"/>
        </w:rPr>
        <w:t>Gregor</w:t>
      </w:r>
      <w:proofErr w:type="spellEnd"/>
      <w:r w:rsidRPr="00F478D4">
        <w:rPr>
          <w:lang w:val="es-ES"/>
        </w:rPr>
        <w:t xml:space="preserve"> </w:t>
      </w:r>
      <w:proofErr w:type="spellStart"/>
      <w:r w:rsidRPr="00F478D4">
        <w:rPr>
          <w:lang w:val="es-ES"/>
        </w:rPr>
        <w:t>Poisot</w:t>
      </w:r>
      <w:proofErr w:type="spellEnd"/>
    </w:p>
    <w:p w14:paraId="4F438D68" w14:textId="77777777" w:rsidR="00FC2E67" w:rsidRPr="00F478D4" w:rsidRDefault="00FC2E67" w:rsidP="00FC2E67">
      <w:pPr>
        <w:jc w:val="center"/>
      </w:pPr>
      <w:r w:rsidRPr="00F478D4">
        <w:rPr>
          <w:lang w:val="es-ES"/>
        </w:rPr>
        <w:t xml:space="preserve">Presidente en </w:t>
      </w:r>
      <w:r>
        <w:rPr>
          <w:lang w:val="es-ES"/>
        </w:rPr>
        <w:t>E</w:t>
      </w:r>
      <w:r w:rsidRPr="00F478D4">
        <w:rPr>
          <w:lang w:val="es-ES"/>
        </w:rPr>
        <w:t>jercicio</w:t>
      </w:r>
    </w:p>
    <w:p w14:paraId="6D94B907" w14:textId="77777777" w:rsidR="00FC2E67" w:rsidRPr="00F478D4" w:rsidRDefault="00FC2E67" w:rsidP="00FC2E67"/>
    <w:p w14:paraId="7D8B311C" w14:textId="77777777" w:rsidR="00FC2E67" w:rsidRPr="00F478D4" w:rsidRDefault="00FC2E67" w:rsidP="00FC2E67"/>
    <w:p w14:paraId="5FE7EAD8" w14:textId="77777777" w:rsidR="00FC2E67" w:rsidRPr="00F478D4" w:rsidRDefault="00FC2E67" w:rsidP="00FC2E67"/>
    <w:p w14:paraId="5F293B0E" w14:textId="77777777" w:rsidR="00FC2E67" w:rsidRPr="00F478D4" w:rsidRDefault="00FC2E67" w:rsidP="00FC2E67"/>
    <w:p w14:paraId="4BCB7914" w14:textId="77777777" w:rsidR="00FC2E67" w:rsidRPr="00F478D4" w:rsidRDefault="00FC2E67" w:rsidP="00FC2E67"/>
    <w:p w14:paraId="57F0CACF" w14:textId="77777777" w:rsidR="00FC2E67" w:rsidRPr="00F478D4" w:rsidRDefault="00FC2E67" w:rsidP="00FC2E67">
      <w:pPr>
        <w:rPr>
          <w:lang w:val="es-ES"/>
        </w:rPr>
      </w:pPr>
      <w:r w:rsidRPr="00F478D4">
        <w:t xml:space="preserve"> Eduardo Vio Grossi</w:t>
      </w:r>
      <w:r w:rsidRPr="00F478D4">
        <w:tab/>
      </w:r>
      <w:r w:rsidRPr="00F478D4">
        <w:tab/>
      </w:r>
      <w:r w:rsidRPr="00F478D4">
        <w:tab/>
      </w:r>
      <w:r w:rsidRPr="00F478D4">
        <w:tab/>
      </w:r>
      <w:r w:rsidRPr="00F478D4">
        <w:tab/>
      </w:r>
      <w:r w:rsidRPr="00F478D4">
        <w:tab/>
        <w:t xml:space="preserve">       </w:t>
      </w:r>
      <w:r w:rsidRPr="00F478D4">
        <w:rPr>
          <w:lang w:val="es-ES"/>
        </w:rPr>
        <w:t>Humberto Antonio Sierra Porto</w:t>
      </w:r>
    </w:p>
    <w:p w14:paraId="4BA1392C" w14:textId="77777777" w:rsidR="00FC2E67" w:rsidRPr="00F478D4" w:rsidRDefault="00FC2E67" w:rsidP="00FC2E67">
      <w:pPr>
        <w:rPr>
          <w:lang w:val="es-ES"/>
        </w:rPr>
      </w:pPr>
      <w:r w:rsidRPr="00F478D4">
        <w:rPr>
          <w:lang w:val="es-ES"/>
        </w:rPr>
        <w:tab/>
      </w:r>
    </w:p>
    <w:p w14:paraId="031B1BE3" w14:textId="77777777" w:rsidR="00FC2E67" w:rsidRPr="00F478D4" w:rsidRDefault="00FC2E67" w:rsidP="00FC2E67">
      <w:pPr>
        <w:rPr>
          <w:lang w:val="es-ES"/>
        </w:rPr>
      </w:pPr>
    </w:p>
    <w:p w14:paraId="42099135" w14:textId="77777777" w:rsidR="00FC2E67" w:rsidRPr="00F478D4" w:rsidRDefault="00FC2E67" w:rsidP="00FC2E67">
      <w:pPr>
        <w:rPr>
          <w:lang w:val="es-ES"/>
        </w:rPr>
      </w:pPr>
    </w:p>
    <w:p w14:paraId="04146B83" w14:textId="77777777" w:rsidR="00FC2E67" w:rsidRPr="00F478D4" w:rsidRDefault="00FC2E67" w:rsidP="00FC2E67">
      <w:pPr>
        <w:rPr>
          <w:lang w:val="es-ES"/>
        </w:rPr>
      </w:pPr>
    </w:p>
    <w:p w14:paraId="1E6D2F1F" w14:textId="77777777" w:rsidR="00FC2E67" w:rsidRPr="00F478D4" w:rsidRDefault="00FC2E67" w:rsidP="00FC2E67">
      <w:pPr>
        <w:rPr>
          <w:lang w:val="es-ES"/>
        </w:rPr>
      </w:pPr>
    </w:p>
    <w:p w14:paraId="5DB58A62" w14:textId="77777777" w:rsidR="00FC2E67" w:rsidRPr="00F478D4" w:rsidRDefault="00FC2E67" w:rsidP="00FC2E67">
      <w:pPr>
        <w:rPr>
          <w:lang w:val="es-ES"/>
        </w:rPr>
      </w:pPr>
    </w:p>
    <w:p w14:paraId="188AAE71" w14:textId="124D3440" w:rsidR="00FC2E67" w:rsidRPr="00F478D4" w:rsidRDefault="00FC2E67" w:rsidP="00FC2E67">
      <w:pPr>
        <w:rPr>
          <w:lang w:val="es-ES"/>
        </w:rPr>
      </w:pPr>
      <w:r w:rsidRPr="00F478D4">
        <w:rPr>
          <w:lang w:val="es-ES"/>
        </w:rPr>
        <w:t>Elizabeth Odio Benito</w:t>
      </w:r>
      <w:r w:rsidRPr="00F478D4">
        <w:rPr>
          <w:lang w:val="es-ES"/>
        </w:rPr>
        <w:tab/>
      </w:r>
      <w:r w:rsidRPr="00F478D4">
        <w:rPr>
          <w:lang w:val="es-ES"/>
        </w:rPr>
        <w:tab/>
      </w:r>
      <w:r w:rsidRPr="00F478D4">
        <w:rPr>
          <w:lang w:val="es-ES"/>
        </w:rPr>
        <w:tab/>
      </w:r>
      <w:r w:rsidRPr="00F478D4">
        <w:rPr>
          <w:lang w:val="es-ES"/>
        </w:rPr>
        <w:tab/>
      </w:r>
      <w:r w:rsidRPr="00F478D4">
        <w:rPr>
          <w:lang w:val="es-ES"/>
        </w:rPr>
        <w:tab/>
      </w:r>
      <w:r w:rsidRPr="00F478D4">
        <w:rPr>
          <w:lang w:val="es-ES"/>
        </w:rPr>
        <w:tab/>
      </w:r>
      <w:r w:rsidRPr="00F478D4">
        <w:rPr>
          <w:lang w:val="es-ES"/>
        </w:rPr>
        <w:tab/>
      </w:r>
      <w:r w:rsidR="00F50AEC">
        <w:rPr>
          <w:lang w:val="es-ES"/>
        </w:rPr>
        <w:t xml:space="preserve">Eugenio Raúl </w:t>
      </w:r>
      <w:proofErr w:type="spellStart"/>
      <w:r w:rsidR="00F50AEC">
        <w:rPr>
          <w:lang w:val="es-ES"/>
        </w:rPr>
        <w:t>Zaffaroni</w:t>
      </w:r>
      <w:proofErr w:type="spellEnd"/>
    </w:p>
    <w:p w14:paraId="1B52DA8D" w14:textId="77777777" w:rsidR="00FC2E67" w:rsidRPr="00F478D4" w:rsidRDefault="00FC2E67" w:rsidP="00FC2E67">
      <w:pPr>
        <w:rPr>
          <w:lang w:val="es-ES"/>
        </w:rPr>
      </w:pPr>
    </w:p>
    <w:p w14:paraId="54972139" w14:textId="77777777" w:rsidR="00FC2E67" w:rsidRPr="00F478D4" w:rsidRDefault="00FC2E67" w:rsidP="00FC2E67">
      <w:pPr>
        <w:rPr>
          <w:lang w:val="es-ES"/>
        </w:rPr>
      </w:pPr>
    </w:p>
    <w:p w14:paraId="44E264EB" w14:textId="77777777" w:rsidR="00FC2E67" w:rsidRPr="00F478D4" w:rsidRDefault="00FC2E67" w:rsidP="00FC2E67">
      <w:pPr>
        <w:rPr>
          <w:lang w:val="es-ES"/>
        </w:rPr>
      </w:pPr>
      <w:bookmarkStart w:id="494" w:name="_GoBack"/>
      <w:bookmarkEnd w:id="494"/>
    </w:p>
    <w:p w14:paraId="3C4663B6" w14:textId="77777777" w:rsidR="00FC2E67" w:rsidRPr="00F478D4" w:rsidRDefault="00FC2E67" w:rsidP="00FC2E67">
      <w:pPr>
        <w:rPr>
          <w:lang w:val="es-ES"/>
        </w:rPr>
      </w:pPr>
    </w:p>
    <w:p w14:paraId="736C1CDF" w14:textId="77777777" w:rsidR="00FC2E67" w:rsidRPr="00F478D4" w:rsidRDefault="00FC2E67" w:rsidP="00FC2E67">
      <w:pPr>
        <w:rPr>
          <w:lang w:val="es-ES"/>
        </w:rPr>
      </w:pPr>
    </w:p>
    <w:p w14:paraId="159C9C76" w14:textId="77777777" w:rsidR="00FC2E67" w:rsidRPr="00F478D4" w:rsidRDefault="00FC2E67" w:rsidP="00FC2E67">
      <w:pPr>
        <w:jc w:val="center"/>
        <w:rPr>
          <w:lang w:val="es-ES"/>
        </w:rPr>
      </w:pPr>
      <w:r w:rsidRPr="00F478D4">
        <w:rPr>
          <w:lang w:val="es-ES"/>
        </w:rPr>
        <w:t>L. Patricio Pazmiño Freire</w:t>
      </w:r>
    </w:p>
    <w:p w14:paraId="342B21AD" w14:textId="77777777" w:rsidR="00FC2E67" w:rsidRPr="00F478D4" w:rsidRDefault="00FC2E67" w:rsidP="00FC2E67">
      <w:pPr>
        <w:rPr>
          <w:lang w:val="es-ES"/>
        </w:rPr>
      </w:pPr>
    </w:p>
    <w:p w14:paraId="75B7B646" w14:textId="77777777" w:rsidR="00FC2E67" w:rsidRPr="00F478D4" w:rsidRDefault="00FC2E67" w:rsidP="00FC2E67"/>
    <w:p w14:paraId="23D87FC3" w14:textId="77777777" w:rsidR="00FC2E67" w:rsidRPr="00F478D4" w:rsidRDefault="00FC2E67" w:rsidP="00FC2E67"/>
    <w:p w14:paraId="43AA17B5" w14:textId="77777777" w:rsidR="00FC2E67" w:rsidRPr="00F478D4" w:rsidRDefault="00FC2E67" w:rsidP="00FC2E67"/>
    <w:p w14:paraId="6F5C599C" w14:textId="77777777" w:rsidR="00FC2E67" w:rsidRPr="00F478D4" w:rsidRDefault="00FC2E67" w:rsidP="00FC2E67"/>
    <w:p w14:paraId="44E6B43A" w14:textId="77777777" w:rsidR="00FC2E67" w:rsidRPr="00F478D4" w:rsidRDefault="00FC2E67" w:rsidP="00FC2E67"/>
    <w:p w14:paraId="619CE6F7" w14:textId="77777777" w:rsidR="00FC2E67" w:rsidRPr="00F478D4" w:rsidRDefault="00FC2E67" w:rsidP="00FC2E67">
      <w:pPr>
        <w:jc w:val="center"/>
        <w:rPr>
          <w:lang w:val="pt-BR"/>
        </w:rPr>
      </w:pPr>
      <w:r w:rsidRPr="00F478D4">
        <w:rPr>
          <w:lang w:val="pt-BR"/>
        </w:rPr>
        <w:t>Pablo Saavedra Alessandri</w:t>
      </w:r>
    </w:p>
    <w:p w14:paraId="5B558006" w14:textId="77777777" w:rsidR="00FC2E67" w:rsidRPr="00F478D4" w:rsidRDefault="00FC2E67" w:rsidP="00FC2E67">
      <w:pPr>
        <w:jc w:val="center"/>
        <w:rPr>
          <w:lang w:val="pt-BR"/>
        </w:rPr>
      </w:pPr>
      <w:r w:rsidRPr="00F478D4">
        <w:rPr>
          <w:lang w:val="pt-BR"/>
        </w:rPr>
        <w:t>Secretario</w:t>
      </w:r>
    </w:p>
    <w:p w14:paraId="7A1D4E67" w14:textId="77777777" w:rsidR="00FC2E67" w:rsidRPr="00F478D4" w:rsidRDefault="00FC2E67" w:rsidP="00FC2E67">
      <w:pPr>
        <w:pStyle w:val="FootnoteText"/>
        <w:rPr>
          <w:lang w:val="pt-BR"/>
        </w:rPr>
      </w:pPr>
    </w:p>
    <w:p w14:paraId="5155B8A8" w14:textId="77777777" w:rsidR="00FC2E67" w:rsidRPr="00F478D4" w:rsidRDefault="00FC2E67" w:rsidP="00FC2E67">
      <w:pPr>
        <w:pStyle w:val="FootnoteText"/>
        <w:rPr>
          <w:lang w:val="pt-BR"/>
        </w:rPr>
      </w:pPr>
    </w:p>
    <w:p w14:paraId="6099ECCE" w14:textId="77777777" w:rsidR="00FC2E67" w:rsidRPr="00F478D4" w:rsidRDefault="00FC2E67" w:rsidP="00FC2E67">
      <w:pPr>
        <w:pStyle w:val="FootnoteText"/>
        <w:rPr>
          <w:lang w:val="pt-BR"/>
        </w:rPr>
      </w:pPr>
    </w:p>
    <w:p w14:paraId="0C1E8AA2" w14:textId="77777777" w:rsidR="00FC2E67" w:rsidRPr="00F478D4" w:rsidRDefault="00FC2E67" w:rsidP="00FC2E67">
      <w:pPr>
        <w:pStyle w:val="FootnoteText"/>
        <w:rPr>
          <w:lang w:val="pt-BR"/>
        </w:rPr>
      </w:pPr>
    </w:p>
    <w:p w14:paraId="0AB91CA1" w14:textId="77777777" w:rsidR="00FC2E67" w:rsidRPr="00F478D4" w:rsidRDefault="00FC2E67" w:rsidP="00FC2E67">
      <w:pPr>
        <w:rPr>
          <w:lang w:val="pt-BR"/>
        </w:rPr>
      </w:pPr>
      <w:r w:rsidRPr="00F478D4">
        <w:rPr>
          <w:lang w:val="pt-BR"/>
        </w:rPr>
        <w:t>Comuníquese y ejecútese,</w:t>
      </w:r>
    </w:p>
    <w:p w14:paraId="7A8C13AB" w14:textId="77777777" w:rsidR="00FC2E67" w:rsidRPr="00F478D4" w:rsidRDefault="00FC2E67" w:rsidP="00FC2E67">
      <w:pPr>
        <w:rPr>
          <w:lang w:val="pt-BR"/>
        </w:rPr>
      </w:pPr>
    </w:p>
    <w:p w14:paraId="6ADB7663" w14:textId="77777777" w:rsidR="00FC2E67" w:rsidRPr="00F478D4" w:rsidRDefault="00FC2E67" w:rsidP="00FC2E67">
      <w:pPr>
        <w:rPr>
          <w:lang w:val="pt-BR"/>
        </w:rPr>
      </w:pPr>
    </w:p>
    <w:p w14:paraId="0059AA22" w14:textId="77777777" w:rsidR="00FC2E67" w:rsidRPr="00F478D4" w:rsidRDefault="00FC2E67" w:rsidP="00FC2E67">
      <w:pPr>
        <w:jc w:val="right"/>
        <w:rPr>
          <w:lang w:val="pt-BR"/>
        </w:rPr>
      </w:pPr>
    </w:p>
    <w:p w14:paraId="0AE078B3" w14:textId="77777777" w:rsidR="00FC2E67" w:rsidRPr="00F478D4" w:rsidRDefault="00FC2E67" w:rsidP="00FC2E67">
      <w:pPr>
        <w:jc w:val="right"/>
        <w:rPr>
          <w:lang w:val="pt-BR"/>
        </w:rPr>
      </w:pPr>
    </w:p>
    <w:p w14:paraId="60833428" w14:textId="77777777" w:rsidR="00FC2E67" w:rsidRPr="00F478D4" w:rsidRDefault="00FC2E67" w:rsidP="00FC2E67">
      <w:pPr>
        <w:jc w:val="center"/>
        <w:rPr>
          <w:lang w:val="pt-BR"/>
        </w:rPr>
      </w:pPr>
      <w:r w:rsidRPr="00F478D4">
        <w:rPr>
          <w:lang w:val="pt-BR"/>
        </w:rPr>
        <w:t xml:space="preserve">                                                                                   </w:t>
      </w:r>
      <w:r w:rsidRPr="00F478D4">
        <w:rPr>
          <w:lang w:val="es-ES"/>
        </w:rPr>
        <w:t>Eduardo Ferrer Mac-</w:t>
      </w:r>
      <w:proofErr w:type="spellStart"/>
      <w:r w:rsidRPr="00F478D4">
        <w:rPr>
          <w:lang w:val="es-ES"/>
        </w:rPr>
        <w:t>Gregor</w:t>
      </w:r>
      <w:proofErr w:type="spellEnd"/>
      <w:r w:rsidRPr="00F478D4">
        <w:rPr>
          <w:lang w:val="es-ES"/>
        </w:rPr>
        <w:t xml:space="preserve"> </w:t>
      </w:r>
      <w:proofErr w:type="spellStart"/>
      <w:r w:rsidRPr="00F478D4">
        <w:rPr>
          <w:lang w:val="es-ES"/>
        </w:rPr>
        <w:t>Poisot</w:t>
      </w:r>
      <w:proofErr w:type="spellEnd"/>
    </w:p>
    <w:p w14:paraId="2474D58A" w14:textId="77777777" w:rsidR="00FC2E67" w:rsidRPr="00F478D4" w:rsidRDefault="00FC2E67" w:rsidP="00FC2E67">
      <w:pPr>
        <w:ind w:left="6480"/>
      </w:pPr>
      <w:r w:rsidRPr="00F478D4">
        <w:rPr>
          <w:lang w:val="es-ES"/>
        </w:rPr>
        <w:t xml:space="preserve">Presidente en </w:t>
      </w:r>
      <w:r>
        <w:rPr>
          <w:lang w:val="es-ES"/>
        </w:rPr>
        <w:t>E</w:t>
      </w:r>
      <w:r w:rsidRPr="00F478D4">
        <w:rPr>
          <w:lang w:val="es-ES"/>
        </w:rPr>
        <w:t>jercicio</w:t>
      </w:r>
    </w:p>
    <w:p w14:paraId="3130D2B8" w14:textId="77777777" w:rsidR="00FC2E67" w:rsidRPr="00F478D4" w:rsidRDefault="00FC2E67" w:rsidP="00FC2E67">
      <w:pPr>
        <w:ind w:left="5040" w:firstLine="720"/>
        <w:jc w:val="center"/>
        <w:rPr>
          <w:lang w:val="pt-BR"/>
        </w:rPr>
      </w:pPr>
    </w:p>
    <w:p w14:paraId="3910B08A" w14:textId="77777777" w:rsidR="00FC2E67" w:rsidRPr="00F478D4" w:rsidRDefault="00FC2E67" w:rsidP="00FC2E67">
      <w:pPr>
        <w:rPr>
          <w:lang w:val="pt-BR"/>
        </w:rPr>
      </w:pPr>
    </w:p>
    <w:p w14:paraId="505173DA" w14:textId="77777777" w:rsidR="00FC2E67" w:rsidRPr="00F478D4" w:rsidRDefault="00FC2E67" w:rsidP="00FC2E67">
      <w:pPr>
        <w:rPr>
          <w:lang w:val="pt-BR"/>
        </w:rPr>
      </w:pPr>
    </w:p>
    <w:p w14:paraId="5FD6443D" w14:textId="77777777" w:rsidR="00FC2E67" w:rsidRPr="00F478D4" w:rsidRDefault="00FC2E67" w:rsidP="00FC2E67">
      <w:pPr>
        <w:rPr>
          <w:lang w:val="pt-BR"/>
        </w:rPr>
      </w:pPr>
      <w:r w:rsidRPr="00F478D4">
        <w:rPr>
          <w:lang w:val="pt-BR"/>
        </w:rPr>
        <w:t>Pablo Saavedra Alessandri</w:t>
      </w:r>
    </w:p>
    <w:p w14:paraId="6E83E1CC" w14:textId="6654E04F" w:rsidR="00FC2E67" w:rsidRPr="008A0F0B" w:rsidRDefault="00FC2E67" w:rsidP="00FC2E67">
      <w:pPr>
        <w:rPr>
          <w:rFonts w:eastAsia="Cambria" w:cs="Times New Roman"/>
          <w:bCs/>
          <w:szCs w:val="20"/>
        </w:rPr>
      </w:pPr>
      <w:r w:rsidRPr="00F478D4">
        <w:rPr>
          <w:lang w:val="pt-BR"/>
        </w:rPr>
        <w:tab/>
        <w:t>Secretario</w:t>
      </w:r>
    </w:p>
    <w:sectPr w:rsidR="00FC2E67" w:rsidRPr="008A0F0B" w:rsidSect="00F7608A">
      <w:footerReference w:type="default" r:id="rId9"/>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9F89B" w14:textId="77777777" w:rsidR="003D7C9D" w:rsidRDefault="003D7C9D" w:rsidP="00DB28AA">
      <w:r>
        <w:separator/>
      </w:r>
    </w:p>
  </w:endnote>
  <w:endnote w:type="continuationSeparator" w:id="0">
    <w:p w14:paraId="69D43E3D" w14:textId="77777777" w:rsidR="003D7C9D" w:rsidRDefault="003D7C9D" w:rsidP="00DB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Bold">
    <w:altName w:val="Verdana"/>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Verdana-Italic">
    <w:altName w:val="Verdana Italic"/>
    <w:panose1 w:val="00000000000000000000"/>
    <w:charset w:val="4D"/>
    <w:family w:val="swiss"/>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TmsRm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327149"/>
      <w:docPartObj>
        <w:docPartGallery w:val="Page Numbers (Bottom of Page)"/>
        <w:docPartUnique/>
      </w:docPartObj>
    </w:sdtPr>
    <w:sdtEndPr>
      <w:rPr>
        <w:noProof/>
        <w:szCs w:val="20"/>
      </w:rPr>
    </w:sdtEndPr>
    <w:sdtContent>
      <w:p w14:paraId="5C8B2F73" w14:textId="77777777" w:rsidR="00122408" w:rsidRPr="002A6DEE" w:rsidRDefault="00122408">
        <w:pPr>
          <w:pStyle w:val="Footer"/>
          <w:jc w:val="center"/>
          <w:rPr>
            <w:szCs w:val="20"/>
          </w:rPr>
        </w:pPr>
        <w:r w:rsidRPr="002A6DEE">
          <w:rPr>
            <w:szCs w:val="20"/>
          </w:rPr>
          <w:fldChar w:fldCharType="begin"/>
        </w:r>
        <w:r w:rsidRPr="002A6DEE">
          <w:rPr>
            <w:szCs w:val="20"/>
          </w:rPr>
          <w:instrText xml:space="preserve"> PAGE   \* MERGEFORMAT </w:instrText>
        </w:r>
        <w:r w:rsidRPr="002A6DEE">
          <w:rPr>
            <w:szCs w:val="20"/>
          </w:rPr>
          <w:fldChar w:fldCharType="separate"/>
        </w:r>
        <w:r w:rsidR="00F50AEC">
          <w:rPr>
            <w:noProof/>
            <w:szCs w:val="20"/>
          </w:rPr>
          <w:t>92</w:t>
        </w:r>
        <w:r w:rsidRPr="002A6DEE">
          <w:rPr>
            <w:noProof/>
            <w:szCs w:val="20"/>
          </w:rPr>
          <w:fldChar w:fldCharType="end"/>
        </w:r>
      </w:p>
    </w:sdtContent>
  </w:sdt>
  <w:p w14:paraId="62A838E0" w14:textId="77777777" w:rsidR="00122408" w:rsidRDefault="00122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D98F" w14:textId="77777777" w:rsidR="003D7C9D" w:rsidRDefault="003D7C9D" w:rsidP="00DB28AA">
      <w:r>
        <w:separator/>
      </w:r>
    </w:p>
  </w:footnote>
  <w:footnote w:type="continuationSeparator" w:id="0">
    <w:p w14:paraId="73A5F9AB" w14:textId="77777777" w:rsidR="003D7C9D" w:rsidRDefault="003D7C9D" w:rsidP="00DB28AA">
      <w:r>
        <w:continuationSeparator/>
      </w:r>
    </w:p>
  </w:footnote>
  <w:footnote w:id="1">
    <w:p w14:paraId="511B72B0" w14:textId="77777777" w:rsidR="00122408" w:rsidRPr="00C21A2E" w:rsidRDefault="00122408" w:rsidP="00B50B41">
      <w:pPr>
        <w:pStyle w:val="FootnoteText"/>
        <w:spacing w:after="40"/>
        <w:rPr>
          <w:rFonts w:eastAsia="Calibri" w:cs="Times New Roman"/>
          <w:szCs w:val="16"/>
          <w:lang w:val="es-ES"/>
        </w:rPr>
      </w:pPr>
      <w:r w:rsidRPr="00C21A2E">
        <w:rPr>
          <w:rStyle w:val="FootnoteReference"/>
          <w:sz w:val="16"/>
          <w:szCs w:val="16"/>
        </w:rPr>
        <w:footnoteRef/>
      </w:r>
      <w:r w:rsidRPr="00C21A2E">
        <w:rPr>
          <w:szCs w:val="16"/>
          <w:lang w:val="es-ES"/>
        </w:rPr>
        <w:t xml:space="preserve"> El Juez Roberto F. Caldas, de nacionalidad brasileña, no participó en la deliberación de la presente Sentencia, de conformidad con lo dispuesto en los artículos 19.2 del Estatuto y 19.1 del Reglamento de la Corte.</w:t>
      </w:r>
    </w:p>
  </w:footnote>
  <w:footnote w:id="2">
    <w:p w14:paraId="250B98C4" w14:textId="539D9A92" w:rsidR="00122408" w:rsidRPr="002D676F" w:rsidRDefault="00122408" w:rsidP="00B50B41">
      <w:pPr>
        <w:pStyle w:val="FootnoteText"/>
        <w:spacing w:after="40"/>
        <w:rPr>
          <w:b/>
          <w:szCs w:val="16"/>
          <w:lang w:val="es-ES"/>
        </w:rPr>
      </w:pPr>
      <w:r w:rsidRPr="00C21A2E">
        <w:rPr>
          <w:rStyle w:val="FootnoteReference"/>
          <w:sz w:val="16"/>
          <w:szCs w:val="16"/>
        </w:rPr>
        <w:footnoteRef/>
      </w:r>
      <w:r w:rsidRPr="00C21A2E">
        <w:rPr>
          <w:szCs w:val="16"/>
        </w:rPr>
        <w:t xml:space="preserve"> Posteriormente, el Instituto de Estudios de Religión (ISER) fue </w:t>
      </w:r>
      <w:r>
        <w:rPr>
          <w:szCs w:val="16"/>
        </w:rPr>
        <w:t>admitido</w:t>
      </w:r>
      <w:r w:rsidRPr="00C21A2E">
        <w:rPr>
          <w:szCs w:val="16"/>
        </w:rPr>
        <w:t xml:space="preserve"> como representante en el </w:t>
      </w:r>
      <w:r>
        <w:rPr>
          <w:szCs w:val="16"/>
        </w:rPr>
        <w:t>procedimiento ante la Comisión.</w:t>
      </w:r>
    </w:p>
  </w:footnote>
  <w:footnote w:id="3">
    <w:p w14:paraId="45EC4131" w14:textId="184163E8" w:rsidR="00122408" w:rsidRPr="00C21A2E" w:rsidRDefault="00122408" w:rsidP="00B50B41">
      <w:pPr>
        <w:pStyle w:val="FootnoteText"/>
        <w:spacing w:after="40"/>
        <w:rPr>
          <w:szCs w:val="16"/>
          <w:lang w:val="pt-BR"/>
        </w:rPr>
      </w:pPr>
      <w:r w:rsidRPr="00C21A2E">
        <w:rPr>
          <w:rStyle w:val="FootnoteReference"/>
          <w:sz w:val="16"/>
          <w:szCs w:val="16"/>
        </w:rPr>
        <w:footnoteRef/>
      </w:r>
      <w:r w:rsidRPr="00C21A2E">
        <w:rPr>
          <w:szCs w:val="16"/>
          <w:lang w:val="pt-BR"/>
        </w:rPr>
        <w:t xml:space="preserve"> </w:t>
      </w:r>
      <w:r w:rsidRPr="00C21A2E">
        <w:rPr>
          <w:szCs w:val="16"/>
          <w:lang w:val="pt-BR"/>
        </w:rPr>
        <w:t>Otacilio Costa, Beatriz Fonseca Costa</w:t>
      </w:r>
      <w:r>
        <w:rPr>
          <w:szCs w:val="16"/>
          <w:lang w:val="pt-BR"/>
        </w:rPr>
        <w:t>;</w:t>
      </w:r>
      <w:r w:rsidRPr="00C21A2E">
        <w:rPr>
          <w:szCs w:val="16"/>
          <w:lang w:val="pt-BR"/>
        </w:rPr>
        <w:t xml:space="preserve"> Bruna Fonseca Costa; Pedro Marciano dos Reis, Hilda Alves dos Reis</w:t>
      </w:r>
      <w:r>
        <w:rPr>
          <w:szCs w:val="16"/>
          <w:lang w:val="pt-BR"/>
        </w:rPr>
        <w:t>;</w:t>
      </w:r>
      <w:r w:rsidRPr="00C21A2E">
        <w:rPr>
          <w:szCs w:val="16"/>
          <w:lang w:val="pt-BR"/>
        </w:rPr>
        <w:t xml:space="preserve"> Rosemary Alves dos Reis; Geraldo José da Silva Filho</w:t>
      </w:r>
      <w:r>
        <w:rPr>
          <w:szCs w:val="16"/>
          <w:lang w:val="pt-BR"/>
        </w:rPr>
        <w:t>;</w:t>
      </w:r>
      <w:r w:rsidRPr="00C21A2E">
        <w:rPr>
          <w:szCs w:val="16"/>
          <w:lang w:val="pt-BR"/>
        </w:rPr>
        <w:t xml:space="preserve"> Georgina Abrantes; Maria da Gloria Mendes</w:t>
      </w:r>
      <w:r>
        <w:rPr>
          <w:szCs w:val="16"/>
          <w:lang w:val="pt-BR"/>
        </w:rPr>
        <w:t xml:space="preserve">; </w:t>
      </w:r>
      <w:r w:rsidRPr="00C21A2E">
        <w:rPr>
          <w:szCs w:val="16"/>
          <w:lang w:val="pt-BR"/>
        </w:rPr>
        <w:t>Paulo Cesar da Silva Porto</w:t>
      </w:r>
      <w:r w:rsidRPr="00CB0375">
        <w:rPr>
          <w:spacing w:val="-2"/>
          <w:szCs w:val="16"/>
          <w:lang w:val="pt-BR"/>
        </w:rPr>
        <w:t>; Valdemar da Silveira Dutra; Geni Pereira Dutra; Waldomiro Genoveva, Ofélia Rosa, Rosane da Silva Genoveva; el hijo de Cosme Rosa Genoveva; Daniel Paulino da Silva; Georgina Soares Pinto; Cesar Braga Castor, Vera Lucia Ribeiro Castor; “Michele”; el hijo de Fabio Ribeiro Castor; José Rodrigues do Nascimento, Dalvaci Melo Rodrigues, Mônica Rodrigues, Evelin Rodrigues, Pricila da Silva Rodrigues, Samuel da Silva Rodrigues, Lucas Abreu da Silva, Cecília Cristina do Nascimento Rodrigues, Adriana Melo Rodrigues; Roseleide Rodrigues do Nascimento; Paulo Roberto Felix; Nilton Ramos de Oliveira, Maria da Conceição Sampaio de Oliveira; Vinicius Ramos de Oliveira; Ronaldo Inacio da Silva, Shirley</w:t>
      </w:r>
      <w:r w:rsidRPr="00C21A2E">
        <w:rPr>
          <w:szCs w:val="16"/>
          <w:lang w:val="pt-BR"/>
        </w:rPr>
        <w:t xml:space="preserve"> </w:t>
      </w:r>
      <w:r w:rsidRPr="00CB0375">
        <w:rPr>
          <w:spacing w:val="-2"/>
          <w:szCs w:val="16"/>
          <w:lang w:val="pt-BR"/>
        </w:rPr>
        <w:t>de Almeida; Catia Regina Almeida da Silva; Vera Lucia Jacinto da Silva; Norival Pinto Donato; Celia da Cruz Silva; Zeferino Marques de Oliveira, Aline da Silva; Efigenia Margarida Alves; Alcidez Ramos, Cirene dos Santos, “Graça”, Thiago Ramos, Alberto Ramos, Maria das Graças Ramos da Silva, Rosiane dos Santos; Vera Lúcia dos Santos de Miranda; Diogo Vieira dos Santos, Helena Vianna, Adriana Vianna dos Santos, Sandro Vianna dos Santos; Alessandra Vianna dos Santos; João Batista de Souza; Josefa Maria de Souza; Lucia Helena Neri da Silva; Joyce Neri da Silva Dantas; João Alves de Moura; Eva Maria dos Santos Moura; Nilcéia de Oliveira; Valdenice Fernandes Vieira, Neuza</w:t>
      </w:r>
      <w:r w:rsidRPr="00C21A2E">
        <w:rPr>
          <w:szCs w:val="16"/>
          <w:lang w:val="pt-BR"/>
        </w:rPr>
        <w:t xml:space="preserve"> Ribeiro Raymundo</w:t>
      </w:r>
      <w:r>
        <w:rPr>
          <w:szCs w:val="16"/>
          <w:lang w:val="pt-BR"/>
        </w:rPr>
        <w:t xml:space="preserve">; </w:t>
      </w:r>
      <w:r w:rsidRPr="00C21A2E">
        <w:rPr>
          <w:szCs w:val="16"/>
          <w:lang w:val="pt-BR"/>
        </w:rPr>
        <w:t>Eliane Elene Fernandes Vieira; Edson Faria Neves, Edna Ribeiro Raimundo Neves</w:t>
      </w:r>
      <w:r>
        <w:rPr>
          <w:szCs w:val="16"/>
          <w:lang w:val="pt-BR"/>
        </w:rPr>
        <w:t xml:space="preserve">; </w:t>
      </w:r>
      <w:r w:rsidRPr="00C21A2E">
        <w:rPr>
          <w:szCs w:val="16"/>
          <w:lang w:val="pt-BR"/>
        </w:rPr>
        <w:t>Mac Laine Faria Neves; Francisco José de Souza, Martinha Martino de Souza, Luiz Henrique de Souza</w:t>
      </w:r>
      <w:r>
        <w:rPr>
          <w:szCs w:val="16"/>
          <w:lang w:val="pt-BR"/>
        </w:rPr>
        <w:t xml:space="preserve">; </w:t>
      </w:r>
      <w:r w:rsidRPr="00C21A2E">
        <w:rPr>
          <w:szCs w:val="16"/>
          <w:lang w:val="pt-BR"/>
        </w:rPr>
        <w:t>Ronald Marcos de Souza; José Francisco Sobrinho, Maria de Lourdes Genuino, Rogério Genuino dos Santos, Jucelena Rocha dos Santos</w:t>
      </w:r>
      <w:r>
        <w:rPr>
          <w:szCs w:val="16"/>
          <w:lang w:val="pt-BR"/>
        </w:rPr>
        <w:t xml:space="preserve">; </w:t>
      </w:r>
      <w:r w:rsidRPr="00C21A2E">
        <w:rPr>
          <w:szCs w:val="16"/>
          <w:lang w:val="pt-BR"/>
        </w:rPr>
        <w:t>Robson Genuino dos Santos Júnior; Sergio Rosa Mendes</w:t>
      </w:r>
      <w:r>
        <w:rPr>
          <w:szCs w:val="16"/>
          <w:lang w:val="pt-BR"/>
        </w:rPr>
        <w:t>, y Sonia Maria Mendes.</w:t>
      </w:r>
    </w:p>
  </w:footnote>
  <w:footnote w:id="4">
    <w:p w14:paraId="138DD8AF" w14:textId="73FAA9B6" w:rsidR="00122408" w:rsidRPr="00C21A2E" w:rsidRDefault="00122408" w:rsidP="00B50B41">
      <w:pPr>
        <w:pStyle w:val="FootnoteText"/>
        <w:spacing w:after="40"/>
        <w:rPr>
          <w:szCs w:val="16"/>
          <w:lang w:val="es-ES"/>
        </w:rPr>
      </w:pPr>
      <w:r w:rsidRPr="002372A0">
        <w:rPr>
          <w:szCs w:val="16"/>
          <w:vertAlign w:val="superscript"/>
          <w:lang w:val="es-ES"/>
        </w:rPr>
        <w:footnoteRef/>
      </w:r>
      <w:r w:rsidRPr="00C21A2E">
        <w:rPr>
          <w:szCs w:val="16"/>
          <w:lang w:val="es-ES"/>
        </w:rPr>
        <w:t xml:space="preserve"> La Comisión Interamericana designó como delegados al Comisionado Felipe González y al Secretario Ejecutivo Emilio Álvarez Icaza L., y como asesor</w:t>
      </w:r>
      <w:r>
        <w:rPr>
          <w:szCs w:val="16"/>
          <w:lang w:val="es-ES"/>
        </w:rPr>
        <w:t>a</w:t>
      </w:r>
      <w:r w:rsidRPr="00C21A2E">
        <w:rPr>
          <w:szCs w:val="16"/>
          <w:lang w:val="es-ES"/>
        </w:rPr>
        <w:t xml:space="preserve">s legales a Elizabeth </w:t>
      </w:r>
      <w:proofErr w:type="spellStart"/>
      <w:r w:rsidRPr="00C21A2E">
        <w:rPr>
          <w:szCs w:val="16"/>
          <w:lang w:val="es-ES"/>
        </w:rPr>
        <w:t>Abi-Mershed</w:t>
      </w:r>
      <w:proofErr w:type="spellEnd"/>
      <w:r w:rsidRPr="00C21A2E">
        <w:rPr>
          <w:szCs w:val="16"/>
          <w:lang w:val="es-ES"/>
        </w:rPr>
        <w:t xml:space="preserve">, Secretaria Ejecutiva Adjunta, y a Silvia Serrano Guzmán, abogada de la Secretaría Ejecutiva. </w:t>
      </w:r>
    </w:p>
  </w:footnote>
  <w:footnote w:id="5">
    <w:p w14:paraId="43BE69EC" w14:textId="724D9CC8" w:rsidR="00122408" w:rsidRPr="00C21A2E" w:rsidRDefault="00122408" w:rsidP="00B50B41">
      <w:pPr>
        <w:pStyle w:val="FootnoteText"/>
        <w:spacing w:after="40"/>
        <w:rPr>
          <w:szCs w:val="16"/>
          <w:lang w:val="es-ES_tradnl"/>
        </w:rPr>
      </w:pPr>
      <w:r w:rsidRPr="002372A0">
        <w:rPr>
          <w:szCs w:val="16"/>
          <w:vertAlign w:val="superscript"/>
        </w:rPr>
        <w:footnoteRef/>
      </w:r>
      <w:r w:rsidRPr="00C21A2E">
        <w:rPr>
          <w:szCs w:val="16"/>
        </w:rPr>
        <w:t xml:space="preserve"> Dentro de tales acciones y omisiones se encuentran: 1) La forma inadecuada en que se llevaron a cabo las investigaciones con el objeto de responsabilizar a las víctimas fallecidas y no para cumplir con la carga de verificar la legitimidad del uso de la fuerza letal</w:t>
      </w:r>
      <w:r>
        <w:rPr>
          <w:szCs w:val="16"/>
        </w:rPr>
        <w:t>;</w:t>
      </w:r>
      <w:r w:rsidRPr="00C21A2E">
        <w:rPr>
          <w:szCs w:val="16"/>
        </w:rPr>
        <w:t xml:space="preserve"> 2)  El incumplimiento de los deberes de debida diligencia y plazo razonable respecto de la investigación y sanción de la muerte de las 26 personas en el marco de ambas redadas policiales, así como respecto de los actos de tortura y violencia sexual sufridos por tres víctimas en el marco de la primera redada</w:t>
      </w:r>
      <w:r>
        <w:rPr>
          <w:szCs w:val="16"/>
        </w:rPr>
        <w:t>;</w:t>
      </w:r>
      <w:r w:rsidRPr="00C21A2E">
        <w:rPr>
          <w:szCs w:val="16"/>
        </w:rPr>
        <w:t xml:space="preserve"> 3) La omisión en la reapertura de las investigaciones por los hechos de tortura y violencia sexual respecto de los cuales operó la prescripción de la acción penal a pesar de tratarse de graves violaciones de derechos humanos. </w:t>
      </w:r>
    </w:p>
  </w:footnote>
  <w:footnote w:id="6">
    <w:p w14:paraId="7AF24CFC" w14:textId="086E711B" w:rsidR="00122408" w:rsidRPr="00C21A2E" w:rsidRDefault="00122408" w:rsidP="00B50B41">
      <w:pPr>
        <w:pStyle w:val="FootnoteText"/>
        <w:spacing w:after="40"/>
        <w:rPr>
          <w:b/>
          <w:szCs w:val="16"/>
        </w:rPr>
      </w:pPr>
      <w:r w:rsidRPr="00C21A2E">
        <w:rPr>
          <w:rStyle w:val="FootnoteReference"/>
          <w:sz w:val="16"/>
          <w:szCs w:val="16"/>
        </w:rPr>
        <w:footnoteRef/>
      </w:r>
      <w:r w:rsidRPr="00C21A2E">
        <w:rPr>
          <w:szCs w:val="16"/>
          <w:lang w:val="es-ES"/>
        </w:rPr>
        <w:t xml:space="preserve"> Los representantes solicitaron a la Corte que declare la responsabilidad internacional del Estado por lo siguiente: </w:t>
      </w:r>
      <w:r w:rsidRPr="00C21A2E">
        <w:rPr>
          <w:szCs w:val="16"/>
        </w:rPr>
        <w:t>1) La violación a las garantías judiciales y protección judicial, protegidos en los artículos 25 y 8 de la Convención, en relación con los artículos 1.1 y 2 del mismo instrumento, en perjuicio de los familiares de las víctimas fallecidas en relación a los hechos del presente caso. La responsabilidad del Estado debe ser agravada en atención a las violaciones cometidas con posterioridad al informe de fondo de la Comisión, así como por las afectaciones producidas en perjuicio del derecho de acceso a la justicia internacional de las víctimas</w:t>
      </w:r>
      <w:r>
        <w:rPr>
          <w:szCs w:val="16"/>
        </w:rPr>
        <w:t>;</w:t>
      </w:r>
      <w:r w:rsidRPr="00C21A2E">
        <w:rPr>
          <w:szCs w:val="16"/>
        </w:rPr>
        <w:t xml:space="preserve"> 2) la violación de derecho a la integridad personal, consagrada en el artículo 5 de la Convención en relación con el artículo 1.1 del mismo instrumento, en perjuicio de los familiares de las víctimas directas</w:t>
      </w:r>
      <w:r>
        <w:rPr>
          <w:szCs w:val="16"/>
        </w:rPr>
        <w:t xml:space="preserve">, solicitaron que la responsabilidad debe considerarse agravada en atención al sufrimiento provocado por el Estado con posterioridad al Informe de Fondo de la Comisión; </w:t>
      </w:r>
      <w:r w:rsidRPr="00C21A2E">
        <w:rPr>
          <w:szCs w:val="16"/>
        </w:rPr>
        <w:t>3)   la violación a los derechos de protección judicial y las garantías judiciales y la integridad personal, establecidos en los artículos 25, 8 y 5 de la Convención, en relación con los artículos 1.1 y 2 de la Convención y 1, 6 y 8 de la Convención Interamericana para Prevenir y Sancionar la Tortura y el artículo 7 de la Convención de Belém do Pará, en perjuicio de L.R.J., C.S.S y J.F.C., en virtud de la impunidad en que se encuentran los hechos de tortura sexual</w:t>
      </w:r>
      <w:r>
        <w:rPr>
          <w:szCs w:val="16"/>
        </w:rPr>
        <w:t xml:space="preserve">, </w:t>
      </w:r>
      <w:r w:rsidRPr="00C21A2E">
        <w:rPr>
          <w:szCs w:val="16"/>
        </w:rPr>
        <w:t>solicitaron que esta responsabilidad sea cualificada como agravada en relación a los derechos de los niños, artículo 19 de la Convención, en relación con el artículo 1.1 del mismo instrumento, en perjuicio de las niñas C.S.S. (15 años) e J.F.C. (16 años)</w:t>
      </w:r>
      <w:r>
        <w:rPr>
          <w:szCs w:val="16"/>
        </w:rPr>
        <w:t>; y</w:t>
      </w:r>
      <w:r w:rsidRPr="00C21A2E">
        <w:rPr>
          <w:szCs w:val="16"/>
        </w:rPr>
        <w:t xml:space="preserve"> 4) la violación al deber de garantía en relación al derecho de circulación y de residencia, artículo 22.1 de la Convención, en relación al artículo 1.1 del mismo instrumento, en perju</w:t>
      </w:r>
      <w:r>
        <w:rPr>
          <w:szCs w:val="16"/>
        </w:rPr>
        <w:t>icio de L.R.J., C.S.S. e J.F.C.</w:t>
      </w:r>
    </w:p>
  </w:footnote>
  <w:footnote w:id="7">
    <w:p w14:paraId="3C805FF9" w14:textId="2C6CE042" w:rsidR="00122408" w:rsidRPr="00C21A2E" w:rsidRDefault="00122408" w:rsidP="00B50B41">
      <w:pPr>
        <w:pStyle w:val="FootnoteText"/>
        <w:spacing w:after="40"/>
        <w:rPr>
          <w:szCs w:val="16"/>
          <w:lang w:val="pt-BR"/>
        </w:rPr>
      </w:pPr>
      <w:r w:rsidRPr="00C21A2E">
        <w:rPr>
          <w:rStyle w:val="FootnoteReference"/>
          <w:sz w:val="16"/>
          <w:szCs w:val="16"/>
        </w:rPr>
        <w:footnoteRef/>
      </w:r>
      <w:r w:rsidRPr="00C21A2E">
        <w:rPr>
          <w:szCs w:val="16"/>
          <w:lang w:val="pt-BR"/>
        </w:rPr>
        <w:t xml:space="preserve"> </w:t>
      </w:r>
      <w:r>
        <w:rPr>
          <w:szCs w:val="16"/>
          <w:lang w:val="pt-BR"/>
        </w:rPr>
        <w:t xml:space="preserve">El </w:t>
      </w:r>
      <w:r w:rsidRPr="00C21A2E">
        <w:rPr>
          <w:szCs w:val="16"/>
          <w:lang w:val="pt-BR"/>
        </w:rPr>
        <w:t>Estado designó como Agente para el presente caso al señor Fernando Jacques de Magalhães Pimenta  y como agentes alternos a Pedro Marcos de Castro Saldanha, Bruna Mara Liso Gagliardi, Boni de Moraes Soares,  Giordano da Silva Rosseto,  Aline Alburquerque Sant' Anna de Oliveira, Rodrigo de Oliveira Morais, Luciana Peres, Felipe Der</w:t>
      </w:r>
      <w:r>
        <w:rPr>
          <w:szCs w:val="16"/>
          <w:lang w:val="pt-BR"/>
        </w:rPr>
        <w:t>b</w:t>
      </w:r>
      <w:r w:rsidRPr="00C21A2E">
        <w:rPr>
          <w:szCs w:val="16"/>
          <w:lang w:val="pt-BR"/>
        </w:rPr>
        <w:t>li de Carvalho Baptista y a Andrea Sep</w:t>
      </w:r>
      <w:r>
        <w:rPr>
          <w:szCs w:val="16"/>
          <w:lang w:val="pt-BR"/>
        </w:rPr>
        <w:t>úlveda.</w:t>
      </w:r>
    </w:p>
  </w:footnote>
  <w:footnote w:id="8">
    <w:p w14:paraId="23EEBA30" w14:textId="268C119D"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pt-BR"/>
        </w:rPr>
        <w:t xml:space="preserve"> </w:t>
      </w:r>
      <w:r w:rsidRPr="00C21A2E">
        <w:rPr>
          <w:i/>
          <w:szCs w:val="16"/>
          <w:lang w:val="pt-BR"/>
        </w:rPr>
        <w:t>Cfr</w:t>
      </w:r>
      <w:r w:rsidRPr="00C21A2E">
        <w:rPr>
          <w:szCs w:val="16"/>
          <w:lang w:val="pt-BR"/>
        </w:rPr>
        <w:t xml:space="preserve">. </w:t>
      </w:r>
      <w:r w:rsidRPr="00C21A2E">
        <w:rPr>
          <w:i/>
          <w:szCs w:val="16"/>
          <w:lang w:val="pt-BR"/>
        </w:rPr>
        <w:t xml:space="preserve">Caso </w:t>
      </w:r>
      <w:r>
        <w:rPr>
          <w:i/>
          <w:szCs w:val="16"/>
          <w:lang w:val="pt-BR"/>
        </w:rPr>
        <w:t xml:space="preserve">Cosme Rosa </w:t>
      </w:r>
      <w:r w:rsidRPr="00C21A2E">
        <w:rPr>
          <w:i/>
          <w:szCs w:val="16"/>
          <w:lang w:val="pt-BR"/>
        </w:rPr>
        <w:t>Genoveva</w:t>
      </w:r>
      <w:r>
        <w:rPr>
          <w:i/>
          <w:szCs w:val="16"/>
          <w:lang w:val="pt-BR"/>
        </w:rPr>
        <w:t>, Evandro de Oliveira</w:t>
      </w:r>
      <w:r w:rsidRPr="00C21A2E">
        <w:rPr>
          <w:i/>
          <w:szCs w:val="16"/>
          <w:lang w:val="pt-BR"/>
        </w:rPr>
        <w:t xml:space="preserve"> y otros (Favela Nova </w:t>
      </w:r>
      <w:r>
        <w:rPr>
          <w:i/>
          <w:szCs w:val="16"/>
          <w:lang w:val="pt-BR"/>
        </w:rPr>
        <w:t>Brasilia</w:t>
      </w:r>
      <w:r w:rsidRPr="00C21A2E">
        <w:rPr>
          <w:i/>
          <w:szCs w:val="16"/>
          <w:lang w:val="pt-BR"/>
        </w:rPr>
        <w:t xml:space="preserve">) Vs. </w:t>
      </w:r>
      <w:r w:rsidRPr="006253B7">
        <w:rPr>
          <w:i/>
          <w:szCs w:val="16"/>
          <w:lang w:val="es-ES"/>
        </w:rPr>
        <w:t>Brasil</w:t>
      </w:r>
      <w:r w:rsidRPr="006253B7">
        <w:rPr>
          <w:szCs w:val="16"/>
          <w:lang w:val="es-ES"/>
        </w:rPr>
        <w:t xml:space="preserve">. </w:t>
      </w:r>
      <w:r w:rsidRPr="00C21A2E">
        <w:rPr>
          <w:szCs w:val="16"/>
        </w:rPr>
        <w:t xml:space="preserve">Resolución del Presidente en ejercicio de la Corte Interamericana de 3 de diciembre de 2015. Disponible en: </w:t>
      </w:r>
      <w:hyperlink r:id="rId1" w:history="1">
        <w:r w:rsidRPr="00C21A2E">
          <w:rPr>
            <w:rStyle w:val="Hyperlink"/>
            <w:szCs w:val="16"/>
          </w:rPr>
          <w:t>http://www.corteidh.or.cr/docs/asuntos/cosme_fv_15.pdf</w:t>
        </w:r>
      </w:hyperlink>
      <w:r w:rsidRPr="00C21A2E">
        <w:rPr>
          <w:rStyle w:val="Hyperlink"/>
          <w:szCs w:val="16"/>
        </w:rPr>
        <w:t>.</w:t>
      </w:r>
    </w:p>
  </w:footnote>
  <w:footnote w:id="9">
    <w:p w14:paraId="1869780A"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Resolución del Presidente en ejercicio de la Corte Interamericana de Derechos Humanos de 4 de agosto de 2016, disponible en: </w:t>
      </w:r>
      <w:hyperlink r:id="rId2" w:history="1">
        <w:r w:rsidRPr="00C21A2E">
          <w:rPr>
            <w:rStyle w:val="Hyperlink"/>
            <w:szCs w:val="16"/>
          </w:rPr>
          <w:t>http://www.corteidh.or.cr/docs/asuntos/genoveva_04_08_16.pdf</w:t>
        </w:r>
      </w:hyperlink>
      <w:r w:rsidRPr="00C21A2E">
        <w:rPr>
          <w:rStyle w:val="Hyperlink"/>
          <w:szCs w:val="16"/>
        </w:rPr>
        <w:t>.</w:t>
      </w:r>
    </w:p>
  </w:footnote>
  <w:footnote w:id="10">
    <w:p w14:paraId="212EDEBE"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szCs w:val="16"/>
          <w:lang w:val="es-ES"/>
        </w:rPr>
        <w:t xml:space="preserve">Resolución del Presidente en ejercicio de la Corte Interamericana de Derechos Humanos de 16 de septiembre de 2016, disponible en: </w:t>
      </w:r>
      <w:hyperlink r:id="rId3" w:history="1">
        <w:r w:rsidRPr="00C21A2E">
          <w:rPr>
            <w:rStyle w:val="Hyperlink"/>
            <w:szCs w:val="16"/>
          </w:rPr>
          <w:t>http://www.corteidh.or.cr/docs/asuntos/genoveva_16_09_16.pdf</w:t>
        </w:r>
      </w:hyperlink>
      <w:r w:rsidRPr="00C21A2E">
        <w:rPr>
          <w:rStyle w:val="Hyperlink"/>
          <w:szCs w:val="16"/>
        </w:rPr>
        <w:t>.</w:t>
      </w:r>
    </w:p>
  </w:footnote>
  <w:footnote w:id="11">
    <w:p w14:paraId="1E23E0F6"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Resolución de la Corte Interamericana de Derechos Humanos de 10 de octubre de 2016, disponible en: </w:t>
      </w:r>
      <w:hyperlink r:id="rId4" w:history="1">
        <w:r w:rsidRPr="00C21A2E">
          <w:rPr>
            <w:rStyle w:val="Hyperlink"/>
            <w:szCs w:val="16"/>
            <w:lang w:val="es-ES"/>
          </w:rPr>
          <w:t>http://www.corteidh.or.cr/docs/asuntos/genoveva_10_10_16.pdf</w:t>
        </w:r>
      </w:hyperlink>
      <w:r w:rsidRPr="00C21A2E">
        <w:rPr>
          <w:szCs w:val="16"/>
          <w:lang w:val="es-ES"/>
        </w:rPr>
        <w:t xml:space="preserve">. </w:t>
      </w:r>
    </w:p>
  </w:footnote>
  <w:footnote w:id="12">
    <w:p w14:paraId="617A1136"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A esta audiencia comparecieron a) por la Comisión Interamericana: el comisionado </w:t>
      </w:r>
      <w:r w:rsidRPr="00C21A2E">
        <w:rPr>
          <w:szCs w:val="16"/>
          <w:lang w:val="es-ES"/>
        </w:rPr>
        <w:t xml:space="preserve">Francisco </w:t>
      </w:r>
      <w:proofErr w:type="spellStart"/>
      <w:r w:rsidRPr="00C21A2E">
        <w:rPr>
          <w:szCs w:val="16"/>
          <w:lang w:val="es-ES"/>
        </w:rPr>
        <w:t>Eguiguren</w:t>
      </w:r>
      <w:proofErr w:type="spellEnd"/>
      <w:r w:rsidRPr="00C21A2E">
        <w:rPr>
          <w:szCs w:val="16"/>
          <w:lang w:val="es-ES"/>
        </w:rPr>
        <w:t xml:space="preserve"> </w:t>
      </w:r>
      <w:proofErr w:type="spellStart"/>
      <w:r w:rsidRPr="00C21A2E">
        <w:rPr>
          <w:szCs w:val="16"/>
          <w:lang w:val="es-ES"/>
        </w:rPr>
        <w:t>Praeli</w:t>
      </w:r>
      <w:proofErr w:type="spellEnd"/>
      <w:r w:rsidRPr="00C21A2E">
        <w:rPr>
          <w:szCs w:val="16"/>
          <w:lang w:val="es-ES"/>
        </w:rPr>
        <w:t xml:space="preserve"> y la abogada de la Secretaría Ejecutiva Silvia Serrano Guzmán; b) por los representantes de las presuntas víctimas: </w:t>
      </w:r>
      <w:r w:rsidRPr="00C21A2E">
        <w:rPr>
          <w:szCs w:val="16"/>
        </w:rPr>
        <w:t xml:space="preserve">Pedro </w:t>
      </w:r>
      <w:proofErr w:type="spellStart"/>
      <w:r w:rsidRPr="00C21A2E">
        <w:rPr>
          <w:szCs w:val="16"/>
        </w:rPr>
        <w:t>Strozemberg</w:t>
      </w:r>
      <w:proofErr w:type="spellEnd"/>
      <w:r w:rsidRPr="00C21A2E">
        <w:rPr>
          <w:szCs w:val="16"/>
        </w:rPr>
        <w:t xml:space="preserve">, </w:t>
      </w:r>
      <w:proofErr w:type="spellStart"/>
      <w:r w:rsidRPr="00C21A2E">
        <w:rPr>
          <w:szCs w:val="16"/>
        </w:rPr>
        <w:t>Antônio</w:t>
      </w:r>
      <w:proofErr w:type="spellEnd"/>
      <w:r w:rsidRPr="00C21A2E">
        <w:rPr>
          <w:szCs w:val="16"/>
        </w:rPr>
        <w:t xml:space="preserve"> Pedro </w:t>
      </w:r>
      <w:proofErr w:type="spellStart"/>
      <w:r w:rsidRPr="00C21A2E">
        <w:rPr>
          <w:szCs w:val="16"/>
        </w:rPr>
        <w:t>Belchior</w:t>
      </w:r>
      <w:proofErr w:type="spellEnd"/>
      <w:r w:rsidRPr="00C21A2E">
        <w:rPr>
          <w:szCs w:val="16"/>
        </w:rPr>
        <w:t xml:space="preserve">, Carolina Cooper, Viviana </w:t>
      </w:r>
      <w:proofErr w:type="spellStart"/>
      <w:r w:rsidRPr="00C21A2E">
        <w:rPr>
          <w:szCs w:val="16"/>
        </w:rPr>
        <w:t>Krsticevic</w:t>
      </w:r>
      <w:proofErr w:type="spellEnd"/>
      <w:r w:rsidRPr="00C21A2E">
        <w:rPr>
          <w:szCs w:val="16"/>
        </w:rPr>
        <w:t xml:space="preserve">, Francisco Quintana, Alejandra Vicente, Beatriz </w:t>
      </w:r>
      <w:proofErr w:type="spellStart"/>
      <w:r w:rsidRPr="00C21A2E">
        <w:rPr>
          <w:szCs w:val="16"/>
        </w:rPr>
        <w:t>Affonso</w:t>
      </w:r>
      <w:proofErr w:type="spellEnd"/>
      <w:r w:rsidRPr="00C21A2E">
        <w:rPr>
          <w:szCs w:val="16"/>
        </w:rPr>
        <w:t xml:space="preserve">, Helena Rocha, Erick Vieira y </w:t>
      </w:r>
      <w:r w:rsidRPr="00C21A2E">
        <w:rPr>
          <w:szCs w:val="16"/>
          <w:lang w:val="es-ES"/>
        </w:rPr>
        <w:t xml:space="preserve">Elsa </w:t>
      </w:r>
      <w:proofErr w:type="spellStart"/>
      <w:r w:rsidRPr="00C21A2E">
        <w:rPr>
          <w:szCs w:val="16"/>
          <w:lang w:val="es-ES"/>
        </w:rPr>
        <w:t>Meany</w:t>
      </w:r>
      <w:proofErr w:type="spellEnd"/>
      <w:r w:rsidRPr="00C21A2E">
        <w:rPr>
          <w:szCs w:val="16"/>
          <w:lang w:val="es-ES"/>
        </w:rPr>
        <w:t>; c) por el Estado:</w:t>
      </w:r>
      <w:r w:rsidRPr="00C21A2E">
        <w:rPr>
          <w:szCs w:val="16"/>
        </w:rPr>
        <w:t xml:space="preserve"> </w:t>
      </w:r>
      <w:r w:rsidRPr="00C21A2E">
        <w:rPr>
          <w:szCs w:val="16"/>
          <w:lang w:val="es-ES"/>
        </w:rPr>
        <w:t xml:space="preserve">Pedro </w:t>
      </w:r>
      <w:proofErr w:type="spellStart"/>
      <w:r w:rsidRPr="00C21A2E">
        <w:rPr>
          <w:szCs w:val="16"/>
          <w:lang w:val="es-ES"/>
        </w:rPr>
        <w:t>Murilo</w:t>
      </w:r>
      <w:proofErr w:type="spellEnd"/>
      <w:r w:rsidRPr="00C21A2E">
        <w:rPr>
          <w:szCs w:val="16"/>
          <w:lang w:val="es-ES"/>
        </w:rPr>
        <w:t xml:space="preserve"> Ortega Terra, </w:t>
      </w:r>
      <w:proofErr w:type="spellStart"/>
      <w:r w:rsidRPr="00C21A2E">
        <w:rPr>
          <w:szCs w:val="16"/>
          <w:lang w:val="es-ES"/>
        </w:rPr>
        <w:t>Boni</w:t>
      </w:r>
      <w:proofErr w:type="spellEnd"/>
      <w:r w:rsidRPr="00C21A2E">
        <w:rPr>
          <w:szCs w:val="16"/>
          <w:lang w:val="es-ES"/>
        </w:rPr>
        <w:t xml:space="preserve"> </w:t>
      </w:r>
      <w:proofErr w:type="spellStart"/>
      <w:r w:rsidRPr="00C21A2E">
        <w:rPr>
          <w:szCs w:val="16"/>
          <w:lang w:val="es-ES"/>
        </w:rPr>
        <w:t>Moraes</w:t>
      </w:r>
      <w:proofErr w:type="spellEnd"/>
      <w:r w:rsidRPr="00C21A2E">
        <w:rPr>
          <w:szCs w:val="16"/>
          <w:lang w:val="es-ES"/>
        </w:rPr>
        <w:t xml:space="preserve"> </w:t>
      </w:r>
      <w:proofErr w:type="spellStart"/>
      <w:r w:rsidRPr="00C21A2E">
        <w:rPr>
          <w:szCs w:val="16"/>
          <w:lang w:val="es-ES"/>
        </w:rPr>
        <w:t>Soares</w:t>
      </w:r>
      <w:proofErr w:type="spellEnd"/>
      <w:r w:rsidRPr="00C21A2E">
        <w:rPr>
          <w:szCs w:val="16"/>
          <w:lang w:val="es-ES"/>
        </w:rPr>
        <w:t xml:space="preserve">, Bruna Mara Liso Gagliardi y Luciana </w:t>
      </w:r>
      <w:proofErr w:type="spellStart"/>
      <w:r w:rsidRPr="00C21A2E">
        <w:rPr>
          <w:szCs w:val="16"/>
          <w:lang w:val="es-ES"/>
        </w:rPr>
        <w:t>Peres</w:t>
      </w:r>
      <w:proofErr w:type="spellEnd"/>
      <w:r w:rsidRPr="00C21A2E">
        <w:rPr>
          <w:szCs w:val="16"/>
          <w:lang w:val="es-ES"/>
        </w:rPr>
        <w:t xml:space="preserve">. </w:t>
      </w:r>
    </w:p>
  </w:footnote>
  <w:footnote w:id="13">
    <w:p w14:paraId="22F32846" w14:textId="70A05F0F"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El escrito fue firmado por Carlos Eduardo Barbosa Paz, Edson </w:t>
      </w:r>
      <w:proofErr w:type="spellStart"/>
      <w:r w:rsidRPr="00C21A2E">
        <w:rPr>
          <w:szCs w:val="16"/>
        </w:rPr>
        <w:t>Rodrigues</w:t>
      </w:r>
      <w:proofErr w:type="spellEnd"/>
      <w:r w:rsidRPr="00C21A2E">
        <w:rPr>
          <w:szCs w:val="16"/>
        </w:rPr>
        <w:t xml:space="preserve"> Marques, Pedro de Paula </w:t>
      </w:r>
      <w:proofErr w:type="spellStart"/>
      <w:r w:rsidRPr="00C21A2E">
        <w:rPr>
          <w:szCs w:val="16"/>
        </w:rPr>
        <w:t>Lopes</w:t>
      </w:r>
      <w:proofErr w:type="spellEnd"/>
      <w:r w:rsidRPr="00C21A2E">
        <w:rPr>
          <w:szCs w:val="16"/>
        </w:rPr>
        <w:t xml:space="preserve"> Almeida e Isabel </w:t>
      </w:r>
      <w:proofErr w:type="spellStart"/>
      <w:r w:rsidRPr="00C21A2E">
        <w:rPr>
          <w:szCs w:val="16"/>
        </w:rPr>
        <w:t>Penido</w:t>
      </w:r>
      <w:proofErr w:type="spellEnd"/>
      <w:r w:rsidRPr="00C21A2E">
        <w:rPr>
          <w:szCs w:val="16"/>
        </w:rPr>
        <w:t xml:space="preserve"> de Campos Machado. Con respecto a ese escrito, el Estado </w:t>
      </w:r>
      <w:r w:rsidRPr="00C21A2E">
        <w:rPr>
          <w:iCs/>
          <w:szCs w:val="16"/>
        </w:rPr>
        <w:t xml:space="preserve">adujo que el </w:t>
      </w:r>
      <w:proofErr w:type="spellStart"/>
      <w:r w:rsidRPr="00C21A2E">
        <w:rPr>
          <w:i/>
          <w:iCs/>
          <w:szCs w:val="16"/>
        </w:rPr>
        <w:t>amicus</w:t>
      </w:r>
      <w:proofErr w:type="spellEnd"/>
      <w:r w:rsidRPr="00C21A2E">
        <w:rPr>
          <w:i/>
          <w:iCs/>
          <w:szCs w:val="16"/>
        </w:rPr>
        <w:t xml:space="preserve"> </w:t>
      </w:r>
      <w:proofErr w:type="spellStart"/>
      <w:r w:rsidRPr="00C21A2E">
        <w:rPr>
          <w:i/>
          <w:iCs/>
          <w:szCs w:val="16"/>
        </w:rPr>
        <w:t>curiae</w:t>
      </w:r>
      <w:proofErr w:type="spellEnd"/>
      <w:r w:rsidRPr="00C21A2E">
        <w:rPr>
          <w:iCs/>
          <w:szCs w:val="16"/>
        </w:rPr>
        <w:t xml:space="preserve"> presentado por la </w:t>
      </w:r>
      <w:r w:rsidRPr="00C21A2E">
        <w:rPr>
          <w:iCs/>
          <w:szCs w:val="16"/>
          <w:lang w:val="es-ES_tradnl"/>
        </w:rPr>
        <w:t xml:space="preserve">Defensoría Pública de la Unión desvirtúa la figura del </w:t>
      </w:r>
      <w:proofErr w:type="spellStart"/>
      <w:r w:rsidRPr="00C21A2E">
        <w:rPr>
          <w:i/>
          <w:iCs/>
          <w:szCs w:val="16"/>
          <w:lang w:val="es-ES_tradnl"/>
        </w:rPr>
        <w:t>amicus</w:t>
      </w:r>
      <w:proofErr w:type="spellEnd"/>
      <w:r w:rsidRPr="00C21A2E">
        <w:rPr>
          <w:iCs/>
          <w:szCs w:val="16"/>
          <w:lang w:val="es-ES_tradnl"/>
        </w:rPr>
        <w:t xml:space="preserve"> </w:t>
      </w:r>
      <w:proofErr w:type="spellStart"/>
      <w:r w:rsidRPr="00C21A2E">
        <w:rPr>
          <w:i/>
          <w:iCs/>
          <w:szCs w:val="16"/>
          <w:lang w:val="es-ES_tradnl"/>
        </w:rPr>
        <w:t>curiae</w:t>
      </w:r>
      <w:proofErr w:type="spellEnd"/>
      <w:r w:rsidRPr="00C21A2E">
        <w:rPr>
          <w:iCs/>
          <w:szCs w:val="16"/>
          <w:lang w:val="es-ES_tradnl"/>
        </w:rPr>
        <w:t xml:space="preserve">, al considerar que el escrito no refleja un análisis técnico e imparcial al </w:t>
      </w:r>
      <w:r>
        <w:rPr>
          <w:iCs/>
          <w:szCs w:val="16"/>
          <w:lang w:val="es-ES_tradnl"/>
        </w:rPr>
        <w:t xml:space="preserve">referirse </w:t>
      </w:r>
      <w:r w:rsidRPr="00C21A2E">
        <w:rPr>
          <w:iCs/>
          <w:szCs w:val="16"/>
          <w:lang w:val="es-ES_tradnl"/>
        </w:rPr>
        <w:t xml:space="preserve">sobre la competencia temporal y material de la Corte, la admisibilidad del caso, consideraciones sobre el fondo y presentar solicitudes. </w:t>
      </w:r>
      <w:r w:rsidRPr="00C21A2E">
        <w:rPr>
          <w:szCs w:val="16"/>
          <w:lang w:val="es-ES"/>
        </w:rPr>
        <w:t>L</w:t>
      </w:r>
      <w:r w:rsidRPr="00C21A2E">
        <w:rPr>
          <w:iCs/>
          <w:szCs w:val="16"/>
          <w:lang w:val="es-ES_tradnl"/>
        </w:rPr>
        <w:t xml:space="preserve">a Corte observa que las mismas carecen de fundamento, por lo que </w:t>
      </w:r>
      <w:r w:rsidRPr="00C21A2E">
        <w:rPr>
          <w:iCs/>
          <w:szCs w:val="16"/>
          <w:lang w:val="es-ES"/>
        </w:rPr>
        <w:t>el referido escrito será considerado en la medida en que ofrece al Tribunal “</w:t>
      </w:r>
      <w:r w:rsidRPr="00C21A2E">
        <w:rPr>
          <w:iCs/>
          <w:szCs w:val="16"/>
        </w:rPr>
        <w:t>razonamientos en torno a los hechos contenidos en el sometimiento del caso o formula consideraciones jurídicas sobre la materia del proceso</w:t>
      </w:r>
      <w:r w:rsidRPr="00C21A2E">
        <w:rPr>
          <w:iCs/>
          <w:szCs w:val="16"/>
          <w:lang w:val="es-ES"/>
        </w:rPr>
        <w:t>”, como predica el artículo 2.3 de su Reglamento.</w:t>
      </w:r>
    </w:p>
  </w:footnote>
  <w:footnote w:id="14">
    <w:p w14:paraId="655CCF3B" w14:textId="63CB1344" w:rsidR="00122408" w:rsidRPr="00C21A2E" w:rsidRDefault="00122408" w:rsidP="00B50B41">
      <w:pPr>
        <w:pStyle w:val="FootnoteText"/>
        <w:spacing w:after="40"/>
        <w:rPr>
          <w:b/>
          <w:szCs w:val="16"/>
        </w:rPr>
      </w:pPr>
      <w:r w:rsidRPr="00C21A2E">
        <w:rPr>
          <w:rStyle w:val="FootnoteReference"/>
          <w:sz w:val="16"/>
          <w:szCs w:val="16"/>
        </w:rPr>
        <w:footnoteRef/>
      </w:r>
      <w:r w:rsidRPr="00C21A2E">
        <w:rPr>
          <w:szCs w:val="16"/>
        </w:rPr>
        <w:t xml:space="preserve"> El escrito fue firmado por </w:t>
      </w:r>
      <w:proofErr w:type="spellStart"/>
      <w:r w:rsidRPr="00C21A2E">
        <w:rPr>
          <w:szCs w:val="16"/>
        </w:rPr>
        <w:t>Márcia</w:t>
      </w:r>
      <w:proofErr w:type="spellEnd"/>
      <w:r w:rsidRPr="00C21A2E">
        <w:rPr>
          <w:szCs w:val="16"/>
        </w:rPr>
        <w:t xml:space="preserve"> Nin</w:t>
      </w:r>
      <w:r>
        <w:rPr>
          <w:szCs w:val="16"/>
        </w:rPr>
        <w:t xml:space="preserve">a </w:t>
      </w:r>
      <w:proofErr w:type="spellStart"/>
      <w:r>
        <w:rPr>
          <w:szCs w:val="16"/>
        </w:rPr>
        <w:t>Bernardes</w:t>
      </w:r>
      <w:proofErr w:type="spellEnd"/>
      <w:r>
        <w:rPr>
          <w:szCs w:val="16"/>
        </w:rPr>
        <w:t xml:space="preserve"> y Andrea </w:t>
      </w:r>
      <w:proofErr w:type="spellStart"/>
      <w:r>
        <w:rPr>
          <w:szCs w:val="16"/>
        </w:rPr>
        <w:t>Schettini</w:t>
      </w:r>
      <w:proofErr w:type="spellEnd"/>
      <w:r>
        <w:rPr>
          <w:szCs w:val="16"/>
        </w:rPr>
        <w:t>.</w:t>
      </w:r>
    </w:p>
  </w:footnote>
  <w:footnote w:id="15">
    <w:p w14:paraId="3487076A" w14:textId="7A29BA8B" w:rsidR="00122408" w:rsidRPr="00C21A2E" w:rsidRDefault="00122408" w:rsidP="00B50B41">
      <w:pPr>
        <w:pStyle w:val="FootnoteText"/>
        <w:spacing w:after="40"/>
        <w:rPr>
          <w:b/>
          <w:szCs w:val="16"/>
        </w:rPr>
      </w:pPr>
      <w:r w:rsidRPr="00C21A2E">
        <w:rPr>
          <w:rStyle w:val="FootnoteReference"/>
          <w:sz w:val="16"/>
          <w:szCs w:val="16"/>
        </w:rPr>
        <w:footnoteRef/>
      </w:r>
      <w:r w:rsidRPr="00C21A2E">
        <w:rPr>
          <w:szCs w:val="16"/>
        </w:rPr>
        <w:t xml:space="preserve"> El escrito fue firmado por Carlos Martín </w:t>
      </w:r>
      <w:proofErr w:type="spellStart"/>
      <w:r w:rsidRPr="00C21A2E">
        <w:rPr>
          <w:szCs w:val="16"/>
        </w:rPr>
        <w:t>Beristain</w:t>
      </w:r>
      <w:proofErr w:type="spellEnd"/>
      <w:r w:rsidRPr="00C21A2E">
        <w:rPr>
          <w:szCs w:val="16"/>
        </w:rPr>
        <w:t xml:space="preserve"> e Irantzu </w:t>
      </w:r>
      <w:proofErr w:type="spellStart"/>
      <w:r w:rsidRPr="00C21A2E">
        <w:rPr>
          <w:szCs w:val="16"/>
        </w:rPr>
        <w:t>Mendia</w:t>
      </w:r>
      <w:proofErr w:type="spellEnd"/>
      <w:r>
        <w:rPr>
          <w:szCs w:val="16"/>
        </w:rPr>
        <w:t xml:space="preserve"> </w:t>
      </w:r>
      <w:proofErr w:type="spellStart"/>
      <w:r>
        <w:rPr>
          <w:szCs w:val="16"/>
        </w:rPr>
        <w:t>Azkue</w:t>
      </w:r>
      <w:proofErr w:type="spellEnd"/>
      <w:r w:rsidRPr="00C21A2E">
        <w:rPr>
          <w:szCs w:val="16"/>
        </w:rPr>
        <w:t xml:space="preserve">. Con respecto a ese escrito, el Estado alegó que el escrito presentado por el Instituto HEGOA, de la </w:t>
      </w:r>
      <w:r w:rsidRPr="00C21A2E">
        <w:rPr>
          <w:iCs/>
          <w:szCs w:val="16"/>
        </w:rPr>
        <w:t xml:space="preserve">Universidad del País Vasco, no cumple con el artículo 2.3 del Reglamento de la Corte, en razón de que “uno de los autores fue invitado a realizar un peritaje sobre el impacto psicosocial de las víctimas de violencia sexual”. </w:t>
      </w:r>
      <w:r w:rsidRPr="00C21A2E">
        <w:rPr>
          <w:iCs/>
          <w:szCs w:val="16"/>
          <w:lang w:val="es-ES_tradnl"/>
        </w:rPr>
        <w:t xml:space="preserve">Al respecto, la Corte no tomará en consideración el escrito </w:t>
      </w:r>
      <w:r w:rsidRPr="00C21A2E">
        <w:rPr>
          <w:szCs w:val="16"/>
          <w:lang w:val="es-ES"/>
        </w:rPr>
        <w:t xml:space="preserve">presentado en calidad de </w:t>
      </w:r>
      <w:proofErr w:type="spellStart"/>
      <w:r w:rsidRPr="00C21A2E">
        <w:rPr>
          <w:i/>
          <w:szCs w:val="16"/>
          <w:lang w:val="es-ES"/>
        </w:rPr>
        <w:t>amicus</w:t>
      </w:r>
      <w:proofErr w:type="spellEnd"/>
      <w:r w:rsidRPr="00C21A2E">
        <w:rPr>
          <w:i/>
          <w:szCs w:val="16"/>
          <w:lang w:val="es-ES"/>
        </w:rPr>
        <w:t xml:space="preserve"> </w:t>
      </w:r>
      <w:proofErr w:type="spellStart"/>
      <w:r w:rsidRPr="00C21A2E">
        <w:rPr>
          <w:i/>
          <w:szCs w:val="16"/>
          <w:lang w:val="es-ES"/>
        </w:rPr>
        <w:t>curiae</w:t>
      </w:r>
      <w:proofErr w:type="spellEnd"/>
      <w:r w:rsidRPr="00C21A2E">
        <w:rPr>
          <w:i/>
          <w:szCs w:val="16"/>
          <w:lang w:val="es-ES"/>
        </w:rPr>
        <w:t xml:space="preserve"> </w:t>
      </w:r>
      <w:r w:rsidRPr="00C21A2E">
        <w:rPr>
          <w:szCs w:val="16"/>
          <w:lang w:val="es-ES"/>
        </w:rPr>
        <w:t xml:space="preserve">por el Instituto HEGOA, pues efectivamente uno de sus autores fue propuesto como perito por los representantes, solicitud que fue rechazada por el Pleno de la Corte. Asimismo, el escrito de </w:t>
      </w:r>
      <w:proofErr w:type="spellStart"/>
      <w:r w:rsidRPr="00C21A2E">
        <w:rPr>
          <w:i/>
          <w:szCs w:val="16"/>
          <w:lang w:val="es-ES"/>
        </w:rPr>
        <w:t>amicus</w:t>
      </w:r>
      <w:proofErr w:type="spellEnd"/>
      <w:r w:rsidRPr="00C21A2E">
        <w:rPr>
          <w:i/>
          <w:szCs w:val="16"/>
          <w:lang w:val="es-ES"/>
        </w:rPr>
        <w:t xml:space="preserve"> </w:t>
      </w:r>
      <w:proofErr w:type="spellStart"/>
      <w:r w:rsidRPr="00C21A2E">
        <w:rPr>
          <w:i/>
          <w:szCs w:val="16"/>
          <w:lang w:val="es-ES"/>
        </w:rPr>
        <w:t>curiae</w:t>
      </w:r>
      <w:proofErr w:type="spellEnd"/>
      <w:r w:rsidRPr="00C21A2E">
        <w:rPr>
          <w:szCs w:val="16"/>
          <w:lang w:val="es-ES"/>
        </w:rPr>
        <w:t xml:space="preserve"> se refiere al mismo objeto del peritaje ofrecido por los representantes. En ese sentido, el escrito no refleja el interés de una tercera parte en el proceso, sino que caracteriza un intento de ignorar la decisión del Pleno de la Corte de no aceptar el peritaje propuesto por los representantes.</w:t>
      </w:r>
    </w:p>
  </w:footnote>
  <w:footnote w:id="16">
    <w:p w14:paraId="3B344673" w14:textId="31602DB8" w:rsidR="00122408" w:rsidRPr="002D676F" w:rsidRDefault="00122408" w:rsidP="00B50B41">
      <w:pPr>
        <w:pStyle w:val="FootnoteText"/>
        <w:spacing w:after="40"/>
        <w:rPr>
          <w:b/>
          <w:szCs w:val="16"/>
          <w:lang w:val="pt-BR"/>
        </w:rPr>
      </w:pPr>
      <w:r w:rsidRPr="00C21A2E">
        <w:rPr>
          <w:rStyle w:val="FootnoteReference"/>
          <w:sz w:val="16"/>
          <w:szCs w:val="16"/>
        </w:rPr>
        <w:footnoteRef/>
      </w:r>
      <w:r w:rsidRPr="00C21A2E">
        <w:rPr>
          <w:szCs w:val="16"/>
          <w:lang w:val="pt-BR"/>
        </w:rPr>
        <w:t xml:space="preserve"> </w:t>
      </w:r>
      <w:r w:rsidRPr="00C21A2E">
        <w:rPr>
          <w:szCs w:val="16"/>
          <w:lang w:val="pt-BR"/>
        </w:rPr>
        <w:t>El escrito fue firmado por Rafael Lessa Vieira de Sá Meneze</w:t>
      </w:r>
      <w:r>
        <w:rPr>
          <w:szCs w:val="16"/>
          <w:lang w:val="pt-BR"/>
        </w:rPr>
        <w:t>s</w:t>
      </w:r>
      <w:r w:rsidRPr="00C21A2E">
        <w:rPr>
          <w:szCs w:val="16"/>
          <w:lang w:val="pt-BR"/>
        </w:rPr>
        <w:t>, Carlos Weis, Davi Quintanilha Failde de Azevedo, Daniela Shromov de Albuquerque</w:t>
      </w:r>
      <w:r>
        <w:rPr>
          <w:szCs w:val="16"/>
          <w:lang w:val="pt-BR"/>
        </w:rPr>
        <w:t xml:space="preserve"> y Letícia Alves Bueno Pereira.</w:t>
      </w:r>
    </w:p>
  </w:footnote>
  <w:footnote w:id="17">
    <w:p w14:paraId="5F7F748E" w14:textId="7568067D" w:rsidR="00122408" w:rsidRPr="00C21A2E" w:rsidRDefault="00122408" w:rsidP="00B50B41">
      <w:pPr>
        <w:pStyle w:val="FootnoteText"/>
        <w:spacing w:after="40"/>
        <w:rPr>
          <w:b/>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Cepeda Vargas Vs. Colombia. Excepciones Preliminares, Fondo, Reparaciones y Costas</w:t>
      </w:r>
      <w:r w:rsidRPr="00C21A2E">
        <w:rPr>
          <w:szCs w:val="16"/>
          <w:lang w:val="es-ES"/>
        </w:rPr>
        <w:t>. Sentencia de 26 de mayo de 2010</w:t>
      </w:r>
      <w:r>
        <w:rPr>
          <w:szCs w:val="16"/>
          <w:lang w:val="es-ES"/>
        </w:rPr>
        <w:t>. Serie C No. 213</w:t>
      </w:r>
      <w:r w:rsidRPr="00C21A2E">
        <w:rPr>
          <w:szCs w:val="16"/>
          <w:lang w:val="es-ES"/>
        </w:rPr>
        <w:t xml:space="preserve">, párr. 35, y </w:t>
      </w:r>
      <w:r w:rsidRPr="00C21A2E">
        <w:rPr>
          <w:rStyle w:val="Strong"/>
          <w:b w:val="0"/>
          <w:i/>
          <w:color w:val="000000"/>
          <w:szCs w:val="16"/>
          <w:shd w:val="clear" w:color="auto" w:fill="FFFFFF"/>
          <w:lang w:val="es-ES"/>
        </w:rPr>
        <w:t>Caso Trabajadores de la Hacienda Brasil Verde Vs. Brasil. Excepciones Preliminares, Fondo, Reparaciones y Costas</w:t>
      </w:r>
      <w:r w:rsidRPr="00C21A2E">
        <w:rPr>
          <w:rStyle w:val="Strong"/>
          <w:b w:val="0"/>
          <w:color w:val="000000"/>
          <w:szCs w:val="16"/>
          <w:shd w:val="clear" w:color="auto" w:fill="FFFFFF"/>
          <w:lang w:val="es-ES"/>
        </w:rPr>
        <w:t>. Sentencia de 20 de octubre de 2016</w:t>
      </w:r>
      <w:r>
        <w:rPr>
          <w:rStyle w:val="Strong"/>
          <w:b w:val="0"/>
          <w:color w:val="000000"/>
          <w:szCs w:val="16"/>
          <w:shd w:val="clear" w:color="auto" w:fill="FFFFFF"/>
          <w:lang w:val="es-ES"/>
        </w:rPr>
        <w:t>. Serie C No. 318</w:t>
      </w:r>
      <w:r w:rsidRPr="00C21A2E">
        <w:rPr>
          <w:rStyle w:val="Strong"/>
          <w:b w:val="0"/>
          <w:color w:val="000000"/>
          <w:szCs w:val="16"/>
          <w:shd w:val="clear" w:color="auto" w:fill="FFFFFF"/>
          <w:lang w:val="es-ES"/>
        </w:rPr>
        <w:t>, párr. 18</w:t>
      </w:r>
      <w:r w:rsidRPr="00C90C4F">
        <w:rPr>
          <w:szCs w:val="16"/>
          <w:lang w:val="es-ES"/>
        </w:rPr>
        <w:t>.</w:t>
      </w:r>
    </w:p>
  </w:footnote>
  <w:footnote w:id="18">
    <w:p w14:paraId="37A75011" w14:textId="3427F960"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iCs/>
          <w:szCs w:val="16"/>
          <w:lang w:val="es-ES" w:eastAsia="es-ES_tradnl"/>
        </w:rPr>
        <w:t>Caso Las Palmeras Vs. Colombia. Excepciones Preliminares</w:t>
      </w:r>
      <w:r w:rsidRPr="00C21A2E">
        <w:rPr>
          <w:iCs/>
          <w:szCs w:val="16"/>
          <w:lang w:val="es-ES" w:eastAsia="es-ES_tradnl"/>
        </w:rPr>
        <w:t xml:space="preserve">. </w:t>
      </w:r>
      <w:r w:rsidRPr="00C21A2E">
        <w:rPr>
          <w:szCs w:val="16"/>
          <w:lang w:val="es-ES" w:eastAsia="es-ES_tradnl"/>
        </w:rPr>
        <w:t xml:space="preserve">Sentencia de 4 de febrero de 2000, Serie C No. 67, párr. 34, </w:t>
      </w:r>
      <w:r w:rsidRPr="00C21A2E">
        <w:rPr>
          <w:szCs w:val="16"/>
          <w:lang w:val="es-ES"/>
        </w:rPr>
        <w:t xml:space="preserve">y </w:t>
      </w:r>
      <w:r w:rsidRPr="00C21A2E">
        <w:rPr>
          <w:rStyle w:val="Strong"/>
          <w:b w:val="0"/>
          <w:i/>
          <w:color w:val="000000"/>
          <w:szCs w:val="16"/>
          <w:shd w:val="clear" w:color="auto" w:fill="FFFFFF"/>
          <w:lang w:val="es-ES"/>
        </w:rPr>
        <w:t xml:space="preserve">Caso Trabajadores de la Hacienda Brasil Verde, </w:t>
      </w:r>
      <w:r w:rsidRPr="00C21A2E">
        <w:rPr>
          <w:rStyle w:val="Strong"/>
          <w:b w:val="0"/>
          <w:color w:val="000000"/>
          <w:szCs w:val="16"/>
          <w:shd w:val="clear" w:color="auto" w:fill="FFFFFF"/>
          <w:lang w:val="es-ES"/>
        </w:rPr>
        <w:t>párr. 18.</w:t>
      </w:r>
    </w:p>
  </w:footnote>
  <w:footnote w:id="19">
    <w:p w14:paraId="28B765E8" w14:textId="77777777" w:rsidR="00122408" w:rsidRPr="006253B7"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rFonts w:cs="Times New Roman"/>
          <w:i/>
          <w:szCs w:val="16"/>
          <w:lang w:val="es-ES"/>
        </w:rPr>
        <w:t xml:space="preserve">Opinión Consultiva OC-13/93, </w:t>
      </w:r>
      <w:r w:rsidRPr="00CB0375">
        <w:rPr>
          <w:rFonts w:eastAsia="Times New Roman" w:cs="Times New Roman"/>
          <w:i/>
          <w:spacing w:val="-2"/>
          <w:szCs w:val="16"/>
          <w:lang w:val="es-ES" w:eastAsia="es-ES"/>
        </w:rPr>
        <w:t>Ciertas atribuciones de la Comisión Interamericana de Derechos Humanos</w:t>
      </w:r>
      <w:r w:rsidRPr="00C21A2E">
        <w:rPr>
          <w:rFonts w:eastAsia="Times New Roman" w:cs="Times New Roman"/>
          <w:i/>
          <w:szCs w:val="16"/>
          <w:lang w:val="es-ES" w:eastAsia="es-ES"/>
        </w:rPr>
        <w:t xml:space="preserve"> </w:t>
      </w:r>
      <w:r w:rsidRPr="00CB0375">
        <w:rPr>
          <w:rFonts w:eastAsia="Times New Roman" w:cs="Times New Roman"/>
          <w:i/>
          <w:spacing w:val="-2"/>
          <w:szCs w:val="16"/>
          <w:lang w:val="es-ES" w:eastAsia="es-ES"/>
        </w:rPr>
        <w:t>(arts. 41, 42, 44, 46, 47, 50 y 51 de la Convención Americana sobre Derechos Humanos)</w:t>
      </w:r>
      <w:r w:rsidRPr="00CB0375">
        <w:rPr>
          <w:rFonts w:eastAsia="Times New Roman" w:cs="Times New Roman"/>
          <w:spacing w:val="-2"/>
          <w:szCs w:val="16"/>
          <w:lang w:val="es-ES" w:eastAsia="es-ES"/>
        </w:rPr>
        <w:t xml:space="preserve">, </w:t>
      </w:r>
      <w:r w:rsidRPr="00CB0375">
        <w:rPr>
          <w:rFonts w:cs="Times New Roman"/>
          <w:spacing w:val="-2"/>
          <w:szCs w:val="16"/>
          <w:lang w:val="es-ES"/>
        </w:rPr>
        <w:t xml:space="preserve">16 de julio de 1993, párr. </w:t>
      </w:r>
      <w:r w:rsidRPr="00CB0375">
        <w:rPr>
          <w:rFonts w:eastAsia="Times New Roman" w:cs="Times New Roman"/>
          <w:spacing w:val="-2"/>
          <w:szCs w:val="16"/>
          <w:lang w:val="es-ES" w:eastAsia="es-ES"/>
        </w:rPr>
        <w:t>53</w:t>
      </w:r>
      <w:r w:rsidRPr="006253B7">
        <w:rPr>
          <w:rFonts w:eastAsia="Times New Roman" w:cs="Times New Roman"/>
          <w:szCs w:val="16"/>
          <w:lang w:val="es-ES" w:eastAsia="es-ES"/>
        </w:rPr>
        <w:t>.</w:t>
      </w:r>
      <w:r w:rsidRPr="006253B7">
        <w:rPr>
          <w:rFonts w:cs="Times New Roman"/>
          <w:szCs w:val="16"/>
          <w:lang w:val="es-ES"/>
        </w:rPr>
        <w:t xml:space="preserve"> </w:t>
      </w:r>
    </w:p>
  </w:footnote>
  <w:footnote w:id="20">
    <w:p w14:paraId="1ECD44EF" w14:textId="77777777" w:rsidR="00122408" w:rsidRPr="006253B7" w:rsidRDefault="00122408" w:rsidP="00B50B41">
      <w:pPr>
        <w:pStyle w:val="FootnoteText"/>
        <w:spacing w:after="40"/>
        <w:rPr>
          <w:szCs w:val="16"/>
          <w:lang w:val="es-ES"/>
        </w:rPr>
      </w:pPr>
      <w:r w:rsidRPr="00C21A2E">
        <w:rPr>
          <w:rStyle w:val="FootnoteReference"/>
          <w:sz w:val="16"/>
          <w:szCs w:val="16"/>
          <w:lang w:val="es-ES"/>
        </w:rPr>
        <w:footnoteRef/>
      </w:r>
      <w:r w:rsidRPr="006253B7">
        <w:rPr>
          <w:szCs w:val="16"/>
          <w:lang w:val="es-ES"/>
        </w:rPr>
        <w:t xml:space="preserve"> </w:t>
      </w:r>
      <w:r w:rsidRPr="006253B7">
        <w:rPr>
          <w:i/>
          <w:szCs w:val="16"/>
          <w:lang w:val="es-ES"/>
        </w:rPr>
        <w:t>Cfr.</w:t>
      </w:r>
      <w:r w:rsidRPr="006253B7">
        <w:rPr>
          <w:szCs w:val="16"/>
          <w:lang w:val="es-ES"/>
        </w:rPr>
        <w:t xml:space="preserve"> </w:t>
      </w:r>
      <w:r w:rsidRPr="006253B7">
        <w:rPr>
          <w:i/>
          <w:szCs w:val="16"/>
          <w:lang w:val="es-ES"/>
        </w:rPr>
        <w:t>Opinión Consultiva OC-13/93</w:t>
      </w:r>
      <w:r w:rsidRPr="006253B7">
        <w:rPr>
          <w:szCs w:val="16"/>
          <w:lang w:val="es-ES"/>
        </w:rPr>
        <w:t>, párr. 48.</w:t>
      </w:r>
    </w:p>
  </w:footnote>
  <w:footnote w:id="21">
    <w:p w14:paraId="1AB2DC3B" w14:textId="2076AF56" w:rsidR="00122408" w:rsidRPr="005901C2" w:rsidRDefault="00122408" w:rsidP="00B50B41">
      <w:pPr>
        <w:pStyle w:val="FootnoteText"/>
        <w:spacing w:after="40"/>
        <w:rPr>
          <w:szCs w:val="16"/>
          <w:lang w:val="pt-BR"/>
        </w:rPr>
      </w:pPr>
      <w:r w:rsidRPr="00C14826">
        <w:rPr>
          <w:rStyle w:val="FootnoteReference"/>
          <w:sz w:val="16"/>
          <w:szCs w:val="16"/>
        </w:rPr>
        <w:footnoteRef/>
      </w:r>
      <w:r w:rsidRPr="00C14826">
        <w:rPr>
          <w:szCs w:val="16"/>
          <w:vertAlign w:val="superscript"/>
          <w:lang w:val="es-ES"/>
        </w:rPr>
        <w:t xml:space="preserve"> </w:t>
      </w:r>
      <w:r w:rsidRPr="00C14826">
        <w:rPr>
          <w:i/>
          <w:szCs w:val="16"/>
          <w:lang w:val="es-ES"/>
        </w:rPr>
        <w:t xml:space="preserve">Cfr. Caso Trabajadores de la Hacienda Brasil Verde, </w:t>
      </w:r>
      <w:proofErr w:type="spellStart"/>
      <w:r>
        <w:rPr>
          <w:szCs w:val="16"/>
          <w:lang w:val="es-ES"/>
        </w:rPr>
        <w:t>párrs</w:t>
      </w:r>
      <w:proofErr w:type="spellEnd"/>
      <w:r>
        <w:rPr>
          <w:szCs w:val="16"/>
          <w:lang w:val="es-ES"/>
        </w:rPr>
        <w:t xml:space="preserve">. </w:t>
      </w:r>
      <w:r w:rsidRPr="005901C2">
        <w:rPr>
          <w:szCs w:val="16"/>
          <w:lang w:val="pt-BR"/>
        </w:rPr>
        <w:t>25 a 27.</w:t>
      </w:r>
    </w:p>
  </w:footnote>
  <w:footnote w:id="22">
    <w:p w14:paraId="400263A1" w14:textId="1D956344" w:rsidR="00122408" w:rsidRPr="00C21A2E" w:rsidRDefault="00122408" w:rsidP="00B50B41">
      <w:pPr>
        <w:pStyle w:val="FootnoteText"/>
        <w:spacing w:after="40"/>
        <w:rPr>
          <w:szCs w:val="16"/>
          <w:lang w:val="pt-BR"/>
        </w:rPr>
      </w:pPr>
      <w:r w:rsidRPr="00C21A2E">
        <w:rPr>
          <w:rStyle w:val="FootnoteReference"/>
          <w:sz w:val="16"/>
          <w:szCs w:val="16"/>
          <w:lang w:val="es-ES"/>
        </w:rPr>
        <w:footnoteRef/>
      </w:r>
      <w:r w:rsidRPr="00C21A2E">
        <w:rPr>
          <w:szCs w:val="16"/>
          <w:lang w:val="pt-BR"/>
        </w:rPr>
        <w:t xml:space="preserve"> </w:t>
      </w:r>
      <w:r w:rsidRPr="00C21A2E">
        <w:rPr>
          <w:szCs w:val="16"/>
          <w:lang w:val="pt-BR"/>
        </w:rPr>
        <w:t xml:space="preserve">Familiar </w:t>
      </w:r>
      <w:r w:rsidRPr="00C21A2E">
        <w:rPr>
          <w:szCs w:val="16"/>
          <w:lang w:val="pt-BR"/>
        </w:rPr>
        <w:t>de Alberto dos Santos Ramos: Vera Lucia Santos de Miranda (hermana); Familiares de Alex Vianna dos Santos: Helena  Vianna (madre); Adriana Vianna dos Santos (hermana); Alessandra Viana Vieira (madre); Familiar de Andre Luiz Neri da Silva</w:t>
      </w:r>
      <w:r>
        <w:rPr>
          <w:szCs w:val="16"/>
          <w:lang w:val="pt-BR"/>
        </w:rPr>
        <w:t>:</w:t>
      </w:r>
      <w:r w:rsidRPr="00C21A2E">
        <w:rPr>
          <w:szCs w:val="16"/>
          <w:lang w:val="pt-BR"/>
        </w:rPr>
        <w:t xml:space="preserve"> Joyce Neri da Silva Dantas (hermana); Familiares de Clemilson dos Santos Moura</w:t>
      </w:r>
      <w:r>
        <w:rPr>
          <w:szCs w:val="16"/>
          <w:lang w:val="pt-BR"/>
        </w:rPr>
        <w:t>:</w:t>
      </w:r>
      <w:r w:rsidRPr="00C21A2E">
        <w:rPr>
          <w:szCs w:val="16"/>
          <w:lang w:val="pt-BR"/>
        </w:rPr>
        <w:t xml:space="preserve"> Jo</w:t>
      </w:r>
      <w:r>
        <w:rPr>
          <w:szCs w:val="16"/>
          <w:lang w:val="pt-BR"/>
        </w:rPr>
        <w:t>ã</w:t>
      </w:r>
      <w:r w:rsidRPr="00C21A2E">
        <w:rPr>
          <w:szCs w:val="16"/>
          <w:lang w:val="pt-BR"/>
        </w:rPr>
        <w:t>o Alves de Moura (padre); Eva Maria dos Santos Moura (madre); Familiares de Macmiller Faria Neces</w:t>
      </w:r>
      <w:r>
        <w:rPr>
          <w:szCs w:val="16"/>
          <w:lang w:val="pt-BR"/>
        </w:rPr>
        <w:t>:</w:t>
      </w:r>
      <w:r w:rsidRPr="00C21A2E">
        <w:rPr>
          <w:szCs w:val="16"/>
          <w:lang w:val="pt-BR"/>
        </w:rPr>
        <w:t xml:space="preserve"> Edson Faria Neves (padre); Mac Laine Faria Neves (hermana); Familiares de Robson Genuino dos Santos</w:t>
      </w:r>
      <w:r>
        <w:rPr>
          <w:szCs w:val="16"/>
          <w:lang w:val="pt-BR"/>
        </w:rPr>
        <w:t>:</w:t>
      </w:r>
      <w:r w:rsidRPr="00C21A2E">
        <w:rPr>
          <w:szCs w:val="16"/>
          <w:lang w:val="pt-BR"/>
        </w:rPr>
        <w:t xml:space="preserve"> Robson Genuino dos Santos Junior [hijo]; Rogerio Genuino dos Santos (hermano); supuesta </w:t>
      </w:r>
      <w:r>
        <w:rPr>
          <w:szCs w:val="16"/>
          <w:lang w:val="pt-BR"/>
        </w:rPr>
        <w:t xml:space="preserve">víctima </w:t>
      </w:r>
      <w:r w:rsidRPr="00C21A2E">
        <w:rPr>
          <w:szCs w:val="16"/>
          <w:lang w:val="pt-BR"/>
        </w:rPr>
        <w:t>L.R.J.; Familiares de Alex Fonseca Costa: Otacilio Costa (padre); Beatriz Fonseca Costa</w:t>
      </w:r>
      <w:r>
        <w:rPr>
          <w:szCs w:val="16"/>
          <w:lang w:val="pt-BR"/>
        </w:rPr>
        <w:t xml:space="preserve"> </w:t>
      </w:r>
      <w:r w:rsidRPr="00C21A2E">
        <w:rPr>
          <w:szCs w:val="16"/>
          <w:lang w:val="pt-BR"/>
        </w:rPr>
        <w:t>(madre); Bruna Fonseca Costa (hermana); Familiares de Ciro Pereira Dutra</w:t>
      </w:r>
      <w:r>
        <w:rPr>
          <w:szCs w:val="16"/>
          <w:lang w:val="pt-BR"/>
        </w:rPr>
        <w:t>:</w:t>
      </w:r>
      <w:r w:rsidRPr="00C21A2E">
        <w:rPr>
          <w:szCs w:val="16"/>
          <w:lang w:val="pt-BR"/>
        </w:rPr>
        <w:t xml:space="preserve"> Geni Pereira Dutra (madre); Familiares  de Cosme Rosa Genoveva</w:t>
      </w:r>
      <w:r>
        <w:rPr>
          <w:szCs w:val="16"/>
          <w:lang w:val="pt-BR"/>
        </w:rPr>
        <w:t>:</w:t>
      </w:r>
      <w:r w:rsidRPr="00C21A2E">
        <w:rPr>
          <w:szCs w:val="16"/>
          <w:lang w:val="pt-BR"/>
        </w:rPr>
        <w:t xml:space="preserve"> Ocelia Rosa (madre); Rosane da Silva Genoveva (esposa); Diego da Silva Genoveva (hijo); Familiares de Fabio Ribeiro Castor</w:t>
      </w:r>
      <w:r>
        <w:rPr>
          <w:szCs w:val="16"/>
          <w:lang w:val="pt-BR"/>
        </w:rPr>
        <w:t>:</w:t>
      </w:r>
      <w:r w:rsidRPr="00C21A2E">
        <w:rPr>
          <w:szCs w:val="16"/>
          <w:lang w:val="pt-BR"/>
        </w:rPr>
        <w:t xml:space="preserve"> Cesar Braga Castor (padre); Vera Lucia Ribeiro Castor (madre); William Mariano dos Santos (hijo); Familiares de Jacques Duglas Melo Rodrigues</w:t>
      </w:r>
      <w:r>
        <w:rPr>
          <w:szCs w:val="16"/>
          <w:lang w:val="pt-BR"/>
        </w:rPr>
        <w:t>:</w:t>
      </w:r>
      <w:r w:rsidRPr="00C21A2E">
        <w:rPr>
          <w:szCs w:val="16"/>
          <w:lang w:val="pt-BR"/>
        </w:rPr>
        <w:t xml:space="preserve"> Dalvaci Melo Rodrigues (</w:t>
      </w:r>
      <w:r>
        <w:rPr>
          <w:szCs w:val="16"/>
          <w:lang w:val="pt-BR"/>
        </w:rPr>
        <w:t>madre</w:t>
      </w:r>
      <w:r w:rsidRPr="00C21A2E">
        <w:rPr>
          <w:szCs w:val="16"/>
          <w:lang w:val="pt-BR"/>
        </w:rPr>
        <w:t>); Monica Santos de Souza Rodrigues (esposa); Evelyn Santos de Souza Rodrigues (hija), Adriana Melo Rodrigues (hermana); Rosileide Rodrigues do Nascimento (hermana); Cecilia Cristina do Nascimento Rodrigues (hermana); Familiares de Renato Inacio da Silva</w:t>
      </w:r>
      <w:r>
        <w:rPr>
          <w:szCs w:val="16"/>
          <w:lang w:val="pt-BR"/>
        </w:rPr>
        <w:t>:</w:t>
      </w:r>
      <w:r w:rsidRPr="00C21A2E">
        <w:rPr>
          <w:szCs w:val="16"/>
          <w:lang w:val="pt-BR"/>
        </w:rPr>
        <w:t xml:space="preserve"> Shirley de Almeida (madre)</w:t>
      </w:r>
      <w:r>
        <w:rPr>
          <w:szCs w:val="16"/>
          <w:lang w:val="pt-BR"/>
        </w:rPr>
        <w:t xml:space="preserve">, </w:t>
      </w:r>
      <w:r w:rsidRPr="00C21A2E">
        <w:rPr>
          <w:szCs w:val="16"/>
          <w:lang w:val="pt-BR"/>
        </w:rPr>
        <w:t>Catia Regina Almeida da Silva (hermana)</w:t>
      </w:r>
      <w:r>
        <w:rPr>
          <w:szCs w:val="16"/>
          <w:lang w:val="pt-BR"/>
        </w:rPr>
        <w:t>.</w:t>
      </w:r>
      <w:r w:rsidRPr="00C21A2E">
        <w:rPr>
          <w:szCs w:val="16"/>
          <w:lang w:val="pt-BR"/>
        </w:rPr>
        <w:t xml:space="preserve"> </w:t>
      </w:r>
    </w:p>
  </w:footnote>
  <w:footnote w:id="23">
    <w:p w14:paraId="36B4F5D3" w14:textId="40251DC3" w:rsidR="00122408" w:rsidRPr="000E6E29" w:rsidRDefault="00122408" w:rsidP="00B50B41">
      <w:pPr>
        <w:pStyle w:val="FootnoteText"/>
        <w:spacing w:after="40"/>
        <w:rPr>
          <w:szCs w:val="16"/>
          <w:lang w:val="es-ES"/>
        </w:rPr>
      </w:pPr>
      <w:r w:rsidRPr="00C21A2E">
        <w:rPr>
          <w:rStyle w:val="FootnoteReference"/>
          <w:sz w:val="16"/>
          <w:szCs w:val="16"/>
          <w:lang w:val="es-ES"/>
        </w:rPr>
        <w:footnoteRef/>
      </w:r>
      <w:r w:rsidRPr="000E6E29">
        <w:rPr>
          <w:szCs w:val="16"/>
          <w:lang w:val="es-ES"/>
        </w:rPr>
        <w:t xml:space="preserve"> </w:t>
      </w:r>
      <w:proofErr w:type="spellStart"/>
      <w:r w:rsidRPr="000E6E29">
        <w:rPr>
          <w:szCs w:val="16"/>
          <w:lang w:val="es-ES"/>
        </w:rPr>
        <w:t>Maria</w:t>
      </w:r>
      <w:proofErr w:type="spellEnd"/>
      <w:r w:rsidRPr="000E6E29">
        <w:rPr>
          <w:szCs w:val="16"/>
          <w:lang w:val="es-ES"/>
        </w:rPr>
        <w:t xml:space="preserve"> das </w:t>
      </w:r>
      <w:proofErr w:type="spellStart"/>
      <w:r w:rsidRPr="000E6E29">
        <w:rPr>
          <w:szCs w:val="16"/>
          <w:lang w:val="es-ES"/>
        </w:rPr>
        <w:t>Graças</w:t>
      </w:r>
      <w:proofErr w:type="spellEnd"/>
      <w:r w:rsidRPr="000E6E29">
        <w:rPr>
          <w:szCs w:val="16"/>
          <w:lang w:val="es-ES"/>
        </w:rPr>
        <w:t xml:space="preserve"> da Silva (supuesta compañera de Alberto dos Santos Ramos): los representantes no presentaron prueba de la relación afectiva entre </w:t>
      </w:r>
      <w:proofErr w:type="spellStart"/>
      <w:r w:rsidRPr="000E6E29">
        <w:rPr>
          <w:szCs w:val="16"/>
          <w:lang w:val="es-ES"/>
        </w:rPr>
        <w:t>Maria</w:t>
      </w:r>
      <w:proofErr w:type="spellEnd"/>
      <w:r w:rsidRPr="000E6E29">
        <w:rPr>
          <w:szCs w:val="16"/>
          <w:lang w:val="es-ES"/>
        </w:rPr>
        <w:t xml:space="preserve"> das </w:t>
      </w:r>
      <w:proofErr w:type="spellStart"/>
      <w:r w:rsidRPr="000E6E29">
        <w:rPr>
          <w:szCs w:val="16"/>
          <w:lang w:val="es-ES"/>
        </w:rPr>
        <w:t>Graças</w:t>
      </w:r>
      <w:proofErr w:type="spellEnd"/>
      <w:r w:rsidRPr="000E6E29">
        <w:rPr>
          <w:szCs w:val="16"/>
          <w:lang w:val="es-ES"/>
        </w:rPr>
        <w:t xml:space="preserve"> da Silva y la víctima; </w:t>
      </w:r>
      <w:proofErr w:type="spellStart"/>
      <w:r w:rsidRPr="000E6E29">
        <w:rPr>
          <w:szCs w:val="16"/>
          <w:lang w:val="es-ES"/>
        </w:rPr>
        <w:t>Thiago</w:t>
      </w:r>
      <w:proofErr w:type="spellEnd"/>
      <w:r w:rsidRPr="000E6E29">
        <w:rPr>
          <w:szCs w:val="16"/>
          <w:lang w:val="es-ES"/>
        </w:rPr>
        <w:t xml:space="preserve"> da Silva (supuesto hijo de Alberto dos Santos Ramos): no hay un documento que establezca el vínculo familiar; Alberto da Silva (supuesto hijo de Alberto dos Santos Ramos): no hay documento que establezca el vínculo; </w:t>
      </w:r>
      <w:proofErr w:type="spellStart"/>
      <w:r w:rsidRPr="000E6E29">
        <w:rPr>
          <w:szCs w:val="16"/>
          <w:lang w:val="es-ES"/>
        </w:rPr>
        <w:t>Roseane</w:t>
      </w:r>
      <w:proofErr w:type="spellEnd"/>
      <w:r w:rsidRPr="000E6E29">
        <w:rPr>
          <w:szCs w:val="16"/>
          <w:lang w:val="es-ES"/>
        </w:rPr>
        <w:t xml:space="preserve"> dos Santos (supuesta hermana de Alberto dos Santos Ramos): no consta el nombre de los padres por lo que no se puede establecer el vínculo; </w:t>
      </w:r>
      <w:proofErr w:type="spellStart"/>
      <w:r w:rsidRPr="000E6E29">
        <w:rPr>
          <w:szCs w:val="16"/>
          <w:lang w:val="es-ES"/>
        </w:rPr>
        <w:t>Jucelena</w:t>
      </w:r>
      <w:proofErr w:type="spellEnd"/>
      <w:r w:rsidRPr="000E6E29">
        <w:rPr>
          <w:szCs w:val="16"/>
          <w:lang w:val="es-ES"/>
        </w:rPr>
        <w:t xml:space="preserve"> Rocha dos Santos Ribeiro de Souza (supuesta compañera de </w:t>
      </w:r>
      <w:proofErr w:type="spellStart"/>
      <w:r w:rsidRPr="000E6E29">
        <w:rPr>
          <w:szCs w:val="16"/>
          <w:lang w:val="es-ES"/>
        </w:rPr>
        <w:t>Robso</w:t>
      </w:r>
      <w:r>
        <w:rPr>
          <w:szCs w:val="16"/>
          <w:lang w:val="es-ES"/>
        </w:rPr>
        <w:t>n</w:t>
      </w:r>
      <w:proofErr w:type="spellEnd"/>
      <w:r>
        <w:rPr>
          <w:szCs w:val="16"/>
          <w:lang w:val="es-ES"/>
        </w:rPr>
        <w:t xml:space="preserve"> Genuino dos Santos): no hay un</w:t>
      </w:r>
      <w:r w:rsidRPr="000E6E29">
        <w:rPr>
          <w:szCs w:val="16"/>
          <w:lang w:val="es-ES"/>
        </w:rPr>
        <w:t xml:space="preserve"> documento que compruebe la unión co</w:t>
      </w:r>
      <w:r>
        <w:rPr>
          <w:szCs w:val="16"/>
          <w:lang w:val="es-ES"/>
        </w:rPr>
        <w:t>n</w:t>
      </w:r>
      <w:r w:rsidRPr="000E6E29">
        <w:rPr>
          <w:szCs w:val="16"/>
          <w:lang w:val="es-ES"/>
        </w:rPr>
        <w:t xml:space="preserve"> la supuesta víctima; Michelle Mariano dos Santos (supuesta compañera de Fabio Ribeiro Castor): no hay un comprobante de la unión con la víctima; </w:t>
      </w:r>
      <w:proofErr w:type="spellStart"/>
      <w:r w:rsidRPr="000E6E29">
        <w:rPr>
          <w:szCs w:val="16"/>
          <w:lang w:val="es-ES"/>
        </w:rPr>
        <w:t>Pricila</w:t>
      </w:r>
      <w:proofErr w:type="spellEnd"/>
      <w:r w:rsidRPr="000E6E29">
        <w:rPr>
          <w:szCs w:val="16"/>
          <w:lang w:val="es-ES"/>
        </w:rPr>
        <w:t xml:space="preserve"> da Silva </w:t>
      </w:r>
      <w:proofErr w:type="spellStart"/>
      <w:r w:rsidRPr="000E6E29">
        <w:rPr>
          <w:szCs w:val="16"/>
          <w:lang w:val="es-ES"/>
        </w:rPr>
        <w:t>Rodrigues</w:t>
      </w:r>
      <w:proofErr w:type="spellEnd"/>
      <w:r w:rsidRPr="000E6E29">
        <w:rPr>
          <w:szCs w:val="16"/>
          <w:lang w:val="es-ES"/>
        </w:rPr>
        <w:t xml:space="preserve"> (supuesta compañera de Jacques Douglas Melo </w:t>
      </w:r>
      <w:proofErr w:type="spellStart"/>
      <w:r w:rsidRPr="000E6E29">
        <w:rPr>
          <w:szCs w:val="16"/>
          <w:lang w:val="es-ES"/>
        </w:rPr>
        <w:t>Rodrigues</w:t>
      </w:r>
      <w:proofErr w:type="spellEnd"/>
      <w:r w:rsidRPr="000E6E29">
        <w:rPr>
          <w:szCs w:val="16"/>
          <w:lang w:val="es-ES"/>
        </w:rPr>
        <w:t xml:space="preserve">): no hay prueba de la unión con la víctima; Samuel da Silva </w:t>
      </w:r>
      <w:proofErr w:type="spellStart"/>
      <w:r w:rsidRPr="000E6E29">
        <w:rPr>
          <w:szCs w:val="16"/>
          <w:lang w:val="es-ES"/>
        </w:rPr>
        <w:t>Rodrigues</w:t>
      </w:r>
      <w:proofErr w:type="spellEnd"/>
      <w:r w:rsidRPr="000E6E29">
        <w:rPr>
          <w:szCs w:val="16"/>
          <w:lang w:val="es-ES"/>
        </w:rPr>
        <w:t xml:space="preserve"> (supuesto hijo de Jaques Douglas Melo </w:t>
      </w:r>
      <w:proofErr w:type="spellStart"/>
      <w:r w:rsidRPr="000E6E29">
        <w:rPr>
          <w:szCs w:val="16"/>
          <w:lang w:val="es-ES"/>
        </w:rPr>
        <w:t>Rodrigues</w:t>
      </w:r>
      <w:proofErr w:type="spellEnd"/>
      <w:r w:rsidRPr="000E6E29">
        <w:rPr>
          <w:szCs w:val="16"/>
          <w:lang w:val="es-ES"/>
        </w:rPr>
        <w:t xml:space="preserve">): no hay prueba del vínculo familiar. </w:t>
      </w:r>
    </w:p>
  </w:footnote>
  <w:footnote w:id="24">
    <w:p w14:paraId="57476D6D" w14:textId="1EC08D78"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rFonts w:cs="Arial"/>
          <w:i/>
          <w:iCs/>
          <w:szCs w:val="16"/>
          <w:lang w:val="es-ES"/>
        </w:rPr>
        <w:t xml:space="preserve">Caso de personas dominicanas y haitianas expulsadas Vs. República Dominicana. </w:t>
      </w:r>
      <w:r w:rsidRPr="00C21A2E">
        <w:rPr>
          <w:rFonts w:cs="Arial"/>
          <w:i/>
          <w:szCs w:val="16"/>
          <w:lang w:val="es-ES"/>
        </w:rPr>
        <w:t>Excepciones Preliminares, Fondo, Reparaciones y Costas</w:t>
      </w:r>
      <w:r w:rsidRPr="00C21A2E">
        <w:rPr>
          <w:rFonts w:cs="Arial"/>
          <w:szCs w:val="16"/>
          <w:lang w:val="es-ES"/>
        </w:rPr>
        <w:t>. Sentencia de 28 de agosto de 2014. Serie C No. 282, p</w:t>
      </w:r>
      <w:r>
        <w:rPr>
          <w:rFonts w:cs="Arial"/>
          <w:szCs w:val="16"/>
          <w:lang w:val="es-ES"/>
        </w:rPr>
        <w:t>ár</w:t>
      </w:r>
      <w:r w:rsidRPr="00C21A2E">
        <w:rPr>
          <w:rFonts w:cs="Arial"/>
          <w:szCs w:val="16"/>
          <w:lang w:val="es-ES"/>
        </w:rPr>
        <w:t>r. 77.</w:t>
      </w:r>
    </w:p>
  </w:footnote>
  <w:footnote w:id="25">
    <w:p w14:paraId="6A3DDD44" w14:textId="33754435"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rFonts w:cs="Verdana-Italic"/>
          <w:i/>
          <w:iCs/>
          <w:szCs w:val="16"/>
          <w:lang w:val="es-ES"/>
        </w:rPr>
        <w:t xml:space="preserve">Cfr. Caso de las Masacres de </w:t>
      </w:r>
      <w:proofErr w:type="spellStart"/>
      <w:r w:rsidRPr="00C21A2E">
        <w:rPr>
          <w:rFonts w:cs="Verdana-Italic"/>
          <w:i/>
          <w:iCs/>
          <w:szCs w:val="16"/>
          <w:lang w:val="es-ES"/>
        </w:rPr>
        <w:t>Ituango</w:t>
      </w:r>
      <w:proofErr w:type="spellEnd"/>
      <w:r w:rsidRPr="00C21A2E">
        <w:rPr>
          <w:rFonts w:cs="Verdana-Italic"/>
          <w:i/>
          <w:iCs/>
          <w:szCs w:val="16"/>
          <w:lang w:val="es-ES"/>
        </w:rPr>
        <w:t xml:space="preserve"> Vs. Colombia. Excepción Preliminar, Fondo, Reparaciones y Costas</w:t>
      </w:r>
      <w:r w:rsidRPr="00C21A2E">
        <w:rPr>
          <w:rFonts w:cs="Verdana"/>
          <w:szCs w:val="16"/>
          <w:lang w:val="es-ES"/>
        </w:rPr>
        <w:t xml:space="preserve">. Sentencia de 1 de julio de 2006. Serie C No. 148, párr. 98, y </w:t>
      </w:r>
      <w:r w:rsidRPr="00C21A2E">
        <w:rPr>
          <w:rFonts w:cs="Verdana-Italic"/>
          <w:i/>
          <w:iCs/>
          <w:szCs w:val="16"/>
          <w:lang w:val="es-ES"/>
        </w:rPr>
        <w:t>Caso J.</w:t>
      </w:r>
      <w:r>
        <w:rPr>
          <w:rFonts w:cs="Verdana-Italic"/>
          <w:i/>
          <w:iCs/>
          <w:szCs w:val="16"/>
          <w:lang w:val="es-ES"/>
        </w:rPr>
        <w:t xml:space="preserve"> Vs. Perú. Excepción Preliminar, Fondo, Reparaciones y Costas. </w:t>
      </w:r>
      <w:r>
        <w:rPr>
          <w:rFonts w:cs="Verdana-Italic"/>
          <w:iCs/>
          <w:szCs w:val="16"/>
          <w:lang w:val="es-ES"/>
        </w:rPr>
        <w:t>Sentencia de 27 de noviembre de 2013. Serie C No. 275</w:t>
      </w:r>
      <w:r w:rsidRPr="00C21A2E">
        <w:rPr>
          <w:rFonts w:cs="Verdana"/>
          <w:szCs w:val="16"/>
          <w:lang w:val="es-ES"/>
        </w:rPr>
        <w:t>, párr. 23.</w:t>
      </w:r>
    </w:p>
  </w:footnote>
  <w:footnote w:id="26">
    <w:p w14:paraId="625E5E68" w14:textId="4ACDE079"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rStyle w:val="Strong"/>
          <w:b w:val="0"/>
          <w:i/>
          <w:color w:val="000000"/>
          <w:szCs w:val="16"/>
          <w:shd w:val="clear" w:color="auto" w:fill="FFFFFF"/>
          <w:lang w:val="es-ES"/>
        </w:rPr>
        <w:t>Caso Masacres de Río Negro Vs. Guatemala. Excepción Preliminar, Fondo, Reparaciones y Costas</w:t>
      </w:r>
      <w:r w:rsidRPr="00C21A2E">
        <w:rPr>
          <w:rStyle w:val="Strong"/>
          <w:b w:val="0"/>
          <w:color w:val="000000"/>
          <w:szCs w:val="16"/>
          <w:shd w:val="clear" w:color="auto" w:fill="FFFFFF"/>
          <w:lang w:val="es-ES"/>
        </w:rPr>
        <w:t xml:space="preserve">. Sentencia de 4 de septiembre de 2012. Serie C No. 250, párr. 48, y </w:t>
      </w:r>
      <w:r w:rsidRPr="00C21A2E">
        <w:rPr>
          <w:rStyle w:val="Strong"/>
          <w:b w:val="0"/>
          <w:i/>
          <w:color w:val="000000"/>
          <w:szCs w:val="16"/>
          <w:shd w:val="clear" w:color="auto" w:fill="FFFFFF"/>
          <w:lang w:val="es-ES"/>
        </w:rPr>
        <w:t>Caso Masacres de El Mozote y lugares aledaños</w:t>
      </w:r>
      <w:r>
        <w:rPr>
          <w:rStyle w:val="Strong"/>
          <w:b w:val="0"/>
          <w:i/>
          <w:color w:val="000000"/>
          <w:szCs w:val="16"/>
          <w:shd w:val="clear" w:color="auto" w:fill="FFFFFF"/>
          <w:lang w:val="es-ES"/>
        </w:rPr>
        <w:t xml:space="preserve"> Vs. El Salvador. Fondo, Reparaciones y Costas. </w:t>
      </w:r>
      <w:r>
        <w:rPr>
          <w:rStyle w:val="Strong"/>
          <w:b w:val="0"/>
          <w:color w:val="000000"/>
          <w:szCs w:val="16"/>
          <w:shd w:val="clear" w:color="auto" w:fill="FFFFFF"/>
          <w:lang w:val="es-ES"/>
        </w:rPr>
        <w:t>Sentencia de 25 de octubre de 2012. Serie C No. 252</w:t>
      </w:r>
      <w:r w:rsidRPr="00C21A2E">
        <w:rPr>
          <w:rStyle w:val="Strong"/>
          <w:b w:val="0"/>
          <w:color w:val="000000"/>
          <w:szCs w:val="16"/>
          <w:shd w:val="clear" w:color="auto" w:fill="FFFFFF"/>
          <w:lang w:val="es-ES"/>
        </w:rPr>
        <w:t>, párr. 50.</w:t>
      </w:r>
    </w:p>
  </w:footnote>
  <w:footnote w:id="27">
    <w:p w14:paraId="59589A6A" w14:textId="0ED38762" w:rsidR="00122408" w:rsidRPr="00C21A2E" w:rsidRDefault="00122408" w:rsidP="00B50B41">
      <w:pPr>
        <w:pStyle w:val="FootnoteText"/>
        <w:spacing w:after="40"/>
        <w:rPr>
          <w:b/>
          <w:szCs w:val="16"/>
          <w:lang w:val="es-ES"/>
        </w:rPr>
      </w:pPr>
      <w:r w:rsidRPr="00C21A2E">
        <w:rPr>
          <w:rStyle w:val="FootnoteReference"/>
          <w:sz w:val="16"/>
          <w:szCs w:val="16"/>
          <w:lang w:val="es-ES"/>
        </w:rPr>
        <w:footnoteRef/>
      </w:r>
      <w:r w:rsidRPr="00C21A2E">
        <w:rPr>
          <w:szCs w:val="16"/>
          <w:lang w:val="es-ES"/>
        </w:rPr>
        <w:t xml:space="preserve"> Cabe destacar que la Corte ha aplicado el artículo 35.2 de su Reglamento en los siguientes casos: </w:t>
      </w:r>
      <w:r w:rsidRPr="00C21A2E">
        <w:rPr>
          <w:i/>
          <w:szCs w:val="16"/>
          <w:lang w:val="es-ES"/>
        </w:rPr>
        <w:t>Caso Masacres de Río Negro Vs. Guatemala</w:t>
      </w:r>
      <w:r w:rsidRPr="00C21A2E">
        <w:rPr>
          <w:szCs w:val="16"/>
          <w:lang w:val="es-ES"/>
        </w:rPr>
        <w:t xml:space="preserve">. </w:t>
      </w:r>
      <w:r w:rsidRPr="00C21A2E">
        <w:rPr>
          <w:i/>
          <w:szCs w:val="16"/>
          <w:lang w:val="es-ES"/>
        </w:rPr>
        <w:t>Excepción Preliminar, Fondo, Reparaciones y Costas</w:t>
      </w:r>
      <w:r w:rsidRPr="00C21A2E">
        <w:rPr>
          <w:szCs w:val="16"/>
          <w:lang w:val="es-ES"/>
        </w:rPr>
        <w:t xml:space="preserve">. Sentencia de 4 de septiembre de 2012 Serie C No. 250; </w:t>
      </w:r>
      <w:r w:rsidRPr="00C21A2E">
        <w:rPr>
          <w:i/>
          <w:szCs w:val="16"/>
          <w:lang w:val="es-ES"/>
        </w:rPr>
        <w:t xml:space="preserve">Caso </w:t>
      </w:r>
      <w:proofErr w:type="spellStart"/>
      <w:r w:rsidRPr="00C21A2E">
        <w:rPr>
          <w:i/>
          <w:szCs w:val="16"/>
          <w:lang w:val="es-ES"/>
        </w:rPr>
        <w:t>Nadege</w:t>
      </w:r>
      <w:proofErr w:type="spellEnd"/>
      <w:r w:rsidRPr="00C21A2E">
        <w:rPr>
          <w:i/>
          <w:szCs w:val="16"/>
          <w:lang w:val="es-ES"/>
        </w:rPr>
        <w:t xml:space="preserve"> </w:t>
      </w:r>
      <w:proofErr w:type="spellStart"/>
      <w:r w:rsidRPr="00C21A2E">
        <w:rPr>
          <w:i/>
          <w:szCs w:val="16"/>
          <w:lang w:val="es-ES"/>
        </w:rPr>
        <w:t>Dorzema</w:t>
      </w:r>
      <w:proofErr w:type="spellEnd"/>
      <w:r w:rsidRPr="00C21A2E">
        <w:rPr>
          <w:i/>
          <w:szCs w:val="16"/>
          <w:lang w:val="es-ES"/>
        </w:rPr>
        <w:t xml:space="preserve"> y otros Vs. República Dominicana. Fondo Reparaciones y Costas</w:t>
      </w:r>
      <w:r w:rsidRPr="00C21A2E">
        <w:rPr>
          <w:szCs w:val="16"/>
          <w:lang w:val="es-ES"/>
        </w:rPr>
        <w:t xml:space="preserve">. Sentencia de 24 de octubre de 2012. Serie C No. 251; </w:t>
      </w:r>
      <w:r w:rsidRPr="00C21A2E">
        <w:rPr>
          <w:i/>
          <w:szCs w:val="16"/>
          <w:lang w:val="es-ES"/>
        </w:rPr>
        <w:t>Caso Masacres de El Mozote y lugares aledaños Vs. El Salvador. Fondo, Reparaciones y Costas</w:t>
      </w:r>
      <w:r w:rsidRPr="00C21A2E">
        <w:rPr>
          <w:szCs w:val="16"/>
          <w:lang w:val="es-ES"/>
        </w:rPr>
        <w:t xml:space="preserve">. Sentencia de 25 de octubre de 2012. Serie C No. 252; </w:t>
      </w:r>
      <w:r w:rsidRPr="00C21A2E">
        <w:rPr>
          <w:i/>
          <w:szCs w:val="16"/>
          <w:lang w:val="es-ES"/>
        </w:rPr>
        <w:t>Caso de las Comunidades Afrodescendientes Desplazadas de la Cuenca del Río Cacarica (Operación Génesis) Vs. Colombia. Excepciones Preliminares, Fondo, Reparaciones y Costas</w:t>
      </w:r>
      <w:r w:rsidRPr="00C21A2E">
        <w:rPr>
          <w:szCs w:val="16"/>
          <w:lang w:val="es-ES"/>
        </w:rPr>
        <w:t>. Sentencia de 20 de nov</w:t>
      </w:r>
      <w:r>
        <w:rPr>
          <w:szCs w:val="16"/>
          <w:lang w:val="es-ES"/>
        </w:rPr>
        <w:t xml:space="preserve">iembre de 2013. Serie C No. 270; </w:t>
      </w:r>
      <w:r w:rsidRPr="00B41D66">
        <w:rPr>
          <w:bCs/>
          <w:i/>
          <w:szCs w:val="16"/>
        </w:rPr>
        <w:t>Caso Comunidad Campesina de Santa Bárbara Vs. Perú. Excepciones Preliminares, Fondo, Reparaciones y Costas</w:t>
      </w:r>
      <w:r w:rsidRPr="00B41D66">
        <w:rPr>
          <w:bCs/>
          <w:szCs w:val="16"/>
        </w:rPr>
        <w:t xml:space="preserve">. Sentencia de 1 de </w:t>
      </w:r>
      <w:r w:rsidRPr="00CB0375">
        <w:rPr>
          <w:bCs/>
          <w:spacing w:val="-2"/>
          <w:szCs w:val="16"/>
        </w:rPr>
        <w:t xml:space="preserve">septiembre de 2015. Serie C No. 299; </w:t>
      </w:r>
      <w:r w:rsidRPr="00CB0375">
        <w:rPr>
          <w:bCs/>
          <w:i/>
          <w:spacing w:val="-2"/>
          <w:szCs w:val="16"/>
        </w:rPr>
        <w:t>Caso Trabajadores de la Hacienda Brasil Verde Vs. Brasil. Excepciones Preliminares, Fondo, Reparaciones y Costas</w:t>
      </w:r>
      <w:r w:rsidRPr="00CB0375">
        <w:rPr>
          <w:bCs/>
          <w:spacing w:val="-2"/>
          <w:szCs w:val="16"/>
        </w:rPr>
        <w:t xml:space="preserve">. Sentencia de 20 de octubre de 2016. Serie C No. 318, y </w:t>
      </w:r>
      <w:r w:rsidRPr="00CB0375">
        <w:rPr>
          <w:bCs/>
          <w:i/>
          <w:spacing w:val="-2"/>
          <w:szCs w:val="16"/>
        </w:rPr>
        <w:t xml:space="preserve">Caso Miembros de la Aldea </w:t>
      </w:r>
      <w:proofErr w:type="spellStart"/>
      <w:r w:rsidRPr="00CB0375">
        <w:rPr>
          <w:bCs/>
          <w:i/>
          <w:spacing w:val="-2"/>
          <w:szCs w:val="16"/>
        </w:rPr>
        <w:t>Chichupac</w:t>
      </w:r>
      <w:proofErr w:type="spellEnd"/>
      <w:r w:rsidRPr="00CB0375">
        <w:rPr>
          <w:bCs/>
          <w:i/>
          <w:spacing w:val="-2"/>
          <w:szCs w:val="16"/>
        </w:rPr>
        <w:t xml:space="preserve"> y comunidades vecinas del Municipio de Rabinal Vs. Guatemala. Excepciones Preliminares, Fondo, Reparaciones y Costas</w:t>
      </w:r>
      <w:r w:rsidRPr="00CB0375">
        <w:rPr>
          <w:bCs/>
          <w:spacing w:val="-2"/>
          <w:szCs w:val="16"/>
        </w:rPr>
        <w:t xml:space="preserve">. Sentencia de 30 de noviembre de 2016. Serie C No. 328. </w:t>
      </w:r>
      <w:r w:rsidRPr="00CB0375">
        <w:rPr>
          <w:spacing w:val="-2"/>
          <w:szCs w:val="16"/>
          <w:lang w:val="es-ES"/>
        </w:rPr>
        <w:t xml:space="preserve">Asimismo, ha rechazado su aplicación en los siguientes casos: </w:t>
      </w:r>
      <w:r w:rsidRPr="00CB0375">
        <w:rPr>
          <w:i/>
          <w:spacing w:val="-2"/>
          <w:szCs w:val="16"/>
          <w:lang w:val="es-ES"/>
        </w:rPr>
        <w:t xml:space="preserve">Caso </w:t>
      </w:r>
      <w:proofErr w:type="spellStart"/>
      <w:r w:rsidRPr="00CB0375">
        <w:rPr>
          <w:i/>
          <w:spacing w:val="-2"/>
          <w:szCs w:val="16"/>
          <w:lang w:val="es-ES"/>
        </w:rPr>
        <w:t>Barbani</w:t>
      </w:r>
      <w:proofErr w:type="spellEnd"/>
      <w:r w:rsidRPr="00CB0375">
        <w:rPr>
          <w:i/>
          <w:spacing w:val="-2"/>
          <w:szCs w:val="16"/>
          <w:lang w:val="es-ES"/>
        </w:rPr>
        <w:t xml:space="preserve"> Duarte y Otros Vs. Uruguay. Fondo, Reparaciones y Costas</w:t>
      </w:r>
      <w:r w:rsidRPr="00CB0375">
        <w:rPr>
          <w:spacing w:val="-2"/>
          <w:szCs w:val="16"/>
          <w:lang w:val="es-ES"/>
        </w:rPr>
        <w:t xml:space="preserve">. Sentencia de 13 de octubre de 2011. Serie C No. 234; </w:t>
      </w:r>
      <w:r w:rsidRPr="00CB0375">
        <w:rPr>
          <w:i/>
          <w:spacing w:val="-2"/>
          <w:szCs w:val="16"/>
          <w:lang w:val="es-ES"/>
        </w:rPr>
        <w:t>Caso Defensor de Derechos Humanos y otros Vs. Guatemala. Excepciones Preliminares, Fondo, Reparaciones</w:t>
      </w:r>
      <w:r w:rsidRPr="00C21A2E">
        <w:rPr>
          <w:i/>
          <w:szCs w:val="16"/>
          <w:lang w:val="es-ES"/>
        </w:rPr>
        <w:t xml:space="preserve"> y Costas</w:t>
      </w:r>
      <w:r w:rsidRPr="00C21A2E">
        <w:rPr>
          <w:szCs w:val="16"/>
          <w:lang w:val="es-ES"/>
        </w:rPr>
        <w:t xml:space="preserve">. Sentencia de 28 de agosto de 2014. Serie C No. 283; </w:t>
      </w:r>
      <w:r w:rsidRPr="00C21A2E">
        <w:rPr>
          <w:i/>
          <w:szCs w:val="16"/>
          <w:lang w:val="es-ES"/>
        </w:rPr>
        <w:t>Caso García y Familiares Vs. Guatemala. Fondo Reparaciones y Costas</w:t>
      </w:r>
      <w:r w:rsidRPr="00C21A2E">
        <w:rPr>
          <w:szCs w:val="16"/>
          <w:lang w:val="es-ES"/>
        </w:rPr>
        <w:t xml:space="preserve">. Sentencia de 29 noviembre de 2012. Serie C No. 258; </w:t>
      </w:r>
      <w:r w:rsidRPr="00C21A2E">
        <w:rPr>
          <w:i/>
          <w:szCs w:val="16"/>
          <w:lang w:val="es-ES"/>
        </w:rPr>
        <w:t xml:space="preserve">Caso Suárez </w:t>
      </w:r>
      <w:r w:rsidRPr="00CB0375">
        <w:rPr>
          <w:i/>
          <w:spacing w:val="-2"/>
          <w:szCs w:val="16"/>
          <w:lang w:val="es-ES"/>
        </w:rPr>
        <w:t>Peralta Vs. Ecuador. Excepciones Preliminares, Fondo, Reparaciones y Costas</w:t>
      </w:r>
      <w:r w:rsidRPr="00CB0375">
        <w:rPr>
          <w:spacing w:val="-2"/>
          <w:szCs w:val="16"/>
          <w:lang w:val="es-ES"/>
        </w:rPr>
        <w:t xml:space="preserve">. Sentencia de 21 de mayo de 2013. Serie C No. 261; </w:t>
      </w:r>
      <w:r w:rsidRPr="00CB0375">
        <w:rPr>
          <w:i/>
          <w:spacing w:val="-2"/>
          <w:szCs w:val="16"/>
          <w:lang w:val="es-ES"/>
        </w:rPr>
        <w:t>Caso J. Vs. Perú. Excepción Preliminar, Fondo, Reparaciones y Costas</w:t>
      </w:r>
      <w:r w:rsidRPr="00CB0375">
        <w:rPr>
          <w:spacing w:val="-2"/>
          <w:szCs w:val="16"/>
          <w:lang w:val="es-ES"/>
        </w:rPr>
        <w:t xml:space="preserve">. Sentencia de 27 de noviembre de 2013. Serie C No. 275; </w:t>
      </w:r>
      <w:r w:rsidRPr="00CB0375">
        <w:rPr>
          <w:i/>
          <w:spacing w:val="-2"/>
          <w:szCs w:val="16"/>
          <w:lang w:val="es-ES"/>
        </w:rPr>
        <w:t xml:space="preserve">Caso </w:t>
      </w:r>
      <w:proofErr w:type="spellStart"/>
      <w:r w:rsidRPr="00CB0375">
        <w:rPr>
          <w:i/>
          <w:spacing w:val="-2"/>
          <w:szCs w:val="16"/>
          <w:lang w:val="es-ES"/>
        </w:rPr>
        <w:t>Rochac</w:t>
      </w:r>
      <w:proofErr w:type="spellEnd"/>
      <w:r w:rsidRPr="00CB0375">
        <w:rPr>
          <w:i/>
          <w:spacing w:val="-2"/>
          <w:szCs w:val="16"/>
          <w:lang w:val="es-ES"/>
        </w:rPr>
        <w:t xml:space="preserve"> Hernández y otros Vs. El Salvador. Fondo, Reparaciones y Costas</w:t>
      </w:r>
      <w:r w:rsidRPr="00CB0375">
        <w:rPr>
          <w:spacing w:val="-2"/>
          <w:szCs w:val="16"/>
          <w:lang w:val="es-ES"/>
        </w:rPr>
        <w:t xml:space="preserve">. Sentencia de 14 de octubre de 2014. Serie C No. 285, y </w:t>
      </w:r>
      <w:r w:rsidRPr="00CB0375">
        <w:rPr>
          <w:i/>
          <w:spacing w:val="-2"/>
          <w:szCs w:val="16"/>
          <w:lang w:val="es-ES"/>
        </w:rPr>
        <w:t>Caso Argüelles y otros Vs. Argentina. Excepciones Preliminares, Fondo, Reparaciones y Costas</w:t>
      </w:r>
      <w:r w:rsidRPr="00CB0375">
        <w:rPr>
          <w:spacing w:val="-2"/>
          <w:szCs w:val="16"/>
          <w:lang w:val="es-ES"/>
        </w:rPr>
        <w:t xml:space="preserve">. Sentencia de 20 de noviembre de 2014. Serie C No. 288; </w:t>
      </w:r>
      <w:r w:rsidRPr="00CB0375">
        <w:rPr>
          <w:bCs/>
          <w:i/>
          <w:spacing w:val="-2"/>
          <w:szCs w:val="16"/>
        </w:rPr>
        <w:t xml:space="preserve">Caso Canales </w:t>
      </w:r>
      <w:proofErr w:type="spellStart"/>
      <w:r w:rsidRPr="00CB0375">
        <w:rPr>
          <w:bCs/>
          <w:i/>
          <w:spacing w:val="-2"/>
          <w:szCs w:val="16"/>
        </w:rPr>
        <w:t>Huapaya</w:t>
      </w:r>
      <w:proofErr w:type="spellEnd"/>
      <w:r w:rsidRPr="00CB0375">
        <w:rPr>
          <w:bCs/>
          <w:i/>
          <w:spacing w:val="-2"/>
          <w:szCs w:val="16"/>
        </w:rPr>
        <w:t xml:space="preserve"> y otros Vs. Perú. Excepciones Preliminares, Fondo, Reparaciones y Costas. </w:t>
      </w:r>
      <w:r w:rsidRPr="00CB0375">
        <w:rPr>
          <w:bCs/>
          <w:spacing w:val="-2"/>
          <w:szCs w:val="16"/>
        </w:rPr>
        <w:t xml:space="preserve">Sentencia de 24 de junio de 2015. Serie C No. 296; </w:t>
      </w:r>
      <w:r w:rsidRPr="00CB0375">
        <w:rPr>
          <w:bCs/>
          <w:i/>
          <w:spacing w:val="-2"/>
          <w:szCs w:val="16"/>
        </w:rPr>
        <w:t>Caso Flor</w:t>
      </w:r>
      <w:r w:rsidRPr="00B41D66">
        <w:rPr>
          <w:bCs/>
          <w:i/>
          <w:szCs w:val="16"/>
        </w:rPr>
        <w:t xml:space="preserve"> Freire Vs. Ecuador. Excepción Preliminar, Fondo, Reparaciones y Costas</w:t>
      </w:r>
      <w:r w:rsidRPr="00B41D66">
        <w:rPr>
          <w:bCs/>
          <w:szCs w:val="16"/>
        </w:rPr>
        <w:t xml:space="preserve">. Sentencia de 31 de agosto de 2016. Serie C No. 315, y </w:t>
      </w:r>
      <w:r w:rsidRPr="00B41D66">
        <w:rPr>
          <w:bCs/>
          <w:i/>
          <w:szCs w:val="16"/>
        </w:rPr>
        <w:t>Caso I.V. Vs. Bolivia. Excepciones Preliminares, Fondo, Reparaciones y Costas</w:t>
      </w:r>
      <w:r w:rsidRPr="00B41D66">
        <w:rPr>
          <w:bCs/>
          <w:szCs w:val="16"/>
        </w:rPr>
        <w:t>. Sentencia de 30 de noviembre de 2016. Serie C No. 329.</w:t>
      </w:r>
    </w:p>
  </w:footnote>
  <w:footnote w:id="28">
    <w:p w14:paraId="3728BE28"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Masacres de Río Negro Vs. Guatemala</w:t>
      </w:r>
      <w:r w:rsidRPr="00C21A2E">
        <w:rPr>
          <w:szCs w:val="16"/>
          <w:lang w:val="es-ES"/>
        </w:rPr>
        <w:t xml:space="preserve">, párr. 48, y </w:t>
      </w:r>
      <w:r w:rsidRPr="00C21A2E">
        <w:rPr>
          <w:i/>
          <w:szCs w:val="16"/>
          <w:lang w:val="es-ES"/>
        </w:rPr>
        <w:t>Caso de las Comunidades Afrodescendientes Desplazadas de la Cuenca del Río Cacarica (Operación Génesis)</w:t>
      </w:r>
      <w:r w:rsidRPr="00C21A2E">
        <w:rPr>
          <w:szCs w:val="16"/>
          <w:lang w:val="es-ES"/>
        </w:rPr>
        <w:t>, párr. 41.</w:t>
      </w:r>
    </w:p>
  </w:footnote>
  <w:footnote w:id="29">
    <w:p w14:paraId="3113E2B8"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 xml:space="preserve">Caso </w:t>
      </w:r>
      <w:proofErr w:type="spellStart"/>
      <w:r w:rsidRPr="00C21A2E">
        <w:rPr>
          <w:i/>
          <w:szCs w:val="16"/>
          <w:lang w:val="es-ES"/>
        </w:rPr>
        <w:t>Nadege</w:t>
      </w:r>
      <w:proofErr w:type="spellEnd"/>
      <w:r w:rsidRPr="00C21A2E">
        <w:rPr>
          <w:i/>
          <w:szCs w:val="16"/>
          <w:lang w:val="es-ES"/>
        </w:rPr>
        <w:t xml:space="preserve"> </w:t>
      </w:r>
      <w:proofErr w:type="spellStart"/>
      <w:r w:rsidRPr="00C21A2E">
        <w:rPr>
          <w:i/>
          <w:szCs w:val="16"/>
          <w:lang w:val="es-ES"/>
        </w:rPr>
        <w:t>Dorzema</w:t>
      </w:r>
      <w:proofErr w:type="spellEnd"/>
      <w:r w:rsidRPr="00C21A2E">
        <w:rPr>
          <w:i/>
          <w:szCs w:val="16"/>
          <w:lang w:val="es-ES"/>
        </w:rPr>
        <w:t xml:space="preserve"> y otros</w:t>
      </w:r>
      <w:r w:rsidRPr="00C21A2E">
        <w:rPr>
          <w:szCs w:val="16"/>
          <w:lang w:val="es-ES"/>
        </w:rPr>
        <w:t xml:space="preserve">, párr. 30, y </w:t>
      </w:r>
      <w:r w:rsidRPr="00C21A2E">
        <w:rPr>
          <w:i/>
          <w:szCs w:val="16"/>
          <w:lang w:val="es-ES"/>
        </w:rPr>
        <w:t>Caso de las Comunidades Afrodescendientes Desplazadas de la Cuenca del Río Cacarica (Operación Génesis)</w:t>
      </w:r>
      <w:r w:rsidRPr="00C21A2E">
        <w:rPr>
          <w:szCs w:val="16"/>
          <w:lang w:val="es-ES"/>
        </w:rPr>
        <w:t>, párr. 41.</w:t>
      </w:r>
    </w:p>
  </w:footnote>
  <w:footnote w:id="30">
    <w:p w14:paraId="62ED6CAE" w14:textId="5BFFEB9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Masacres de El Mozote y lugares aledaños</w:t>
      </w:r>
      <w:r w:rsidRPr="00C21A2E">
        <w:rPr>
          <w:szCs w:val="16"/>
          <w:lang w:val="es-ES"/>
        </w:rPr>
        <w:t xml:space="preserve">, párr. </w:t>
      </w:r>
      <w:r>
        <w:rPr>
          <w:szCs w:val="16"/>
          <w:lang w:val="es-ES"/>
        </w:rPr>
        <w:t>5</w:t>
      </w:r>
      <w:r w:rsidRPr="00C21A2E">
        <w:rPr>
          <w:szCs w:val="16"/>
          <w:lang w:val="es-ES"/>
        </w:rPr>
        <w:t xml:space="preserve">0. </w:t>
      </w:r>
    </w:p>
  </w:footnote>
  <w:footnote w:id="31">
    <w:p w14:paraId="496F461F"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Masacres de Río Negro</w:t>
      </w:r>
      <w:r w:rsidRPr="00C21A2E">
        <w:rPr>
          <w:szCs w:val="16"/>
          <w:lang w:val="es-ES"/>
        </w:rPr>
        <w:t xml:space="preserve">, párr. 48. </w:t>
      </w:r>
    </w:p>
  </w:footnote>
  <w:footnote w:id="32">
    <w:p w14:paraId="4CE1F737"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de las Comunidades Afrodescendientes Desplazadas de la Cuenca del Río Cacarica (Operación Génesis)</w:t>
      </w:r>
      <w:r w:rsidRPr="00C21A2E">
        <w:rPr>
          <w:szCs w:val="16"/>
          <w:lang w:val="es-ES"/>
        </w:rPr>
        <w:t>, párr. 41.</w:t>
      </w:r>
    </w:p>
  </w:footnote>
  <w:footnote w:id="33">
    <w:p w14:paraId="13D5DEA9" w14:textId="03FDE623"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Masacres de El Mozote y lugares aledaños</w:t>
      </w:r>
      <w:r w:rsidRPr="00C21A2E">
        <w:rPr>
          <w:szCs w:val="16"/>
          <w:lang w:val="es-ES"/>
        </w:rPr>
        <w:t xml:space="preserve">, párr. </w:t>
      </w:r>
      <w:r>
        <w:rPr>
          <w:szCs w:val="16"/>
          <w:lang w:val="es-ES"/>
        </w:rPr>
        <w:t>5</w:t>
      </w:r>
      <w:r w:rsidRPr="00C21A2E">
        <w:rPr>
          <w:szCs w:val="16"/>
          <w:lang w:val="es-ES"/>
        </w:rPr>
        <w:t xml:space="preserve">0, y </w:t>
      </w:r>
      <w:r w:rsidRPr="00C21A2E">
        <w:rPr>
          <w:i/>
          <w:szCs w:val="16"/>
          <w:lang w:val="es-ES"/>
        </w:rPr>
        <w:t>Caso Masacres de Río Negro</w:t>
      </w:r>
      <w:r w:rsidRPr="00C21A2E">
        <w:rPr>
          <w:szCs w:val="16"/>
          <w:lang w:val="es-ES"/>
        </w:rPr>
        <w:t>, párr. 48.</w:t>
      </w:r>
    </w:p>
  </w:footnote>
  <w:footnote w:id="34">
    <w:p w14:paraId="0ECBBF88"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Masacres de Río Negro</w:t>
      </w:r>
      <w:r w:rsidRPr="00C21A2E">
        <w:rPr>
          <w:szCs w:val="16"/>
          <w:lang w:val="es-ES"/>
        </w:rPr>
        <w:t xml:space="preserve">, párr. 51, y </w:t>
      </w:r>
      <w:r w:rsidRPr="00C21A2E">
        <w:rPr>
          <w:i/>
          <w:szCs w:val="16"/>
          <w:lang w:val="es-ES"/>
        </w:rPr>
        <w:t>Caso de las Comunidades Afrodescendientes Desplazadas de la Cuenca del Río Cacarica (Operación Génesis)</w:t>
      </w:r>
      <w:r w:rsidRPr="00C21A2E">
        <w:rPr>
          <w:szCs w:val="16"/>
          <w:lang w:val="es-ES"/>
        </w:rPr>
        <w:t>, párr. 41.</w:t>
      </w:r>
    </w:p>
  </w:footnote>
  <w:footnote w:id="35">
    <w:p w14:paraId="397F787B"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Masacres de Río Negro</w:t>
      </w:r>
      <w:r w:rsidRPr="00C21A2E">
        <w:rPr>
          <w:szCs w:val="16"/>
          <w:lang w:val="es-ES"/>
        </w:rPr>
        <w:t>, párr. 48.</w:t>
      </w:r>
    </w:p>
  </w:footnote>
  <w:footnote w:id="36">
    <w:p w14:paraId="6A3DE9BD"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 xml:space="preserve">Caso </w:t>
      </w:r>
      <w:proofErr w:type="spellStart"/>
      <w:r w:rsidRPr="00C21A2E">
        <w:rPr>
          <w:i/>
          <w:szCs w:val="16"/>
          <w:lang w:val="es-ES"/>
        </w:rPr>
        <w:t>Nadege</w:t>
      </w:r>
      <w:proofErr w:type="spellEnd"/>
      <w:r w:rsidRPr="00C21A2E">
        <w:rPr>
          <w:i/>
          <w:szCs w:val="16"/>
          <w:lang w:val="es-ES"/>
        </w:rPr>
        <w:t xml:space="preserve"> </w:t>
      </w:r>
      <w:proofErr w:type="spellStart"/>
      <w:r w:rsidRPr="00C21A2E">
        <w:rPr>
          <w:i/>
          <w:szCs w:val="16"/>
          <w:lang w:val="es-ES"/>
        </w:rPr>
        <w:t>Dorzema</w:t>
      </w:r>
      <w:proofErr w:type="spellEnd"/>
      <w:r w:rsidRPr="00C21A2E">
        <w:rPr>
          <w:i/>
          <w:szCs w:val="16"/>
          <w:lang w:val="es-ES"/>
        </w:rPr>
        <w:t xml:space="preserve"> y otros</w:t>
      </w:r>
      <w:r w:rsidRPr="00C21A2E">
        <w:rPr>
          <w:szCs w:val="16"/>
          <w:lang w:val="es-ES"/>
        </w:rPr>
        <w:t>, párr. 30.</w:t>
      </w:r>
    </w:p>
  </w:footnote>
  <w:footnote w:id="37">
    <w:p w14:paraId="643CD671"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Masacres de Río Negro</w:t>
      </w:r>
      <w:r w:rsidRPr="00C21A2E">
        <w:rPr>
          <w:szCs w:val="16"/>
          <w:lang w:val="es-ES"/>
        </w:rPr>
        <w:t xml:space="preserve">, párr. 48, y </w:t>
      </w:r>
      <w:r w:rsidRPr="00C21A2E">
        <w:rPr>
          <w:i/>
          <w:szCs w:val="16"/>
          <w:lang w:val="es-ES"/>
        </w:rPr>
        <w:t>Caso Masacres de El Mozote y lugares aledaños</w:t>
      </w:r>
      <w:r w:rsidRPr="00C21A2E">
        <w:rPr>
          <w:szCs w:val="16"/>
          <w:lang w:val="es-ES"/>
        </w:rPr>
        <w:t>, párr. 50.</w:t>
      </w:r>
    </w:p>
  </w:footnote>
  <w:footnote w:id="38">
    <w:p w14:paraId="0CFBA4A4" w14:textId="41DF3940"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Trabajadores de la Hacienda Brasil Verde</w:t>
      </w:r>
      <w:r w:rsidRPr="00C21A2E">
        <w:rPr>
          <w:szCs w:val="16"/>
          <w:lang w:val="es-ES"/>
        </w:rPr>
        <w:t>, párr. 48.</w:t>
      </w:r>
    </w:p>
  </w:footnote>
  <w:footnote w:id="39">
    <w:p w14:paraId="2CE7D729" w14:textId="77777777" w:rsidR="00122408" w:rsidRPr="00C21A2E" w:rsidRDefault="00122408" w:rsidP="00B50B41">
      <w:pPr>
        <w:pStyle w:val="FootnoteText"/>
        <w:spacing w:after="40"/>
        <w:rPr>
          <w:rFonts w:cs="Times New Roman"/>
          <w:szCs w:val="16"/>
          <w:lang w:val="es-ES"/>
        </w:rPr>
      </w:pPr>
      <w:r w:rsidRPr="00C21A2E">
        <w:rPr>
          <w:rStyle w:val="FootnoteReference"/>
          <w:sz w:val="16"/>
          <w:szCs w:val="16"/>
          <w:lang w:val="es-ES"/>
        </w:rPr>
        <w:footnoteRef/>
      </w:r>
      <w:r w:rsidRPr="00C21A2E">
        <w:rPr>
          <w:szCs w:val="16"/>
          <w:lang w:val="es-ES"/>
        </w:rPr>
        <w:t xml:space="preserve"> El reconocimiento de competencia hecho por Brasil el 10 de diciembre de 1998 señala que “[e]l Gobierno de la República Federativa de Brasil declara que reconoce, por tiempo indeterminado, como obligatoria y de pleno derecho, la competencia de la Corte Interamericana de Derechos Humanos, en todos los casos relacionados con la interpretación o aplicación de la Convención Americana [sobre] Derechos Humanos, de conformidad con el artículo 62 de la misma, bajo reserva de reciprocidad y para hechos posteriores a esta Declaración”. </w:t>
      </w:r>
      <w:r w:rsidRPr="00C21A2E">
        <w:rPr>
          <w:i/>
          <w:szCs w:val="16"/>
          <w:lang w:val="es-ES"/>
        </w:rPr>
        <w:t>Cfr.</w:t>
      </w:r>
      <w:r w:rsidRPr="00C21A2E">
        <w:rPr>
          <w:szCs w:val="16"/>
          <w:lang w:val="es-ES"/>
        </w:rPr>
        <w:t xml:space="preserve"> Información general del Tratado: Convención Americana sobre Derechos Humanos. Brasil, reconocimiento de competencia. Disponible en </w:t>
      </w:r>
      <w:hyperlink r:id="rId5" w:history="1">
        <w:r w:rsidRPr="00C21A2E">
          <w:rPr>
            <w:rStyle w:val="Hyperlink"/>
            <w:szCs w:val="16"/>
            <w:lang w:val="es-ES"/>
          </w:rPr>
          <w:t>http://www.oas.org/juridico/spanish/firmas/b-32.html</w:t>
        </w:r>
      </w:hyperlink>
      <w:r w:rsidRPr="00C21A2E">
        <w:rPr>
          <w:rFonts w:cs="Times New Roman"/>
          <w:szCs w:val="16"/>
          <w:lang w:val="es-ES"/>
        </w:rPr>
        <w:t>; último acceso el 25 de enero de 2017.</w:t>
      </w:r>
    </w:p>
  </w:footnote>
  <w:footnote w:id="40">
    <w:p w14:paraId="5536007B"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pt-BR"/>
        </w:rPr>
        <w:t xml:space="preserve"> </w:t>
      </w:r>
      <w:r w:rsidRPr="00C21A2E">
        <w:rPr>
          <w:i/>
          <w:szCs w:val="16"/>
          <w:lang w:val="pt-BR"/>
        </w:rPr>
        <w:t>Cfr.</w:t>
      </w:r>
      <w:r w:rsidRPr="00C21A2E">
        <w:rPr>
          <w:szCs w:val="16"/>
          <w:lang w:val="pt-BR"/>
        </w:rPr>
        <w:t xml:space="preserve"> </w:t>
      </w:r>
      <w:r w:rsidRPr="00C21A2E">
        <w:rPr>
          <w:i/>
          <w:szCs w:val="16"/>
          <w:lang w:val="pt-BR"/>
        </w:rPr>
        <w:t xml:space="preserve">Caso Gomes Lund y otros (Guerrilha do Araguaia) Vs. </w:t>
      </w:r>
      <w:r w:rsidRPr="00C21A2E">
        <w:rPr>
          <w:i/>
          <w:szCs w:val="16"/>
          <w:lang w:val="es-ES"/>
        </w:rPr>
        <w:t>Brasil</w:t>
      </w:r>
      <w:r w:rsidRPr="00C21A2E">
        <w:rPr>
          <w:szCs w:val="16"/>
          <w:lang w:val="es-ES"/>
        </w:rPr>
        <w:t xml:space="preserve">. Sentencia de Excepciones Preliminares, Fondo, Reparaciones y Costas de 24 de noviembre de 2010. Serie C No. 219, párr. 16. </w:t>
      </w:r>
    </w:p>
  </w:footnote>
  <w:footnote w:id="41">
    <w:p w14:paraId="13BD5E8E"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En el Preámbulo de la Convención Americana se sostiene que la protección internacional es “de naturaleza convencional coadyuvante o complementaria de la que ofrece el derecho interno de los Estados americanos”. Ver también, El Efecto de las Reservas sobre la Entrada en Vigencia de la Convención Americana sobre Derechos Humanos (arts. 74 y 75). Opinión Consultiva OC-2/82 del 24 de septiembre de 1982. Serie A No. 2, párr. 31; La Expresión "Leyes" en el Artículo 30 de la Convención Americana sobre Derechos Humanos. Opinión Consultiva OC-6/86 del 9 de mayo de 1986. Serie A No. 6, párr. 26; Caso Velásquez Rodríguez Vs. Honduras. Fondo. Sentencia de 29 de julio de 1988. Serie C No. 4, párr. 61.</w:t>
      </w:r>
    </w:p>
  </w:footnote>
  <w:footnote w:id="42">
    <w:p w14:paraId="62E12854" w14:textId="3E727DDE" w:rsidR="00122408" w:rsidRPr="00C21A2E" w:rsidRDefault="00122408" w:rsidP="00B50B41">
      <w:pPr>
        <w:pStyle w:val="FootnoteText"/>
        <w:spacing w:after="40"/>
        <w:rPr>
          <w:rFonts w:cs="Verdana"/>
          <w:bCs/>
          <w:iCs/>
          <w:snapToGrid w:val="0"/>
          <w:color w:val="FF0000"/>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794AA5">
        <w:rPr>
          <w:i/>
          <w:szCs w:val="16"/>
          <w:lang w:val="es-ES"/>
        </w:rPr>
        <w:t>Caso García Ibarra y otros Vs. Ecuador. Excepciones Preliminares, Fondo, Reparaciones y Costas</w:t>
      </w:r>
      <w:r w:rsidRPr="00C21A2E">
        <w:rPr>
          <w:szCs w:val="16"/>
          <w:lang w:val="es-ES"/>
        </w:rPr>
        <w:t>. Sentencia de 17 de noviembre de 2015.</w:t>
      </w:r>
      <w:r>
        <w:rPr>
          <w:szCs w:val="16"/>
          <w:lang w:val="es-ES"/>
        </w:rPr>
        <w:t xml:space="preserve"> Serie C No. 306, </w:t>
      </w:r>
      <w:proofErr w:type="spellStart"/>
      <w:r>
        <w:rPr>
          <w:szCs w:val="16"/>
          <w:lang w:val="es-ES"/>
        </w:rPr>
        <w:t>párrs</w:t>
      </w:r>
      <w:proofErr w:type="spellEnd"/>
      <w:r>
        <w:rPr>
          <w:szCs w:val="16"/>
          <w:lang w:val="es-ES"/>
        </w:rPr>
        <w:t>. 17 a 22</w:t>
      </w:r>
      <w:r w:rsidRPr="00C21A2E">
        <w:rPr>
          <w:szCs w:val="16"/>
          <w:lang w:val="es-ES"/>
        </w:rPr>
        <w:t xml:space="preserve">; </w:t>
      </w:r>
      <w:r w:rsidRPr="00794AA5">
        <w:rPr>
          <w:i/>
          <w:szCs w:val="16"/>
          <w:lang w:val="es-ES"/>
        </w:rPr>
        <w:t>Caso Cabrera García y Montiel Flores Vs. México. Excepción Preliminar, Fondo, Reparaciones y Costas</w:t>
      </w:r>
      <w:r w:rsidRPr="00C21A2E">
        <w:rPr>
          <w:szCs w:val="16"/>
          <w:lang w:val="es-ES"/>
        </w:rPr>
        <w:t xml:space="preserve">. Sentencia de 26 de noviembre de 2010. Serie C No. 220, párr. 16; y </w:t>
      </w:r>
      <w:r w:rsidRPr="00C21A2E">
        <w:rPr>
          <w:rStyle w:val="Strong"/>
          <w:b w:val="0"/>
          <w:i/>
          <w:szCs w:val="16"/>
          <w:lang w:val="es-ES"/>
        </w:rPr>
        <w:t xml:space="preserve">Caso </w:t>
      </w:r>
      <w:proofErr w:type="spellStart"/>
      <w:r w:rsidRPr="00C21A2E">
        <w:rPr>
          <w:rStyle w:val="Strong"/>
          <w:b w:val="0"/>
          <w:i/>
          <w:szCs w:val="16"/>
          <w:lang w:val="es-ES"/>
        </w:rPr>
        <w:t>Granier</w:t>
      </w:r>
      <w:proofErr w:type="spellEnd"/>
      <w:r w:rsidRPr="00C21A2E">
        <w:rPr>
          <w:rStyle w:val="Strong"/>
          <w:b w:val="0"/>
          <w:i/>
          <w:szCs w:val="16"/>
          <w:lang w:val="es-ES"/>
        </w:rPr>
        <w:t xml:space="preserve"> y otros (Radio Caracas Televisión) Vs. Venezuela. Excepciones Preliminares, Fondo, Reparaciones y Costas.</w:t>
      </w:r>
      <w:r w:rsidRPr="00C21A2E">
        <w:rPr>
          <w:rStyle w:val="Strong"/>
          <w:b w:val="0"/>
          <w:szCs w:val="16"/>
          <w:lang w:val="es-ES"/>
        </w:rPr>
        <w:t xml:space="preserve"> Sentencia de 22 de junio de 2015. Serie C No. 293, párr. </w:t>
      </w:r>
      <w:r w:rsidRPr="00C21A2E">
        <w:rPr>
          <w:rFonts w:cs="Verdana"/>
          <w:bCs/>
          <w:snapToGrid w:val="0"/>
          <w:szCs w:val="16"/>
          <w:lang w:val="es-ES"/>
        </w:rPr>
        <w:t>174.</w:t>
      </w:r>
    </w:p>
  </w:footnote>
  <w:footnote w:id="43">
    <w:p w14:paraId="72D507F0" w14:textId="25678DBD"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rPr>
        <w:t>Caso Cabrera García y Montiel Flores</w:t>
      </w:r>
      <w:r w:rsidRPr="00C21A2E">
        <w:rPr>
          <w:szCs w:val="16"/>
        </w:rPr>
        <w:t xml:space="preserve">, párr. 18, y </w:t>
      </w:r>
      <w:r w:rsidRPr="00C21A2E">
        <w:rPr>
          <w:i/>
          <w:szCs w:val="16"/>
        </w:rPr>
        <w:t>Caso Trabajadores de la Hacienda Brasil Verde</w:t>
      </w:r>
      <w:r w:rsidRPr="00C21A2E">
        <w:rPr>
          <w:szCs w:val="16"/>
        </w:rPr>
        <w:t>, párr. 73.</w:t>
      </w:r>
    </w:p>
  </w:footnote>
  <w:footnote w:id="44">
    <w:p w14:paraId="719E71D4" w14:textId="53C49F80"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Caso Tarazona Arrieta y otros</w:t>
      </w:r>
      <w:r w:rsidRPr="00794AA5">
        <w:rPr>
          <w:i/>
          <w:szCs w:val="16"/>
          <w:lang w:val="es-ES"/>
        </w:rPr>
        <w:t xml:space="preserve"> </w:t>
      </w:r>
      <w:r w:rsidRPr="00794AA5">
        <w:rPr>
          <w:bCs/>
          <w:i/>
          <w:szCs w:val="16"/>
        </w:rPr>
        <w:t xml:space="preserve">Vs. Perú. Excepción Preliminar, Fondo, Reparaciones y Costas. </w:t>
      </w:r>
      <w:r w:rsidRPr="00794AA5">
        <w:rPr>
          <w:bCs/>
          <w:szCs w:val="16"/>
        </w:rPr>
        <w:t>Sentencia de 15 de octubre de 2014. Serie C No. 286</w:t>
      </w:r>
      <w:r w:rsidRPr="00C21A2E">
        <w:rPr>
          <w:szCs w:val="16"/>
          <w:lang w:val="es-ES"/>
        </w:rPr>
        <w:t>, párr. 22.</w:t>
      </w:r>
    </w:p>
  </w:footnote>
  <w:footnote w:id="45">
    <w:p w14:paraId="6681C4BB" w14:textId="10B54E46"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b/>
          <w:szCs w:val="16"/>
          <w:lang w:val="es-ES"/>
        </w:rPr>
        <w:t xml:space="preserve"> </w:t>
      </w:r>
      <w:r w:rsidRPr="00C21A2E">
        <w:rPr>
          <w:i/>
          <w:szCs w:val="16"/>
          <w:lang w:val="es-ES"/>
        </w:rPr>
        <w:t>Caso Las Palmeras Vs. Colombia. Excepciones Preliminares</w:t>
      </w:r>
      <w:r w:rsidRPr="00C21A2E">
        <w:rPr>
          <w:szCs w:val="16"/>
          <w:lang w:val="es-ES"/>
        </w:rPr>
        <w:t xml:space="preserve">, párr. 34, y </w:t>
      </w:r>
      <w:r w:rsidRPr="00C21A2E">
        <w:rPr>
          <w:i/>
          <w:szCs w:val="16"/>
          <w:lang w:val="es-ES"/>
        </w:rPr>
        <w:t>Caso González y otros (“Campo Algodonero”) Vs. México. Excepción Preliminar, Fondo, Reparaciones y Costas</w:t>
      </w:r>
      <w:r w:rsidRPr="00C21A2E">
        <w:rPr>
          <w:szCs w:val="16"/>
          <w:lang w:val="es-ES"/>
        </w:rPr>
        <w:t>. Sentencia de 16 de noviembre de 2009. Serie C No. 205, párr. 37.</w:t>
      </w:r>
    </w:p>
  </w:footnote>
  <w:footnote w:id="46">
    <w:p w14:paraId="1B65175F"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b/>
          <w:szCs w:val="16"/>
          <w:lang w:val="es-ES"/>
        </w:rPr>
        <w:t xml:space="preserve"> </w:t>
      </w:r>
      <w:r w:rsidRPr="00C21A2E">
        <w:rPr>
          <w:i/>
          <w:szCs w:val="16"/>
          <w:lang w:val="es-ES"/>
        </w:rPr>
        <w:t>Caso González y otras (“Campo Algodonero”)</w:t>
      </w:r>
      <w:r w:rsidRPr="00C21A2E">
        <w:rPr>
          <w:szCs w:val="16"/>
          <w:lang w:val="es-ES"/>
        </w:rPr>
        <w:t>, párr. 37.</w:t>
      </w:r>
    </w:p>
  </w:footnote>
  <w:footnote w:id="47">
    <w:p w14:paraId="103E5E66"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Este precepto dispone respecto a la competencia para aplicarla que “[u]na vez agotado el ordenamiento jurídico interno del respectivo Estado y los recursos que éste prevé, el caso podrá ser sometido a instancias internacionales cuya competencia haya sido aceptada por ese Estado” al que se atribuye la violación de dicho tratado. </w:t>
      </w:r>
    </w:p>
  </w:footnote>
  <w:footnote w:id="48">
    <w:p w14:paraId="43B81C16" w14:textId="116C8445" w:rsidR="00122408" w:rsidRPr="00C21A2E" w:rsidRDefault="00122408" w:rsidP="00B50B41">
      <w:pPr>
        <w:pStyle w:val="FootnoteText"/>
        <w:spacing w:after="40"/>
        <w:rPr>
          <w:rFonts w:cs="Verdana"/>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iCs/>
          <w:szCs w:val="16"/>
          <w:lang w:val="es-AR"/>
        </w:rPr>
        <w:t>Caso González y otros (“Campo Algodonero”)</w:t>
      </w:r>
      <w:r w:rsidRPr="00C21A2E">
        <w:rPr>
          <w:i/>
          <w:szCs w:val="16"/>
          <w:lang w:val="es-AR"/>
        </w:rPr>
        <w:t xml:space="preserve">, </w:t>
      </w:r>
      <w:r w:rsidRPr="00C21A2E">
        <w:rPr>
          <w:szCs w:val="16"/>
          <w:lang w:val="es-ES"/>
        </w:rPr>
        <w:t xml:space="preserve">párr. 51. </w:t>
      </w:r>
    </w:p>
  </w:footnote>
  <w:footnote w:id="49">
    <w:p w14:paraId="091A5834" w14:textId="77777777" w:rsidR="00122408" w:rsidRPr="00C21A2E" w:rsidRDefault="00122408" w:rsidP="00B50B41">
      <w:pPr>
        <w:pStyle w:val="FootnoteText"/>
        <w:spacing w:after="40"/>
        <w:rPr>
          <w:rFonts w:cs="Times New Roman"/>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Caso de los “Niños de la Calle” (Villagrán Morales y otros) Vs. Guatemala. Fondo</w:t>
      </w:r>
      <w:r w:rsidRPr="00C21A2E">
        <w:rPr>
          <w:szCs w:val="16"/>
          <w:lang w:val="es-ES"/>
        </w:rPr>
        <w:t xml:space="preserve">. Sentencia de 19 de noviembre de 1999. Serie C No. 63, </w:t>
      </w:r>
      <w:proofErr w:type="spellStart"/>
      <w:r w:rsidRPr="00C21A2E">
        <w:rPr>
          <w:szCs w:val="16"/>
          <w:lang w:val="es-ES"/>
        </w:rPr>
        <w:t>párrs</w:t>
      </w:r>
      <w:proofErr w:type="spellEnd"/>
      <w:r w:rsidRPr="00C21A2E">
        <w:rPr>
          <w:szCs w:val="16"/>
          <w:lang w:val="es-ES"/>
        </w:rPr>
        <w:t xml:space="preserve">. 247 y 248, y </w:t>
      </w:r>
      <w:r w:rsidRPr="00C21A2E">
        <w:rPr>
          <w:i/>
          <w:szCs w:val="16"/>
          <w:lang w:val="es-ES"/>
        </w:rPr>
        <w:t xml:space="preserve">Caso Cantoral </w:t>
      </w:r>
      <w:proofErr w:type="spellStart"/>
      <w:r w:rsidRPr="00C21A2E">
        <w:rPr>
          <w:i/>
          <w:szCs w:val="16"/>
          <w:lang w:val="es-ES"/>
        </w:rPr>
        <w:t>Huamaní</w:t>
      </w:r>
      <w:proofErr w:type="spellEnd"/>
      <w:r w:rsidRPr="00C21A2E">
        <w:rPr>
          <w:i/>
          <w:szCs w:val="16"/>
          <w:lang w:val="es-ES"/>
        </w:rPr>
        <w:t xml:space="preserve"> y García Santa Cruz Vs. Perú. Excepción Preliminar, Fondo, Reparaciones y Costas</w:t>
      </w:r>
      <w:r w:rsidRPr="00C21A2E">
        <w:rPr>
          <w:szCs w:val="16"/>
          <w:lang w:val="es-ES"/>
        </w:rPr>
        <w:t>.</w:t>
      </w:r>
      <w:r w:rsidRPr="00C21A2E">
        <w:rPr>
          <w:b/>
          <w:szCs w:val="16"/>
          <w:lang w:val="es-ES"/>
        </w:rPr>
        <w:t xml:space="preserve"> </w:t>
      </w:r>
      <w:r w:rsidRPr="00C21A2E">
        <w:rPr>
          <w:szCs w:val="16"/>
          <w:lang w:val="es-ES"/>
        </w:rPr>
        <w:t>Sentencia de 10 de julio de 2007. Serie C No. 167, nota al pie 6.</w:t>
      </w:r>
    </w:p>
  </w:footnote>
  <w:footnote w:id="50">
    <w:p w14:paraId="52B67F0F" w14:textId="32A15BAE"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de los “Niños de la Calle” (Villagrán Morales y otros)</w:t>
      </w:r>
      <w:r>
        <w:rPr>
          <w:szCs w:val="16"/>
          <w:lang w:val="es-ES"/>
        </w:rPr>
        <w:t>.</w:t>
      </w:r>
      <w:r w:rsidRPr="00C21A2E">
        <w:rPr>
          <w:szCs w:val="16"/>
          <w:lang w:val="es-ES"/>
        </w:rPr>
        <w:t xml:space="preserve"> Fondo, </w:t>
      </w:r>
      <w:proofErr w:type="spellStart"/>
      <w:r w:rsidRPr="00C21A2E">
        <w:rPr>
          <w:szCs w:val="16"/>
          <w:lang w:val="es-ES"/>
        </w:rPr>
        <w:t>párrs</w:t>
      </w:r>
      <w:proofErr w:type="spellEnd"/>
      <w:r w:rsidRPr="00C21A2E">
        <w:rPr>
          <w:szCs w:val="16"/>
          <w:lang w:val="es-ES"/>
        </w:rPr>
        <w:t xml:space="preserve">. 247 y 248; </w:t>
      </w:r>
      <w:r w:rsidRPr="00C21A2E">
        <w:rPr>
          <w:i/>
          <w:szCs w:val="16"/>
          <w:lang w:val="es-ES"/>
        </w:rPr>
        <w:t>Caso González y otras (“Campo Algodonero”)</w:t>
      </w:r>
      <w:r w:rsidRPr="00C21A2E">
        <w:rPr>
          <w:szCs w:val="16"/>
          <w:lang w:val="es-ES"/>
        </w:rPr>
        <w:t xml:space="preserve">, párr. 51; </w:t>
      </w:r>
      <w:r w:rsidRPr="00C21A2E">
        <w:rPr>
          <w:i/>
          <w:szCs w:val="16"/>
          <w:lang w:val="es-ES"/>
        </w:rPr>
        <w:t>Caso Las Palmeras</w:t>
      </w:r>
      <w:r w:rsidRPr="00C21A2E">
        <w:rPr>
          <w:szCs w:val="16"/>
          <w:lang w:val="es-ES"/>
        </w:rPr>
        <w:t xml:space="preserve">, párr. 34, y </w:t>
      </w:r>
      <w:r w:rsidRPr="00C21A2E">
        <w:rPr>
          <w:i/>
          <w:szCs w:val="16"/>
          <w:lang w:val="es-ES"/>
        </w:rPr>
        <w:t xml:space="preserve">Caso Cantoral </w:t>
      </w:r>
      <w:proofErr w:type="spellStart"/>
      <w:r w:rsidRPr="00C21A2E">
        <w:rPr>
          <w:i/>
          <w:szCs w:val="16"/>
          <w:lang w:val="es-ES"/>
        </w:rPr>
        <w:t>Huamaní</w:t>
      </w:r>
      <w:proofErr w:type="spellEnd"/>
      <w:r w:rsidRPr="00C21A2E">
        <w:rPr>
          <w:i/>
          <w:szCs w:val="16"/>
          <w:lang w:val="es-ES"/>
        </w:rPr>
        <w:t xml:space="preserve"> y García Santa Cruz</w:t>
      </w:r>
      <w:r w:rsidRPr="00C21A2E">
        <w:rPr>
          <w:szCs w:val="16"/>
          <w:lang w:val="es-ES"/>
        </w:rPr>
        <w:t>, nota al pie 6.</w:t>
      </w:r>
    </w:p>
  </w:footnote>
  <w:footnote w:id="51">
    <w:p w14:paraId="3E3536D2" w14:textId="5CFFE782" w:rsidR="00122408" w:rsidRPr="00760A9F" w:rsidRDefault="00122408" w:rsidP="00B50B41">
      <w:pPr>
        <w:pStyle w:val="FootnoteText"/>
        <w:spacing w:after="40"/>
        <w:rPr>
          <w:bCs/>
          <w:iCs/>
          <w:lang w:val="es-ES"/>
        </w:rPr>
      </w:pPr>
      <w:r w:rsidRPr="00C21A2E">
        <w:rPr>
          <w:rStyle w:val="FootnoteReference"/>
          <w:sz w:val="16"/>
          <w:szCs w:val="16"/>
          <w:lang w:val="es-ES"/>
        </w:rPr>
        <w:footnoteRef/>
      </w:r>
      <w:r w:rsidRPr="00C21A2E">
        <w:rPr>
          <w:szCs w:val="16"/>
          <w:lang w:val="es-ES"/>
        </w:rPr>
        <w:t xml:space="preserve"> La Corte ha aplicado la Convención contra la Tortura en los siguientes casos: </w:t>
      </w:r>
      <w:r w:rsidRPr="00071D10">
        <w:rPr>
          <w:i/>
          <w:szCs w:val="16"/>
          <w:lang w:val="es-ES"/>
        </w:rPr>
        <w:t>Caso de la “Panel Blanca” (Paniagua Morales y otros) Vs. Guatemala. Fondo</w:t>
      </w:r>
      <w:r w:rsidRPr="00C21A2E">
        <w:rPr>
          <w:szCs w:val="16"/>
          <w:lang w:val="es-ES"/>
        </w:rPr>
        <w:t xml:space="preserve">. Sentencia de 8 de marzo de 1998. Serie C No. 37, párr. 136; </w:t>
      </w:r>
      <w:r w:rsidRPr="00071D10">
        <w:rPr>
          <w:i/>
          <w:szCs w:val="16"/>
          <w:lang w:val="es-ES"/>
        </w:rPr>
        <w:t>Caso de los “Niños de la Calle” (Villagrán Morales y otros) Vs. Guatemala. Fondo</w:t>
      </w:r>
      <w:r w:rsidRPr="00C21A2E">
        <w:rPr>
          <w:szCs w:val="16"/>
          <w:lang w:val="es-ES"/>
        </w:rPr>
        <w:t xml:space="preserve">. Sentencia de 19 de noviembre de 1999. Serie C No. 63, </w:t>
      </w:r>
      <w:proofErr w:type="spellStart"/>
      <w:r w:rsidRPr="00CB0375">
        <w:rPr>
          <w:spacing w:val="-2"/>
          <w:szCs w:val="16"/>
          <w:lang w:val="es-ES"/>
        </w:rPr>
        <w:t>párrs</w:t>
      </w:r>
      <w:proofErr w:type="spellEnd"/>
      <w:r w:rsidRPr="00CB0375">
        <w:rPr>
          <w:spacing w:val="-2"/>
          <w:szCs w:val="16"/>
          <w:lang w:val="es-ES"/>
        </w:rPr>
        <w:t xml:space="preserve">. 248 a 252; </w:t>
      </w:r>
      <w:r w:rsidRPr="00CB0375">
        <w:rPr>
          <w:i/>
          <w:spacing w:val="-2"/>
          <w:szCs w:val="16"/>
          <w:lang w:val="es-ES"/>
        </w:rPr>
        <w:t>Caso Cantoral Benavides Vs. Perú. Fondo</w:t>
      </w:r>
      <w:r w:rsidRPr="00CB0375">
        <w:rPr>
          <w:spacing w:val="-2"/>
          <w:szCs w:val="16"/>
          <w:lang w:val="es-ES"/>
        </w:rPr>
        <w:t xml:space="preserve">. Sentencia de 18 de agosto de 2000. Serie C No. 69, </w:t>
      </w:r>
      <w:proofErr w:type="spellStart"/>
      <w:r w:rsidRPr="00CB0375">
        <w:rPr>
          <w:spacing w:val="-2"/>
          <w:szCs w:val="16"/>
          <w:lang w:val="es-ES"/>
        </w:rPr>
        <w:t>párrs</w:t>
      </w:r>
      <w:proofErr w:type="spellEnd"/>
      <w:r w:rsidRPr="00CB0375">
        <w:rPr>
          <w:spacing w:val="-2"/>
          <w:szCs w:val="16"/>
          <w:lang w:val="es-ES"/>
        </w:rPr>
        <w:t xml:space="preserve">. 185 y 186; </w:t>
      </w:r>
      <w:r w:rsidRPr="00CB0375">
        <w:rPr>
          <w:i/>
          <w:spacing w:val="-2"/>
          <w:szCs w:val="16"/>
          <w:lang w:val="es-ES"/>
        </w:rPr>
        <w:t>Caso Las Palmeras Vs. Colombia. Excepciones Preliminares</w:t>
      </w:r>
      <w:r w:rsidRPr="00CB0375">
        <w:rPr>
          <w:spacing w:val="-2"/>
          <w:szCs w:val="16"/>
          <w:lang w:val="es-ES"/>
        </w:rPr>
        <w:t xml:space="preserve">. Sentencia de 4 de febrero de 2000. Serie C No. 67, nota al pie 3; </w:t>
      </w:r>
      <w:r w:rsidRPr="00CB0375">
        <w:rPr>
          <w:i/>
          <w:spacing w:val="-2"/>
          <w:szCs w:val="16"/>
          <w:lang w:val="es-ES"/>
        </w:rPr>
        <w:t xml:space="preserve">Caso </w:t>
      </w:r>
      <w:proofErr w:type="spellStart"/>
      <w:r w:rsidRPr="00CB0375">
        <w:rPr>
          <w:i/>
          <w:spacing w:val="-2"/>
          <w:szCs w:val="16"/>
          <w:lang w:val="es-ES"/>
        </w:rPr>
        <w:t>Bámaca</w:t>
      </w:r>
      <w:proofErr w:type="spellEnd"/>
      <w:r w:rsidRPr="00CB0375">
        <w:rPr>
          <w:i/>
          <w:spacing w:val="-2"/>
          <w:szCs w:val="16"/>
          <w:lang w:val="es-ES"/>
        </w:rPr>
        <w:t xml:space="preserve"> Velásquez Vs. Guatemala. Fondo</w:t>
      </w:r>
      <w:r w:rsidRPr="00CB0375">
        <w:rPr>
          <w:spacing w:val="-2"/>
          <w:szCs w:val="16"/>
          <w:lang w:val="es-ES"/>
        </w:rPr>
        <w:t xml:space="preserve">. Sentencia de 25 de noviembre de 2000. Serie C No. 70, </w:t>
      </w:r>
      <w:proofErr w:type="spellStart"/>
      <w:r w:rsidRPr="00CB0375">
        <w:rPr>
          <w:spacing w:val="-2"/>
          <w:szCs w:val="16"/>
          <w:lang w:val="es-ES"/>
        </w:rPr>
        <w:t>párrs</w:t>
      </w:r>
      <w:proofErr w:type="spellEnd"/>
      <w:r w:rsidRPr="00CB0375">
        <w:rPr>
          <w:spacing w:val="-2"/>
          <w:szCs w:val="16"/>
          <w:lang w:val="es-ES"/>
        </w:rPr>
        <w:t xml:space="preserve">. 218 y 219; </w:t>
      </w:r>
      <w:r w:rsidRPr="00CB0375">
        <w:rPr>
          <w:i/>
          <w:spacing w:val="-2"/>
          <w:szCs w:val="16"/>
          <w:lang w:val="es-ES"/>
        </w:rPr>
        <w:t>Caso Maritza Urrutia Vs. Guatemala. Fondo, Reparaciones y Costas</w:t>
      </w:r>
      <w:r w:rsidRPr="00CB0375">
        <w:rPr>
          <w:spacing w:val="-2"/>
          <w:szCs w:val="16"/>
          <w:lang w:val="es-ES"/>
        </w:rPr>
        <w:t xml:space="preserve">. Sentencia de 27 de noviembre de 2003. Serie C No. 103, párr. 98; </w:t>
      </w:r>
      <w:r w:rsidRPr="00CB0375">
        <w:rPr>
          <w:i/>
          <w:spacing w:val="-2"/>
          <w:szCs w:val="16"/>
          <w:lang w:val="es-ES"/>
        </w:rPr>
        <w:t xml:space="preserve">Caso de los Hermanos Gómez </w:t>
      </w:r>
      <w:proofErr w:type="spellStart"/>
      <w:r w:rsidRPr="00CB0375">
        <w:rPr>
          <w:i/>
          <w:spacing w:val="-2"/>
          <w:szCs w:val="16"/>
          <w:lang w:val="es-ES"/>
        </w:rPr>
        <w:t>Paquiyauri</w:t>
      </w:r>
      <w:proofErr w:type="spellEnd"/>
      <w:r w:rsidRPr="00CB0375">
        <w:rPr>
          <w:i/>
          <w:spacing w:val="-2"/>
          <w:szCs w:val="16"/>
          <w:lang w:val="es-ES"/>
        </w:rPr>
        <w:t xml:space="preserve"> Vs. Perú. Fondo, Reparaciones y Costas</w:t>
      </w:r>
      <w:r w:rsidRPr="00CB0375">
        <w:rPr>
          <w:spacing w:val="-2"/>
          <w:szCs w:val="16"/>
          <w:lang w:val="es-ES"/>
        </w:rPr>
        <w:t xml:space="preserve">. Sentencia de 8 de julio de 2004. Serie C No. 110, </w:t>
      </w:r>
      <w:proofErr w:type="spellStart"/>
      <w:r w:rsidRPr="00CB0375">
        <w:rPr>
          <w:spacing w:val="-2"/>
          <w:szCs w:val="16"/>
          <w:lang w:val="es-ES"/>
        </w:rPr>
        <w:t>párrs</w:t>
      </w:r>
      <w:proofErr w:type="spellEnd"/>
      <w:r w:rsidRPr="00CB0375">
        <w:rPr>
          <w:spacing w:val="-2"/>
          <w:szCs w:val="16"/>
          <w:lang w:val="es-ES"/>
        </w:rPr>
        <w:t xml:space="preserve">. 117 y 156; </w:t>
      </w:r>
      <w:r w:rsidRPr="00CB0375">
        <w:rPr>
          <w:i/>
          <w:spacing w:val="-2"/>
          <w:szCs w:val="16"/>
          <w:lang w:val="es-ES"/>
        </w:rPr>
        <w:t>Caso Tibi Vs. Ecuador</w:t>
      </w:r>
      <w:r w:rsidRPr="00CB0375">
        <w:rPr>
          <w:spacing w:val="-2"/>
          <w:szCs w:val="16"/>
          <w:lang w:val="es-ES"/>
        </w:rPr>
        <w:t>. Excepciones Preliminares, Fondo, Reparaciones</w:t>
      </w:r>
      <w:r w:rsidRPr="00C21A2E">
        <w:rPr>
          <w:szCs w:val="16"/>
          <w:lang w:val="es-ES"/>
        </w:rPr>
        <w:t xml:space="preserve"> y Costas. Sentencia de 7 de septiembre de 2004. Serie C No. 114, párr. 159; </w:t>
      </w:r>
      <w:r w:rsidRPr="00071D10">
        <w:rPr>
          <w:i/>
          <w:szCs w:val="16"/>
          <w:lang w:val="es-ES"/>
        </w:rPr>
        <w:t>Caso Gutiérrez Soler Vs. Colombia. Fondo, Reparaciones y Costas</w:t>
      </w:r>
      <w:r w:rsidRPr="00C21A2E">
        <w:rPr>
          <w:szCs w:val="16"/>
          <w:lang w:val="es-ES"/>
        </w:rPr>
        <w:t xml:space="preserve">. Sentencia de 12 de septiembre de 2005. Serie C No. 132, párr. 54; </w:t>
      </w:r>
      <w:r w:rsidRPr="00071D10">
        <w:rPr>
          <w:i/>
          <w:szCs w:val="16"/>
          <w:lang w:val="es-ES"/>
        </w:rPr>
        <w:t>Caso Blanco Romero y otros Vs. Venezuela. Fondo, Reparaciones y Costas</w:t>
      </w:r>
      <w:r w:rsidRPr="00C21A2E">
        <w:rPr>
          <w:szCs w:val="16"/>
          <w:lang w:val="es-ES"/>
        </w:rPr>
        <w:t xml:space="preserve">. Sentencia de 28 de noviembre de 2005. Serie C No. 138, párr. 61; </w:t>
      </w:r>
      <w:r w:rsidRPr="00071D10">
        <w:rPr>
          <w:i/>
          <w:szCs w:val="16"/>
          <w:lang w:val="es-ES"/>
        </w:rPr>
        <w:t xml:space="preserve">Caso </w:t>
      </w:r>
      <w:proofErr w:type="spellStart"/>
      <w:r w:rsidRPr="00071D10">
        <w:rPr>
          <w:i/>
          <w:szCs w:val="16"/>
          <w:lang w:val="es-ES"/>
        </w:rPr>
        <w:t>Baldeón</w:t>
      </w:r>
      <w:proofErr w:type="spellEnd"/>
      <w:r w:rsidRPr="00071D10">
        <w:rPr>
          <w:i/>
          <w:szCs w:val="16"/>
          <w:lang w:val="es-ES"/>
        </w:rPr>
        <w:t xml:space="preserve"> García Vs. Perú. Fondo, Reparaciones y Costas</w:t>
      </w:r>
      <w:r w:rsidRPr="00C21A2E">
        <w:rPr>
          <w:szCs w:val="16"/>
          <w:lang w:val="es-ES"/>
        </w:rPr>
        <w:t xml:space="preserve">. Sentencia de 6 de abril de 2006. Serie C No. 147, párr. 162; </w:t>
      </w:r>
      <w:r w:rsidRPr="00071D10">
        <w:rPr>
          <w:i/>
          <w:szCs w:val="16"/>
          <w:lang w:val="es-ES"/>
        </w:rPr>
        <w:t xml:space="preserve">Caso Vargas </w:t>
      </w:r>
      <w:proofErr w:type="spellStart"/>
      <w:r w:rsidRPr="00071D10">
        <w:rPr>
          <w:i/>
          <w:szCs w:val="16"/>
          <w:lang w:val="es-ES"/>
        </w:rPr>
        <w:t>Areco</w:t>
      </w:r>
      <w:proofErr w:type="spellEnd"/>
      <w:r w:rsidRPr="00071D10">
        <w:rPr>
          <w:i/>
          <w:szCs w:val="16"/>
          <w:lang w:val="es-ES"/>
        </w:rPr>
        <w:t xml:space="preserve"> Vs. Paraguay. Fondo, </w:t>
      </w:r>
      <w:r w:rsidRPr="00CB0375">
        <w:rPr>
          <w:i/>
          <w:spacing w:val="-2"/>
          <w:szCs w:val="16"/>
          <w:lang w:val="es-ES"/>
        </w:rPr>
        <w:t>Reparaciones y Costas</w:t>
      </w:r>
      <w:r w:rsidRPr="00CB0375">
        <w:rPr>
          <w:spacing w:val="-2"/>
          <w:szCs w:val="16"/>
          <w:lang w:val="es-ES"/>
        </w:rPr>
        <w:t xml:space="preserve">. Sentencia de 26 de septiembre de 2006. Serie C No. 155, párr. 86; </w:t>
      </w:r>
      <w:r w:rsidRPr="00CB0375">
        <w:rPr>
          <w:i/>
          <w:spacing w:val="-2"/>
          <w:szCs w:val="16"/>
          <w:lang w:val="es-ES"/>
        </w:rPr>
        <w:t xml:space="preserve">Caso del Penal Miguel Castro </w:t>
      </w:r>
      <w:proofErr w:type="spellStart"/>
      <w:r w:rsidRPr="00CB0375">
        <w:rPr>
          <w:i/>
          <w:spacing w:val="-2"/>
          <w:szCs w:val="16"/>
          <w:lang w:val="es-ES"/>
        </w:rPr>
        <w:t>Castro</w:t>
      </w:r>
      <w:proofErr w:type="spellEnd"/>
      <w:r w:rsidRPr="00CB0375">
        <w:rPr>
          <w:i/>
          <w:spacing w:val="-2"/>
          <w:szCs w:val="16"/>
          <w:lang w:val="es-ES"/>
        </w:rPr>
        <w:t xml:space="preserve"> Vs. Perú. Fondo, Reparaciones y Costas</w:t>
      </w:r>
      <w:r w:rsidRPr="00CB0375">
        <w:rPr>
          <w:spacing w:val="-2"/>
          <w:szCs w:val="16"/>
          <w:lang w:val="es-ES"/>
        </w:rPr>
        <w:t>.</w:t>
      </w:r>
      <w:r w:rsidRPr="00CB0375">
        <w:rPr>
          <w:b/>
          <w:spacing w:val="-2"/>
          <w:szCs w:val="16"/>
          <w:lang w:val="es-ES"/>
        </w:rPr>
        <w:t xml:space="preserve"> </w:t>
      </w:r>
      <w:r w:rsidRPr="00CB0375">
        <w:rPr>
          <w:spacing w:val="-2"/>
          <w:szCs w:val="16"/>
          <w:lang w:val="es-ES"/>
        </w:rPr>
        <w:t>Sentencia de 25 de noviembre de 2006. Serie C No. 160, párr. 266</w:t>
      </w:r>
      <w:r w:rsidRPr="00CB0375">
        <w:rPr>
          <w:rFonts w:cs="Courier New"/>
          <w:spacing w:val="-2"/>
          <w:szCs w:val="16"/>
          <w:lang w:val="es-ES"/>
        </w:rPr>
        <w:t>;</w:t>
      </w:r>
      <w:r w:rsidRPr="00CB0375">
        <w:rPr>
          <w:spacing w:val="-2"/>
          <w:szCs w:val="16"/>
          <w:lang w:val="es-ES"/>
        </w:rPr>
        <w:t xml:space="preserve"> </w:t>
      </w:r>
      <w:r w:rsidRPr="00CB0375">
        <w:rPr>
          <w:i/>
          <w:spacing w:val="-2"/>
          <w:szCs w:val="16"/>
          <w:lang w:val="es-ES"/>
        </w:rPr>
        <w:t xml:space="preserve">Caso Cantoral </w:t>
      </w:r>
      <w:proofErr w:type="spellStart"/>
      <w:r w:rsidRPr="00CB0375">
        <w:rPr>
          <w:i/>
          <w:spacing w:val="-2"/>
          <w:szCs w:val="16"/>
          <w:lang w:val="es-ES"/>
        </w:rPr>
        <w:t>Huamaní</w:t>
      </w:r>
      <w:proofErr w:type="spellEnd"/>
      <w:r w:rsidRPr="00CB0375">
        <w:rPr>
          <w:i/>
          <w:spacing w:val="-2"/>
          <w:szCs w:val="16"/>
          <w:lang w:val="es-ES"/>
        </w:rPr>
        <w:t xml:space="preserve"> y García Santa Cruz Vs. Perú. Excepción Preliminar, Fondo, Reparaciones y Costas</w:t>
      </w:r>
      <w:r w:rsidRPr="00CB0375">
        <w:rPr>
          <w:spacing w:val="-2"/>
          <w:szCs w:val="16"/>
          <w:lang w:val="es-ES"/>
        </w:rPr>
        <w:t>.</w:t>
      </w:r>
      <w:r w:rsidRPr="00CB0375">
        <w:rPr>
          <w:b/>
          <w:spacing w:val="-2"/>
          <w:szCs w:val="16"/>
          <w:lang w:val="es-ES"/>
        </w:rPr>
        <w:t xml:space="preserve"> </w:t>
      </w:r>
      <w:r w:rsidRPr="00CB0375">
        <w:rPr>
          <w:spacing w:val="-2"/>
          <w:szCs w:val="16"/>
          <w:lang w:val="es-ES"/>
        </w:rPr>
        <w:t xml:space="preserve">Sentencia de 10 de julio de 2007. Serie C No. 167, nota al pie 6; </w:t>
      </w:r>
      <w:r w:rsidRPr="00CB0375">
        <w:rPr>
          <w:i/>
          <w:spacing w:val="-2"/>
          <w:szCs w:val="16"/>
          <w:lang w:val="es-ES"/>
        </w:rPr>
        <w:t>Caso Heliodoro Portugal Vs. Panamá. Excepciones Preliminares, Fondo, Reparaciones y Costas</w:t>
      </w:r>
      <w:r w:rsidRPr="00CB0375">
        <w:rPr>
          <w:spacing w:val="-2"/>
          <w:szCs w:val="16"/>
          <w:lang w:val="es-ES"/>
        </w:rPr>
        <w:t xml:space="preserve">. Sentencia de 12 de agosto de 2008. Serie C No. 186, párr. 53; </w:t>
      </w:r>
      <w:r w:rsidRPr="00CB0375">
        <w:rPr>
          <w:i/>
          <w:spacing w:val="-2"/>
          <w:szCs w:val="16"/>
          <w:lang w:val="es-ES"/>
        </w:rPr>
        <w:t xml:space="preserve">Caso </w:t>
      </w:r>
      <w:proofErr w:type="spellStart"/>
      <w:r w:rsidRPr="00CB0375">
        <w:rPr>
          <w:i/>
          <w:spacing w:val="-2"/>
          <w:szCs w:val="16"/>
          <w:lang w:val="es-ES"/>
        </w:rPr>
        <w:t>Bayarri</w:t>
      </w:r>
      <w:proofErr w:type="spellEnd"/>
      <w:r w:rsidRPr="00CB0375">
        <w:rPr>
          <w:i/>
          <w:spacing w:val="-2"/>
          <w:szCs w:val="16"/>
          <w:lang w:val="es-ES"/>
        </w:rPr>
        <w:t xml:space="preserve"> Vs. Argentina. Excepción Preliminar, Fondo, Reparaciones y Costas</w:t>
      </w:r>
      <w:r w:rsidRPr="00CB0375">
        <w:rPr>
          <w:spacing w:val="-2"/>
          <w:szCs w:val="16"/>
          <w:lang w:val="es-ES"/>
        </w:rPr>
        <w:t xml:space="preserve">. Sentencia de 30 de octubre de 2008. Serie C No. 187, párr. 89; </w:t>
      </w:r>
      <w:r w:rsidRPr="00CB0375">
        <w:rPr>
          <w:i/>
          <w:spacing w:val="-2"/>
          <w:szCs w:val="16"/>
          <w:lang w:val="es-ES"/>
        </w:rPr>
        <w:t>Caso Masacre de las Dos Erres Vs. Guatemala. Excepción Preliminar, Fondo, Reparaciones y Costas</w:t>
      </w:r>
      <w:r w:rsidRPr="00CB0375">
        <w:rPr>
          <w:spacing w:val="-2"/>
          <w:szCs w:val="16"/>
          <w:lang w:val="es-ES"/>
        </w:rPr>
        <w:t>. Sentencia de 24</w:t>
      </w:r>
      <w:r w:rsidRPr="00C21A2E">
        <w:rPr>
          <w:szCs w:val="16"/>
          <w:lang w:val="es-ES"/>
        </w:rPr>
        <w:t xml:space="preserve"> de noviembre de 2009. Serie C No. 211, párr. 54; </w:t>
      </w:r>
      <w:r w:rsidRPr="00071D10">
        <w:rPr>
          <w:i/>
          <w:szCs w:val="16"/>
          <w:lang w:val="es-ES"/>
        </w:rPr>
        <w:t>Caso González y otras (“Campo Algodonero”) Vs. México. Excepción Preliminar, Fondo, Reparaciones y Costas</w:t>
      </w:r>
      <w:r w:rsidRPr="00C21A2E">
        <w:rPr>
          <w:szCs w:val="16"/>
          <w:lang w:val="es-ES"/>
        </w:rPr>
        <w:t xml:space="preserve">. Sentencia de 16 de noviembre de 2009. Serie C No. 205, párr. 51; </w:t>
      </w:r>
      <w:r w:rsidRPr="00071D10">
        <w:rPr>
          <w:i/>
          <w:szCs w:val="16"/>
          <w:lang w:val="es-ES"/>
        </w:rPr>
        <w:t>Caso Fernández Ortega y otros Vs. México. Excepción Preliminar, Fondo, Reparaciones y Costas</w:t>
      </w:r>
      <w:r w:rsidRPr="00C21A2E">
        <w:rPr>
          <w:szCs w:val="16"/>
          <w:lang w:val="es-ES"/>
        </w:rPr>
        <w:t>. Sentencia de 30 de agosto de 2</w:t>
      </w:r>
      <w:r>
        <w:rPr>
          <w:szCs w:val="16"/>
          <w:lang w:val="es-ES"/>
        </w:rPr>
        <w:t>010. Serie C No. 215, párr. 131;</w:t>
      </w:r>
      <w:r w:rsidRPr="00C21A2E">
        <w:rPr>
          <w:szCs w:val="16"/>
          <w:lang w:val="es-ES"/>
        </w:rPr>
        <w:t xml:space="preserve"> </w:t>
      </w:r>
      <w:r w:rsidRPr="00071D10">
        <w:rPr>
          <w:i/>
          <w:szCs w:val="16"/>
          <w:lang w:val="es-ES"/>
        </w:rPr>
        <w:t>Caso Rosendo Cantú y otra Vs. México. Excepción Preliminar, Fondo, Reparaciones y Costas</w:t>
      </w:r>
      <w:r w:rsidRPr="00C21A2E">
        <w:rPr>
          <w:szCs w:val="16"/>
          <w:lang w:val="es-ES"/>
        </w:rPr>
        <w:t>. Sentencia de 31 de agosto de 2010. Serie</w:t>
      </w:r>
      <w:r>
        <w:rPr>
          <w:szCs w:val="16"/>
          <w:lang w:val="es-ES"/>
        </w:rPr>
        <w:t xml:space="preserve"> C No. 216; párr. 174; </w:t>
      </w:r>
      <w:r w:rsidRPr="00760A9F">
        <w:rPr>
          <w:bCs/>
          <w:i/>
          <w:szCs w:val="16"/>
          <w:lang w:val="es-ES"/>
        </w:rPr>
        <w:t xml:space="preserve">Caso Vélez Loor Vs. Panamá. Excepciones Preliminares, Fondo, Reparaciones y Costas. </w:t>
      </w:r>
      <w:r w:rsidRPr="00760A9F">
        <w:rPr>
          <w:bCs/>
          <w:szCs w:val="16"/>
          <w:lang w:val="es-ES"/>
        </w:rPr>
        <w:t xml:space="preserve">Sentencia de 23 de noviembre de 2010. Serie C No. 218, párr. </w:t>
      </w:r>
      <w:r w:rsidRPr="00E731AC">
        <w:rPr>
          <w:bCs/>
          <w:iCs/>
          <w:szCs w:val="16"/>
          <w:lang w:val="es-ES"/>
        </w:rPr>
        <w:t xml:space="preserve">230 y 245; </w:t>
      </w:r>
      <w:r w:rsidRPr="00E731AC">
        <w:rPr>
          <w:bCs/>
          <w:i/>
          <w:iCs/>
          <w:szCs w:val="16"/>
          <w:lang w:val="es-ES"/>
        </w:rPr>
        <w:t xml:space="preserve">Caso Gomes </w:t>
      </w:r>
      <w:proofErr w:type="spellStart"/>
      <w:r w:rsidRPr="00E731AC">
        <w:rPr>
          <w:bCs/>
          <w:i/>
          <w:iCs/>
          <w:szCs w:val="16"/>
          <w:lang w:val="es-ES"/>
        </w:rPr>
        <w:t>Lund</w:t>
      </w:r>
      <w:proofErr w:type="spellEnd"/>
      <w:r w:rsidRPr="00E731AC">
        <w:rPr>
          <w:bCs/>
          <w:i/>
          <w:iCs/>
          <w:szCs w:val="16"/>
          <w:lang w:val="es-ES"/>
        </w:rPr>
        <w:t xml:space="preserve"> y otros </w:t>
      </w:r>
      <w:r w:rsidRPr="00CB0375">
        <w:rPr>
          <w:bCs/>
          <w:i/>
          <w:iCs/>
          <w:spacing w:val="-2"/>
          <w:szCs w:val="16"/>
          <w:lang w:val="es-ES"/>
        </w:rPr>
        <w:t>(“</w:t>
      </w:r>
      <w:proofErr w:type="spellStart"/>
      <w:r w:rsidRPr="00CB0375">
        <w:rPr>
          <w:bCs/>
          <w:i/>
          <w:iCs/>
          <w:spacing w:val="-2"/>
          <w:szCs w:val="16"/>
          <w:lang w:val="es-ES"/>
        </w:rPr>
        <w:t>Guerrilha</w:t>
      </w:r>
      <w:proofErr w:type="spellEnd"/>
      <w:r w:rsidRPr="00CB0375">
        <w:rPr>
          <w:bCs/>
          <w:i/>
          <w:iCs/>
          <w:spacing w:val="-2"/>
          <w:szCs w:val="16"/>
          <w:lang w:val="es-ES"/>
        </w:rPr>
        <w:t xml:space="preserve"> do </w:t>
      </w:r>
      <w:proofErr w:type="spellStart"/>
      <w:r w:rsidRPr="00CB0375">
        <w:rPr>
          <w:bCs/>
          <w:i/>
          <w:iCs/>
          <w:spacing w:val="-2"/>
          <w:szCs w:val="16"/>
          <w:lang w:val="es-ES"/>
        </w:rPr>
        <w:t>Araguaia</w:t>
      </w:r>
      <w:proofErr w:type="spellEnd"/>
      <w:r w:rsidRPr="00CB0375">
        <w:rPr>
          <w:bCs/>
          <w:i/>
          <w:iCs/>
          <w:spacing w:val="-2"/>
          <w:szCs w:val="16"/>
          <w:lang w:val="es-ES"/>
        </w:rPr>
        <w:t>”) Vs. Brasil. Excepciones Preliminares, Fondo, Reparaciones y Costas.</w:t>
      </w:r>
      <w:r w:rsidRPr="00CB0375">
        <w:rPr>
          <w:bCs/>
          <w:iCs/>
          <w:spacing w:val="-2"/>
          <w:szCs w:val="16"/>
          <w:lang w:val="es-ES"/>
        </w:rPr>
        <w:t xml:space="preserve"> Sentencia de 24 de noviembre de 2010. Serie C No. 219, párr. 182; </w:t>
      </w:r>
      <w:r w:rsidRPr="00CB0375">
        <w:rPr>
          <w:bCs/>
          <w:i/>
          <w:iCs/>
          <w:spacing w:val="-2"/>
          <w:szCs w:val="16"/>
          <w:lang w:val="es-ES"/>
        </w:rPr>
        <w:t>Caso Cabrera García y Montiel Flores Vs. México. Excepciones Preliminares, Fondo, Reparaciones y Costas</w:t>
      </w:r>
      <w:r w:rsidRPr="00CB0375">
        <w:rPr>
          <w:bCs/>
          <w:iCs/>
          <w:spacing w:val="-2"/>
          <w:szCs w:val="16"/>
          <w:lang w:val="es-ES"/>
        </w:rPr>
        <w:t xml:space="preserve">. Sentencia de 26 de noviembre de 2010. Serie C No. 220, </w:t>
      </w:r>
      <w:proofErr w:type="spellStart"/>
      <w:r w:rsidRPr="00CB0375">
        <w:rPr>
          <w:bCs/>
          <w:iCs/>
          <w:spacing w:val="-2"/>
          <w:szCs w:val="16"/>
          <w:lang w:val="es-ES"/>
        </w:rPr>
        <w:t>párrs</w:t>
      </w:r>
      <w:proofErr w:type="spellEnd"/>
      <w:r w:rsidRPr="00CB0375">
        <w:rPr>
          <w:bCs/>
          <w:iCs/>
          <w:spacing w:val="-2"/>
          <w:szCs w:val="16"/>
          <w:lang w:val="es-ES"/>
        </w:rPr>
        <w:t>. 23,</w:t>
      </w:r>
      <w:r w:rsidRPr="00760A9F">
        <w:rPr>
          <w:bCs/>
          <w:iCs/>
          <w:szCs w:val="16"/>
          <w:lang w:val="es-ES"/>
        </w:rPr>
        <w:t xml:space="preserve"> 137, 192 y 193</w:t>
      </w:r>
      <w:r>
        <w:rPr>
          <w:bCs/>
          <w:iCs/>
          <w:szCs w:val="16"/>
          <w:lang w:val="es-ES"/>
        </w:rPr>
        <w:t xml:space="preserve">; </w:t>
      </w:r>
      <w:r w:rsidRPr="00760A9F">
        <w:rPr>
          <w:bCs/>
          <w:i/>
          <w:iCs/>
          <w:szCs w:val="16"/>
          <w:lang w:val="es-ES"/>
        </w:rPr>
        <w:t xml:space="preserve">Caso </w:t>
      </w:r>
      <w:proofErr w:type="spellStart"/>
      <w:r w:rsidRPr="00760A9F">
        <w:rPr>
          <w:bCs/>
          <w:i/>
          <w:iCs/>
          <w:szCs w:val="16"/>
          <w:lang w:val="es-ES"/>
        </w:rPr>
        <w:t>Gelman</w:t>
      </w:r>
      <w:proofErr w:type="spellEnd"/>
      <w:r w:rsidRPr="00760A9F">
        <w:rPr>
          <w:bCs/>
          <w:i/>
          <w:iCs/>
          <w:szCs w:val="16"/>
          <w:lang w:val="es-ES"/>
        </w:rPr>
        <w:t xml:space="preserve"> Vs. Uruguay. Fondo y Reparaciones</w:t>
      </w:r>
      <w:r w:rsidRPr="00760A9F">
        <w:rPr>
          <w:bCs/>
          <w:iCs/>
          <w:szCs w:val="16"/>
          <w:lang w:val="es-ES"/>
        </w:rPr>
        <w:t>. Sentencia de 24 de febrero de 2011. Serie C No. 221, párr. 18</w:t>
      </w:r>
      <w:r>
        <w:rPr>
          <w:bCs/>
          <w:iCs/>
          <w:szCs w:val="16"/>
          <w:lang w:val="es-ES"/>
        </w:rPr>
        <w:t xml:space="preserve">; </w:t>
      </w:r>
      <w:r w:rsidRPr="00760A9F">
        <w:rPr>
          <w:bCs/>
          <w:i/>
          <w:iCs/>
          <w:szCs w:val="16"/>
          <w:lang w:val="es-ES"/>
        </w:rPr>
        <w:t xml:space="preserve">Caso Torres </w:t>
      </w:r>
      <w:proofErr w:type="spellStart"/>
      <w:r w:rsidRPr="00760A9F">
        <w:rPr>
          <w:bCs/>
          <w:i/>
          <w:iCs/>
          <w:szCs w:val="16"/>
          <w:lang w:val="es-ES"/>
        </w:rPr>
        <w:t>Millacura</w:t>
      </w:r>
      <w:proofErr w:type="spellEnd"/>
      <w:r w:rsidRPr="00760A9F">
        <w:rPr>
          <w:bCs/>
          <w:i/>
          <w:iCs/>
          <w:szCs w:val="16"/>
          <w:lang w:val="es-ES"/>
        </w:rPr>
        <w:t xml:space="preserve"> y otros Vs. Argentina. Fondo, Reparaciones y Costas. </w:t>
      </w:r>
      <w:r w:rsidRPr="00760A9F">
        <w:rPr>
          <w:bCs/>
          <w:iCs/>
          <w:szCs w:val="16"/>
          <w:lang w:val="es-ES"/>
        </w:rPr>
        <w:t xml:space="preserve">Sentencia de 26 de agosto de 2011. Serie C No. 229, </w:t>
      </w:r>
      <w:proofErr w:type="spellStart"/>
      <w:r w:rsidRPr="00760A9F">
        <w:rPr>
          <w:bCs/>
          <w:iCs/>
          <w:szCs w:val="16"/>
          <w:lang w:val="es-ES"/>
        </w:rPr>
        <w:t>párrs</w:t>
      </w:r>
      <w:proofErr w:type="spellEnd"/>
      <w:r w:rsidRPr="00760A9F">
        <w:rPr>
          <w:bCs/>
          <w:iCs/>
          <w:szCs w:val="16"/>
          <w:lang w:val="es-ES"/>
        </w:rPr>
        <w:t xml:space="preserve">. 30, 90, 139; </w:t>
      </w:r>
      <w:r w:rsidRPr="00760A9F">
        <w:rPr>
          <w:bCs/>
          <w:i/>
          <w:iCs/>
          <w:szCs w:val="16"/>
          <w:lang w:val="es-ES"/>
        </w:rPr>
        <w:t xml:space="preserve">Caso Familia Barrios Vs. Venezuela. Fondo, Reparaciones y Costas. Sentencia de 24 de noviembre de 2011. Serie C No. 237, </w:t>
      </w:r>
      <w:proofErr w:type="spellStart"/>
      <w:r w:rsidRPr="00760A9F">
        <w:rPr>
          <w:bCs/>
          <w:iCs/>
          <w:szCs w:val="16"/>
          <w:lang w:val="es-ES"/>
        </w:rPr>
        <w:t>párrs</w:t>
      </w:r>
      <w:proofErr w:type="spellEnd"/>
      <w:r w:rsidRPr="00760A9F">
        <w:rPr>
          <w:bCs/>
          <w:iCs/>
          <w:szCs w:val="16"/>
          <w:lang w:val="es-ES"/>
        </w:rPr>
        <w:t>.</w:t>
      </w:r>
      <w:r w:rsidRPr="00760A9F">
        <w:rPr>
          <w:bCs/>
          <w:i/>
          <w:iCs/>
          <w:szCs w:val="16"/>
          <w:lang w:val="es-ES"/>
        </w:rPr>
        <w:t xml:space="preserve"> </w:t>
      </w:r>
      <w:r w:rsidRPr="00760A9F">
        <w:rPr>
          <w:bCs/>
          <w:iCs/>
          <w:szCs w:val="16"/>
          <w:lang w:val="es-ES"/>
        </w:rPr>
        <w:t>10, 260</w:t>
      </w:r>
      <w:r>
        <w:rPr>
          <w:bCs/>
          <w:iCs/>
          <w:szCs w:val="16"/>
          <w:lang w:val="es-ES"/>
        </w:rPr>
        <w:t xml:space="preserve">; </w:t>
      </w:r>
      <w:r w:rsidRPr="00760A9F">
        <w:rPr>
          <w:bCs/>
          <w:i/>
          <w:iCs/>
          <w:szCs w:val="16"/>
          <w:lang w:val="es-ES"/>
        </w:rPr>
        <w:t>Caso González Medina y Familia Vs. República Dominicana. Excepciones Preliminares, Fondo, Reparaciones y Costas.</w:t>
      </w:r>
      <w:r w:rsidRPr="00760A9F">
        <w:rPr>
          <w:bCs/>
          <w:iCs/>
          <w:szCs w:val="16"/>
          <w:lang w:val="es-ES"/>
        </w:rPr>
        <w:t xml:space="preserve"> Sentencia de 27 de febrero de 2013. Serie C No. 240 párr. 47, 62;</w:t>
      </w:r>
      <w:r>
        <w:rPr>
          <w:bCs/>
          <w:i/>
          <w:iCs/>
          <w:szCs w:val="16"/>
          <w:lang w:val="es-ES"/>
        </w:rPr>
        <w:t xml:space="preserve"> </w:t>
      </w:r>
      <w:r w:rsidRPr="00760A9F">
        <w:rPr>
          <w:bCs/>
          <w:i/>
          <w:iCs/>
          <w:szCs w:val="16"/>
          <w:lang w:val="es-ES"/>
        </w:rPr>
        <w:t xml:space="preserve">Caso Masacres de Río Negro Vs. Guatemala. Excepción Preliminar, Fondo, Reparaciones y Costas. </w:t>
      </w:r>
      <w:r w:rsidRPr="00760A9F">
        <w:rPr>
          <w:bCs/>
          <w:iCs/>
          <w:szCs w:val="16"/>
          <w:lang w:val="es-ES"/>
        </w:rPr>
        <w:t>Sentencia de 4 de septiembre de 2012. Serie C No. 250, párr. 16, 262</w:t>
      </w:r>
      <w:r>
        <w:rPr>
          <w:bCs/>
          <w:iCs/>
          <w:szCs w:val="16"/>
          <w:lang w:val="es-ES"/>
        </w:rPr>
        <w:t xml:space="preserve">; </w:t>
      </w:r>
      <w:r w:rsidRPr="00760A9F">
        <w:rPr>
          <w:bCs/>
          <w:i/>
          <w:iCs/>
          <w:szCs w:val="16"/>
          <w:lang w:val="es-ES"/>
        </w:rPr>
        <w:t xml:space="preserve">Caso Masacres de El Mozote y lugares aledaños Vs. El Salvador. Fondo, Reparaciones y Costas. </w:t>
      </w:r>
      <w:r w:rsidRPr="00760A9F">
        <w:rPr>
          <w:bCs/>
          <w:iCs/>
          <w:szCs w:val="16"/>
          <w:lang w:val="es-ES"/>
        </w:rPr>
        <w:t xml:space="preserve">Sentencia de 25 de octubre de 2012 Serie C No. 252, </w:t>
      </w:r>
      <w:proofErr w:type="spellStart"/>
      <w:r w:rsidRPr="00760A9F">
        <w:rPr>
          <w:bCs/>
          <w:iCs/>
          <w:szCs w:val="16"/>
          <w:lang w:val="es-ES"/>
        </w:rPr>
        <w:t>párrs</w:t>
      </w:r>
      <w:proofErr w:type="spellEnd"/>
      <w:r w:rsidRPr="00760A9F">
        <w:rPr>
          <w:bCs/>
          <w:iCs/>
          <w:szCs w:val="16"/>
          <w:lang w:val="es-ES"/>
        </w:rPr>
        <w:t>. 29, 246, 252, 301</w:t>
      </w:r>
      <w:r>
        <w:rPr>
          <w:bCs/>
          <w:iCs/>
          <w:szCs w:val="16"/>
          <w:lang w:val="es-ES"/>
        </w:rPr>
        <w:t xml:space="preserve">; </w:t>
      </w:r>
      <w:r w:rsidRPr="00760A9F">
        <w:rPr>
          <w:bCs/>
          <w:i/>
          <w:iCs/>
          <w:szCs w:val="16"/>
          <w:lang w:val="es-ES"/>
        </w:rPr>
        <w:t xml:space="preserve">Caso </w:t>
      </w:r>
      <w:proofErr w:type="spellStart"/>
      <w:r w:rsidRPr="00760A9F">
        <w:rPr>
          <w:bCs/>
          <w:i/>
          <w:iCs/>
          <w:szCs w:val="16"/>
          <w:lang w:val="es-ES"/>
        </w:rPr>
        <w:t>Gudiel</w:t>
      </w:r>
      <w:proofErr w:type="spellEnd"/>
      <w:r w:rsidRPr="00760A9F">
        <w:rPr>
          <w:bCs/>
          <w:i/>
          <w:iCs/>
          <w:szCs w:val="16"/>
          <w:lang w:val="es-ES"/>
        </w:rPr>
        <w:t xml:space="preserve"> Álvarez y otros (“Diario Militar”) Vs. Guatemala. Fondo, Reparaciones y Costas. </w:t>
      </w:r>
      <w:r w:rsidRPr="00760A9F">
        <w:rPr>
          <w:bCs/>
          <w:iCs/>
          <w:szCs w:val="16"/>
          <w:lang w:val="es-ES"/>
        </w:rPr>
        <w:t>Sentencia de 20 de noviembre de 2012. Serie C No. 2</w:t>
      </w:r>
      <w:r>
        <w:rPr>
          <w:bCs/>
          <w:iCs/>
          <w:szCs w:val="16"/>
          <w:lang w:val="es-ES"/>
        </w:rPr>
        <w:t>53</w:t>
      </w:r>
      <w:r w:rsidRPr="00760A9F">
        <w:rPr>
          <w:bCs/>
          <w:iCs/>
          <w:szCs w:val="16"/>
          <w:lang w:val="es-ES"/>
        </w:rPr>
        <w:t>0</w:t>
      </w:r>
      <w:r w:rsidRPr="00760A9F">
        <w:rPr>
          <w:bCs/>
          <w:i/>
          <w:iCs/>
          <w:szCs w:val="16"/>
          <w:lang w:val="es-ES"/>
        </w:rPr>
        <w:t xml:space="preserve">, </w:t>
      </w:r>
      <w:r w:rsidRPr="00760A9F">
        <w:rPr>
          <w:bCs/>
          <w:iCs/>
          <w:szCs w:val="16"/>
          <w:lang w:val="es-ES"/>
        </w:rPr>
        <w:t>párr. 330</w:t>
      </w:r>
      <w:r>
        <w:rPr>
          <w:bCs/>
          <w:iCs/>
          <w:szCs w:val="16"/>
          <w:lang w:val="es-ES"/>
        </w:rPr>
        <w:t xml:space="preserve">; </w:t>
      </w:r>
      <w:r w:rsidRPr="00760A9F">
        <w:rPr>
          <w:bCs/>
          <w:i/>
          <w:iCs/>
          <w:szCs w:val="16"/>
          <w:lang w:val="es-ES"/>
        </w:rPr>
        <w:t>Caso Mendoza y otros Vs. Argentina. Excepciones Preliminares, Fondo y Reparaciones.</w:t>
      </w:r>
      <w:r w:rsidRPr="00760A9F">
        <w:rPr>
          <w:bCs/>
          <w:iCs/>
          <w:szCs w:val="16"/>
          <w:lang w:val="es-ES"/>
        </w:rPr>
        <w:t xml:space="preserve"> Sentencia de 14 de mayo de 2013. Serie C No. 260, </w:t>
      </w:r>
      <w:proofErr w:type="spellStart"/>
      <w:r w:rsidRPr="00760A9F">
        <w:rPr>
          <w:bCs/>
          <w:iCs/>
          <w:szCs w:val="16"/>
          <w:lang w:val="es-ES"/>
        </w:rPr>
        <w:t>párrs</w:t>
      </w:r>
      <w:proofErr w:type="spellEnd"/>
      <w:r w:rsidRPr="00760A9F">
        <w:rPr>
          <w:bCs/>
          <w:iCs/>
          <w:szCs w:val="16"/>
          <w:lang w:val="es-ES"/>
        </w:rPr>
        <w:t>. 50, 210, 236 y 343</w:t>
      </w:r>
      <w:r>
        <w:rPr>
          <w:bCs/>
          <w:iCs/>
          <w:szCs w:val="16"/>
          <w:lang w:val="es-ES"/>
        </w:rPr>
        <w:t xml:space="preserve">; </w:t>
      </w:r>
      <w:r w:rsidRPr="00760A9F">
        <w:rPr>
          <w:bCs/>
          <w:i/>
          <w:iCs/>
          <w:szCs w:val="16"/>
          <w:lang w:val="es-ES"/>
        </w:rPr>
        <w:t>Caso García Lucero y otros Vs. Chile. Excepciones Preliminares, Fondo, y Reparaciones.</w:t>
      </w:r>
      <w:r w:rsidRPr="00760A9F">
        <w:rPr>
          <w:bCs/>
          <w:iCs/>
          <w:szCs w:val="16"/>
          <w:lang w:val="es-AR"/>
        </w:rPr>
        <w:t xml:space="preserve"> Sentencia</w:t>
      </w:r>
      <w:r w:rsidRPr="00760A9F">
        <w:rPr>
          <w:bCs/>
          <w:iCs/>
          <w:szCs w:val="16"/>
          <w:lang w:val="es-ES"/>
        </w:rPr>
        <w:t xml:space="preserve"> de 28 de</w:t>
      </w:r>
      <w:r w:rsidRPr="00760A9F">
        <w:rPr>
          <w:bCs/>
          <w:iCs/>
          <w:szCs w:val="16"/>
          <w:lang w:val="es-AR"/>
        </w:rPr>
        <w:t xml:space="preserve"> Agosto</w:t>
      </w:r>
      <w:r w:rsidRPr="00760A9F">
        <w:rPr>
          <w:bCs/>
          <w:iCs/>
          <w:szCs w:val="16"/>
          <w:lang w:val="es-ES"/>
        </w:rPr>
        <w:t xml:space="preserve"> de 2013. Serie C No. 267 párr. 138</w:t>
      </w:r>
      <w:r>
        <w:rPr>
          <w:bCs/>
          <w:iCs/>
          <w:szCs w:val="16"/>
          <w:lang w:val="es-ES"/>
        </w:rPr>
        <w:t xml:space="preserve">; </w:t>
      </w:r>
      <w:r w:rsidRPr="00071D10">
        <w:rPr>
          <w:bCs/>
          <w:i/>
          <w:iCs/>
        </w:rPr>
        <w:t>Caso de las comunidades afrodescendientes desplazadas de la Cuenca del Río Cacarica (Operación Génesis) Vs. Colombia. Excepciones Preliminares, Fondo, Reparaciones y Costas</w:t>
      </w:r>
      <w:r w:rsidRPr="00760A9F">
        <w:rPr>
          <w:bCs/>
          <w:iCs/>
        </w:rPr>
        <w:t>. Sentencia de 20 de noviembre de 2013. Serie C No. 270, párr. 16</w:t>
      </w:r>
      <w:r>
        <w:rPr>
          <w:bCs/>
          <w:iCs/>
        </w:rPr>
        <w:t xml:space="preserve">; </w:t>
      </w:r>
      <w:r w:rsidRPr="00760A9F">
        <w:rPr>
          <w:bCs/>
          <w:i/>
          <w:iCs/>
          <w:lang w:val="es-ES"/>
        </w:rPr>
        <w:t>Caso García Cruz y Sánchez Silvestre Vs. México. Fondo, Reparaciones y Costas.</w:t>
      </w:r>
      <w:r w:rsidRPr="00760A9F">
        <w:rPr>
          <w:bCs/>
          <w:iCs/>
          <w:lang w:val="es-ES"/>
        </w:rPr>
        <w:t xml:space="preserve"> Sentencia de 26 de noviembre de 2013. Serie C No. 273, </w:t>
      </w:r>
      <w:proofErr w:type="spellStart"/>
      <w:r w:rsidRPr="00760A9F">
        <w:rPr>
          <w:bCs/>
          <w:iCs/>
          <w:lang w:val="es-ES"/>
        </w:rPr>
        <w:t>párrs</w:t>
      </w:r>
      <w:proofErr w:type="spellEnd"/>
      <w:r w:rsidRPr="00760A9F">
        <w:rPr>
          <w:bCs/>
          <w:iCs/>
          <w:lang w:val="es-ES"/>
        </w:rPr>
        <w:t>. 21, 25 y 70</w:t>
      </w:r>
      <w:r>
        <w:rPr>
          <w:bCs/>
          <w:iCs/>
          <w:lang w:val="es-ES"/>
        </w:rPr>
        <w:t xml:space="preserve">; </w:t>
      </w:r>
      <w:r w:rsidRPr="00760A9F">
        <w:rPr>
          <w:bCs/>
          <w:i/>
          <w:iCs/>
          <w:lang w:val="es-ES"/>
        </w:rPr>
        <w:t>Caso J. Vs. Perú. Excepción Preliminar, Fondo, Reparaciones y Costas.</w:t>
      </w:r>
      <w:r w:rsidRPr="00760A9F">
        <w:rPr>
          <w:bCs/>
          <w:iCs/>
          <w:lang w:val="es-ES"/>
        </w:rPr>
        <w:t xml:space="preserve"> Sentencia de 27 de noviembre de 2013. Serie C No. 275, párr. 37</w:t>
      </w:r>
      <w:r>
        <w:rPr>
          <w:bCs/>
          <w:iCs/>
          <w:lang w:val="es-ES"/>
        </w:rPr>
        <w:t xml:space="preserve">; </w:t>
      </w:r>
      <w:r w:rsidRPr="00760A9F">
        <w:rPr>
          <w:bCs/>
          <w:i/>
          <w:iCs/>
          <w:lang w:val="es-ES"/>
        </w:rPr>
        <w:t>Caso Rodríguez Vera y otros (desaparecidos del palacio de justicia) Vs. Colombia. Excepciones Preliminares, Fondo, Reparaciones y Costas</w:t>
      </w:r>
      <w:r w:rsidRPr="00760A9F">
        <w:rPr>
          <w:bCs/>
          <w:iCs/>
          <w:lang w:val="es-ES"/>
        </w:rPr>
        <w:t xml:space="preserve">. Sentencia de 14 de noviembre de 2014. Serie </w:t>
      </w:r>
      <w:r w:rsidRPr="00CB0375">
        <w:rPr>
          <w:bCs/>
          <w:iCs/>
          <w:spacing w:val="-2"/>
          <w:lang w:val="es-ES"/>
        </w:rPr>
        <w:t xml:space="preserve">C No. 287, </w:t>
      </w:r>
      <w:proofErr w:type="spellStart"/>
      <w:r w:rsidRPr="00CB0375">
        <w:rPr>
          <w:bCs/>
          <w:iCs/>
          <w:spacing w:val="-2"/>
          <w:lang w:val="es-ES"/>
        </w:rPr>
        <w:t>párrs</w:t>
      </w:r>
      <w:proofErr w:type="spellEnd"/>
      <w:r w:rsidRPr="00CB0375">
        <w:rPr>
          <w:bCs/>
          <w:iCs/>
          <w:spacing w:val="-2"/>
          <w:lang w:val="es-ES"/>
        </w:rPr>
        <w:t xml:space="preserve">. 437, 476 y 513; </w:t>
      </w:r>
      <w:r w:rsidRPr="00CB0375">
        <w:rPr>
          <w:bCs/>
          <w:i/>
          <w:iCs/>
          <w:spacing w:val="-2"/>
          <w:lang w:val="es-ES"/>
        </w:rPr>
        <w:t xml:space="preserve">Caso Espinoza Gonzáles Vs. Perú. Excepciones Preliminares, Fondo, Reparaciones y Costas. </w:t>
      </w:r>
      <w:r w:rsidRPr="00CB0375">
        <w:rPr>
          <w:bCs/>
          <w:iCs/>
          <w:spacing w:val="-2"/>
          <w:lang w:val="es-ES"/>
        </w:rPr>
        <w:t xml:space="preserve">Sentencia de 20 de noviembre de 2014. Serie C No. 289, </w:t>
      </w:r>
      <w:proofErr w:type="spellStart"/>
      <w:r w:rsidRPr="00CB0375">
        <w:rPr>
          <w:bCs/>
          <w:iCs/>
          <w:spacing w:val="-2"/>
          <w:lang w:val="es-ES"/>
        </w:rPr>
        <w:t>párrs</w:t>
      </w:r>
      <w:proofErr w:type="spellEnd"/>
      <w:r w:rsidRPr="00CB0375">
        <w:rPr>
          <w:bCs/>
          <w:iCs/>
          <w:spacing w:val="-2"/>
          <w:lang w:val="es-ES"/>
        </w:rPr>
        <w:t xml:space="preserve">. 18 y 196; </w:t>
      </w:r>
      <w:r w:rsidRPr="00CB0375">
        <w:rPr>
          <w:bCs/>
          <w:i/>
          <w:iCs/>
          <w:spacing w:val="-2"/>
          <w:lang w:val="es-ES"/>
        </w:rPr>
        <w:t xml:space="preserve">Caso Wong Ho </w:t>
      </w:r>
      <w:proofErr w:type="spellStart"/>
      <w:r w:rsidRPr="00CB0375">
        <w:rPr>
          <w:bCs/>
          <w:i/>
          <w:iCs/>
          <w:spacing w:val="-2"/>
          <w:lang w:val="es-ES"/>
        </w:rPr>
        <w:t>Wing</w:t>
      </w:r>
      <w:proofErr w:type="spellEnd"/>
      <w:r w:rsidRPr="00CB0375">
        <w:rPr>
          <w:bCs/>
          <w:i/>
          <w:iCs/>
          <w:spacing w:val="-2"/>
          <w:lang w:val="es-ES"/>
        </w:rPr>
        <w:t xml:space="preserve"> Vs. Perú. Excepción Preliminar, Fondo, Reparaciones y Costas</w:t>
      </w:r>
      <w:r w:rsidRPr="00CB0375">
        <w:rPr>
          <w:bCs/>
          <w:iCs/>
          <w:spacing w:val="-2"/>
          <w:lang w:val="es-ES"/>
        </w:rPr>
        <w:t xml:space="preserve">. Sentencia de 30 de junio de 2015. Serie C No. 297, párr. 188; </w:t>
      </w:r>
      <w:r w:rsidRPr="00CB0375">
        <w:rPr>
          <w:bCs/>
          <w:i/>
          <w:iCs/>
          <w:spacing w:val="-2"/>
          <w:lang w:val="es-ES"/>
        </w:rPr>
        <w:t>Comunidad Campesina de Santa Bárbara Vs. Perú. Excepciones preliminares, Fondo, Reparaciones y Costas.</w:t>
      </w:r>
      <w:r w:rsidRPr="00CB0375">
        <w:rPr>
          <w:bCs/>
          <w:iCs/>
          <w:spacing w:val="-2"/>
          <w:lang w:val="es-ES"/>
        </w:rPr>
        <w:t xml:space="preserve"> Sentencia de 1 de</w:t>
      </w:r>
      <w:r w:rsidRPr="00CB0375">
        <w:rPr>
          <w:bCs/>
          <w:iCs/>
          <w:spacing w:val="-2"/>
          <w:lang w:val="es-AR"/>
        </w:rPr>
        <w:t xml:space="preserve"> septiembre</w:t>
      </w:r>
      <w:r w:rsidRPr="00CB0375">
        <w:rPr>
          <w:bCs/>
          <w:iCs/>
          <w:spacing w:val="-2"/>
          <w:lang w:val="es-ES"/>
        </w:rPr>
        <w:t xml:space="preserve"> de 2015. Serie C No. 299, párr. 269; </w:t>
      </w:r>
      <w:r w:rsidRPr="00CB0375">
        <w:rPr>
          <w:bCs/>
          <w:i/>
          <w:iCs/>
          <w:spacing w:val="-2"/>
          <w:lang w:val="es-ES"/>
        </w:rPr>
        <w:t>Caso Omar Humberto Maldonado Vargas y otros</w:t>
      </w:r>
      <w:r w:rsidRPr="00760A9F">
        <w:rPr>
          <w:bCs/>
          <w:i/>
          <w:iCs/>
          <w:lang w:val="es-ES"/>
        </w:rPr>
        <w:t xml:space="preserve"> Vs. Chile. Fondo Reparaciones y Costas. </w:t>
      </w:r>
      <w:r w:rsidRPr="00760A9F">
        <w:rPr>
          <w:bCs/>
          <w:iCs/>
          <w:lang w:val="es-ES"/>
        </w:rPr>
        <w:t xml:space="preserve">Sentencia de 2 de septiembre de 2015. Serie C No. 300,  </w:t>
      </w:r>
      <w:proofErr w:type="spellStart"/>
      <w:r w:rsidRPr="00760A9F">
        <w:rPr>
          <w:bCs/>
          <w:iCs/>
          <w:lang w:val="es-ES"/>
        </w:rPr>
        <w:t>párrs</w:t>
      </w:r>
      <w:proofErr w:type="spellEnd"/>
      <w:r w:rsidRPr="00760A9F">
        <w:rPr>
          <w:bCs/>
          <w:iCs/>
          <w:lang w:val="es-ES"/>
        </w:rPr>
        <w:t>. 177 y 178</w:t>
      </w:r>
      <w:r>
        <w:rPr>
          <w:bCs/>
          <w:iCs/>
          <w:lang w:val="es-ES"/>
        </w:rPr>
        <w:t xml:space="preserve">; </w:t>
      </w:r>
      <w:r w:rsidRPr="00760A9F">
        <w:rPr>
          <w:bCs/>
          <w:i/>
          <w:iCs/>
          <w:lang w:val="es-ES"/>
        </w:rPr>
        <w:t xml:space="preserve">Caso </w:t>
      </w:r>
      <w:proofErr w:type="spellStart"/>
      <w:r w:rsidRPr="00760A9F">
        <w:rPr>
          <w:bCs/>
          <w:i/>
          <w:iCs/>
          <w:lang w:val="es-ES"/>
        </w:rPr>
        <w:t>Quispialaya</w:t>
      </w:r>
      <w:proofErr w:type="spellEnd"/>
      <w:r w:rsidRPr="00760A9F">
        <w:rPr>
          <w:bCs/>
          <w:i/>
          <w:iCs/>
          <w:lang w:val="es-ES"/>
        </w:rPr>
        <w:t xml:space="preserve"> </w:t>
      </w:r>
      <w:proofErr w:type="spellStart"/>
      <w:r w:rsidRPr="00760A9F">
        <w:rPr>
          <w:bCs/>
          <w:i/>
          <w:iCs/>
          <w:lang w:val="es-ES"/>
        </w:rPr>
        <w:t>Vilcapoma</w:t>
      </w:r>
      <w:proofErr w:type="spellEnd"/>
      <w:r w:rsidRPr="00760A9F">
        <w:rPr>
          <w:bCs/>
          <w:i/>
          <w:iCs/>
          <w:lang w:val="es-ES"/>
        </w:rPr>
        <w:t xml:space="preserve"> Vs. Perú. Excepciones Preliminares, Fondo, Reparaciones y Costas. </w:t>
      </w:r>
      <w:r w:rsidRPr="00760A9F">
        <w:rPr>
          <w:bCs/>
          <w:iCs/>
          <w:lang w:val="es-ES"/>
        </w:rPr>
        <w:t>Sentencia de 23 de noviembre de 2015. Serie C No. 308, párr. 129</w:t>
      </w:r>
      <w:r>
        <w:rPr>
          <w:bCs/>
          <w:iCs/>
          <w:lang w:val="es-ES"/>
        </w:rPr>
        <w:t xml:space="preserve">; </w:t>
      </w:r>
      <w:r w:rsidRPr="00760A9F">
        <w:rPr>
          <w:bCs/>
          <w:i/>
          <w:iCs/>
          <w:lang w:val="es-ES"/>
        </w:rPr>
        <w:t xml:space="preserve">Caso Herrera Espinoza y otros Vs. Ecuador. Excepciones Preliminares, Fondo, Reparaciones y Costas. </w:t>
      </w:r>
      <w:r w:rsidRPr="00760A9F">
        <w:rPr>
          <w:bCs/>
          <w:iCs/>
          <w:lang w:val="es-ES"/>
        </w:rPr>
        <w:t xml:space="preserve">Sentencia de 1 de septiembre de 2016. Serie C No. 317 </w:t>
      </w:r>
      <w:proofErr w:type="spellStart"/>
      <w:r w:rsidRPr="00760A9F">
        <w:rPr>
          <w:bCs/>
          <w:iCs/>
          <w:lang w:val="es-ES"/>
        </w:rPr>
        <w:t>párrs</w:t>
      </w:r>
      <w:proofErr w:type="spellEnd"/>
      <w:r w:rsidRPr="00760A9F">
        <w:rPr>
          <w:bCs/>
          <w:iCs/>
          <w:lang w:val="es-ES"/>
        </w:rPr>
        <w:t>. 18 y 103</w:t>
      </w:r>
      <w:r>
        <w:rPr>
          <w:bCs/>
          <w:iCs/>
          <w:lang w:val="es-ES"/>
        </w:rPr>
        <w:t xml:space="preserve">; </w:t>
      </w:r>
      <w:r w:rsidRPr="00760A9F">
        <w:rPr>
          <w:bCs/>
          <w:i/>
          <w:iCs/>
          <w:lang w:val="es-ES"/>
        </w:rPr>
        <w:t>Caso Pollo Rivera y otros Vs. Perú. Fondo, Reparaciones y Costas</w:t>
      </w:r>
      <w:r w:rsidRPr="00760A9F">
        <w:rPr>
          <w:bCs/>
          <w:iCs/>
          <w:lang w:val="es-ES"/>
        </w:rPr>
        <w:t>. Sentencia de 21 de octubre de 2016. Serie C No. 319, párr. 153</w:t>
      </w:r>
      <w:r>
        <w:rPr>
          <w:bCs/>
          <w:iCs/>
          <w:lang w:val="es-ES"/>
        </w:rPr>
        <w:t xml:space="preserve">, y </w:t>
      </w:r>
      <w:r w:rsidRPr="00760A9F">
        <w:rPr>
          <w:bCs/>
          <w:i/>
          <w:iCs/>
          <w:lang w:val="es-ES"/>
        </w:rPr>
        <w:t xml:space="preserve">Caso Miembros de la Aldea </w:t>
      </w:r>
      <w:proofErr w:type="spellStart"/>
      <w:r w:rsidRPr="00760A9F">
        <w:rPr>
          <w:bCs/>
          <w:i/>
          <w:iCs/>
          <w:lang w:val="es-ES"/>
        </w:rPr>
        <w:t>Chichupac</w:t>
      </w:r>
      <w:proofErr w:type="spellEnd"/>
      <w:r w:rsidRPr="00760A9F">
        <w:rPr>
          <w:bCs/>
          <w:i/>
          <w:iCs/>
          <w:lang w:val="es-ES"/>
        </w:rPr>
        <w:t xml:space="preserve"> y Comunidades Vecinas del Municipio de Rabinal Vs. Guatemala. Excepciones Preliminares, Fondo, Reparaciones y Costas. </w:t>
      </w:r>
      <w:r w:rsidRPr="00760A9F">
        <w:rPr>
          <w:bCs/>
          <w:iCs/>
          <w:lang w:val="es-ES"/>
        </w:rPr>
        <w:t>Sentencia de 30 de noviembre de 2016. Serie C No. Sentencia de 30 de noviembre de 2016. Serie C No. 328, párr. 215</w:t>
      </w:r>
      <w:r>
        <w:rPr>
          <w:bCs/>
          <w:iCs/>
          <w:lang w:val="es-ES"/>
        </w:rPr>
        <w:t>.</w:t>
      </w:r>
    </w:p>
  </w:footnote>
  <w:footnote w:id="52">
    <w:p w14:paraId="1A84DE00" w14:textId="15A84AA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iCs/>
          <w:szCs w:val="16"/>
          <w:lang w:val="es-ES"/>
        </w:rPr>
        <w:t xml:space="preserve">Cfr. </w:t>
      </w:r>
      <w:r w:rsidRPr="00E45E3B">
        <w:rPr>
          <w:i/>
          <w:iCs/>
          <w:spacing w:val="-2"/>
          <w:szCs w:val="16"/>
          <w:lang w:val="es-ES"/>
        </w:rPr>
        <w:t>Caso González y otras (“Campo Algodonero”)</w:t>
      </w:r>
      <w:r w:rsidRPr="00E45E3B">
        <w:rPr>
          <w:spacing w:val="-2"/>
          <w:szCs w:val="16"/>
          <w:lang w:val="es-ES"/>
        </w:rPr>
        <w:t xml:space="preserve">, párr. 41. Al respecto, la Corte señaló que en la “formulación” del artículo 12 de la Convención de Belém de Pará “no se excluye ninguna disposición de la Convención Americana, por lo que habrá que concluir que la Comisión actuará en las peticiones sobre el artículo 7 de la Convención Belém do Pará ‘de conformidad con lo dispuesto en los artículos 44 al 51 de [la Convención Americana]’, como lo dispone el artículo 41 de la misma Convención. El artículo 51 de la Convención “[…] se refiere […] expresamente al sometimiento de casos ante la Corte”. En el mismo sentido, </w:t>
      </w:r>
      <w:r w:rsidRPr="00E45E3B">
        <w:rPr>
          <w:iCs/>
          <w:spacing w:val="-2"/>
          <w:szCs w:val="16"/>
          <w:lang w:val="es-ES"/>
        </w:rPr>
        <w:t>véase</w:t>
      </w:r>
      <w:r w:rsidRPr="00E45E3B">
        <w:rPr>
          <w:i/>
          <w:iCs/>
          <w:spacing w:val="-2"/>
          <w:szCs w:val="16"/>
          <w:lang w:val="es-ES"/>
        </w:rPr>
        <w:t xml:space="preserve"> </w:t>
      </w:r>
      <w:r w:rsidRPr="00E45E3B">
        <w:rPr>
          <w:bCs/>
          <w:i/>
          <w:iCs/>
          <w:spacing w:val="-2"/>
          <w:szCs w:val="16"/>
        </w:rPr>
        <w:t xml:space="preserve">Caso Velásquez </w:t>
      </w:r>
      <w:proofErr w:type="spellStart"/>
      <w:r w:rsidRPr="00E45E3B">
        <w:rPr>
          <w:bCs/>
          <w:i/>
          <w:iCs/>
          <w:spacing w:val="-2"/>
          <w:szCs w:val="16"/>
        </w:rPr>
        <w:t>Paiz</w:t>
      </w:r>
      <w:proofErr w:type="spellEnd"/>
      <w:r w:rsidRPr="00E45E3B">
        <w:rPr>
          <w:bCs/>
          <w:i/>
          <w:iCs/>
          <w:spacing w:val="-2"/>
          <w:szCs w:val="16"/>
        </w:rPr>
        <w:t xml:space="preserve"> y otros Vs. Guatemala. Excepciones Preliminares, Fondo, Reparaciones y Costas. </w:t>
      </w:r>
      <w:r w:rsidRPr="00E45E3B">
        <w:rPr>
          <w:bCs/>
          <w:iCs/>
          <w:spacing w:val="-2"/>
          <w:szCs w:val="16"/>
        </w:rPr>
        <w:t>Sentencia de 19 de noviembre de 2015. Serie C No. 307, nota al pie 6</w:t>
      </w:r>
      <w:r w:rsidRPr="00426E86">
        <w:rPr>
          <w:bCs/>
          <w:iCs/>
          <w:szCs w:val="16"/>
        </w:rPr>
        <w:t>.</w:t>
      </w:r>
      <w:r w:rsidRPr="00C21A2E">
        <w:rPr>
          <w:szCs w:val="16"/>
          <w:lang w:val="es-ES"/>
        </w:rPr>
        <w:t xml:space="preserve">  </w:t>
      </w:r>
    </w:p>
  </w:footnote>
  <w:footnote w:id="53">
    <w:p w14:paraId="764552F4" w14:textId="3234A46F"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rFonts w:cs="Verdana"/>
          <w:i/>
          <w:iCs/>
          <w:szCs w:val="16"/>
          <w:lang w:val="es-ES"/>
        </w:rPr>
        <w:t>Cfr.</w:t>
      </w:r>
      <w:r w:rsidRPr="00C21A2E">
        <w:rPr>
          <w:rFonts w:cs="Verdana"/>
          <w:iCs/>
          <w:szCs w:val="16"/>
          <w:lang w:val="es-ES"/>
        </w:rPr>
        <w:t xml:space="preserve"> </w:t>
      </w:r>
      <w:r w:rsidRPr="00C21A2E">
        <w:rPr>
          <w:rFonts w:cs="Verdana"/>
          <w:i/>
          <w:iCs/>
          <w:szCs w:val="16"/>
          <w:lang w:val="es-ES"/>
        </w:rPr>
        <w:t xml:space="preserve">Caso Castañeda </w:t>
      </w:r>
      <w:proofErr w:type="spellStart"/>
      <w:r w:rsidRPr="00C21A2E">
        <w:rPr>
          <w:rFonts w:cs="Verdana"/>
          <w:i/>
          <w:iCs/>
          <w:szCs w:val="16"/>
          <w:lang w:val="es-ES"/>
        </w:rPr>
        <w:t>Gutman</w:t>
      </w:r>
      <w:proofErr w:type="spellEnd"/>
      <w:r w:rsidRPr="00C21A2E">
        <w:rPr>
          <w:rFonts w:cs="Verdana"/>
          <w:i/>
          <w:iCs/>
          <w:szCs w:val="16"/>
          <w:lang w:val="es-ES"/>
        </w:rPr>
        <w:t xml:space="preserve"> Vs. México. Excepciones Preliminares, Fondo, Reparaciones y Costas</w:t>
      </w:r>
      <w:r w:rsidRPr="00C21A2E">
        <w:rPr>
          <w:rFonts w:cs="Verdana"/>
          <w:iCs/>
          <w:szCs w:val="16"/>
          <w:lang w:val="es-ES"/>
        </w:rPr>
        <w:t>. Sentencia de 6 de agosto de 2008</w:t>
      </w:r>
      <w:r>
        <w:rPr>
          <w:rFonts w:cs="Verdana"/>
          <w:iCs/>
          <w:szCs w:val="16"/>
          <w:lang w:val="es-ES"/>
        </w:rPr>
        <w:t>. Serie C No. 184</w:t>
      </w:r>
      <w:r w:rsidRPr="00C21A2E">
        <w:rPr>
          <w:rFonts w:cs="Verdana"/>
          <w:iCs/>
          <w:szCs w:val="16"/>
          <w:lang w:val="es-ES"/>
        </w:rPr>
        <w:t xml:space="preserve">, párr. 30; </w:t>
      </w:r>
      <w:r w:rsidRPr="002B2CD2">
        <w:rPr>
          <w:rFonts w:cs="Verdana"/>
          <w:i/>
          <w:iCs/>
          <w:szCs w:val="16"/>
          <w:lang w:val="es-ES"/>
        </w:rPr>
        <w:t>Caso Velásquez Rodríguez Vs. Honduras</w:t>
      </w:r>
      <w:r w:rsidRPr="002B2CD2">
        <w:rPr>
          <w:rFonts w:cs="Verdana"/>
          <w:i/>
          <w:szCs w:val="16"/>
          <w:lang w:val="es-ES"/>
        </w:rPr>
        <w:t xml:space="preserve">. </w:t>
      </w:r>
      <w:r w:rsidRPr="002B2CD2">
        <w:rPr>
          <w:rFonts w:cs="Verdana"/>
          <w:i/>
          <w:iCs/>
          <w:szCs w:val="16"/>
          <w:lang w:val="es-ES"/>
        </w:rPr>
        <w:t>Excepciones Preliminares</w:t>
      </w:r>
      <w:r w:rsidRPr="00C21A2E">
        <w:rPr>
          <w:rFonts w:cs="Verdana"/>
          <w:szCs w:val="16"/>
          <w:lang w:val="es-ES"/>
        </w:rPr>
        <w:t xml:space="preserve">, párr. 88; </w:t>
      </w:r>
      <w:r w:rsidRPr="002B2CD2">
        <w:rPr>
          <w:rFonts w:cs="Verdana"/>
          <w:i/>
          <w:iCs/>
          <w:szCs w:val="16"/>
          <w:lang w:val="es-ES"/>
        </w:rPr>
        <w:t xml:space="preserve">Caso del Pueblo </w:t>
      </w:r>
      <w:proofErr w:type="spellStart"/>
      <w:r w:rsidRPr="002B2CD2">
        <w:rPr>
          <w:rFonts w:cs="Verdana"/>
          <w:i/>
          <w:iCs/>
          <w:szCs w:val="16"/>
          <w:lang w:val="es-ES"/>
        </w:rPr>
        <w:t>Saramaka</w:t>
      </w:r>
      <w:proofErr w:type="spellEnd"/>
      <w:r w:rsidRPr="002B2CD2">
        <w:rPr>
          <w:rFonts w:cs="Verdana"/>
          <w:i/>
          <w:iCs/>
          <w:szCs w:val="16"/>
          <w:lang w:val="es-ES"/>
        </w:rPr>
        <w:t xml:space="preserve">. Vs. </w:t>
      </w:r>
      <w:proofErr w:type="spellStart"/>
      <w:r w:rsidRPr="002B2CD2">
        <w:rPr>
          <w:rFonts w:cs="Verdana"/>
          <w:i/>
          <w:iCs/>
          <w:szCs w:val="16"/>
          <w:lang w:val="es-ES"/>
        </w:rPr>
        <w:t>Suriname</w:t>
      </w:r>
      <w:proofErr w:type="spellEnd"/>
      <w:r w:rsidRPr="002B2CD2">
        <w:rPr>
          <w:rFonts w:cs="Verdana"/>
          <w:i/>
          <w:szCs w:val="16"/>
          <w:lang w:val="es-ES"/>
        </w:rPr>
        <w:t xml:space="preserve">. </w:t>
      </w:r>
      <w:r w:rsidRPr="002B2CD2">
        <w:rPr>
          <w:rFonts w:cs="Verdana"/>
          <w:i/>
          <w:iCs/>
          <w:szCs w:val="16"/>
          <w:lang w:val="es-ES"/>
        </w:rPr>
        <w:t>Excepción Preliminar, Fondo, Reparaciones y Costas</w:t>
      </w:r>
      <w:r w:rsidRPr="00C21A2E">
        <w:rPr>
          <w:rFonts w:cs="Verdana"/>
          <w:iCs/>
          <w:szCs w:val="16"/>
          <w:lang w:val="es-ES"/>
        </w:rPr>
        <w:t xml:space="preserve">. </w:t>
      </w:r>
      <w:r w:rsidRPr="00C21A2E">
        <w:rPr>
          <w:rFonts w:cs="Verdana"/>
          <w:szCs w:val="16"/>
          <w:lang w:val="es-ES"/>
        </w:rPr>
        <w:t xml:space="preserve">Sentencia de 28 de noviembre de 2007. Serie C No. 172, párr. 43; y </w:t>
      </w:r>
      <w:r w:rsidRPr="002B2CD2">
        <w:rPr>
          <w:rFonts w:cs="Verdana"/>
          <w:i/>
          <w:iCs/>
          <w:szCs w:val="16"/>
          <w:lang w:val="es-ES"/>
        </w:rPr>
        <w:t>Caso Salvador Chiriboga Vs. Ecuador. Excepción Preliminar y Fondo</w:t>
      </w:r>
      <w:r w:rsidRPr="00C21A2E">
        <w:rPr>
          <w:rFonts w:cs="Verdana"/>
          <w:iCs/>
          <w:szCs w:val="16"/>
          <w:lang w:val="es-ES"/>
        </w:rPr>
        <w:t xml:space="preserve">. </w:t>
      </w:r>
      <w:r w:rsidRPr="00C21A2E">
        <w:rPr>
          <w:rFonts w:cs="Verdana"/>
          <w:szCs w:val="16"/>
          <w:lang w:val="es-ES"/>
        </w:rPr>
        <w:t>Sentencia de 6 de mayo de 2008. Serie C No. 179, párr. 40.</w:t>
      </w:r>
    </w:p>
  </w:footnote>
  <w:footnote w:id="54">
    <w:p w14:paraId="5C8C5A3E" w14:textId="78271D9C"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2B2CD2">
        <w:rPr>
          <w:i/>
          <w:szCs w:val="16"/>
          <w:lang w:val="es-ES"/>
        </w:rPr>
        <w:t>Caso Maldonado Ordoñez Vs. Guatemala, Excepción Preliminar, Fondo, Reparación y Costas</w:t>
      </w:r>
      <w:r w:rsidRPr="00C21A2E">
        <w:rPr>
          <w:szCs w:val="16"/>
          <w:lang w:val="es-ES"/>
        </w:rPr>
        <w:t xml:space="preserve">. Sentencia de 3 de mayo de 2016, párrafos 21-22; </w:t>
      </w:r>
      <w:r w:rsidRPr="00C21A2E">
        <w:rPr>
          <w:rStyle w:val="Strong"/>
          <w:b w:val="0"/>
          <w:i/>
          <w:color w:val="000000"/>
          <w:szCs w:val="16"/>
          <w:shd w:val="clear" w:color="auto" w:fill="FFFFFF"/>
          <w:lang w:val="es-ES"/>
        </w:rPr>
        <w:t xml:space="preserve">Caso </w:t>
      </w:r>
      <w:proofErr w:type="spellStart"/>
      <w:r w:rsidRPr="00C21A2E">
        <w:rPr>
          <w:rStyle w:val="Strong"/>
          <w:b w:val="0"/>
          <w:i/>
          <w:color w:val="000000"/>
          <w:szCs w:val="16"/>
          <w:shd w:val="clear" w:color="auto" w:fill="FFFFFF"/>
          <w:lang w:val="es-ES"/>
        </w:rPr>
        <w:t>Quispialaya</w:t>
      </w:r>
      <w:proofErr w:type="spellEnd"/>
      <w:r w:rsidRPr="00C21A2E">
        <w:rPr>
          <w:rStyle w:val="Strong"/>
          <w:b w:val="0"/>
          <w:i/>
          <w:color w:val="000000"/>
          <w:szCs w:val="16"/>
          <w:shd w:val="clear" w:color="auto" w:fill="FFFFFF"/>
          <w:lang w:val="es-ES"/>
        </w:rPr>
        <w:t xml:space="preserve"> </w:t>
      </w:r>
      <w:proofErr w:type="spellStart"/>
      <w:r w:rsidRPr="00C21A2E">
        <w:rPr>
          <w:rStyle w:val="Strong"/>
          <w:b w:val="0"/>
          <w:i/>
          <w:color w:val="000000"/>
          <w:szCs w:val="16"/>
          <w:shd w:val="clear" w:color="auto" w:fill="FFFFFF"/>
          <w:lang w:val="es-ES"/>
        </w:rPr>
        <w:t>Vilcapoma</w:t>
      </w:r>
      <w:proofErr w:type="spellEnd"/>
      <w:r w:rsidRPr="00C21A2E">
        <w:rPr>
          <w:rStyle w:val="Strong"/>
          <w:b w:val="0"/>
          <w:color w:val="000000"/>
          <w:szCs w:val="16"/>
          <w:shd w:val="clear" w:color="auto" w:fill="FFFFFF"/>
          <w:lang w:val="es-ES"/>
        </w:rPr>
        <w:t>, párr. 20.</w:t>
      </w:r>
    </w:p>
  </w:footnote>
  <w:footnote w:id="55">
    <w:p w14:paraId="0F6EE341"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rStyle w:val="Strong"/>
          <w:b w:val="0"/>
          <w:i/>
          <w:color w:val="000000"/>
          <w:szCs w:val="16"/>
          <w:shd w:val="clear" w:color="auto" w:fill="FFFFFF"/>
          <w:lang w:val="es-ES"/>
        </w:rPr>
        <w:t xml:space="preserve">Caso Gonzales </w:t>
      </w:r>
      <w:proofErr w:type="spellStart"/>
      <w:r w:rsidRPr="00C21A2E">
        <w:rPr>
          <w:rStyle w:val="Strong"/>
          <w:b w:val="0"/>
          <w:i/>
          <w:color w:val="000000"/>
          <w:szCs w:val="16"/>
          <w:shd w:val="clear" w:color="auto" w:fill="FFFFFF"/>
          <w:lang w:val="es-ES"/>
        </w:rPr>
        <w:t>Lluy</w:t>
      </w:r>
      <w:proofErr w:type="spellEnd"/>
      <w:r w:rsidRPr="00C21A2E">
        <w:rPr>
          <w:rStyle w:val="Strong"/>
          <w:b w:val="0"/>
          <w:i/>
          <w:color w:val="000000"/>
          <w:szCs w:val="16"/>
          <w:shd w:val="clear" w:color="auto" w:fill="FFFFFF"/>
          <w:lang w:val="es-ES"/>
        </w:rPr>
        <w:t xml:space="preserve"> y otros Vs. Ecuador. Excepciones Preliminares, Fondo, Reparaciones y Costas</w:t>
      </w:r>
      <w:r w:rsidRPr="00C21A2E">
        <w:rPr>
          <w:rStyle w:val="Strong"/>
          <w:b w:val="0"/>
          <w:color w:val="000000"/>
          <w:szCs w:val="16"/>
          <w:shd w:val="clear" w:color="auto" w:fill="FFFFFF"/>
          <w:lang w:val="es-ES"/>
        </w:rPr>
        <w:t>. Sentencia de 1 de septiembre de 2015. Serie C No. 298, párr. 28.</w:t>
      </w:r>
    </w:p>
  </w:footnote>
  <w:footnote w:id="56">
    <w:p w14:paraId="2C10E937"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rStyle w:val="Strong"/>
          <w:b w:val="0"/>
          <w:i/>
          <w:color w:val="000000"/>
          <w:szCs w:val="16"/>
          <w:shd w:val="clear" w:color="auto" w:fill="FFFFFF"/>
          <w:lang w:val="es-ES"/>
        </w:rPr>
        <w:t xml:space="preserve">Caso Velásquez </w:t>
      </w:r>
      <w:proofErr w:type="spellStart"/>
      <w:r w:rsidRPr="00C21A2E">
        <w:rPr>
          <w:rStyle w:val="Strong"/>
          <w:b w:val="0"/>
          <w:i/>
          <w:color w:val="000000"/>
          <w:szCs w:val="16"/>
          <w:shd w:val="clear" w:color="auto" w:fill="FFFFFF"/>
          <w:lang w:val="es-ES"/>
        </w:rPr>
        <w:t>Paiz</w:t>
      </w:r>
      <w:proofErr w:type="spellEnd"/>
      <w:r w:rsidRPr="00C21A2E">
        <w:rPr>
          <w:rStyle w:val="Strong"/>
          <w:b w:val="0"/>
          <w:i/>
          <w:color w:val="000000"/>
          <w:szCs w:val="16"/>
          <w:shd w:val="clear" w:color="auto" w:fill="FFFFFF"/>
          <w:lang w:val="es-ES"/>
        </w:rPr>
        <w:t xml:space="preserve"> y otros Vs. Guatemala. Excepciones Preliminares, Fondo, Reparaciones y Costas</w:t>
      </w:r>
      <w:r w:rsidRPr="00C21A2E">
        <w:rPr>
          <w:rStyle w:val="Strong"/>
          <w:b w:val="0"/>
          <w:color w:val="000000"/>
          <w:szCs w:val="16"/>
          <w:shd w:val="clear" w:color="auto" w:fill="FFFFFF"/>
          <w:lang w:val="es-ES"/>
        </w:rPr>
        <w:t>. Sentencia de 19 de noviembre de 2015. Serie C No. 307, párr. 24.</w:t>
      </w:r>
    </w:p>
  </w:footnote>
  <w:footnote w:id="57">
    <w:p w14:paraId="1FCFAA17" w14:textId="3A95C47A"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426E86">
        <w:rPr>
          <w:szCs w:val="16"/>
          <w:lang w:val="es-ES"/>
        </w:rPr>
        <w:t xml:space="preserve"> </w:t>
      </w:r>
      <w:r w:rsidRPr="00C21A2E">
        <w:rPr>
          <w:rFonts w:cs="Cambria"/>
          <w:i/>
          <w:szCs w:val="16"/>
          <w:lang w:val="es-ES"/>
        </w:rPr>
        <w:t>Cfr.</w:t>
      </w:r>
      <w:r w:rsidRPr="00C21A2E">
        <w:rPr>
          <w:rFonts w:cs="Cambria"/>
          <w:szCs w:val="16"/>
          <w:lang w:val="es-ES"/>
        </w:rPr>
        <w:t xml:space="preserve"> </w:t>
      </w:r>
      <w:r w:rsidRPr="00C21A2E">
        <w:rPr>
          <w:rFonts w:cs="Cambria"/>
          <w:i/>
          <w:szCs w:val="16"/>
          <w:lang w:val="es-ES"/>
        </w:rPr>
        <w:t xml:space="preserve">Caso </w:t>
      </w:r>
      <w:proofErr w:type="spellStart"/>
      <w:r w:rsidRPr="00C21A2E">
        <w:rPr>
          <w:rFonts w:cs="Cambria"/>
          <w:i/>
          <w:szCs w:val="16"/>
          <w:lang w:val="es-ES"/>
        </w:rPr>
        <w:t>Furlan</w:t>
      </w:r>
      <w:proofErr w:type="spellEnd"/>
      <w:r w:rsidRPr="00C21A2E">
        <w:rPr>
          <w:rFonts w:cs="Cambria"/>
          <w:i/>
          <w:szCs w:val="16"/>
          <w:lang w:val="es-ES"/>
        </w:rPr>
        <w:t xml:space="preserve"> y Familiares Vs. Argentina. Excepciones Preliminares, Fondo, Reparaciones y Costas</w:t>
      </w:r>
      <w:r w:rsidRPr="00C21A2E">
        <w:rPr>
          <w:rFonts w:cs="Cambria"/>
          <w:szCs w:val="16"/>
          <w:lang w:val="es-ES"/>
        </w:rPr>
        <w:t xml:space="preserve">. Sentencia de 31 de agosto de 2012 Serie C No. 246, párr. 29, y </w:t>
      </w:r>
      <w:r w:rsidRPr="00C21A2E">
        <w:rPr>
          <w:rFonts w:cs="Cambria"/>
          <w:i/>
          <w:szCs w:val="16"/>
          <w:lang w:val="es-ES"/>
        </w:rPr>
        <w:t xml:space="preserve">Caso de los Pueblos Indígenas Kuna de </w:t>
      </w:r>
      <w:proofErr w:type="spellStart"/>
      <w:r w:rsidRPr="00C21A2E">
        <w:rPr>
          <w:rFonts w:cs="Cambria"/>
          <w:i/>
          <w:szCs w:val="16"/>
          <w:lang w:val="es-ES"/>
        </w:rPr>
        <w:t>Madungandí</w:t>
      </w:r>
      <w:proofErr w:type="spellEnd"/>
      <w:r w:rsidRPr="00C21A2E">
        <w:rPr>
          <w:rFonts w:cs="Cambria"/>
          <w:i/>
          <w:szCs w:val="16"/>
          <w:lang w:val="es-ES"/>
        </w:rPr>
        <w:t xml:space="preserve"> y </w:t>
      </w:r>
      <w:proofErr w:type="spellStart"/>
      <w:r w:rsidRPr="00C21A2E">
        <w:rPr>
          <w:rFonts w:cs="Cambria"/>
          <w:i/>
          <w:szCs w:val="16"/>
          <w:lang w:val="es-ES"/>
        </w:rPr>
        <w:t>Emberá</w:t>
      </w:r>
      <w:proofErr w:type="spellEnd"/>
      <w:r w:rsidRPr="00C21A2E">
        <w:rPr>
          <w:rFonts w:cs="Cambria"/>
          <w:i/>
          <w:szCs w:val="16"/>
          <w:lang w:val="es-ES"/>
        </w:rPr>
        <w:t xml:space="preserve"> de Bayano y sus Miembros</w:t>
      </w:r>
      <w:r w:rsidRPr="00C21A2E">
        <w:rPr>
          <w:i/>
          <w:szCs w:val="16"/>
          <w:lang w:val="es-ES"/>
        </w:rPr>
        <w:t xml:space="preserve"> Vs. Panamá. Excepciones Preliminares, Fondo, Reparaciones y Costas</w:t>
      </w:r>
      <w:r w:rsidRPr="00C21A2E">
        <w:rPr>
          <w:szCs w:val="16"/>
          <w:lang w:val="es-ES"/>
        </w:rPr>
        <w:t xml:space="preserve">. Sentencia de 14 de octubre de 2014. </w:t>
      </w:r>
      <w:r w:rsidRPr="005901C2">
        <w:rPr>
          <w:szCs w:val="16"/>
          <w:lang w:val="es-ES"/>
        </w:rPr>
        <w:t>Serie C No. 284</w:t>
      </w:r>
      <w:r w:rsidRPr="00C21A2E">
        <w:rPr>
          <w:rFonts w:cs="Cambria"/>
          <w:i/>
          <w:szCs w:val="16"/>
          <w:lang w:val="es-ES"/>
        </w:rPr>
        <w:t>,</w:t>
      </w:r>
      <w:r w:rsidRPr="00C21A2E">
        <w:rPr>
          <w:rFonts w:cs="Cambria"/>
          <w:szCs w:val="16"/>
          <w:lang w:val="es-ES"/>
        </w:rPr>
        <w:t xml:space="preserve"> párr. 21.</w:t>
      </w:r>
    </w:p>
  </w:footnote>
  <w:footnote w:id="58">
    <w:p w14:paraId="7CBCF64A" w14:textId="103ACB4B" w:rsidR="00122408" w:rsidRPr="00566511"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w:t>
      </w:r>
      <w:r w:rsidRPr="00C21A2E">
        <w:rPr>
          <w:szCs w:val="16"/>
          <w:lang w:val="es-ES"/>
        </w:rPr>
        <w:t xml:space="preserve"> </w:t>
      </w:r>
      <w:r w:rsidRPr="002B2CD2">
        <w:rPr>
          <w:i/>
          <w:szCs w:val="16"/>
          <w:lang w:val="es-ES"/>
        </w:rPr>
        <w:t>Caso Velásquez Rodríguez Vs. Honduras. Excepciones Preliminares</w:t>
      </w:r>
      <w:r w:rsidRPr="00C21A2E">
        <w:rPr>
          <w:szCs w:val="16"/>
          <w:lang w:val="es-ES"/>
        </w:rPr>
        <w:t xml:space="preserve">, </w:t>
      </w:r>
      <w:proofErr w:type="spellStart"/>
      <w:r w:rsidRPr="00C21A2E">
        <w:rPr>
          <w:szCs w:val="16"/>
          <w:lang w:val="es-ES"/>
        </w:rPr>
        <w:t>párrs</w:t>
      </w:r>
      <w:proofErr w:type="spellEnd"/>
      <w:r w:rsidRPr="00C21A2E">
        <w:rPr>
          <w:szCs w:val="16"/>
          <w:lang w:val="es-ES"/>
        </w:rPr>
        <w:t xml:space="preserve">. 88 y 89, y </w:t>
      </w:r>
      <w:r w:rsidRPr="00C21A2E">
        <w:rPr>
          <w:i/>
          <w:szCs w:val="16"/>
          <w:lang w:val="es-ES"/>
        </w:rPr>
        <w:t xml:space="preserve">Caso de los Pueblos Indígenas Kuna de </w:t>
      </w:r>
      <w:proofErr w:type="spellStart"/>
      <w:r w:rsidRPr="00C21A2E">
        <w:rPr>
          <w:i/>
          <w:szCs w:val="16"/>
          <w:lang w:val="es-ES"/>
        </w:rPr>
        <w:t>Madungandí</w:t>
      </w:r>
      <w:proofErr w:type="spellEnd"/>
      <w:r w:rsidRPr="00C21A2E">
        <w:rPr>
          <w:i/>
          <w:szCs w:val="16"/>
          <w:lang w:val="es-ES"/>
        </w:rPr>
        <w:t xml:space="preserve"> y </w:t>
      </w:r>
      <w:proofErr w:type="spellStart"/>
      <w:r w:rsidRPr="00C21A2E">
        <w:rPr>
          <w:i/>
          <w:szCs w:val="16"/>
          <w:lang w:val="es-ES"/>
        </w:rPr>
        <w:t>Emberá</w:t>
      </w:r>
      <w:proofErr w:type="spellEnd"/>
      <w:r w:rsidRPr="00C21A2E">
        <w:rPr>
          <w:i/>
          <w:szCs w:val="16"/>
          <w:lang w:val="es-ES"/>
        </w:rPr>
        <w:t xml:space="preserve"> de Bayano y sus Miembros</w:t>
      </w:r>
      <w:r w:rsidRPr="009F0107">
        <w:rPr>
          <w:szCs w:val="16"/>
          <w:lang w:val="es-ES"/>
        </w:rPr>
        <w:t xml:space="preserve">, párr. </w:t>
      </w:r>
      <w:r w:rsidRPr="00566511">
        <w:rPr>
          <w:szCs w:val="16"/>
          <w:lang w:val="es-ES"/>
        </w:rPr>
        <w:t>21.</w:t>
      </w:r>
    </w:p>
  </w:footnote>
  <w:footnote w:id="59">
    <w:p w14:paraId="014FA917" w14:textId="17E0E880"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566511">
        <w:rPr>
          <w:szCs w:val="16"/>
          <w:lang w:val="es-ES"/>
        </w:rPr>
        <w:t xml:space="preserve">  </w:t>
      </w:r>
      <w:r w:rsidRPr="00566511">
        <w:rPr>
          <w:i/>
          <w:szCs w:val="16"/>
          <w:lang w:val="es-ES"/>
        </w:rPr>
        <w:t>Cfr.</w:t>
      </w:r>
      <w:r w:rsidRPr="00566511">
        <w:rPr>
          <w:szCs w:val="16"/>
          <w:lang w:val="es-ES"/>
        </w:rPr>
        <w:t xml:space="preserve"> </w:t>
      </w:r>
      <w:r w:rsidRPr="00566511">
        <w:rPr>
          <w:i/>
          <w:szCs w:val="16"/>
          <w:lang w:val="es-ES"/>
        </w:rPr>
        <w:t xml:space="preserve">Caso Wong Ho </w:t>
      </w:r>
      <w:proofErr w:type="spellStart"/>
      <w:r w:rsidRPr="00566511">
        <w:rPr>
          <w:i/>
          <w:szCs w:val="16"/>
          <w:lang w:val="es-ES"/>
        </w:rPr>
        <w:t>Wing</w:t>
      </w:r>
      <w:proofErr w:type="spellEnd"/>
      <w:r w:rsidRPr="00566511">
        <w:rPr>
          <w:szCs w:val="16"/>
          <w:lang w:val="es-ES"/>
        </w:rPr>
        <w:t xml:space="preserve">, párr. </w:t>
      </w:r>
      <w:r w:rsidRPr="00C21A2E">
        <w:rPr>
          <w:szCs w:val="16"/>
          <w:lang w:val="es-ES"/>
        </w:rPr>
        <w:t xml:space="preserve">25, y </w:t>
      </w:r>
      <w:r w:rsidRPr="00C21A2E">
        <w:rPr>
          <w:i/>
          <w:szCs w:val="16"/>
          <w:lang w:val="es-ES"/>
        </w:rPr>
        <w:t xml:space="preserve">Caso Duque Vs. Colombia. Excepciones Preliminares, Fondo, Reparaciones y Costas. </w:t>
      </w:r>
      <w:r w:rsidRPr="00C21A2E">
        <w:rPr>
          <w:szCs w:val="16"/>
          <w:lang w:val="es-ES"/>
        </w:rPr>
        <w:t>Sentencia de 26 de febrero de 2016. Serie C No. 310, párr. 34.</w:t>
      </w:r>
    </w:p>
  </w:footnote>
  <w:footnote w:id="60">
    <w:p w14:paraId="681681D6"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i/>
          <w:szCs w:val="16"/>
        </w:rPr>
        <w:t>Cfr. Caso Velásquez Rodríguez Vs. Honduras. Fondo</w:t>
      </w:r>
      <w:r w:rsidRPr="00C21A2E">
        <w:rPr>
          <w:szCs w:val="16"/>
        </w:rPr>
        <w:t xml:space="preserve">. Sentencia de 29 de julio de 1988. Serie C No. 4, párr. 61, y </w:t>
      </w:r>
      <w:r w:rsidRPr="00C21A2E">
        <w:rPr>
          <w:i/>
          <w:szCs w:val="16"/>
        </w:rPr>
        <w:t xml:space="preserve">Caso Duque, </w:t>
      </w:r>
      <w:r w:rsidRPr="00C21A2E">
        <w:rPr>
          <w:szCs w:val="16"/>
        </w:rPr>
        <w:t>párr. 35.</w:t>
      </w:r>
    </w:p>
  </w:footnote>
  <w:footnote w:id="61">
    <w:p w14:paraId="427FEE92"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i/>
          <w:szCs w:val="16"/>
        </w:rPr>
        <w:t>Cfr. Caso Velásquez Rodríguez Vs. Honduras. Fondo</w:t>
      </w:r>
      <w:r w:rsidRPr="00C21A2E">
        <w:rPr>
          <w:szCs w:val="16"/>
        </w:rPr>
        <w:t xml:space="preserve">, párr. 63, y </w:t>
      </w:r>
      <w:r w:rsidRPr="00C21A2E">
        <w:rPr>
          <w:i/>
          <w:szCs w:val="16"/>
        </w:rPr>
        <w:t xml:space="preserve">Caso Duque, </w:t>
      </w:r>
      <w:r w:rsidRPr="00C21A2E">
        <w:rPr>
          <w:szCs w:val="16"/>
        </w:rPr>
        <w:t>párr. 35.</w:t>
      </w:r>
    </w:p>
  </w:footnote>
  <w:footnote w:id="62">
    <w:p w14:paraId="40F037B2"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i/>
          <w:szCs w:val="16"/>
        </w:rPr>
        <w:t>Cfr</w:t>
      </w:r>
      <w:r w:rsidRPr="00C21A2E">
        <w:rPr>
          <w:szCs w:val="16"/>
        </w:rPr>
        <w:t xml:space="preserve">. </w:t>
      </w:r>
      <w:r w:rsidRPr="00C21A2E">
        <w:rPr>
          <w:i/>
          <w:szCs w:val="16"/>
        </w:rPr>
        <w:t xml:space="preserve">Caso Wong Ho </w:t>
      </w:r>
      <w:proofErr w:type="spellStart"/>
      <w:r w:rsidRPr="00C21A2E">
        <w:rPr>
          <w:i/>
          <w:szCs w:val="16"/>
        </w:rPr>
        <w:t>Wing</w:t>
      </w:r>
      <w:proofErr w:type="spellEnd"/>
      <w:r w:rsidRPr="00C21A2E">
        <w:rPr>
          <w:szCs w:val="16"/>
        </w:rPr>
        <w:t xml:space="preserve">, párr. 27, y </w:t>
      </w:r>
      <w:r w:rsidRPr="00C21A2E">
        <w:rPr>
          <w:i/>
          <w:szCs w:val="16"/>
        </w:rPr>
        <w:t xml:space="preserve">Caso Duque, </w:t>
      </w:r>
      <w:r w:rsidRPr="00C21A2E">
        <w:rPr>
          <w:szCs w:val="16"/>
        </w:rPr>
        <w:t>párr. 35.</w:t>
      </w:r>
    </w:p>
  </w:footnote>
  <w:footnote w:id="63">
    <w:p w14:paraId="5A958DA4" w14:textId="3AED1596" w:rsidR="00122408" w:rsidRPr="00C21A2E" w:rsidRDefault="00122408" w:rsidP="00B50B41">
      <w:pPr>
        <w:pStyle w:val="FootnoteText"/>
        <w:spacing w:after="40"/>
        <w:rPr>
          <w:i/>
          <w:szCs w:val="16"/>
          <w:lang w:val="es-ES"/>
        </w:rPr>
      </w:pPr>
      <w:r w:rsidRPr="00C21A2E">
        <w:rPr>
          <w:szCs w:val="16"/>
          <w:vertAlign w:val="superscript"/>
          <w:lang w:val="es-ES"/>
        </w:rPr>
        <w:footnoteRef/>
      </w:r>
      <w:r w:rsidRPr="00C21A2E">
        <w:rPr>
          <w:i/>
          <w:szCs w:val="16"/>
          <w:lang w:val="es-ES"/>
        </w:rPr>
        <w:t xml:space="preserve"> Cfr. </w:t>
      </w:r>
      <w:r w:rsidRPr="00C21A2E">
        <w:rPr>
          <w:bCs/>
          <w:i/>
          <w:szCs w:val="16"/>
        </w:rPr>
        <w:t>Caso Velásquez Rodríguez Vs. Honduras. Fondo</w:t>
      </w:r>
      <w:r w:rsidRPr="00C21A2E">
        <w:rPr>
          <w:szCs w:val="16"/>
          <w:lang w:val="es-ES"/>
        </w:rPr>
        <w:t xml:space="preserve">, párr. 140, y </w:t>
      </w:r>
      <w:r w:rsidRPr="00011D6C">
        <w:rPr>
          <w:bCs/>
          <w:i/>
          <w:color w:val="000000"/>
          <w:szCs w:val="16"/>
          <w:shd w:val="clear" w:color="auto" w:fill="FFFFFF"/>
        </w:rPr>
        <w:t xml:space="preserve">Caso Andrade Salmón Vs. Bolivia. Fondo, Reparaciones y Costas. </w:t>
      </w:r>
      <w:r w:rsidRPr="00011D6C">
        <w:rPr>
          <w:bCs/>
          <w:color w:val="000000"/>
          <w:szCs w:val="16"/>
          <w:shd w:val="clear" w:color="auto" w:fill="FFFFFF"/>
        </w:rPr>
        <w:t>Sentencia de 1 de diciembre de 2016. Serie C No. 330</w:t>
      </w:r>
      <w:r w:rsidRPr="00C21A2E">
        <w:rPr>
          <w:rStyle w:val="Strong"/>
          <w:b w:val="0"/>
          <w:color w:val="000000"/>
          <w:szCs w:val="16"/>
          <w:shd w:val="clear" w:color="auto" w:fill="FFFFFF"/>
          <w:lang w:val="es-ES"/>
        </w:rPr>
        <w:t xml:space="preserve">, párr. </w:t>
      </w:r>
      <w:r>
        <w:rPr>
          <w:rStyle w:val="Strong"/>
          <w:b w:val="0"/>
          <w:color w:val="000000"/>
          <w:szCs w:val="16"/>
          <w:shd w:val="clear" w:color="auto" w:fill="FFFFFF"/>
          <w:lang w:val="es-ES"/>
        </w:rPr>
        <w:t>16</w:t>
      </w:r>
      <w:r w:rsidRPr="00C21A2E">
        <w:rPr>
          <w:bCs/>
          <w:szCs w:val="16"/>
        </w:rPr>
        <w:t xml:space="preserve">. </w:t>
      </w:r>
    </w:p>
  </w:footnote>
  <w:footnote w:id="64">
    <w:p w14:paraId="3667AE96" w14:textId="49C0AA2B" w:rsidR="00122408" w:rsidRPr="00C21A2E" w:rsidRDefault="00122408" w:rsidP="00B50B41">
      <w:pPr>
        <w:pStyle w:val="FootnoteText"/>
        <w:spacing w:after="40"/>
        <w:rPr>
          <w:i/>
          <w:szCs w:val="16"/>
          <w:lang w:val="es-ES"/>
        </w:rPr>
      </w:pPr>
      <w:r w:rsidRPr="00C21A2E">
        <w:rPr>
          <w:szCs w:val="16"/>
          <w:vertAlign w:val="superscript"/>
          <w:lang w:val="es-ES"/>
        </w:rPr>
        <w:footnoteRef/>
      </w:r>
      <w:r w:rsidRPr="00C21A2E">
        <w:rPr>
          <w:i/>
          <w:szCs w:val="16"/>
          <w:lang w:val="es-ES"/>
        </w:rPr>
        <w:t xml:space="preserve"> Cfr. Caso </w:t>
      </w:r>
      <w:proofErr w:type="spellStart"/>
      <w:r w:rsidRPr="00C21A2E">
        <w:rPr>
          <w:i/>
          <w:szCs w:val="16"/>
          <w:lang w:val="es-ES"/>
        </w:rPr>
        <w:t>Escué</w:t>
      </w:r>
      <w:proofErr w:type="spellEnd"/>
      <w:r w:rsidRPr="00C21A2E">
        <w:rPr>
          <w:i/>
          <w:szCs w:val="16"/>
          <w:lang w:val="es-ES"/>
        </w:rPr>
        <w:t xml:space="preserve"> Zapata Vs. Colombia. Fondo, Reparaciones y Costas. </w:t>
      </w:r>
      <w:r w:rsidRPr="00C21A2E">
        <w:rPr>
          <w:szCs w:val="16"/>
          <w:lang w:val="es-ES"/>
        </w:rPr>
        <w:t xml:space="preserve">Sentencia de 4 de julio de 2007. Serie C No. 165, párr. 26, y </w:t>
      </w:r>
      <w:r w:rsidRPr="00011D6C">
        <w:rPr>
          <w:bCs/>
          <w:i/>
          <w:color w:val="000000"/>
          <w:szCs w:val="16"/>
          <w:shd w:val="clear" w:color="auto" w:fill="FFFFFF"/>
        </w:rPr>
        <w:t xml:space="preserve">Caso Miembros de la Aldea </w:t>
      </w:r>
      <w:proofErr w:type="spellStart"/>
      <w:r w:rsidRPr="00011D6C">
        <w:rPr>
          <w:bCs/>
          <w:i/>
          <w:color w:val="000000"/>
          <w:szCs w:val="16"/>
          <w:shd w:val="clear" w:color="auto" w:fill="FFFFFF"/>
        </w:rPr>
        <w:t>Chichupac</w:t>
      </w:r>
      <w:proofErr w:type="spellEnd"/>
      <w:r w:rsidRPr="00011D6C">
        <w:rPr>
          <w:bCs/>
          <w:i/>
          <w:color w:val="000000"/>
          <w:szCs w:val="16"/>
          <w:shd w:val="clear" w:color="auto" w:fill="FFFFFF"/>
        </w:rPr>
        <w:t xml:space="preserve"> y comunidades vecinas del Municipio de Rabinal</w:t>
      </w:r>
      <w:r w:rsidRPr="00C21A2E">
        <w:rPr>
          <w:rStyle w:val="Strong"/>
          <w:b w:val="0"/>
          <w:color w:val="000000"/>
          <w:szCs w:val="16"/>
          <w:shd w:val="clear" w:color="auto" w:fill="FFFFFF"/>
          <w:lang w:val="es-ES"/>
        </w:rPr>
        <w:t xml:space="preserve">, párr. </w:t>
      </w:r>
      <w:r>
        <w:rPr>
          <w:rStyle w:val="Strong"/>
          <w:b w:val="0"/>
          <w:color w:val="000000"/>
          <w:szCs w:val="16"/>
          <w:shd w:val="clear" w:color="auto" w:fill="FFFFFF"/>
          <w:lang w:val="es-ES"/>
        </w:rPr>
        <w:t>67</w:t>
      </w:r>
      <w:r w:rsidRPr="00C21A2E">
        <w:rPr>
          <w:szCs w:val="16"/>
          <w:lang w:val="es-ES"/>
        </w:rPr>
        <w:t>.</w:t>
      </w:r>
    </w:p>
  </w:footnote>
  <w:footnote w:id="65">
    <w:p w14:paraId="42A17A72" w14:textId="6CC7FE8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lang w:val="es-ES"/>
        </w:rPr>
        <w:t>Cfr. Caso Velásquez Rodríguez Vs. Honduras. Fondo</w:t>
      </w:r>
      <w:r w:rsidRPr="00021FD2">
        <w:rPr>
          <w:i/>
          <w:spacing w:val="-2"/>
          <w:szCs w:val="16"/>
          <w:lang w:val="es-ES"/>
        </w:rPr>
        <w:t xml:space="preserve">, </w:t>
      </w:r>
      <w:r w:rsidRPr="00021FD2">
        <w:rPr>
          <w:spacing w:val="-2"/>
          <w:szCs w:val="16"/>
          <w:lang w:val="es-ES"/>
        </w:rPr>
        <w:t>párr. 146</w:t>
      </w:r>
      <w:r w:rsidRPr="00021FD2">
        <w:rPr>
          <w:i/>
          <w:spacing w:val="-2"/>
          <w:szCs w:val="16"/>
          <w:lang w:val="es-ES"/>
        </w:rPr>
        <w:t xml:space="preserve">, </w:t>
      </w:r>
      <w:r w:rsidRPr="00021FD2">
        <w:rPr>
          <w:spacing w:val="-2"/>
          <w:szCs w:val="16"/>
          <w:lang w:val="es-ES"/>
        </w:rPr>
        <w:t xml:space="preserve">y </w:t>
      </w:r>
      <w:r w:rsidRPr="00021FD2">
        <w:rPr>
          <w:bCs/>
          <w:i/>
          <w:color w:val="000000"/>
          <w:spacing w:val="-2"/>
          <w:szCs w:val="16"/>
          <w:shd w:val="clear" w:color="auto" w:fill="FFFFFF"/>
        </w:rPr>
        <w:t>Caso Tenorio</w:t>
      </w:r>
      <w:r w:rsidRPr="006253B7">
        <w:rPr>
          <w:bCs/>
          <w:i/>
          <w:color w:val="000000"/>
          <w:szCs w:val="16"/>
          <w:shd w:val="clear" w:color="auto" w:fill="FFFFFF"/>
        </w:rPr>
        <w:t xml:space="preserve"> Roca y otros Vs. Perú. Excepciones Preliminares, Fondo, Reparaciones y Costas. </w:t>
      </w:r>
      <w:r w:rsidRPr="00021FD2">
        <w:rPr>
          <w:bCs/>
          <w:color w:val="000000"/>
          <w:spacing w:val="-2"/>
          <w:szCs w:val="16"/>
          <w:shd w:val="clear" w:color="auto" w:fill="FFFFFF"/>
        </w:rPr>
        <w:t>Sentencia de 22 de junio de 2016. Serie C No. 314</w:t>
      </w:r>
      <w:r w:rsidRPr="00021FD2">
        <w:rPr>
          <w:rStyle w:val="Strong"/>
          <w:b w:val="0"/>
          <w:color w:val="000000"/>
          <w:spacing w:val="-2"/>
          <w:szCs w:val="16"/>
          <w:shd w:val="clear" w:color="auto" w:fill="FFFFFF"/>
          <w:lang w:val="es-ES"/>
        </w:rPr>
        <w:t>, párr. 54</w:t>
      </w:r>
      <w:r w:rsidRPr="00021FD2">
        <w:rPr>
          <w:spacing w:val="-2"/>
          <w:szCs w:val="16"/>
          <w:lang w:val="es-ES"/>
        </w:rPr>
        <w:t>.</w:t>
      </w:r>
    </w:p>
  </w:footnote>
  <w:footnote w:id="66">
    <w:p w14:paraId="47E34BF8"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lang w:val="es-ES"/>
        </w:rPr>
        <w:t xml:space="preserve">Cfr. </w:t>
      </w:r>
      <w:r w:rsidRPr="00C21A2E">
        <w:rPr>
          <w:bCs/>
          <w:i/>
          <w:szCs w:val="16"/>
        </w:rPr>
        <w:t xml:space="preserve">Caso Díaz Peña Vs. Venezuela. Excepción Preliminar, Fondo, Reparaciones y Costas. </w:t>
      </w:r>
      <w:r w:rsidRPr="00C21A2E">
        <w:rPr>
          <w:bCs/>
          <w:szCs w:val="16"/>
        </w:rPr>
        <w:t>Sentencia de 26 de junio de 2012. Serie C No. 244, párr. 17</w:t>
      </w:r>
      <w:r w:rsidRPr="00C21A2E">
        <w:rPr>
          <w:bCs/>
          <w:i/>
          <w:szCs w:val="16"/>
        </w:rPr>
        <w:t xml:space="preserve"> y Caso Tenorio Roca y otros, </w:t>
      </w:r>
      <w:r w:rsidRPr="00C21A2E">
        <w:rPr>
          <w:bCs/>
          <w:szCs w:val="16"/>
        </w:rPr>
        <w:t>párr. 38.</w:t>
      </w:r>
    </w:p>
  </w:footnote>
  <w:footnote w:id="67">
    <w:p w14:paraId="75E639CA" w14:textId="19E9AB83"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lang w:val="es-ES"/>
        </w:rPr>
        <w:t xml:space="preserve">Caso </w:t>
      </w:r>
      <w:proofErr w:type="spellStart"/>
      <w:r w:rsidRPr="00C21A2E">
        <w:rPr>
          <w:i/>
          <w:szCs w:val="16"/>
          <w:lang w:val="es-ES"/>
        </w:rPr>
        <w:t>Chitay</w:t>
      </w:r>
      <w:proofErr w:type="spellEnd"/>
      <w:r w:rsidRPr="00C21A2E">
        <w:rPr>
          <w:i/>
          <w:szCs w:val="16"/>
          <w:lang w:val="es-ES"/>
        </w:rPr>
        <w:t xml:space="preserve"> </w:t>
      </w:r>
      <w:proofErr w:type="spellStart"/>
      <w:r w:rsidRPr="00C21A2E">
        <w:rPr>
          <w:i/>
          <w:szCs w:val="16"/>
          <w:lang w:val="es-ES"/>
        </w:rPr>
        <w:t>Nech</w:t>
      </w:r>
      <w:proofErr w:type="spellEnd"/>
      <w:r w:rsidRPr="00C21A2E">
        <w:rPr>
          <w:i/>
          <w:szCs w:val="16"/>
          <w:lang w:val="es-ES"/>
        </w:rPr>
        <w:t xml:space="preserve"> y otros Vs. Guatemala. Excepciones Preliminares, Fondo, Reparaciones y Costas. </w:t>
      </w:r>
      <w:r w:rsidRPr="00C21A2E">
        <w:rPr>
          <w:szCs w:val="16"/>
          <w:lang w:val="es-ES"/>
        </w:rPr>
        <w:t xml:space="preserve">Sentencia de 25 de mayo de 2010. Serie C No. 212, párr. 53, y </w:t>
      </w:r>
      <w:r w:rsidRPr="006253B7">
        <w:rPr>
          <w:bCs/>
          <w:i/>
          <w:szCs w:val="16"/>
        </w:rPr>
        <w:t>Caso I.V.</w:t>
      </w:r>
      <w:r w:rsidRPr="00C21A2E">
        <w:rPr>
          <w:szCs w:val="16"/>
          <w:lang w:val="es-AR"/>
        </w:rPr>
        <w:t xml:space="preserve">, párr. </w:t>
      </w:r>
      <w:r>
        <w:rPr>
          <w:szCs w:val="16"/>
          <w:lang w:val="es-AR"/>
        </w:rPr>
        <w:t>45</w:t>
      </w:r>
      <w:r w:rsidRPr="00C21A2E">
        <w:rPr>
          <w:szCs w:val="16"/>
          <w:lang w:val="es-AR"/>
        </w:rPr>
        <w:t>.</w:t>
      </w:r>
    </w:p>
  </w:footnote>
  <w:footnote w:id="68">
    <w:p w14:paraId="1C43EC47" w14:textId="47F2483D"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lang w:val="es-ES"/>
        </w:rPr>
        <w:t xml:space="preserve">Cfr. Caso Tenorio Roca y otros, </w:t>
      </w:r>
      <w:r w:rsidRPr="00C21A2E">
        <w:rPr>
          <w:szCs w:val="16"/>
          <w:lang w:val="es-ES"/>
        </w:rPr>
        <w:t>párr. 41.</w:t>
      </w:r>
    </w:p>
  </w:footnote>
  <w:footnote w:id="69">
    <w:p w14:paraId="74CC16DD" w14:textId="0F413AE0" w:rsidR="00122408" w:rsidRPr="00C21A2E" w:rsidRDefault="00122408" w:rsidP="00B50B41">
      <w:pPr>
        <w:pStyle w:val="FootnoteText"/>
        <w:spacing w:after="40"/>
        <w:rPr>
          <w:b/>
          <w:szCs w:val="16"/>
          <w:lang w:val="es-ES"/>
        </w:rPr>
      </w:pPr>
      <w:r w:rsidRPr="00C21A2E">
        <w:rPr>
          <w:szCs w:val="16"/>
          <w:vertAlign w:val="superscript"/>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de la “Panel Blanca” (Paniagua Morales y otros) Vs. Guatemala.</w:t>
      </w:r>
      <w:r w:rsidRPr="00C21A2E">
        <w:rPr>
          <w:b/>
          <w:i/>
          <w:szCs w:val="16"/>
          <w:lang w:val="es-ES"/>
        </w:rPr>
        <w:t xml:space="preserve"> </w:t>
      </w:r>
      <w:r w:rsidRPr="00C21A2E">
        <w:rPr>
          <w:rStyle w:val="Strong"/>
          <w:b w:val="0"/>
          <w:i/>
          <w:color w:val="000000"/>
          <w:szCs w:val="16"/>
          <w:shd w:val="clear" w:color="auto" w:fill="FFFFFF"/>
          <w:lang w:val="es-ES"/>
        </w:rPr>
        <w:t>Fondo</w:t>
      </w:r>
      <w:r w:rsidRPr="00C21A2E">
        <w:rPr>
          <w:szCs w:val="16"/>
          <w:lang w:val="es-ES"/>
        </w:rPr>
        <w:t>, párr. 76, y</w:t>
      </w:r>
      <w:r w:rsidRPr="00C21A2E">
        <w:rPr>
          <w:b/>
          <w:szCs w:val="16"/>
          <w:lang w:val="es-ES"/>
        </w:rPr>
        <w:t xml:space="preserve"> </w:t>
      </w:r>
      <w:r w:rsidRPr="00FF5852">
        <w:rPr>
          <w:rStyle w:val="Strong"/>
          <w:b w:val="0"/>
          <w:i/>
          <w:color w:val="000000"/>
          <w:szCs w:val="16"/>
          <w:shd w:val="clear" w:color="auto" w:fill="FFFFFF"/>
          <w:lang w:val="es-ES"/>
        </w:rPr>
        <w:t>Caso Andrade Salmón</w:t>
      </w:r>
      <w:r w:rsidRPr="00C21A2E">
        <w:rPr>
          <w:rStyle w:val="Strong"/>
          <w:b w:val="0"/>
          <w:color w:val="000000"/>
          <w:szCs w:val="16"/>
          <w:shd w:val="clear" w:color="auto" w:fill="FFFFFF"/>
          <w:lang w:val="es-ES"/>
        </w:rPr>
        <w:t xml:space="preserve">, párr. </w:t>
      </w:r>
      <w:r>
        <w:rPr>
          <w:rStyle w:val="Strong"/>
          <w:b w:val="0"/>
          <w:color w:val="000000"/>
          <w:szCs w:val="16"/>
          <w:shd w:val="clear" w:color="auto" w:fill="FFFFFF"/>
          <w:lang w:val="es-ES"/>
        </w:rPr>
        <w:t>22</w:t>
      </w:r>
      <w:r w:rsidRPr="006253B7">
        <w:rPr>
          <w:szCs w:val="16"/>
          <w:lang w:val="es-ES"/>
        </w:rPr>
        <w:t>.</w:t>
      </w:r>
    </w:p>
  </w:footnote>
  <w:footnote w:id="70">
    <w:p w14:paraId="54960988" w14:textId="5905D549" w:rsidR="00122408" w:rsidRPr="00C21A2E" w:rsidRDefault="00122408" w:rsidP="00B50B41">
      <w:pPr>
        <w:pStyle w:val="FootnoteText"/>
        <w:spacing w:after="40"/>
        <w:rPr>
          <w:i/>
          <w:szCs w:val="16"/>
          <w:lang w:val="es-ES"/>
        </w:rPr>
      </w:pPr>
      <w:r w:rsidRPr="00C21A2E">
        <w:rPr>
          <w:szCs w:val="16"/>
          <w:vertAlign w:val="superscript"/>
        </w:rPr>
        <w:footnoteRef/>
      </w:r>
      <w:r w:rsidRPr="00C21A2E">
        <w:rPr>
          <w:szCs w:val="16"/>
          <w:vertAlign w:val="superscript"/>
        </w:rPr>
        <w:t xml:space="preserve"> </w:t>
      </w:r>
      <w:r w:rsidRPr="00C21A2E">
        <w:rPr>
          <w:i/>
          <w:szCs w:val="16"/>
          <w:lang w:val="es-ES"/>
        </w:rPr>
        <w:t xml:space="preserve">Cfr. Caso Loayza Tamayo Vs. Perú. Fondo. </w:t>
      </w:r>
      <w:r w:rsidRPr="00C21A2E">
        <w:rPr>
          <w:szCs w:val="16"/>
          <w:lang w:val="es-ES"/>
        </w:rPr>
        <w:t>Sentencia de 17 de septiembre de 1997. Serie C No. 33, párr. 43, y</w:t>
      </w:r>
      <w:r w:rsidRPr="00C21A2E">
        <w:rPr>
          <w:b/>
          <w:szCs w:val="16"/>
          <w:lang w:val="es-ES"/>
        </w:rPr>
        <w:t xml:space="preserve"> </w:t>
      </w:r>
      <w:r w:rsidRPr="00C21A2E">
        <w:rPr>
          <w:rStyle w:val="Strong"/>
          <w:b w:val="0"/>
          <w:i/>
          <w:color w:val="000000"/>
          <w:szCs w:val="16"/>
          <w:shd w:val="clear" w:color="auto" w:fill="FFFFFF"/>
          <w:lang w:val="es-ES"/>
        </w:rPr>
        <w:t xml:space="preserve">Caso </w:t>
      </w:r>
      <w:r>
        <w:rPr>
          <w:rStyle w:val="Strong"/>
          <w:b w:val="0"/>
          <w:i/>
          <w:color w:val="000000"/>
          <w:szCs w:val="16"/>
          <w:shd w:val="clear" w:color="auto" w:fill="FFFFFF"/>
          <w:lang w:val="es-ES"/>
        </w:rPr>
        <w:t xml:space="preserve">I.V., </w:t>
      </w:r>
      <w:r w:rsidRPr="00C21A2E">
        <w:rPr>
          <w:rStyle w:val="Strong"/>
          <w:b w:val="0"/>
          <w:color w:val="000000"/>
          <w:szCs w:val="16"/>
          <w:shd w:val="clear" w:color="auto" w:fill="FFFFFF"/>
          <w:lang w:val="es-ES"/>
        </w:rPr>
        <w:t xml:space="preserve">párr. </w:t>
      </w:r>
      <w:r>
        <w:rPr>
          <w:rStyle w:val="Strong"/>
          <w:b w:val="0"/>
          <w:color w:val="000000"/>
          <w:szCs w:val="16"/>
          <w:shd w:val="clear" w:color="auto" w:fill="FFFFFF"/>
          <w:lang w:val="es-ES"/>
        </w:rPr>
        <w:t>60</w:t>
      </w:r>
      <w:r w:rsidRPr="00C21A2E">
        <w:rPr>
          <w:rStyle w:val="Strong"/>
          <w:b w:val="0"/>
          <w:color w:val="000000"/>
          <w:szCs w:val="16"/>
          <w:shd w:val="clear" w:color="auto" w:fill="FFFFFF"/>
          <w:lang w:val="es-ES"/>
        </w:rPr>
        <w:t>.</w:t>
      </w:r>
    </w:p>
  </w:footnote>
  <w:footnote w:id="71">
    <w:p w14:paraId="1AF879F4" w14:textId="235DE3D9" w:rsidR="00122408" w:rsidRPr="006253B7" w:rsidRDefault="00122408" w:rsidP="00B50B41">
      <w:pPr>
        <w:spacing w:after="40"/>
        <w:rPr>
          <w:b/>
          <w:sz w:val="16"/>
          <w:szCs w:val="16"/>
          <w:lang w:val="es-ES"/>
        </w:rPr>
      </w:pPr>
      <w:r w:rsidRPr="00C21A2E">
        <w:rPr>
          <w:rStyle w:val="FootnoteReference"/>
          <w:sz w:val="16"/>
          <w:szCs w:val="16"/>
        </w:rPr>
        <w:footnoteRef/>
      </w:r>
      <w:r w:rsidRPr="00C21A2E">
        <w:rPr>
          <w:sz w:val="16"/>
          <w:szCs w:val="16"/>
          <w:lang w:val="es-EC"/>
        </w:rPr>
        <w:t xml:space="preserve"> </w:t>
      </w:r>
      <w:r w:rsidRPr="00C21A2E">
        <w:rPr>
          <w:i/>
          <w:sz w:val="16"/>
          <w:szCs w:val="16"/>
          <w:lang w:val="es-EC"/>
        </w:rPr>
        <w:t>Cfr</w:t>
      </w:r>
      <w:r w:rsidRPr="00C21A2E">
        <w:rPr>
          <w:sz w:val="16"/>
          <w:szCs w:val="16"/>
          <w:lang w:val="es-EC"/>
        </w:rPr>
        <w:t xml:space="preserve">. </w:t>
      </w:r>
      <w:r w:rsidRPr="00C21A2E">
        <w:rPr>
          <w:sz w:val="16"/>
          <w:szCs w:val="16"/>
          <w:lang w:val="es-ES"/>
        </w:rPr>
        <w:t>UNESCO, Mapa de la Violencia IV: los jóvenes d</w:t>
      </w:r>
      <w:r>
        <w:rPr>
          <w:sz w:val="16"/>
          <w:szCs w:val="16"/>
          <w:lang w:val="es-ES"/>
        </w:rPr>
        <w:t>e</w:t>
      </w:r>
      <w:r w:rsidRPr="00C21A2E">
        <w:rPr>
          <w:sz w:val="16"/>
          <w:szCs w:val="16"/>
          <w:lang w:val="es-ES"/>
        </w:rPr>
        <w:t xml:space="preserve"> Brasil (</w:t>
      </w:r>
      <w:r>
        <w:rPr>
          <w:sz w:val="16"/>
          <w:szCs w:val="16"/>
          <w:lang w:val="es-ES"/>
        </w:rPr>
        <w:t>Brasilia</w:t>
      </w:r>
      <w:r w:rsidRPr="00C21A2E">
        <w:rPr>
          <w:sz w:val="16"/>
          <w:szCs w:val="16"/>
          <w:lang w:val="es-ES"/>
        </w:rPr>
        <w:t>, 2004) p. 57 -58; CIDH, Informe sobre la Situación de Derechos Humanos en Brasil, OEA/</w:t>
      </w:r>
      <w:proofErr w:type="spellStart"/>
      <w:r w:rsidRPr="00C21A2E">
        <w:rPr>
          <w:sz w:val="16"/>
          <w:szCs w:val="16"/>
          <w:lang w:val="es-ES"/>
        </w:rPr>
        <w:t>Ser.L</w:t>
      </w:r>
      <w:proofErr w:type="spellEnd"/>
      <w:r w:rsidRPr="00C21A2E">
        <w:rPr>
          <w:sz w:val="16"/>
          <w:szCs w:val="16"/>
          <w:lang w:val="es-ES"/>
        </w:rPr>
        <w:t xml:space="preserve">/V/II.97, Doc. 29 </w:t>
      </w:r>
      <w:proofErr w:type="spellStart"/>
      <w:r w:rsidRPr="00C21A2E">
        <w:rPr>
          <w:sz w:val="16"/>
          <w:szCs w:val="16"/>
          <w:lang w:val="es-ES"/>
        </w:rPr>
        <w:t>rev.</w:t>
      </w:r>
      <w:proofErr w:type="spellEnd"/>
      <w:r w:rsidRPr="00C21A2E">
        <w:rPr>
          <w:sz w:val="16"/>
          <w:szCs w:val="16"/>
          <w:lang w:val="es-ES"/>
        </w:rPr>
        <w:t xml:space="preserve"> 1, 29 de septiembre de 1997, Capítulo III, </w:t>
      </w:r>
      <w:proofErr w:type="spellStart"/>
      <w:r w:rsidRPr="00C21A2E">
        <w:rPr>
          <w:sz w:val="16"/>
          <w:szCs w:val="16"/>
          <w:lang w:val="es-ES"/>
        </w:rPr>
        <w:t>párrs</w:t>
      </w:r>
      <w:proofErr w:type="spellEnd"/>
      <w:r w:rsidRPr="00C21A2E">
        <w:rPr>
          <w:sz w:val="16"/>
          <w:szCs w:val="16"/>
          <w:lang w:val="es-ES"/>
        </w:rPr>
        <w:t xml:space="preserve">. </w:t>
      </w:r>
      <w:r w:rsidRPr="00C21A2E">
        <w:rPr>
          <w:sz w:val="16"/>
          <w:szCs w:val="16"/>
          <w:lang w:val="es-EC"/>
        </w:rPr>
        <w:t xml:space="preserve">8, 11, 13; Observaciones finales del Comité de Derechos Humanos: Brasil, U.N.Doc. CCPR/C/79/Add.66, 24 de </w:t>
      </w:r>
      <w:r>
        <w:rPr>
          <w:sz w:val="16"/>
          <w:szCs w:val="16"/>
          <w:lang w:val="es-EC"/>
        </w:rPr>
        <w:t>j</w:t>
      </w:r>
      <w:r w:rsidRPr="00C21A2E">
        <w:rPr>
          <w:sz w:val="16"/>
          <w:szCs w:val="16"/>
          <w:lang w:val="es-EC"/>
        </w:rPr>
        <w:t xml:space="preserve">ulio de 1996, </w:t>
      </w:r>
      <w:proofErr w:type="spellStart"/>
      <w:r w:rsidRPr="00C21A2E">
        <w:rPr>
          <w:sz w:val="16"/>
          <w:szCs w:val="16"/>
          <w:lang w:val="es-EC"/>
        </w:rPr>
        <w:t>párrs</w:t>
      </w:r>
      <w:proofErr w:type="spellEnd"/>
      <w:r w:rsidRPr="00C21A2E">
        <w:rPr>
          <w:sz w:val="16"/>
          <w:szCs w:val="16"/>
          <w:lang w:val="es-EC"/>
        </w:rPr>
        <w:t xml:space="preserve">. </w:t>
      </w:r>
      <w:r w:rsidRPr="00C21A2E">
        <w:rPr>
          <w:sz w:val="16"/>
          <w:szCs w:val="16"/>
        </w:rPr>
        <w:t xml:space="preserve">6 y 8; </w:t>
      </w:r>
      <w:r w:rsidRPr="00C21A2E">
        <w:rPr>
          <w:sz w:val="16"/>
          <w:szCs w:val="16"/>
          <w:lang w:val="es-EC"/>
        </w:rPr>
        <w:t xml:space="preserve">Acta resumida de la sesión 1506° del Comité de Derechos Humanos, 16 de julio de 1996. </w:t>
      </w:r>
      <w:r w:rsidRPr="00C21A2E">
        <w:rPr>
          <w:sz w:val="16"/>
          <w:szCs w:val="16"/>
          <w:lang w:val="es-ES"/>
        </w:rPr>
        <w:t xml:space="preserve">U.N. Doc. CCPR/C/SR.1506, párr. </w:t>
      </w:r>
      <w:r w:rsidRPr="00696029">
        <w:rPr>
          <w:sz w:val="16"/>
          <w:szCs w:val="16"/>
          <w:lang w:val="es-ES"/>
        </w:rPr>
        <w:t xml:space="preserve">5; Informe del Relator Especial sobre formas contemporáneas de racismo, discriminación racial, xenofobia </w:t>
      </w:r>
      <w:proofErr w:type="spellStart"/>
      <w:proofErr w:type="gramStart"/>
      <w:r w:rsidRPr="00696029">
        <w:rPr>
          <w:sz w:val="16"/>
          <w:szCs w:val="16"/>
          <w:lang w:val="es-ES"/>
        </w:rPr>
        <w:t>y</w:t>
      </w:r>
      <w:proofErr w:type="spellEnd"/>
      <w:proofErr w:type="gramEnd"/>
      <w:r w:rsidRPr="00696029">
        <w:rPr>
          <w:sz w:val="16"/>
          <w:szCs w:val="16"/>
          <w:lang w:val="es-ES"/>
        </w:rPr>
        <w:t xml:space="preserve"> intolerancia, U.N.Doc. E/CN.4/2006/16/Add.3, 28 de febrero de 2006, </w:t>
      </w:r>
      <w:proofErr w:type="spellStart"/>
      <w:r w:rsidRPr="00696029">
        <w:rPr>
          <w:sz w:val="16"/>
          <w:szCs w:val="16"/>
          <w:lang w:val="es-ES"/>
        </w:rPr>
        <w:t>párrs</w:t>
      </w:r>
      <w:proofErr w:type="spellEnd"/>
      <w:r w:rsidRPr="00696029">
        <w:rPr>
          <w:sz w:val="16"/>
          <w:szCs w:val="16"/>
          <w:lang w:val="es-ES"/>
        </w:rPr>
        <w:t xml:space="preserve">. </w:t>
      </w:r>
      <w:r w:rsidRPr="00C21A2E">
        <w:rPr>
          <w:sz w:val="16"/>
          <w:szCs w:val="16"/>
          <w:lang w:val="es-ES"/>
        </w:rPr>
        <w:t xml:space="preserve">33,36 y 38; </w:t>
      </w:r>
      <w:r>
        <w:rPr>
          <w:sz w:val="16"/>
          <w:szCs w:val="16"/>
          <w:lang w:val="es-ES"/>
        </w:rPr>
        <w:t xml:space="preserve"> </w:t>
      </w:r>
      <w:r w:rsidRPr="00C21A2E">
        <w:rPr>
          <w:sz w:val="16"/>
          <w:szCs w:val="16"/>
          <w:lang w:val="es-EC"/>
        </w:rPr>
        <w:t xml:space="preserve">Informe de la Misión a Brasil, Relator Especial sobre Ejecuciones Extrajudiciales, Sumarias o Arbitrarias. U.N. Doc. A/HRC/11/2/Add.2, 23 de marzo de 2009, III –Ejecuciones Extrajudiciales por la Policía, </w:t>
      </w:r>
      <w:proofErr w:type="spellStart"/>
      <w:r w:rsidRPr="00C21A2E">
        <w:rPr>
          <w:sz w:val="16"/>
          <w:szCs w:val="16"/>
          <w:lang w:val="es-EC"/>
        </w:rPr>
        <w:t>párrs</w:t>
      </w:r>
      <w:proofErr w:type="spellEnd"/>
      <w:r w:rsidRPr="00C21A2E">
        <w:rPr>
          <w:sz w:val="16"/>
          <w:szCs w:val="16"/>
          <w:lang w:val="es-EC"/>
        </w:rPr>
        <w:t xml:space="preserve">. 7 y 8; Seguimiento a las </w:t>
      </w:r>
      <w:r w:rsidRPr="0073167D">
        <w:rPr>
          <w:sz w:val="16"/>
          <w:szCs w:val="16"/>
          <w:lang w:val="es-EC"/>
        </w:rPr>
        <w:t xml:space="preserve">Recomendaciones de País – Brasil, Relator Especial sobre Ejecuciones Extrajudiciales, Sumarias o Arbitrarias. </w:t>
      </w:r>
      <w:r w:rsidRPr="00416D05">
        <w:rPr>
          <w:sz w:val="16"/>
          <w:szCs w:val="16"/>
          <w:lang w:val="en-US"/>
        </w:rPr>
        <w:t xml:space="preserve">U.N. Doc. </w:t>
      </w:r>
      <w:proofErr w:type="gramStart"/>
      <w:r w:rsidRPr="00416D05">
        <w:rPr>
          <w:sz w:val="16"/>
          <w:szCs w:val="16"/>
          <w:lang w:val="en-US"/>
        </w:rPr>
        <w:t>A/HRC/14/24/Add.</w:t>
      </w:r>
      <w:proofErr w:type="gramEnd"/>
      <w:r w:rsidRPr="00416D05">
        <w:rPr>
          <w:sz w:val="16"/>
          <w:szCs w:val="16"/>
          <w:lang w:val="en-US"/>
        </w:rPr>
        <w:t xml:space="preserve"> 4, 28 de mayo de 2010; Americas Watch, Police Abuse in Brazil: Summary Executions and Torture in São Paulo and Rio de Janeiro. </w:t>
      </w:r>
      <w:r w:rsidRPr="0073167D">
        <w:rPr>
          <w:sz w:val="16"/>
          <w:szCs w:val="16"/>
          <w:lang w:val="pt-BR"/>
        </w:rPr>
        <w:t>New York, 1987, págs. 19-32 y 41-45; Human Rights Watch,</w:t>
      </w:r>
      <w:r w:rsidRPr="0073167D">
        <w:rPr>
          <w:i/>
          <w:iCs/>
          <w:sz w:val="16"/>
          <w:szCs w:val="16"/>
          <w:lang w:val="pt-BR"/>
        </w:rPr>
        <w:t xml:space="preserve"> Violência x Violência: Violações aos Direitos Humanos e Criminalidade no Rio de Janeiro</w:t>
      </w:r>
      <w:r w:rsidRPr="0073167D">
        <w:rPr>
          <w:sz w:val="16"/>
          <w:szCs w:val="16"/>
          <w:lang w:val="pt-BR"/>
        </w:rPr>
        <w:t>, 1996; Human Rights Watch,</w:t>
      </w:r>
      <w:r w:rsidRPr="0073167D">
        <w:rPr>
          <w:i/>
          <w:iCs/>
          <w:sz w:val="16"/>
          <w:szCs w:val="16"/>
          <w:lang w:val="pt-BR"/>
        </w:rPr>
        <w:t xml:space="preserve"> Brutalidade policial urbana no Brasil</w:t>
      </w:r>
      <w:r w:rsidRPr="0073167D">
        <w:rPr>
          <w:sz w:val="16"/>
          <w:szCs w:val="16"/>
          <w:lang w:val="pt-BR"/>
        </w:rPr>
        <w:t>, 1997; Amnistía Internacional</w:t>
      </w:r>
      <w:r w:rsidRPr="0073167D">
        <w:rPr>
          <w:i/>
          <w:iCs/>
          <w:sz w:val="16"/>
          <w:szCs w:val="16"/>
          <w:lang w:val="pt-BR"/>
        </w:rPr>
        <w:t>, Rio de Janeiro 2003: Candelária e Vigário Geral 10 anos depois</w:t>
      </w:r>
      <w:r w:rsidRPr="0073167D">
        <w:rPr>
          <w:sz w:val="16"/>
          <w:szCs w:val="16"/>
          <w:lang w:val="pt-BR"/>
        </w:rPr>
        <w:t xml:space="preserve">, 2003; Justiça Global, </w:t>
      </w:r>
      <w:r w:rsidRPr="0073167D">
        <w:rPr>
          <w:i/>
          <w:iCs/>
          <w:sz w:val="16"/>
          <w:szCs w:val="16"/>
          <w:lang w:val="pt-BR"/>
        </w:rPr>
        <w:t>Relatório RIO: violência policial e insegurança pública</w:t>
      </w:r>
      <w:r w:rsidRPr="0073167D">
        <w:rPr>
          <w:sz w:val="16"/>
          <w:szCs w:val="16"/>
          <w:lang w:val="pt-BR"/>
        </w:rPr>
        <w:t>, 2004; Amnistía Internacional,</w:t>
      </w:r>
      <w:r w:rsidRPr="0073167D">
        <w:rPr>
          <w:bCs/>
          <w:i/>
          <w:iCs/>
          <w:sz w:val="16"/>
          <w:szCs w:val="16"/>
          <w:lang w:val="pt-BR"/>
        </w:rPr>
        <w:t xml:space="preserve"> "</w:t>
      </w:r>
      <w:r w:rsidRPr="0073167D">
        <w:rPr>
          <w:i/>
          <w:iCs/>
          <w:sz w:val="16"/>
          <w:szCs w:val="16"/>
          <w:lang w:val="pt-BR"/>
        </w:rPr>
        <w:t>Eles entram atirando": Policiamento de comunidades socialmente excluídas</w:t>
      </w:r>
      <w:r w:rsidRPr="0073167D">
        <w:rPr>
          <w:sz w:val="16"/>
          <w:szCs w:val="16"/>
          <w:lang w:val="pt-BR"/>
        </w:rPr>
        <w:t>, 2005; Amnistía Internacional, Nosotras Recogemos los Platos Rotos: La Experiencia de la Violencia Urbana para las Mujeres en Brasil. Madrid, 2008; Human Ri</w:t>
      </w:r>
      <w:r w:rsidRPr="00C21A2E">
        <w:rPr>
          <w:sz w:val="16"/>
          <w:szCs w:val="16"/>
          <w:lang w:val="pt-BR"/>
        </w:rPr>
        <w:t>ghts Watch</w:t>
      </w:r>
      <w:r>
        <w:rPr>
          <w:sz w:val="16"/>
          <w:szCs w:val="16"/>
          <w:lang w:val="pt-BR"/>
        </w:rPr>
        <w:t>,</w:t>
      </w:r>
      <w:r w:rsidRPr="00C21A2E">
        <w:rPr>
          <w:i/>
          <w:iCs/>
          <w:sz w:val="16"/>
          <w:szCs w:val="16"/>
          <w:lang w:val="pt-BR"/>
        </w:rPr>
        <w:t xml:space="preserve"> Força Letal: Violência Policial e Segurança Públic</w:t>
      </w:r>
      <w:r>
        <w:rPr>
          <w:i/>
          <w:iCs/>
          <w:sz w:val="16"/>
          <w:szCs w:val="16"/>
          <w:lang w:val="pt-BR"/>
        </w:rPr>
        <w:t>a no Rio de Janeiro e São Paulo</w:t>
      </w:r>
      <w:r w:rsidRPr="00C21A2E">
        <w:rPr>
          <w:sz w:val="16"/>
          <w:szCs w:val="16"/>
          <w:lang w:val="pt-BR"/>
        </w:rPr>
        <w:t>, 2009;</w:t>
      </w:r>
      <w:r>
        <w:rPr>
          <w:sz w:val="16"/>
          <w:szCs w:val="16"/>
          <w:lang w:val="pt-BR"/>
        </w:rPr>
        <w:t xml:space="preserve"> Amnistía Internacional,</w:t>
      </w:r>
      <w:r w:rsidRPr="00C21A2E">
        <w:rPr>
          <w:i/>
          <w:iCs/>
          <w:sz w:val="16"/>
          <w:szCs w:val="16"/>
          <w:lang w:val="pt-BR"/>
        </w:rPr>
        <w:t xml:space="preserve"> Você matou meu filho!: Homicídios cometidos pela Polícia Militar na cidade do Rio de Janeiro</w:t>
      </w:r>
      <w:r>
        <w:rPr>
          <w:sz w:val="16"/>
          <w:szCs w:val="16"/>
          <w:lang w:val="pt-BR"/>
        </w:rPr>
        <w:t xml:space="preserve">, 2015. </w:t>
      </w:r>
      <w:r w:rsidRPr="00C21A2E">
        <w:rPr>
          <w:sz w:val="16"/>
          <w:szCs w:val="16"/>
          <w:lang w:val="es-EC"/>
        </w:rPr>
        <w:t xml:space="preserve">Ver también </w:t>
      </w:r>
      <w:r>
        <w:rPr>
          <w:sz w:val="16"/>
          <w:szCs w:val="16"/>
          <w:lang w:val="es-EC"/>
        </w:rPr>
        <w:t xml:space="preserve">peritaje escrito rendido por Marlon </w:t>
      </w:r>
      <w:proofErr w:type="spellStart"/>
      <w:r>
        <w:rPr>
          <w:sz w:val="16"/>
          <w:szCs w:val="16"/>
          <w:lang w:val="es-EC"/>
        </w:rPr>
        <w:t>Weichert</w:t>
      </w:r>
      <w:proofErr w:type="spellEnd"/>
      <w:r>
        <w:rPr>
          <w:sz w:val="16"/>
          <w:szCs w:val="16"/>
          <w:lang w:val="es-EC"/>
        </w:rPr>
        <w:t xml:space="preserve"> el </w:t>
      </w:r>
      <w:r w:rsidRPr="00C21A2E">
        <w:rPr>
          <w:sz w:val="16"/>
          <w:szCs w:val="16"/>
          <w:lang w:val="es-AR"/>
        </w:rPr>
        <w:t>30 de septiembre de 2016 (expediente de prueba, folio 14541)</w:t>
      </w:r>
      <w:r w:rsidRPr="006253B7">
        <w:rPr>
          <w:sz w:val="16"/>
          <w:szCs w:val="16"/>
          <w:lang w:val="es-ES"/>
        </w:rPr>
        <w:t>.</w:t>
      </w:r>
    </w:p>
  </w:footnote>
  <w:footnote w:id="72">
    <w:p w14:paraId="496B4D6C" w14:textId="6CDAFCA6" w:rsidR="00122408" w:rsidRPr="00C21A2E" w:rsidRDefault="00122408" w:rsidP="00B50B41">
      <w:pPr>
        <w:pStyle w:val="FootnoteText"/>
        <w:spacing w:after="40"/>
        <w:rPr>
          <w:b/>
          <w:szCs w:val="16"/>
          <w:lang w:val="es-AR"/>
        </w:rPr>
      </w:pPr>
      <w:r w:rsidRPr="00C21A2E">
        <w:rPr>
          <w:rStyle w:val="FootnoteReference"/>
          <w:sz w:val="16"/>
          <w:szCs w:val="16"/>
        </w:rPr>
        <w:footnoteRef/>
      </w:r>
      <w:r>
        <w:rPr>
          <w:szCs w:val="16"/>
        </w:rPr>
        <w:t xml:space="preserve"> Foro</w:t>
      </w:r>
      <w:r w:rsidRPr="00C21A2E">
        <w:rPr>
          <w:szCs w:val="16"/>
        </w:rPr>
        <w:t xml:space="preserve"> Brasileño de </w:t>
      </w:r>
      <w:r w:rsidRPr="00C21A2E">
        <w:rPr>
          <w:rFonts w:cs="Arial,Italic"/>
          <w:szCs w:val="16"/>
        </w:rPr>
        <w:t>Seguridad</w:t>
      </w:r>
      <w:r w:rsidRPr="00C21A2E">
        <w:rPr>
          <w:rFonts w:cs="Arial,Italic"/>
          <w:iCs/>
          <w:szCs w:val="16"/>
        </w:rPr>
        <w:t xml:space="preserve"> Pública, Anuario Brasileño de </w:t>
      </w:r>
      <w:r w:rsidRPr="00C21A2E">
        <w:rPr>
          <w:rFonts w:cs="Arial,Italic"/>
          <w:szCs w:val="16"/>
        </w:rPr>
        <w:t>Seguridad</w:t>
      </w:r>
      <w:r w:rsidRPr="00C21A2E">
        <w:rPr>
          <w:rFonts w:cs="Arial,Italic"/>
          <w:iCs/>
          <w:szCs w:val="16"/>
        </w:rPr>
        <w:t xml:space="preserve"> Pública 2015</w:t>
      </w:r>
      <w:r w:rsidRPr="00C21A2E">
        <w:rPr>
          <w:rFonts w:cs="Arial"/>
          <w:szCs w:val="16"/>
        </w:rPr>
        <w:t xml:space="preserve">. </w:t>
      </w:r>
      <w:r w:rsidRPr="00C21A2E">
        <w:rPr>
          <w:rFonts w:cs="Arial"/>
          <w:szCs w:val="16"/>
          <w:lang w:val="es-ES"/>
        </w:rPr>
        <w:t>São Paulo, 2015 (expediente de prueba, folios 14344  y 14354)</w:t>
      </w:r>
      <w:r>
        <w:rPr>
          <w:rFonts w:cs="Arial"/>
          <w:szCs w:val="16"/>
          <w:lang w:val="es-ES"/>
        </w:rPr>
        <w:t xml:space="preserve">, y </w:t>
      </w:r>
      <w:r w:rsidRPr="00C21A2E">
        <w:rPr>
          <w:szCs w:val="16"/>
        </w:rPr>
        <w:t>Datos del Instituto de Seguridad Pública presentados por el Estado</w:t>
      </w:r>
      <w:r>
        <w:rPr>
          <w:szCs w:val="16"/>
        </w:rPr>
        <w:t xml:space="preserve"> en sus Alegatos Finales (expediente de fondo, folio</w:t>
      </w:r>
      <w:r w:rsidRPr="00C21A2E">
        <w:rPr>
          <w:szCs w:val="16"/>
        </w:rPr>
        <w:t xml:space="preserve"> 1158). </w:t>
      </w:r>
    </w:p>
  </w:footnote>
  <w:footnote w:id="73">
    <w:p w14:paraId="34860286" w14:textId="49A98E64" w:rsidR="00122408" w:rsidRPr="0073167D" w:rsidRDefault="00122408" w:rsidP="00B50B41">
      <w:pPr>
        <w:pStyle w:val="FootnoteText"/>
        <w:spacing w:after="40"/>
        <w:rPr>
          <w:szCs w:val="16"/>
        </w:rPr>
      </w:pPr>
      <w:r w:rsidRPr="00C21A2E">
        <w:rPr>
          <w:rStyle w:val="FootnoteReference"/>
          <w:sz w:val="16"/>
          <w:szCs w:val="16"/>
        </w:rPr>
        <w:footnoteRef/>
      </w:r>
      <w:r w:rsidRPr="00C21A2E">
        <w:rPr>
          <w:i/>
          <w:szCs w:val="16"/>
        </w:rPr>
        <w:t xml:space="preserve"> </w:t>
      </w:r>
      <w:r w:rsidRPr="00C21A2E">
        <w:rPr>
          <w:i/>
          <w:szCs w:val="16"/>
          <w:lang w:val="es-ES"/>
        </w:rPr>
        <w:t>Cfr.</w:t>
      </w:r>
      <w:r w:rsidRPr="00C21A2E">
        <w:rPr>
          <w:szCs w:val="16"/>
          <w:lang w:val="es-EC"/>
        </w:rPr>
        <w:t xml:space="preserve"> </w:t>
      </w:r>
      <w:r w:rsidRPr="00C21A2E">
        <w:rPr>
          <w:szCs w:val="16"/>
          <w:lang w:val="es-ES"/>
        </w:rPr>
        <w:t xml:space="preserve">Senado Federal, Informe Final de la Comisión Parlamentar de Investigación Asesinato de Jóvenes (Brasilia, 2016) citado en el </w:t>
      </w:r>
      <w:r>
        <w:rPr>
          <w:szCs w:val="16"/>
          <w:lang w:val="es-ES"/>
        </w:rPr>
        <w:t>p</w:t>
      </w:r>
      <w:proofErr w:type="spellStart"/>
      <w:r>
        <w:rPr>
          <w:szCs w:val="16"/>
          <w:lang w:val="es-EC"/>
        </w:rPr>
        <w:t>eritaje</w:t>
      </w:r>
      <w:proofErr w:type="spellEnd"/>
      <w:r>
        <w:rPr>
          <w:szCs w:val="16"/>
          <w:lang w:val="es-EC"/>
        </w:rPr>
        <w:t xml:space="preserve"> escrito rendido por Marlon </w:t>
      </w:r>
      <w:proofErr w:type="spellStart"/>
      <w:r>
        <w:rPr>
          <w:szCs w:val="16"/>
          <w:lang w:val="es-EC"/>
        </w:rPr>
        <w:t>Weichert</w:t>
      </w:r>
      <w:proofErr w:type="spellEnd"/>
      <w:r>
        <w:rPr>
          <w:szCs w:val="16"/>
          <w:lang w:val="es-EC"/>
        </w:rPr>
        <w:t xml:space="preserve"> el </w:t>
      </w:r>
      <w:r w:rsidRPr="00C21A2E">
        <w:rPr>
          <w:szCs w:val="16"/>
          <w:lang w:val="es-EC"/>
        </w:rPr>
        <w:t>30 de septiembre de 2016 (expediente de</w:t>
      </w:r>
      <w:r w:rsidRPr="00C21A2E">
        <w:rPr>
          <w:rFonts w:cs="Arial"/>
          <w:szCs w:val="16"/>
        </w:rPr>
        <w:t xml:space="preserve"> prueba, folio 14595-14598)</w:t>
      </w:r>
      <w:r w:rsidRPr="00A22B15">
        <w:rPr>
          <w:rFonts w:cs="Arial"/>
          <w:szCs w:val="16"/>
        </w:rPr>
        <w:t xml:space="preserve">; </w:t>
      </w:r>
      <w:r>
        <w:rPr>
          <w:szCs w:val="16"/>
        </w:rPr>
        <w:t xml:space="preserve">Informe del Relator Especial sobre formas contemporáneas de racismo, discriminación racial, xenofobia </w:t>
      </w:r>
      <w:proofErr w:type="spellStart"/>
      <w:r>
        <w:rPr>
          <w:szCs w:val="16"/>
        </w:rPr>
        <w:t>y</w:t>
      </w:r>
      <w:proofErr w:type="spellEnd"/>
      <w:r>
        <w:rPr>
          <w:szCs w:val="16"/>
        </w:rPr>
        <w:t xml:space="preserve"> intolerancia</w:t>
      </w:r>
      <w:r w:rsidRPr="00A22B15">
        <w:rPr>
          <w:szCs w:val="16"/>
        </w:rPr>
        <w:t xml:space="preserve">, </w:t>
      </w:r>
      <w:r>
        <w:rPr>
          <w:szCs w:val="16"/>
        </w:rPr>
        <w:t xml:space="preserve">U.N. Doc. </w:t>
      </w:r>
      <w:r w:rsidRPr="00A22B15">
        <w:rPr>
          <w:szCs w:val="16"/>
        </w:rPr>
        <w:t>E/CN.4/2006/16/Add.</w:t>
      </w:r>
      <w:r>
        <w:rPr>
          <w:szCs w:val="16"/>
        </w:rPr>
        <w:t xml:space="preserve">3, 28 de febrero de 2006, </w:t>
      </w:r>
      <w:proofErr w:type="spellStart"/>
      <w:r>
        <w:rPr>
          <w:szCs w:val="16"/>
        </w:rPr>
        <w:t>párrs</w:t>
      </w:r>
      <w:proofErr w:type="spellEnd"/>
      <w:r w:rsidRPr="00A22B15">
        <w:rPr>
          <w:szCs w:val="16"/>
        </w:rPr>
        <w:t>. 33,</w:t>
      </w:r>
      <w:r>
        <w:rPr>
          <w:szCs w:val="16"/>
        </w:rPr>
        <w:t xml:space="preserve"> </w:t>
      </w:r>
      <w:r w:rsidRPr="00A22B15">
        <w:rPr>
          <w:szCs w:val="16"/>
        </w:rPr>
        <w:t>36 y 38; UNESCO, Mapa de la Violencia IV: los jóvenes do Brasil (</w:t>
      </w:r>
      <w:r>
        <w:rPr>
          <w:szCs w:val="16"/>
        </w:rPr>
        <w:t>Brasilia</w:t>
      </w:r>
      <w:r w:rsidRPr="00A22B15">
        <w:rPr>
          <w:szCs w:val="16"/>
        </w:rPr>
        <w:t>, 2004)</w:t>
      </w:r>
      <w:r>
        <w:rPr>
          <w:szCs w:val="16"/>
        </w:rPr>
        <w:t>,</w:t>
      </w:r>
      <w:r w:rsidRPr="00A22B15">
        <w:rPr>
          <w:szCs w:val="16"/>
        </w:rPr>
        <w:t xml:space="preserve"> p. 57 -58, documentos citados en el </w:t>
      </w:r>
      <w:r>
        <w:rPr>
          <w:szCs w:val="16"/>
          <w:lang w:val="es-ES"/>
        </w:rPr>
        <w:t xml:space="preserve">Testimonio rendido mediante affidávit por </w:t>
      </w:r>
      <w:proofErr w:type="spellStart"/>
      <w:r>
        <w:rPr>
          <w:szCs w:val="16"/>
          <w:lang w:val="es-ES"/>
        </w:rPr>
        <w:t>Caetano</w:t>
      </w:r>
      <w:proofErr w:type="spellEnd"/>
      <w:r>
        <w:rPr>
          <w:szCs w:val="16"/>
          <w:lang w:val="es-ES"/>
        </w:rPr>
        <w:t xml:space="preserve"> </w:t>
      </w:r>
      <w:proofErr w:type="spellStart"/>
      <w:r>
        <w:rPr>
          <w:szCs w:val="16"/>
          <w:lang w:val="es-ES"/>
        </w:rPr>
        <w:t>Lagrasta</w:t>
      </w:r>
      <w:proofErr w:type="spellEnd"/>
      <w:r>
        <w:rPr>
          <w:szCs w:val="16"/>
          <w:lang w:val="es-ES"/>
        </w:rPr>
        <w:t xml:space="preserve"> Neto el </w:t>
      </w:r>
      <w:r w:rsidRPr="00A22B15">
        <w:rPr>
          <w:szCs w:val="16"/>
          <w:lang w:val="es-ES"/>
        </w:rPr>
        <w:t>30 de septiembre de 2016 (expediente de</w:t>
      </w:r>
      <w:r w:rsidRPr="00A22B15">
        <w:rPr>
          <w:rFonts w:cs="Arial"/>
          <w:szCs w:val="16"/>
          <w:lang w:val="es-ES"/>
        </w:rPr>
        <w:t xml:space="preserve"> prueba, folio</w:t>
      </w:r>
      <w:r>
        <w:rPr>
          <w:rFonts w:cs="Arial"/>
          <w:szCs w:val="16"/>
          <w:lang w:val="es-ES"/>
        </w:rPr>
        <w:t>s</w:t>
      </w:r>
      <w:r w:rsidRPr="00A22B15">
        <w:rPr>
          <w:rFonts w:cs="Arial"/>
          <w:szCs w:val="16"/>
          <w:lang w:val="es-ES"/>
        </w:rPr>
        <w:t xml:space="preserve"> 16537);</w:t>
      </w:r>
      <w:r w:rsidRPr="00A22B15">
        <w:rPr>
          <w:szCs w:val="16"/>
          <w:lang w:val="es-EC"/>
        </w:rPr>
        <w:t xml:space="preserve"> </w:t>
      </w:r>
      <w:r>
        <w:rPr>
          <w:szCs w:val="16"/>
          <w:lang w:val="es-EC"/>
        </w:rPr>
        <w:t>Testimonio rendido mediante affidávit</w:t>
      </w:r>
      <w:r w:rsidRPr="0073167D">
        <w:rPr>
          <w:szCs w:val="16"/>
          <w:lang w:val="es-EC"/>
        </w:rPr>
        <w:t xml:space="preserve"> por Michel </w:t>
      </w:r>
      <w:proofErr w:type="spellStart"/>
      <w:r w:rsidRPr="0073167D">
        <w:rPr>
          <w:szCs w:val="16"/>
          <w:lang w:val="es-EC"/>
        </w:rPr>
        <w:t>Misse</w:t>
      </w:r>
      <w:proofErr w:type="spellEnd"/>
      <w:r w:rsidRPr="0073167D">
        <w:rPr>
          <w:szCs w:val="16"/>
          <w:lang w:val="es-EC"/>
        </w:rPr>
        <w:t xml:space="preserve"> el 16 de septiembre de 2016 (expediente de</w:t>
      </w:r>
      <w:r w:rsidRPr="0073167D">
        <w:rPr>
          <w:rFonts w:cs="Arial"/>
          <w:szCs w:val="16"/>
        </w:rPr>
        <w:t xml:space="preserve"> prueba, folio</w:t>
      </w:r>
      <w:r>
        <w:rPr>
          <w:rFonts w:cs="Arial"/>
          <w:szCs w:val="16"/>
        </w:rPr>
        <w:t>s</w:t>
      </w:r>
      <w:r w:rsidRPr="0073167D">
        <w:rPr>
          <w:rFonts w:cs="Arial"/>
          <w:szCs w:val="16"/>
        </w:rPr>
        <w:t xml:space="preserve"> 14513, 14524-14525); </w:t>
      </w:r>
      <w:proofErr w:type="spellStart"/>
      <w:r w:rsidRPr="0073167D">
        <w:rPr>
          <w:szCs w:val="16"/>
          <w:lang w:val="es-EC"/>
        </w:rPr>
        <w:t>Americas</w:t>
      </w:r>
      <w:proofErr w:type="spellEnd"/>
      <w:r w:rsidRPr="0073167D">
        <w:rPr>
          <w:szCs w:val="16"/>
          <w:lang w:val="es-EC"/>
        </w:rPr>
        <w:t xml:space="preserve"> </w:t>
      </w:r>
      <w:proofErr w:type="spellStart"/>
      <w:r w:rsidRPr="0073167D">
        <w:rPr>
          <w:szCs w:val="16"/>
          <w:lang w:val="es-EC"/>
        </w:rPr>
        <w:t>Watch</w:t>
      </w:r>
      <w:proofErr w:type="spellEnd"/>
      <w:r w:rsidRPr="0073167D">
        <w:rPr>
          <w:szCs w:val="16"/>
          <w:lang w:val="es-EC"/>
        </w:rPr>
        <w:t xml:space="preserve">, </w:t>
      </w:r>
      <w:proofErr w:type="spellStart"/>
      <w:r w:rsidRPr="0073167D">
        <w:rPr>
          <w:szCs w:val="16"/>
          <w:lang w:val="es-EC"/>
        </w:rPr>
        <w:t>Police</w:t>
      </w:r>
      <w:proofErr w:type="spellEnd"/>
      <w:r w:rsidRPr="0073167D">
        <w:rPr>
          <w:szCs w:val="16"/>
          <w:lang w:val="es-EC"/>
        </w:rPr>
        <w:t xml:space="preserve"> Abuse in </w:t>
      </w:r>
      <w:proofErr w:type="spellStart"/>
      <w:r w:rsidRPr="0073167D">
        <w:rPr>
          <w:szCs w:val="16"/>
          <w:lang w:val="es-EC"/>
        </w:rPr>
        <w:t>Brazil</w:t>
      </w:r>
      <w:proofErr w:type="spellEnd"/>
      <w:r w:rsidRPr="0073167D">
        <w:rPr>
          <w:szCs w:val="16"/>
          <w:lang w:val="es-EC"/>
        </w:rPr>
        <w:t xml:space="preserve">: </w:t>
      </w:r>
      <w:proofErr w:type="spellStart"/>
      <w:r w:rsidRPr="0073167D">
        <w:rPr>
          <w:szCs w:val="16"/>
          <w:lang w:val="es-EC"/>
        </w:rPr>
        <w:t>Summary</w:t>
      </w:r>
      <w:proofErr w:type="spellEnd"/>
      <w:r w:rsidRPr="0073167D">
        <w:rPr>
          <w:szCs w:val="16"/>
          <w:lang w:val="es-EC"/>
        </w:rPr>
        <w:t xml:space="preserve"> </w:t>
      </w:r>
      <w:proofErr w:type="spellStart"/>
      <w:r w:rsidRPr="0073167D">
        <w:rPr>
          <w:szCs w:val="16"/>
          <w:lang w:val="es-EC"/>
        </w:rPr>
        <w:t>Executions</w:t>
      </w:r>
      <w:proofErr w:type="spellEnd"/>
      <w:r w:rsidRPr="0073167D">
        <w:rPr>
          <w:szCs w:val="16"/>
          <w:lang w:val="es-EC"/>
        </w:rPr>
        <w:t xml:space="preserve"> and Torture in São Paulo and Rio de Janeiro. Nueva York, 1987, págs. </w:t>
      </w:r>
      <w:r w:rsidRPr="0073167D">
        <w:rPr>
          <w:szCs w:val="16"/>
          <w:lang w:val="es-ES"/>
        </w:rPr>
        <w:t xml:space="preserve">19-32 y 41-45, y </w:t>
      </w:r>
      <w:r w:rsidRPr="0073167D">
        <w:rPr>
          <w:rFonts w:cs="Arial"/>
          <w:szCs w:val="16"/>
        </w:rPr>
        <w:t>Amnistía Internacional, Ellos entran disparando: Vigilancia Policial de comunidades socialmente excluidas, 2005, p. 38.</w:t>
      </w:r>
    </w:p>
  </w:footnote>
  <w:footnote w:id="74">
    <w:p w14:paraId="141BA3CD" w14:textId="1A3D0DA9" w:rsidR="00122408" w:rsidRPr="00C21A2E" w:rsidRDefault="00122408" w:rsidP="00B50B41">
      <w:pPr>
        <w:pStyle w:val="FootnoteText"/>
        <w:spacing w:after="40"/>
        <w:rPr>
          <w:b/>
          <w:szCs w:val="16"/>
          <w:lang w:val="es-ES"/>
        </w:rPr>
      </w:pPr>
      <w:r w:rsidRPr="0073167D">
        <w:rPr>
          <w:rStyle w:val="FootnoteReference"/>
          <w:sz w:val="16"/>
          <w:szCs w:val="16"/>
        </w:rPr>
        <w:footnoteRef/>
      </w:r>
      <w:r w:rsidRPr="0073167D">
        <w:rPr>
          <w:szCs w:val="16"/>
          <w:lang w:val="pt-BR"/>
        </w:rPr>
        <w:t xml:space="preserve"> </w:t>
      </w:r>
      <w:r w:rsidRPr="0073167D">
        <w:rPr>
          <w:rFonts w:cs="Arial"/>
          <w:szCs w:val="16"/>
          <w:lang w:val="pt-BR"/>
        </w:rPr>
        <w:t xml:space="preserve">Julio Jacobo Waiselfisz, </w:t>
      </w:r>
      <w:r w:rsidRPr="0073167D">
        <w:rPr>
          <w:rFonts w:cs="Arial"/>
          <w:i/>
          <w:szCs w:val="16"/>
          <w:lang w:val="pt-BR"/>
        </w:rPr>
        <w:t>Mapa da Violência 2014: Jovens</w:t>
      </w:r>
      <w:r w:rsidRPr="00C21A2E">
        <w:rPr>
          <w:rFonts w:cs="Arial"/>
          <w:i/>
          <w:szCs w:val="16"/>
          <w:lang w:val="pt-BR"/>
        </w:rPr>
        <w:t xml:space="preserve"> do Brasil</w:t>
      </w:r>
      <w:r w:rsidRPr="00C21A2E">
        <w:rPr>
          <w:rFonts w:cs="Arial"/>
          <w:szCs w:val="16"/>
          <w:lang w:val="pt-BR"/>
        </w:rPr>
        <w:t xml:space="preserve">, Secretaria-Geral da Presidência da República, Secretaria Nacional de Juventude e Secretaria de Políticas de Promoção da Igualdade Racial, Brasilia, 2014, p. 9. </w:t>
      </w:r>
      <w:r w:rsidRPr="00C21A2E">
        <w:rPr>
          <w:rFonts w:cs="Arial"/>
          <w:szCs w:val="16"/>
        </w:rPr>
        <w:t xml:space="preserve">Ver también </w:t>
      </w:r>
      <w:r w:rsidRPr="00C21A2E">
        <w:rPr>
          <w:rStyle w:val="Emphasis"/>
          <w:rFonts w:cs="Arial"/>
          <w:bCs/>
          <w:i w:val="0"/>
          <w:iCs w:val="0"/>
          <w:szCs w:val="16"/>
          <w:shd w:val="clear" w:color="auto" w:fill="FFFFFF"/>
        </w:rPr>
        <w:t xml:space="preserve">Cámara de los Diputados, </w:t>
      </w:r>
      <w:r w:rsidRPr="00C21A2E">
        <w:rPr>
          <w:szCs w:val="16"/>
        </w:rPr>
        <w:t>Informe Final de la Comisión Parlamentar de Investigaciones sobre Homicidios de Jóvenes, Negros y Pobres (Brasilia, julio de 2015) (expediente de</w:t>
      </w:r>
      <w:r w:rsidRPr="00C21A2E">
        <w:rPr>
          <w:rFonts w:cs="Arial"/>
          <w:szCs w:val="16"/>
        </w:rPr>
        <w:t xml:space="preserve"> prueba, folios 14994 y 15017). Ver también </w:t>
      </w:r>
      <w:r>
        <w:rPr>
          <w:rFonts w:cs="Arial"/>
          <w:szCs w:val="16"/>
          <w:lang w:val="es-AR"/>
        </w:rPr>
        <w:t xml:space="preserve">peritaje escrito rendido por Marlon </w:t>
      </w:r>
      <w:proofErr w:type="spellStart"/>
      <w:r>
        <w:rPr>
          <w:rFonts w:cs="Arial"/>
          <w:szCs w:val="16"/>
          <w:lang w:val="es-AR"/>
        </w:rPr>
        <w:t>Weichert</w:t>
      </w:r>
      <w:proofErr w:type="spellEnd"/>
      <w:r>
        <w:rPr>
          <w:rFonts w:cs="Arial"/>
          <w:szCs w:val="16"/>
          <w:lang w:val="es-AR"/>
        </w:rPr>
        <w:t xml:space="preserve"> el </w:t>
      </w:r>
      <w:r w:rsidRPr="00C21A2E">
        <w:rPr>
          <w:rFonts w:cs="Arial"/>
          <w:szCs w:val="16"/>
          <w:lang w:val="es-AR"/>
        </w:rPr>
        <w:t xml:space="preserve">30 de septiembre de 2016, folio  14570.  </w:t>
      </w:r>
    </w:p>
  </w:footnote>
  <w:footnote w:id="75">
    <w:p w14:paraId="0367B024" w14:textId="05AB4509"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pt-BR"/>
        </w:rPr>
        <w:t xml:space="preserve"> </w:t>
      </w:r>
      <w:r w:rsidRPr="00C21A2E">
        <w:rPr>
          <w:szCs w:val="16"/>
          <w:lang w:val="pt-BR"/>
        </w:rPr>
        <w:t xml:space="preserve">Instituto de Seguridad Publica de Rio de Janeiro. </w:t>
      </w:r>
      <w:r w:rsidRPr="00C21A2E">
        <w:rPr>
          <w:szCs w:val="16"/>
        </w:rPr>
        <w:t xml:space="preserve">Disponible en: https://public.tableau.com/profile/instituto.de.seguran.a.p.blica.isp#!/vizhome/LetalidadeViolenta/Resumo. Acceso el 22 de noviembre de 2016. </w:t>
      </w:r>
    </w:p>
  </w:footnote>
  <w:footnote w:id="76">
    <w:p w14:paraId="3BDCFF30" w14:textId="1CCE9189" w:rsidR="00122408" w:rsidRPr="00586648" w:rsidRDefault="00122408" w:rsidP="00B50B41">
      <w:pPr>
        <w:pStyle w:val="FootnoteText"/>
        <w:spacing w:after="40"/>
        <w:rPr>
          <w:b/>
          <w:bCs/>
          <w:szCs w:val="16"/>
          <w:lang w:val="pt-BR"/>
        </w:rPr>
      </w:pPr>
      <w:r w:rsidRPr="00C21A2E">
        <w:rPr>
          <w:rStyle w:val="FootnoteReference"/>
          <w:sz w:val="16"/>
          <w:szCs w:val="16"/>
        </w:rPr>
        <w:footnoteRef/>
      </w:r>
      <w:r w:rsidRPr="00C21A2E">
        <w:rPr>
          <w:szCs w:val="16"/>
        </w:rPr>
        <w:t xml:space="preserve"> </w:t>
      </w:r>
      <w:r>
        <w:rPr>
          <w:iCs/>
          <w:szCs w:val="16"/>
        </w:rPr>
        <w:t>P</w:t>
      </w:r>
      <w:proofErr w:type="spellStart"/>
      <w:r>
        <w:rPr>
          <w:rFonts w:cs="Arial"/>
          <w:szCs w:val="16"/>
          <w:lang w:val="es-AR"/>
        </w:rPr>
        <w:t>eritaje</w:t>
      </w:r>
      <w:proofErr w:type="spellEnd"/>
      <w:r>
        <w:rPr>
          <w:rFonts w:cs="Arial"/>
          <w:szCs w:val="16"/>
          <w:lang w:val="es-AR"/>
        </w:rPr>
        <w:t xml:space="preserve"> escrito rendido por Marlon </w:t>
      </w:r>
      <w:proofErr w:type="spellStart"/>
      <w:r>
        <w:rPr>
          <w:rFonts w:cs="Arial"/>
          <w:szCs w:val="16"/>
          <w:lang w:val="es-AR"/>
        </w:rPr>
        <w:t>Weichert</w:t>
      </w:r>
      <w:proofErr w:type="spellEnd"/>
      <w:r>
        <w:rPr>
          <w:rFonts w:cs="Arial"/>
          <w:szCs w:val="16"/>
          <w:lang w:val="es-AR"/>
        </w:rPr>
        <w:t xml:space="preserve"> el </w:t>
      </w:r>
      <w:r w:rsidRPr="00C21A2E">
        <w:rPr>
          <w:rFonts w:cs="Arial"/>
          <w:szCs w:val="16"/>
          <w:lang w:val="es-AR"/>
        </w:rPr>
        <w:t>30 de septiembre de 2016, folio  14570</w:t>
      </w:r>
      <w:r w:rsidRPr="006568F8">
        <w:rPr>
          <w:szCs w:val="16"/>
        </w:rPr>
        <w:t>.</w:t>
      </w:r>
      <w:r w:rsidRPr="00C21A2E">
        <w:rPr>
          <w:szCs w:val="16"/>
        </w:rPr>
        <w:t xml:space="preserve"> </w:t>
      </w:r>
      <w:r w:rsidRPr="00C21A2E">
        <w:rPr>
          <w:szCs w:val="16"/>
          <w:lang w:val="pt-BR"/>
        </w:rPr>
        <w:t>Ver también</w:t>
      </w:r>
      <w:r w:rsidRPr="00C21A2E">
        <w:rPr>
          <w:i/>
          <w:szCs w:val="16"/>
          <w:lang w:val="pt-BR"/>
        </w:rPr>
        <w:t xml:space="preserve"> Jacqueline Sinhoretto et al., A Filtragem Racial na Seleção Policial de Suspeitos: Segurança Publica e Relações Raciais, in </w:t>
      </w:r>
      <w:r w:rsidRPr="00C21A2E">
        <w:rPr>
          <w:szCs w:val="16"/>
          <w:lang w:val="pt-BR"/>
        </w:rPr>
        <w:t xml:space="preserve">Cristiane do Socorro Loureiro Lima, Gustavo Camilo Baptista e Isabel Seixas de Figueiredo, </w:t>
      </w:r>
      <w:r w:rsidRPr="00C21A2E">
        <w:rPr>
          <w:i/>
          <w:szCs w:val="16"/>
          <w:lang w:val="pt-BR"/>
        </w:rPr>
        <w:t>Pensando a Segurança Pública, Segurança Pública e Direitos Humanos: temas transversais,</w:t>
      </w:r>
      <w:r w:rsidRPr="00C21A2E">
        <w:rPr>
          <w:b/>
          <w:i/>
          <w:szCs w:val="16"/>
          <w:lang w:val="pt-BR"/>
        </w:rPr>
        <w:t xml:space="preserve"> </w:t>
      </w:r>
      <w:r w:rsidRPr="00C21A2E">
        <w:rPr>
          <w:szCs w:val="16"/>
          <w:lang w:val="pt-BR"/>
        </w:rPr>
        <w:t xml:space="preserve">Ministério da Justiça: Brasilia, 2014, p. 132. </w:t>
      </w:r>
    </w:p>
  </w:footnote>
  <w:footnote w:id="77">
    <w:p w14:paraId="464695BC"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C"/>
        </w:rPr>
        <w:t xml:space="preserve"> </w:t>
      </w:r>
      <w:r w:rsidRPr="00C21A2E">
        <w:rPr>
          <w:i/>
          <w:szCs w:val="16"/>
          <w:lang w:val="es-EC"/>
        </w:rPr>
        <w:t>Cfr</w:t>
      </w:r>
      <w:r w:rsidRPr="00C21A2E">
        <w:rPr>
          <w:szCs w:val="16"/>
          <w:lang w:val="es-EC"/>
        </w:rPr>
        <w:t>.</w:t>
      </w:r>
      <w:r w:rsidRPr="00C21A2E">
        <w:rPr>
          <w:i/>
          <w:szCs w:val="16"/>
          <w:lang w:val="es-EC"/>
        </w:rPr>
        <w:t xml:space="preserve"> </w:t>
      </w:r>
      <w:r w:rsidRPr="00C21A2E">
        <w:rPr>
          <w:szCs w:val="16"/>
          <w:lang w:val="es-EC"/>
        </w:rPr>
        <w:t xml:space="preserve">Acta resumida de la sesión 1506° del Comité de Derechos Humanos, 16 de julio de 1996. U.N. Doc. CCPR/C/SR.1506, párr. 5. </w:t>
      </w:r>
    </w:p>
  </w:footnote>
  <w:footnote w:id="78">
    <w:p w14:paraId="2836B16D" w14:textId="255EBAEF"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w:t>
      </w:r>
      <w:r w:rsidRPr="00C21A2E">
        <w:rPr>
          <w:i/>
          <w:szCs w:val="16"/>
          <w:lang w:val="es-ES"/>
        </w:rPr>
        <w:t>Cfr</w:t>
      </w:r>
      <w:r w:rsidRPr="00C21A2E">
        <w:rPr>
          <w:szCs w:val="16"/>
          <w:lang w:val="es-ES"/>
        </w:rPr>
        <w:t>. CIDH, Informe sobre la Situación de Derechos Humanos en Brasil, OEA/</w:t>
      </w:r>
      <w:proofErr w:type="spellStart"/>
      <w:r w:rsidRPr="00C21A2E">
        <w:rPr>
          <w:szCs w:val="16"/>
          <w:lang w:val="es-ES"/>
        </w:rPr>
        <w:t>Ser.L</w:t>
      </w:r>
      <w:proofErr w:type="spellEnd"/>
      <w:r w:rsidRPr="00C21A2E">
        <w:rPr>
          <w:szCs w:val="16"/>
          <w:lang w:val="es-ES"/>
        </w:rPr>
        <w:t xml:space="preserve">/V/II.97, Doc. 29 </w:t>
      </w:r>
      <w:proofErr w:type="spellStart"/>
      <w:r w:rsidRPr="00C21A2E">
        <w:rPr>
          <w:szCs w:val="16"/>
          <w:lang w:val="es-ES"/>
        </w:rPr>
        <w:t>rev.</w:t>
      </w:r>
      <w:proofErr w:type="spellEnd"/>
      <w:r w:rsidRPr="00C21A2E">
        <w:rPr>
          <w:szCs w:val="16"/>
          <w:lang w:val="es-ES"/>
        </w:rPr>
        <w:t xml:space="preserve"> 1, 29 de septiembre de 1</w:t>
      </w:r>
      <w:r w:rsidRPr="00C21A2E">
        <w:rPr>
          <w:szCs w:val="16"/>
          <w:lang w:val="es-EC"/>
        </w:rPr>
        <w:t xml:space="preserve">997, Capítulo III, </w:t>
      </w:r>
      <w:proofErr w:type="spellStart"/>
      <w:r w:rsidRPr="00C21A2E">
        <w:rPr>
          <w:szCs w:val="16"/>
          <w:lang w:val="es-EC"/>
        </w:rPr>
        <w:t>párrs</w:t>
      </w:r>
      <w:proofErr w:type="spellEnd"/>
      <w:r w:rsidRPr="00C21A2E">
        <w:rPr>
          <w:szCs w:val="16"/>
          <w:lang w:val="es-EC"/>
        </w:rPr>
        <w:t xml:space="preserve">. 8, 11, 13; </w:t>
      </w:r>
      <w:r>
        <w:rPr>
          <w:szCs w:val="16"/>
        </w:rPr>
        <w:t xml:space="preserve">Testimonio rendido mediante affidávit por Ignacio Cano el 27 </w:t>
      </w:r>
      <w:r w:rsidRPr="00C21A2E">
        <w:rPr>
          <w:szCs w:val="16"/>
        </w:rPr>
        <w:t>de septiembre de 2016 (expediente de prueba, folio 15554-15555)</w:t>
      </w:r>
      <w:r>
        <w:rPr>
          <w:szCs w:val="16"/>
        </w:rPr>
        <w:t>;</w:t>
      </w:r>
      <w:r w:rsidRPr="00C21A2E">
        <w:rPr>
          <w:szCs w:val="16"/>
        </w:rPr>
        <w:t xml:space="preserve"> </w:t>
      </w:r>
      <w:r>
        <w:rPr>
          <w:szCs w:val="16"/>
          <w:lang w:val="es-EC"/>
        </w:rPr>
        <w:t xml:space="preserve">Testimonio rendido mediante affidávit por </w:t>
      </w:r>
      <w:proofErr w:type="spellStart"/>
      <w:r w:rsidRPr="00C21A2E">
        <w:rPr>
          <w:szCs w:val="16"/>
          <w:lang w:val="es-EC"/>
        </w:rPr>
        <w:t>Jan</w:t>
      </w:r>
      <w:proofErr w:type="spellEnd"/>
      <w:r w:rsidRPr="00C21A2E">
        <w:rPr>
          <w:szCs w:val="16"/>
          <w:lang w:val="es-EC"/>
        </w:rPr>
        <w:t xml:space="preserve"> Michael-</w:t>
      </w:r>
      <w:proofErr w:type="spellStart"/>
      <w:r w:rsidRPr="00C21A2E">
        <w:rPr>
          <w:szCs w:val="16"/>
          <w:lang w:val="es-EC"/>
        </w:rPr>
        <w:t>Simon</w:t>
      </w:r>
      <w:proofErr w:type="spellEnd"/>
      <w:r w:rsidRPr="00C21A2E">
        <w:rPr>
          <w:szCs w:val="16"/>
          <w:lang w:val="es-EC"/>
        </w:rPr>
        <w:t xml:space="preserve"> </w:t>
      </w:r>
      <w:r>
        <w:rPr>
          <w:szCs w:val="16"/>
          <w:lang w:val="es-EC"/>
        </w:rPr>
        <w:t>el</w:t>
      </w:r>
      <w:r w:rsidRPr="00C21A2E">
        <w:rPr>
          <w:szCs w:val="16"/>
          <w:lang w:val="es-EC"/>
        </w:rPr>
        <w:t xml:space="preserve"> 29 de septiembre de 2016 (expediente de</w:t>
      </w:r>
      <w:r w:rsidRPr="00C21A2E">
        <w:rPr>
          <w:szCs w:val="16"/>
        </w:rPr>
        <w:t xml:space="preserve"> prueba, folio 15828)</w:t>
      </w:r>
      <w:r>
        <w:rPr>
          <w:szCs w:val="16"/>
        </w:rPr>
        <w:t>.</w:t>
      </w:r>
    </w:p>
  </w:footnote>
  <w:footnote w:id="79">
    <w:p w14:paraId="55416608" w14:textId="2F1C6C61" w:rsidR="00122408" w:rsidRPr="00C21A2E" w:rsidRDefault="00122408" w:rsidP="00B50B41">
      <w:pPr>
        <w:pStyle w:val="FootnoteText"/>
        <w:spacing w:after="40"/>
        <w:rPr>
          <w:b/>
          <w:szCs w:val="16"/>
          <w:lang w:val="es-AR"/>
        </w:rPr>
      </w:pPr>
      <w:r w:rsidRPr="00C21A2E">
        <w:rPr>
          <w:rStyle w:val="FootnoteReference"/>
          <w:sz w:val="16"/>
          <w:szCs w:val="16"/>
        </w:rPr>
        <w:footnoteRef/>
      </w:r>
      <w:r w:rsidRPr="00C21A2E">
        <w:rPr>
          <w:szCs w:val="16"/>
        </w:rPr>
        <w:t xml:space="preserve"> </w:t>
      </w:r>
      <w:r w:rsidRPr="00C21A2E">
        <w:rPr>
          <w:i/>
          <w:szCs w:val="16"/>
        </w:rPr>
        <w:t>Cfr</w:t>
      </w:r>
      <w:r w:rsidRPr="00C21A2E">
        <w:rPr>
          <w:szCs w:val="16"/>
        </w:rPr>
        <w:t xml:space="preserve">. </w:t>
      </w:r>
      <w:r w:rsidRPr="00C21A2E">
        <w:rPr>
          <w:szCs w:val="16"/>
          <w:lang w:val="es-EC"/>
        </w:rPr>
        <w:t xml:space="preserve">Observaciones finales del Comité de Derechos Humanos: Brasil, U.N.Doc. CCPR/C/79/Add.66, 24 de julio de 1996, </w:t>
      </w:r>
      <w:proofErr w:type="spellStart"/>
      <w:r w:rsidRPr="00C21A2E">
        <w:rPr>
          <w:szCs w:val="16"/>
          <w:lang w:val="es-EC"/>
        </w:rPr>
        <w:t>párrs</w:t>
      </w:r>
      <w:proofErr w:type="spellEnd"/>
      <w:r w:rsidRPr="00C21A2E">
        <w:rPr>
          <w:szCs w:val="16"/>
          <w:lang w:val="es-EC"/>
        </w:rPr>
        <w:t xml:space="preserve">. </w:t>
      </w:r>
      <w:r w:rsidRPr="00C21A2E">
        <w:rPr>
          <w:szCs w:val="16"/>
        </w:rPr>
        <w:t xml:space="preserve">6 y 8. Ver también </w:t>
      </w:r>
      <w:r w:rsidRPr="00C21A2E">
        <w:rPr>
          <w:szCs w:val="16"/>
          <w:lang w:val="es-AR"/>
        </w:rPr>
        <w:t xml:space="preserve">peritaje rendido mediante </w:t>
      </w:r>
      <w:r>
        <w:rPr>
          <w:szCs w:val="16"/>
          <w:lang w:val="es-AR"/>
        </w:rPr>
        <w:t>affidávit</w:t>
      </w:r>
      <w:r w:rsidRPr="00C21A2E">
        <w:rPr>
          <w:szCs w:val="16"/>
          <w:lang w:val="es-AR"/>
        </w:rPr>
        <w:t xml:space="preserve"> </w:t>
      </w:r>
      <w:r>
        <w:rPr>
          <w:szCs w:val="16"/>
          <w:lang w:val="es-AR"/>
        </w:rPr>
        <w:t>por</w:t>
      </w:r>
      <w:r w:rsidRPr="00C21A2E">
        <w:rPr>
          <w:szCs w:val="16"/>
          <w:lang w:val="es-AR"/>
        </w:rPr>
        <w:t xml:space="preserve"> Michel </w:t>
      </w:r>
      <w:proofErr w:type="spellStart"/>
      <w:r w:rsidRPr="00C21A2E">
        <w:rPr>
          <w:szCs w:val="16"/>
          <w:lang w:val="es-AR"/>
        </w:rPr>
        <w:t>Misse</w:t>
      </w:r>
      <w:proofErr w:type="spellEnd"/>
      <w:r w:rsidRPr="00C21A2E">
        <w:rPr>
          <w:szCs w:val="16"/>
          <w:lang w:val="es-AR"/>
        </w:rPr>
        <w:t xml:space="preserve"> </w:t>
      </w:r>
      <w:r>
        <w:rPr>
          <w:szCs w:val="16"/>
          <w:lang w:val="es-AR"/>
        </w:rPr>
        <w:t>el</w:t>
      </w:r>
      <w:r w:rsidRPr="00C21A2E">
        <w:rPr>
          <w:szCs w:val="16"/>
          <w:lang w:val="es-AR"/>
        </w:rPr>
        <w:t xml:space="preserve"> 16 de septiembre de 2016 (expediente de prueba, folios 14515 a 14517, y 14519).</w:t>
      </w:r>
      <w:r w:rsidRPr="00C21A2E">
        <w:rPr>
          <w:b/>
          <w:szCs w:val="16"/>
        </w:rPr>
        <w:t xml:space="preserve"> </w:t>
      </w:r>
    </w:p>
  </w:footnote>
  <w:footnote w:id="80">
    <w:p w14:paraId="48F42D07" w14:textId="3F218CB2" w:rsidR="00122408" w:rsidRPr="00C21A2E" w:rsidRDefault="00122408" w:rsidP="00B50B41">
      <w:pPr>
        <w:pStyle w:val="FootnoteText"/>
        <w:spacing w:after="40"/>
        <w:rPr>
          <w:b/>
          <w:szCs w:val="16"/>
        </w:rPr>
      </w:pPr>
      <w:r w:rsidRPr="00C21A2E">
        <w:rPr>
          <w:rStyle w:val="FootnoteReference"/>
          <w:sz w:val="16"/>
          <w:szCs w:val="16"/>
        </w:rPr>
        <w:footnoteRef/>
      </w:r>
      <w:r w:rsidRPr="00C21A2E">
        <w:rPr>
          <w:szCs w:val="16"/>
          <w:lang w:val="es-EC"/>
        </w:rPr>
        <w:t xml:space="preserve"> Observaciones finales del Comité de Derechos Humanos: Brasil, U.N.Doc. CCPR/C/79/Add.66, 24 de julio de 1996, </w:t>
      </w:r>
      <w:proofErr w:type="spellStart"/>
      <w:r w:rsidRPr="00C21A2E">
        <w:rPr>
          <w:szCs w:val="16"/>
          <w:lang w:val="es-EC"/>
        </w:rPr>
        <w:t>párrs</w:t>
      </w:r>
      <w:proofErr w:type="spellEnd"/>
      <w:r w:rsidRPr="00C21A2E">
        <w:rPr>
          <w:szCs w:val="16"/>
          <w:lang w:val="es-EC"/>
        </w:rPr>
        <w:t xml:space="preserve">. </w:t>
      </w:r>
      <w:r w:rsidRPr="00C21A2E">
        <w:rPr>
          <w:szCs w:val="16"/>
        </w:rPr>
        <w:t xml:space="preserve">6 y 8; </w:t>
      </w:r>
      <w:r>
        <w:rPr>
          <w:szCs w:val="16"/>
        </w:rPr>
        <w:t xml:space="preserve">Testimonio rendido mediante affidávit por Ignacio Cano el 27 </w:t>
      </w:r>
      <w:r w:rsidRPr="00C21A2E">
        <w:rPr>
          <w:szCs w:val="16"/>
        </w:rPr>
        <w:t xml:space="preserve">de septiembre de 2016 (expediente de prueba, folio 15557); </w:t>
      </w:r>
      <w:r w:rsidRPr="00C21A2E">
        <w:rPr>
          <w:szCs w:val="16"/>
          <w:lang w:val="es-EC"/>
        </w:rPr>
        <w:t>Comisión Interamericana de Derechos Humanos, Informe sobre la Situación de los Derechos Humanos en Brasil, OEA/</w:t>
      </w:r>
      <w:proofErr w:type="spellStart"/>
      <w:r w:rsidRPr="00C21A2E">
        <w:rPr>
          <w:szCs w:val="16"/>
          <w:lang w:val="es-EC"/>
        </w:rPr>
        <w:t>Ser.L</w:t>
      </w:r>
      <w:proofErr w:type="spellEnd"/>
      <w:r w:rsidRPr="00C21A2E">
        <w:rPr>
          <w:szCs w:val="16"/>
          <w:lang w:val="es-EC"/>
        </w:rPr>
        <w:t xml:space="preserve">/V/II.97 Doc. Rev.01 (29 de septiembre de 1997) citado en el </w:t>
      </w:r>
      <w:r>
        <w:rPr>
          <w:szCs w:val="16"/>
          <w:lang w:val="es-EC"/>
        </w:rPr>
        <w:t xml:space="preserve">Testimonio rendido mediante affidávit por </w:t>
      </w:r>
      <w:proofErr w:type="spellStart"/>
      <w:r w:rsidRPr="00C21A2E">
        <w:rPr>
          <w:szCs w:val="16"/>
          <w:lang w:val="es-EC"/>
        </w:rPr>
        <w:t>Jan</w:t>
      </w:r>
      <w:proofErr w:type="spellEnd"/>
      <w:r w:rsidRPr="00C21A2E">
        <w:rPr>
          <w:szCs w:val="16"/>
          <w:lang w:val="es-EC"/>
        </w:rPr>
        <w:t xml:space="preserve"> Michael-</w:t>
      </w:r>
      <w:proofErr w:type="spellStart"/>
      <w:r w:rsidRPr="00C21A2E">
        <w:rPr>
          <w:szCs w:val="16"/>
          <w:lang w:val="es-EC"/>
        </w:rPr>
        <w:t>Simon</w:t>
      </w:r>
      <w:proofErr w:type="spellEnd"/>
      <w:r w:rsidRPr="00C21A2E">
        <w:rPr>
          <w:szCs w:val="16"/>
          <w:lang w:val="es-EC"/>
        </w:rPr>
        <w:t xml:space="preserve"> </w:t>
      </w:r>
      <w:r>
        <w:rPr>
          <w:szCs w:val="16"/>
          <w:lang w:val="es-EC"/>
        </w:rPr>
        <w:t>el</w:t>
      </w:r>
      <w:r w:rsidRPr="00C21A2E">
        <w:rPr>
          <w:szCs w:val="16"/>
          <w:lang w:val="es-EC"/>
        </w:rPr>
        <w:t xml:space="preserve"> 29 de septiembre de 2016 (expediente de</w:t>
      </w:r>
      <w:r>
        <w:rPr>
          <w:szCs w:val="16"/>
        </w:rPr>
        <w:t xml:space="preserve"> prueba, folio 15</w:t>
      </w:r>
      <w:r w:rsidRPr="0073167D">
        <w:rPr>
          <w:szCs w:val="16"/>
        </w:rPr>
        <w:t xml:space="preserve">827); Human </w:t>
      </w:r>
      <w:proofErr w:type="spellStart"/>
      <w:r w:rsidRPr="0073167D">
        <w:rPr>
          <w:szCs w:val="16"/>
        </w:rPr>
        <w:t>Rights</w:t>
      </w:r>
      <w:proofErr w:type="spellEnd"/>
      <w:r w:rsidRPr="0073167D">
        <w:rPr>
          <w:szCs w:val="16"/>
        </w:rPr>
        <w:t xml:space="preserve"> </w:t>
      </w:r>
      <w:proofErr w:type="spellStart"/>
      <w:r w:rsidRPr="0073167D">
        <w:rPr>
          <w:szCs w:val="16"/>
        </w:rPr>
        <w:t>Watch</w:t>
      </w:r>
      <w:proofErr w:type="spellEnd"/>
      <w:r w:rsidRPr="0073167D">
        <w:rPr>
          <w:szCs w:val="16"/>
        </w:rPr>
        <w:t xml:space="preserve">, </w:t>
      </w:r>
      <w:proofErr w:type="spellStart"/>
      <w:r w:rsidRPr="0073167D">
        <w:rPr>
          <w:rStyle w:val="Emphasis"/>
          <w:rFonts w:cs="Arial"/>
          <w:bCs/>
          <w:i w:val="0"/>
          <w:iCs w:val="0"/>
          <w:szCs w:val="16"/>
          <w:shd w:val="clear" w:color="auto" w:fill="FFFFFF"/>
        </w:rPr>
        <w:t>Força</w:t>
      </w:r>
      <w:proofErr w:type="spellEnd"/>
      <w:r w:rsidRPr="0073167D">
        <w:rPr>
          <w:rStyle w:val="Emphasis"/>
          <w:rFonts w:cs="Arial"/>
          <w:bCs/>
          <w:i w:val="0"/>
          <w:iCs w:val="0"/>
          <w:szCs w:val="16"/>
          <w:shd w:val="clear" w:color="auto" w:fill="FFFFFF"/>
        </w:rPr>
        <w:t xml:space="preserve"> Letal</w:t>
      </w:r>
      <w:r w:rsidRPr="0073167D">
        <w:rPr>
          <w:rFonts w:cs="Arial"/>
          <w:szCs w:val="16"/>
          <w:shd w:val="clear" w:color="auto" w:fill="FFFFFF"/>
        </w:rPr>
        <w:t>.</w:t>
      </w:r>
      <w:r w:rsidRPr="0073167D">
        <w:rPr>
          <w:rStyle w:val="apple-converted-space"/>
          <w:rFonts w:cs="Arial"/>
          <w:szCs w:val="16"/>
          <w:shd w:val="clear" w:color="auto" w:fill="FFFFFF"/>
        </w:rPr>
        <w:t> </w:t>
      </w:r>
      <w:r w:rsidRPr="0073167D">
        <w:rPr>
          <w:rStyle w:val="Emphasis"/>
          <w:rFonts w:cs="Arial"/>
          <w:bCs/>
          <w:i w:val="0"/>
          <w:iCs w:val="0"/>
          <w:szCs w:val="16"/>
          <w:shd w:val="clear" w:color="auto" w:fill="FFFFFF"/>
          <w:lang w:val="pt-BR"/>
        </w:rPr>
        <w:t>Violência Policial</w:t>
      </w:r>
      <w:r w:rsidRPr="0073167D">
        <w:rPr>
          <w:rStyle w:val="apple-converted-space"/>
          <w:rFonts w:cs="Arial"/>
          <w:szCs w:val="16"/>
          <w:shd w:val="clear" w:color="auto" w:fill="FFFFFF"/>
          <w:lang w:val="pt-BR"/>
        </w:rPr>
        <w:t> e</w:t>
      </w:r>
      <w:r w:rsidRPr="0073167D">
        <w:rPr>
          <w:rFonts w:cs="Arial"/>
          <w:szCs w:val="16"/>
          <w:shd w:val="clear" w:color="auto" w:fill="FFFFFF"/>
          <w:lang w:val="pt-BR"/>
        </w:rPr>
        <w:t xml:space="preserve"> Segurança Pública no Rio de Janeiro e São Paulo (Nueva York, 2009), p. 5. </w:t>
      </w:r>
      <w:r w:rsidRPr="0073167D">
        <w:rPr>
          <w:rFonts w:cs="Arial"/>
          <w:szCs w:val="16"/>
          <w:shd w:val="clear" w:color="auto" w:fill="FFFFFF"/>
        </w:rPr>
        <w:t xml:space="preserve">Ver también </w:t>
      </w:r>
      <w:r w:rsidRPr="0073167D">
        <w:rPr>
          <w:szCs w:val="16"/>
          <w:lang w:val="es-EC"/>
        </w:rPr>
        <w:t>Informe de la Misión a Brasil, Relator Especial sobre Ejecuciones Extrajudi</w:t>
      </w:r>
      <w:r w:rsidRPr="00C21A2E">
        <w:rPr>
          <w:szCs w:val="16"/>
          <w:lang w:val="es-EC"/>
        </w:rPr>
        <w:t xml:space="preserve">ciales, Sumarias o Arbitrarias. U.N. Doc. A/HRC/11/2/Add.2, 23 de marzo de 2009, </w:t>
      </w:r>
      <w:r w:rsidRPr="00C21A2E">
        <w:rPr>
          <w:rFonts w:cs="Arial"/>
          <w:szCs w:val="16"/>
          <w:shd w:val="clear" w:color="auto" w:fill="FFFFFF"/>
        </w:rPr>
        <w:t>y</w:t>
      </w:r>
      <w:r w:rsidRPr="00C21A2E">
        <w:rPr>
          <w:rFonts w:cs="Arial"/>
          <w:b/>
          <w:szCs w:val="16"/>
          <w:shd w:val="clear" w:color="auto" w:fill="FFFFFF"/>
        </w:rPr>
        <w:t xml:space="preserve"> </w:t>
      </w:r>
      <w:r w:rsidRPr="00C21A2E">
        <w:rPr>
          <w:szCs w:val="16"/>
          <w:lang w:val="es-AR"/>
        </w:rPr>
        <w:t>perita</w:t>
      </w:r>
      <w:r>
        <w:rPr>
          <w:szCs w:val="16"/>
          <w:lang w:val="es-AR"/>
        </w:rPr>
        <w:t>je rendido mediante affidávit por</w:t>
      </w:r>
      <w:r w:rsidRPr="00C21A2E">
        <w:rPr>
          <w:szCs w:val="16"/>
          <w:lang w:val="es-AR"/>
        </w:rPr>
        <w:t xml:space="preserve"> Michel </w:t>
      </w:r>
      <w:proofErr w:type="spellStart"/>
      <w:r w:rsidRPr="00C21A2E">
        <w:rPr>
          <w:szCs w:val="16"/>
          <w:lang w:val="es-AR"/>
        </w:rPr>
        <w:t>Misse</w:t>
      </w:r>
      <w:proofErr w:type="spellEnd"/>
      <w:r w:rsidRPr="00C21A2E">
        <w:rPr>
          <w:szCs w:val="16"/>
          <w:lang w:val="es-AR"/>
        </w:rPr>
        <w:t xml:space="preserve"> </w:t>
      </w:r>
      <w:r>
        <w:rPr>
          <w:szCs w:val="16"/>
          <w:lang w:val="es-AR"/>
        </w:rPr>
        <w:t>el</w:t>
      </w:r>
      <w:r w:rsidRPr="00C21A2E">
        <w:rPr>
          <w:szCs w:val="16"/>
          <w:lang w:val="es-AR"/>
        </w:rPr>
        <w:t xml:space="preserve"> 16 de septiembre de 2016, folios 14510, 14514 a 14522</w:t>
      </w:r>
      <w:r w:rsidRPr="004B524C">
        <w:rPr>
          <w:rFonts w:cs="Arial"/>
          <w:szCs w:val="16"/>
          <w:shd w:val="clear" w:color="auto" w:fill="FFFFFF"/>
        </w:rPr>
        <w:t>.</w:t>
      </w:r>
    </w:p>
  </w:footnote>
  <w:footnote w:id="81">
    <w:p w14:paraId="1FDA7D2A" w14:textId="17B0E766" w:rsidR="00122408" w:rsidRPr="00C21A2E" w:rsidRDefault="00122408" w:rsidP="00B50B41">
      <w:pPr>
        <w:pStyle w:val="FootnoteText"/>
        <w:spacing w:after="40"/>
        <w:rPr>
          <w:b/>
          <w:szCs w:val="16"/>
        </w:rPr>
      </w:pPr>
      <w:r w:rsidRPr="00C21A2E">
        <w:rPr>
          <w:rStyle w:val="FootnoteReference"/>
          <w:sz w:val="16"/>
          <w:szCs w:val="16"/>
        </w:rPr>
        <w:footnoteRef/>
      </w:r>
      <w:r w:rsidRPr="00C21A2E">
        <w:rPr>
          <w:szCs w:val="16"/>
          <w:lang w:val="es-EC"/>
        </w:rPr>
        <w:t xml:space="preserve"> </w:t>
      </w:r>
      <w:r w:rsidRPr="00C21A2E">
        <w:rPr>
          <w:i/>
          <w:szCs w:val="16"/>
          <w:lang w:val="es-EC"/>
        </w:rPr>
        <w:t>Cfr</w:t>
      </w:r>
      <w:r w:rsidRPr="00C21A2E">
        <w:rPr>
          <w:szCs w:val="16"/>
          <w:lang w:val="es-EC"/>
        </w:rPr>
        <w:t xml:space="preserve">. CIDH, Informe No. 26/09, Caso 12.440, Wallace de Almeida (Brasil), 20 de marzo de 2009, </w:t>
      </w:r>
      <w:proofErr w:type="spellStart"/>
      <w:r w:rsidRPr="00C21A2E">
        <w:rPr>
          <w:szCs w:val="16"/>
          <w:lang w:val="es-EC"/>
        </w:rPr>
        <w:t>párrs</w:t>
      </w:r>
      <w:proofErr w:type="spellEnd"/>
      <w:r w:rsidRPr="00C21A2E">
        <w:rPr>
          <w:szCs w:val="16"/>
          <w:lang w:val="es-EC"/>
        </w:rPr>
        <w:t xml:space="preserve">. </w:t>
      </w:r>
      <w:r w:rsidRPr="00C21A2E">
        <w:rPr>
          <w:szCs w:val="16"/>
        </w:rPr>
        <w:t xml:space="preserve">81 y 82. Human </w:t>
      </w:r>
      <w:proofErr w:type="spellStart"/>
      <w:r w:rsidRPr="00C21A2E">
        <w:rPr>
          <w:szCs w:val="16"/>
        </w:rPr>
        <w:t>Rights</w:t>
      </w:r>
      <w:proofErr w:type="spellEnd"/>
      <w:r w:rsidRPr="00C21A2E">
        <w:rPr>
          <w:szCs w:val="16"/>
        </w:rPr>
        <w:t xml:space="preserve"> </w:t>
      </w:r>
      <w:proofErr w:type="spellStart"/>
      <w:r w:rsidRPr="00C21A2E">
        <w:rPr>
          <w:szCs w:val="16"/>
        </w:rPr>
        <w:t>Watch</w:t>
      </w:r>
      <w:proofErr w:type="spellEnd"/>
      <w:r w:rsidRPr="00C21A2E">
        <w:rPr>
          <w:szCs w:val="16"/>
        </w:rPr>
        <w:t>,</w:t>
      </w:r>
      <w:r w:rsidRPr="00C21A2E">
        <w:rPr>
          <w:rStyle w:val="Emphasis"/>
          <w:rFonts w:cs="Arial"/>
          <w:bCs/>
          <w:i w:val="0"/>
          <w:iCs w:val="0"/>
          <w:szCs w:val="16"/>
          <w:shd w:val="clear" w:color="auto" w:fill="FFFFFF"/>
        </w:rPr>
        <w:t xml:space="preserve"> Fuerza Letal</w:t>
      </w:r>
      <w:r w:rsidRPr="00C21A2E">
        <w:rPr>
          <w:rFonts w:cs="Arial"/>
          <w:szCs w:val="16"/>
          <w:shd w:val="clear" w:color="auto" w:fill="FFFFFF"/>
        </w:rPr>
        <w:t>.</w:t>
      </w:r>
      <w:r w:rsidRPr="00C21A2E">
        <w:rPr>
          <w:rStyle w:val="apple-converted-space"/>
          <w:rFonts w:cs="Arial"/>
          <w:szCs w:val="16"/>
          <w:shd w:val="clear" w:color="auto" w:fill="FFFFFF"/>
        </w:rPr>
        <w:t> </w:t>
      </w:r>
      <w:r w:rsidRPr="00C21A2E">
        <w:rPr>
          <w:rStyle w:val="Emphasis"/>
          <w:rFonts w:cs="Arial"/>
          <w:bCs/>
          <w:i w:val="0"/>
          <w:iCs w:val="0"/>
          <w:szCs w:val="16"/>
          <w:shd w:val="clear" w:color="auto" w:fill="FFFFFF"/>
        </w:rPr>
        <w:t>Violencia Policial</w:t>
      </w:r>
      <w:r w:rsidRPr="00C21A2E">
        <w:rPr>
          <w:rStyle w:val="apple-converted-space"/>
          <w:rFonts w:cs="Arial"/>
          <w:szCs w:val="16"/>
          <w:shd w:val="clear" w:color="auto" w:fill="FFFFFF"/>
        </w:rPr>
        <w:t> </w:t>
      </w:r>
      <w:r w:rsidRPr="00C21A2E">
        <w:rPr>
          <w:rFonts w:cs="Arial"/>
          <w:szCs w:val="16"/>
          <w:shd w:val="clear" w:color="auto" w:fill="FFFFFF"/>
        </w:rPr>
        <w:t xml:space="preserve">y Seguridad Pública en Rio de Janeiro e en São Paulo (Nueva York, 2009) p. 105; </w:t>
      </w:r>
      <w:r>
        <w:rPr>
          <w:szCs w:val="16"/>
        </w:rPr>
        <w:t xml:space="preserve">Testimonio rendido mediante affidávit por </w:t>
      </w:r>
      <w:proofErr w:type="spellStart"/>
      <w:r>
        <w:rPr>
          <w:szCs w:val="16"/>
        </w:rPr>
        <w:t>Caetano</w:t>
      </w:r>
      <w:proofErr w:type="spellEnd"/>
      <w:r>
        <w:rPr>
          <w:szCs w:val="16"/>
        </w:rPr>
        <w:t xml:space="preserve"> </w:t>
      </w:r>
      <w:proofErr w:type="spellStart"/>
      <w:r>
        <w:rPr>
          <w:szCs w:val="16"/>
        </w:rPr>
        <w:t>Lagrasta</w:t>
      </w:r>
      <w:proofErr w:type="spellEnd"/>
      <w:r>
        <w:rPr>
          <w:szCs w:val="16"/>
        </w:rPr>
        <w:t xml:space="preserve"> Neto el </w:t>
      </w:r>
      <w:r w:rsidRPr="00C21A2E">
        <w:rPr>
          <w:szCs w:val="16"/>
        </w:rPr>
        <w:t>30 de septiembre de 2016 (expediente de</w:t>
      </w:r>
      <w:r w:rsidRPr="00C21A2E">
        <w:rPr>
          <w:rFonts w:cs="Arial"/>
          <w:szCs w:val="16"/>
        </w:rPr>
        <w:t xml:space="preserve"> prueba, folio</w:t>
      </w:r>
      <w:r>
        <w:rPr>
          <w:rFonts w:cs="Arial"/>
          <w:szCs w:val="16"/>
        </w:rPr>
        <w:t>s</w:t>
      </w:r>
      <w:r w:rsidRPr="00C21A2E">
        <w:rPr>
          <w:rFonts w:cs="Arial"/>
          <w:szCs w:val="16"/>
        </w:rPr>
        <w:t xml:space="preserve"> 16529, 16601);</w:t>
      </w:r>
      <w:r w:rsidRPr="00C21A2E">
        <w:rPr>
          <w:szCs w:val="16"/>
        </w:rPr>
        <w:t xml:space="preserve"> </w:t>
      </w:r>
      <w:r>
        <w:rPr>
          <w:szCs w:val="16"/>
        </w:rPr>
        <w:t xml:space="preserve">Testimonio rendido mediante affidávit por Michel </w:t>
      </w:r>
      <w:proofErr w:type="spellStart"/>
      <w:r>
        <w:rPr>
          <w:szCs w:val="16"/>
        </w:rPr>
        <w:t>Misse</w:t>
      </w:r>
      <w:proofErr w:type="spellEnd"/>
      <w:r>
        <w:rPr>
          <w:szCs w:val="16"/>
        </w:rPr>
        <w:t xml:space="preserve"> el </w:t>
      </w:r>
      <w:r w:rsidRPr="00C21A2E">
        <w:rPr>
          <w:szCs w:val="16"/>
        </w:rPr>
        <w:t>16 de septiembre de 2016 (expediente de</w:t>
      </w:r>
      <w:r w:rsidRPr="00C21A2E">
        <w:rPr>
          <w:rFonts w:cs="Arial"/>
          <w:szCs w:val="16"/>
        </w:rPr>
        <w:t xml:space="preserve"> prueba, folio 14523); </w:t>
      </w:r>
      <w:r w:rsidRPr="00C21A2E">
        <w:rPr>
          <w:szCs w:val="16"/>
          <w:lang w:val="es-EC"/>
        </w:rPr>
        <w:t xml:space="preserve">Informe de la Misión a Brasil, Relator Especial sobre Ejecuciones Extrajudiciales, Sumarias o Arbitrarias. U.N. Doc. A/HRC/11/2/Add.2, 23 de marzo de 2009, </w:t>
      </w:r>
      <w:r w:rsidRPr="00C21A2E">
        <w:rPr>
          <w:rFonts w:cs="Arial"/>
          <w:szCs w:val="16"/>
        </w:rPr>
        <w:t xml:space="preserve">párr. 13; peritaje </w:t>
      </w:r>
      <w:r>
        <w:rPr>
          <w:rFonts w:cs="Arial"/>
          <w:szCs w:val="16"/>
        </w:rPr>
        <w:t xml:space="preserve">rendido mediante affidávit por </w:t>
      </w:r>
      <w:r w:rsidRPr="00C21A2E">
        <w:rPr>
          <w:rFonts w:cs="Arial"/>
          <w:szCs w:val="16"/>
          <w:lang w:val="es-AR"/>
        </w:rPr>
        <w:t xml:space="preserve">Marlon </w:t>
      </w:r>
      <w:proofErr w:type="spellStart"/>
      <w:r w:rsidRPr="00C21A2E">
        <w:rPr>
          <w:rFonts w:cs="Arial"/>
          <w:szCs w:val="16"/>
          <w:lang w:val="es-AR"/>
        </w:rPr>
        <w:t>Weichert</w:t>
      </w:r>
      <w:proofErr w:type="spellEnd"/>
      <w:r w:rsidRPr="00C21A2E">
        <w:rPr>
          <w:rFonts w:cs="Arial"/>
          <w:szCs w:val="16"/>
          <w:lang w:val="es-AR"/>
        </w:rPr>
        <w:t xml:space="preserve"> </w:t>
      </w:r>
      <w:r>
        <w:rPr>
          <w:rFonts w:cs="Arial"/>
          <w:szCs w:val="16"/>
          <w:lang w:val="es-AR"/>
        </w:rPr>
        <w:t>el</w:t>
      </w:r>
      <w:r w:rsidRPr="00C21A2E">
        <w:rPr>
          <w:rFonts w:cs="Arial"/>
          <w:szCs w:val="16"/>
          <w:lang w:val="es-AR"/>
        </w:rPr>
        <w:t xml:space="preserve"> 30 de septiembre de 2016 (expediente de prueba, folios</w:t>
      </w:r>
      <w:r>
        <w:rPr>
          <w:rFonts w:cs="Arial"/>
          <w:szCs w:val="16"/>
          <w:lang w:val="es-AR"/>
        </w:rPr>
        <w:t xml:space="preserve"> </w:t>
      </w:r>
      <w:r w:rsidRPr="00C21A2E">
        <w:rPr>
          <w:rFonts w:cs="Arial"/>
          <w:szCs w:val="16"/>
          <w:lang w:val="es-AR"/>
        </w:rPr>
        <w:t>14545 a 14548</w:t>
      </w:r>
      <w:r>
        <w:rPr>
          <w:rFonts w:cs="Arial"/>
          <w:szCs w:val="16"/>
          <w:lang w:val="es-AR"/>
        </w:rPr>
        <w:t>)</w:t>
      </w:r>
      <w:r w:rsidRPr="00C21A2E">
        <w:rPr>
          <w:rFonts w:cs="Arial"/>
          <w:szCs w:val="16"/>
          <w:lang w:val="es-AR"/>
        </w:rPr>
        <w:t>.</w:t>
      </w:r>
    </w:p>
  </w:footnote>
  <w:footnote w:id="82">
    <w:p w14:paraId="1C006ACF" w14:textId="5826387F" w:rsidR="00122408" w:rsidRPr="00F1229B" w:rsidRDefault="00122408" w:rsidP="00B50B41">
      <w:pPr>
        <w:pStyle w:val="FootnoteText"/>
        <w:spacing w:after="40"/>
        <w:rPr>
          <w:b/>
          <w:szCs w:val="16"/>
          <w:lang w:val="es-EC"/>
        </w:rPr>
      </w:pPr>
      <w:r w:rsidRPr="00C21A2E">
        <w:rPr>
          <w:rStyle w:val="FootnoteReference"/>
          <w:sz w:val="16"/>
          <w:szCs w:val="16"/>
        </w:rPr>
        <w:footnoteRef/>
      </w:r>
      <w:r w:rsidRPr="00C21A2E">
        <w:rPr>
          <w:szCs w:val="16"/>
          <w:lang w:val="es-EC"/>
        </w:rPr>
        <w:t xml:space="preserve"> </w:t>
      </w:r>
      <w:r w:rsidRPr="00C21A2E">
        <w:rPr>
          <w:i/>
          <w:szCs w:val="16"/>
          <w:lang w:val="es-EC"/>
        </w:rPr>
        <w:t>Cfr</w:t>
      </w:r>
      <w:r w:rsidRPr="00C21A2E">
        <w:rPr>
          <w:szCs w:val="16"/>
          <w:lang w:val="es-EC"/>
        </w:rPr>
        <w:t>. Informe de la Misión a Brasil, Relator Especial sobre Ejecuciones Extrajudiciales, Sumarias o Arbitrarias</w:t>
      </w:r>
      <w:r>
        <w:rPr>
          <w:szCs w:val="16"/>
          <w:lang w:val="es-EC"/>
        </w:rPr>
        <w:t xml:space="preserve">, U.N. Doc. </w:t>
      </w:r>
      <w:r w:rsidRPr="00F1229B">
        <w:rPr>
          <w:szCs w:val="16"/>
        </w:rPr>
        <w:t>E/CN.4/2004/7/Add.3</w:t>
      </w:r>
      <w:r>
        <w:rPr>
          <w:szCs w:val="16"/>
        </w:rPr>
        <w:t>, 28 de enero de 2004</w:t>
      </w:r>
      <w:r w:rsidRPr="00C21A2E">
        <w:rPr>
          <w:szCs w:val="16"/>
          <w:lang w:val="es-EC"/>
        </w:rPr>
        <w:t xml:space="preserve">, párr. 40. Ver también </w:t>
      </w:r>
      <w:r>
        <w:rPr>
          <w:szCs w:val="16"/>
          <w:lang w:val="es-EC"/>
        </w:rPr>
        <w:t xml:space="preserve">Testimonio rendido mediante affidávit por </w:t>
      </w:r>
      <w:r w:rsidRPr="00F1229B">
        <w:rPr>
          <w:szCs w:val="16"/>
          <w:lang w:val="es-AR"/>
        </w:rPr>
        <w:t>Ignacio Cano el 27 de septiembre de 2016 (expediente de prueba, folio</w:t>
      </w:r>
      <w:r>
        <w:rPr>
          <w:szCs w:val="16"/>
          <w:lang w:val="es-AR"/>
        </w:rPr>
        <w:t>s</w:t>
      </w:r>
      <w:r w:rsidRPr="00F1229B">
        <w:rPr>
          <w:szCs w:val="16"/>
          <w:lang w:val="es-AR"/>
        </w:rPr>
        <w:t xml:space="preserve"> 15556</w:t>
      </w:r>
      <w:r>
        <w:rPr>
          <w:szCs w:val="16"/>
          <w:lang w:val="es-AR"/>
        </w:rPr>
        <w:t xml:space="preserve"> a </w:t>
      </w:r>
      <w:r w:rsidRPr="00F1229B">
        <w:rPr>
          <w:szCs w:val="16"/>
          <w:lang w:val="es-AR"/>
        </w:rPr>
        <w:t>15558</w:t>
      </w:r>
      <w:r w:rsidRPr="00F1229B">
        <w:rPr>
          <w:szCs w:val="16"/>
          <w:lang w:val="es-EC"/>
        </w:rPr>
        <w:t>).</w:t>
      </w:r>
    </w:p>
  </w:footnote>
  <w:footnote w:id="83">
    <w:p w14:paraId="570E43AA" w14:textId="713CBE8F" w:rsidR="00122408" w:rsidRPr="00C21A2E" w:rsidRDefault="00122408" w:rsidP="00B50B41">
      <w:pPr>
        <w:pStyle w:val="FootnoteText"/>
        <w:spacing w:after="40"/>
        <w:rPr>
          <w:b/>
          <w:szCs w:val="16"/>
          <w:lang w:val="es-AR"/>
        </w:rPr>
      </w:pPr>
      <w:r w:rsidRPr="000E5EA9">
        <w:rPr>
          <w:rStyle w:val="FootnoteReference"/>
          <w:sz w:val="16"/>
          <w:szCs w:val="16"/>
        </w:rPr>
        <w:footnoteRef/>
      </w:r>
      <w:r w:rsidRPr="000E5EA9">
        <w:rPr>
          <w:szCs w:val="16"/>
          <w:lang w:val="es-EC"/>
        </w:rPr>
        <w:t xml:space="preserve"> </w:t>
      </w:r>
      <w:r w:rsidRPr="000E5EA9">
        <w:rPr>
          <w:i/>
          <w:szCs w:val="16"/>
          <w:lang w:val="es-EC"/>
        </w:rPr>
        <w:t xml:space="preserve">Cfr. </w:t>
      </w:r>
      <w:r w:rsidRPr="000E5EA9">
        <w:rPr>
          <w:szCs w:val="16"/>
          <w:lang w:val="es-EC"/>
        </w:rPr>
        <w:t xml:space="preserve">Informe de la Misión a Brasil, Relator Especial sobre Ejecuciones Extrajudiciales, Sumarias o Arbitrarias. U.N. Doc. A/HRC/11/2/Add.2, 23 de marzo de 2009; Seguimiento a las Recomendaciones de País – Brasil, Relator Especial sobre Ejecuciones Extrajudiciales, Sumarias o Arbitrarias. </w:t>
      </w:r>
      <w:r w:rsidRPr="000E5EA9">
        <w:rPr>
          <w:szCs w:val="16"/>
        </w:rPr>
        <w:t xml:space="preserve">U.N. Doc. </w:t>
      </w:r>
      <w:r w:rsidRPr="000E5EA9">
        <w:rPr>
          <w:szCs w:val="16"/>
          <w:lang w:val="es-EC"/>
        </w:rPr>
        <w:t>A/HRC/14/24/Add.4, 28 de mayo de 2010.</w:t>
      </w:r>
      <w:r w:rsidRPr="000E5EA9">
        <w:rPr>
          <w:szCs w:val="16"/>
        </w:rPr>
        <w:t xml:space="preserve"> Ver también testimonio rendido mediante </w:t>
      </w:r>
      <w:r>
        <w:rPr>
          <w:szCs w:val="16"/>
        </w:rPr>
        <w:t>affidávit</w:t>
      </w:r>
      <w:r w:rsidRPr="000E5EA9">
        <w:rPr>
          <w:szCs w:val="16"/>
        </w:rPr>
        <w:t xml:space="preserve"> por Ignacio Cano el </w:t>
      </w:r>
      <w:r w:rsidRPr="000E5EA9">
        <w:rPr>
          <w:szCs w:val="16"/>
          <w:lang w:val="es-AR"/>
        </w:rPr>
        <w:t xml:space="preserve">27 de septiembre de 2016, folios 15557 y 15558; peritaje rendido mediante </w:t>
      </w:r>
      <w:r>
        <w:rPr>
          <w:szCs w:val="16"/>
          <w:lang w:val="es-AR"/>
        </w:rPr>
        <w:t>affidávit</w:t>
      </w:r>
      <w:r w:rsidRPr="000E5EA9">
        <w:rPr>
          <w:szCs w:val="16"/>
          <w:lang w:val="es-AR"/>
        </w:rPr>
        <w:t xml:space="preserve"> por </w:t>
      </w:r>
      <w:proofErr w:type="spellStart"/>
      <w:r w:rsidRPr="000E5EA9">
        <w:rPr>
          <w:szCs w:val="16"/>
          <w:lang w:val="es-AR"/>
        </w:rPr>
        <w:t>Caetano</w:t>
      </w:r>
      <w:proofErr w:type="spellEnd"/>
      <w:r w:rsidRPr="000E5EA9">
        <w:rPr>
          <w:szCs w:val="16"/>
          <w:lang w:val="es-AR"/>
        </w:rPr>
        <w:t xml:space="preserve"> </w:t>
      </w:r>
      <w:proofErr w:type="spellStart"/>
      <w:r w:rsidRPr="000E5EA9">
        <w:rPr>
          <w:szCs w:val="16"/>
          <w:lang w:val="es-AR"/>
        </w:rPr>
        <w:t>Lagrasta</w:t>
      </w:r>
      <w:proofErr w:type="spellEnd"/>
      <w:r w:rsidRPr="000E5EA9">
        <w:rPr>
          <w:szCs w:val="16"/>
          <w:lang w:val="es-AR"/>
        </w:rPr>
        <w:t xml:space="preserve"> Neto el 30 de septiembre de 2016 (expediente de prueba, folios 16553-16555, 16561-16562, 16586-16587), y peritaje rendido mediante </w:t>
      </w:r>
      <w:r>
        <w:rPr>
          <w:szCs w:val="16"/>
          <w:lang w:val="es-AR"/>
        </w:rPr>
        <w:t>affidávit</w:t>
      </w:r>
      <w:r w:rsidRPr="000E5EA9">
        <w:rPr>
          <w:szCs w:val="16"/>
          <w:lang w:val="es-AR"/>
        </w:rPr>
        <w:t xml:space="preserve"> por Michel </w:t>
      </w:r>
      <w:proofErr w:type="spellStart"/>
      <w:r w:rsidRPr="000E5EA9">
        <w:rPr>
          <w:szCs w:val="16"/>
          <w:lang w:val="es-AR"/>
        </w:rPr>
        <w:t>Misse</w:t>
      </w:r>
      <w:proofErr w:type="spellEnd"/>
      <w:r w:rsidRPr="000E5EA9">
        <w:rPr>
          <w:szCs w:val="16"/>
          <w:lang w:val="es-AR"/>
        </w:rPr>
        <w:t xml:space="preserve"> el 16 de septiembre de 2016 (expediente de prueba, folios 14514-14515, 14519-14521).</w:t>
      </w:r>
    </w:p>
  </w:footnote>
  <w:footnote w:id="84">
    <w:p w14:paraId="267230F4" w14:textId="36F768C3" w:rsidR="00122408" w:rsidRPr="0073167D" w:rsidRDefault="00122408" w:rsidP="00B50B41">
      <w:pPr>
        <w:spacing w:after="40"/>
        <w:rPr>
          <w:sz w:val="16"/>
          <w:szCs w:val="16"/>
          <w:lang w:val="pt-BR"/>
        </w:rPr>
      </w:pPr>
      <w:r w:rsidRPr="00C21A2E">
        <w:rPr>
          <w:rStyle w:val="FootnoteReference"/>
          <w:sz w:val="16"/>
          <w:szCs w:val="16"/>
        </w:rPr>
        <w:footnoteRef/>
      </w:r>
      <w:r w:rsidRPr="00C21A2E">
        <w:rPr>
          <w:sz w:val="16"/>
          <w:szCs w:val="16"/>
          <w:lang w:val="es-EC"/>
        </w:rPr>
        <w:t xml:space="preserve"> </w:t>
      </w:r>
      <w:r w:rsidRPr="00C21A2E">
        <w:rPr>
          <w:i/>
          <w:sz w:val="16"/>
          <w:szCs w:val="16"/>
          <w:lang w:val="es-EC"/>
        </w:rPr>
        <w:t>Cfr</w:t>
      </w:r>
      <w:r w:rsidRPr="00C21A2E">
        <w:rPr>
          <w:sz w:val="16"/>
          <w:szCs w:val="16"/>
          <w:lang w:val="es-EC"/>
        </w:rPr>
        <w:t xml:space="preserve">. </w:t>
      </w:r>
      <w:r w:rsidRPr="00E45E3B">
        <w:rPr>
          <w:spacing w:val="-2"/>
          <w:sz w:val="16"/>
          <w:szCs w:val="16"/>
          <w:lang w:val="es-ES"/>
        </w:rPr>
        <w:t>UNESCO, Mapa de la Violencia IV: los jóvenes de Brasil, Brasilia, 2004, p. 57 -58; CIDH, Informe sobre la Situación de Derechos Humanos en Brasil, OEA/</w:t>
      </w:r>
      <w:proofErr w:type="spellStart"/>
      <w:r w:rsidRPr="00E45E3B">
        <w:rPr>
          <w:spacing w:val="-2"/>
          <w:sz w:val="16"/>
          <w:szCs w:val="16"/>
          <w:lang w:val="es-ES"/>
        </w:rPr>
        <w:t>Ser.L</w:t>
      </w:r>
      <w:proofErr w:type="spellEnd"/>
      <w:r w:rsidRPr="00E45E3B">
        <w:rPr>
          <w:spacing w:val="-2"/>
          <w:sz w:val="16"/>
          <w:szCs w:val="16"/>
          <w:lang w:val="es-ES"/>
        </w:rPr>
        <w:t xml:space="preserve">/V/II.97, Doc. 29 </w:t>
      </w:r>
      <w:proofErr w:type="spellStart"/>
      <w:r w:rsidRPr="00E45E3B">
        <w:rPr>
          <w:spacing w:val="-2"/>
          <w:sz w:val="16"/>
          <w:szCs w:val="16"/>
          <w:lang w:val="es-ES"/>
        </w:rPr>
        <w:t>rev.</w:t>
      </w:r>
      <w:proofErr w:type="spellEnd"/>
      <w:r w:rsidRPr="00E45E3B">
        <w:rPr>
          <w:spacing w:val="-2"/>
          <w:sz w:val="16"/>
          <w:szCs w:val="16"/>
          <w:lang w:val="es-ES"/>
        </w:rPr>
        <w:t xml:space="preserve"> 1, 29 de septiembre de 1997, Capítulo III, </w:t>
      </w:r>
      <w:proofErr w:type="spellStart"/>
      <w:r w:rsidRPr="00E45E3B">
        <w:rPr>
          <w:spacing w:val="-2"/>
          <w:sz w:val="16"/>
          <w:szCs w:val="16"/>
          <w:lang w:val="es-ES"/>
        </w:rPr>
        <w:t>párrs</w:t>
      </w:r>
      <w:proofErr w:type="spellEnd"/>
      <w:r w:rsidRPr="00E45E3B">
        <w:rPr>
          <w:spacing w:val="-2"/>
          <w:sz w:val="16"/>
          <w:szCs w:val="16"/>
          <w:lang w:val="es-ES"/>
        </w:rPr>
        <w:t xml:space="preserve">. </w:t>
      </w:r>
      <w:r w:rsidRPr="00E45E3B">
        <w:rPr>
          <w:spacing w:val="-2"/>
          <w:sz w:val="16"/>
          <w:szCs w:val="16"/>
          <w:lang w:val="es-EC"/>
        </w:rPr>
        <w:t xml:space="preserve">8, 11, 13; Observaciones finales del Comité de Derechos Humanos: Brasil, U.N.Doc. CCPR/C/79/Add.66, 24 de julio de 1996, </w:t>
      </w:r>
      <w:proofErr w:type="spellStart"/>
      <w:r w:rsidRPr="00E45E3B">
        <w:rPr>
          <w:spacing w:val="-2"/>
          <w:sz w:val="16"/>
          <w:szCs w:val="16"/>
          <w:lang w:val="es-EC"/>
        </w:rPr>
        <w:t>párrs</w:t>
      </w:r>
      <w:proofErr w:type="spellEnd"/>
      <w:r w:rsidRPr="00E45E3B">
        <w:rPr>
          <w:spacing w:val="-2"/>
          <w:sz w:val="16"/>
          <w:szCs w:val="16"/>
          <w:lang w:val="es-EC"/>
        </w:rPr>
        <w:t xml:space="preserve">. </w:t>
      </w:r>
      <w:r w:rsidRPr="00E45E3B">
        <w:rPr>
          <w:spacing w:val="-2"/>
          <w:sz w:val="16"/>
          <w:szCs w:val="16"/>
        </w:rPr>
        <w:t xml:space="preserve">6 y 8; </w:t>
      </w:r>
      <w:r w:rsidRPr="00E45E3B">
        <w:rPr>
          <w:spacing w:val="-2"/>
          <w:sz w:val="16"/>
          <w:szCs w:val="16"/>
          <w:lang w:val="es-EC"/>
        </w:rPr>
        <w:t xml:space="preserve">Acta resumida de la sesión 1506° del Comité de Derechos Humanos, 16 de julio de 1996. </w:t>
      </w:r>
      <w:r w:rsidRPr="00E45E3B">
        <w:rPr>
          <w:spacing w:val="-2"/>
          <w:sz w:val="16"/>
          <w:szCs w:val="16"/>
          <w:lang w:val="es-ES"/>
        </w:rPr>
        <w:t xml:space="preserve">U.N. Doc. CCPR/C/SR.1506, párr. 5; Informe del Relator Especial sobre formas contemporáneas de racismo, discriminación racial, xenofobia </w:t>
      </w:r>
      <w:proofErr w:type="spellStart"/>
      <w:proofErr w:type="gramStart"/>
      <w:r w:rsidRPr="00E45E3B">
        <w:rPr>
          <w:spacing w:val="-2"/>
          <w:sz w:val="16"/>
          <w:szCs w:val="16"/>
          <w:lang w:val="es-ES"/>
        </w:rPr>
        <w:t>y</w:t>
      </w:r>
      <w:proofErr w:type="spellEnd"/>
      <w:proofErr w:type="gramEnd"/>
      <w:r w:rsidRPr="00E45E3B">
        <w:rPr>
          <w:spacing w:val="-2"/>
          <w:sz w:val="16"/>
          <w:szCs w:val="16"/>
          <w:lang w:val="es-ES"/>
        </w:rPr>
        <w:t xml:space="preserve"> intolerancia, U.N. Doc. E/CN.4/2006/16/Add.3, 28 de febrero de 2006, párr. 33,36 y 38; </w:t>
      </w:r>
      <w:r w:rsidRPr="00E45E3B">
        <w:rPr>
          <w:spacing w:val="-2"/>
          <w:sz w:val="16"/>
          <w:szCs w:val="16"/>
          <w:lang w:val="es-EC"/>
        </w:rPr>
        <w:t xml:space="preserve">Informe de la Misión a Brasil, Relator Especial sobre Ejecuciones Extrajudiciales, Sumarias o Arbitrarias. U.N. Doc. A/HRC/11/2/Add.2, 23 de marzo de 2009, III –Ejecuciones Extrajudiciales por la Policía, </w:t>
      </w:r>
      <w:proofErr w:type="spellStart"/>
      <w:r w:rsidRPr="00E45E3B">
        <w:rPr>
          <w:spacing w:val="-2"/>
          <w:sz w:val="16"/>
          <w:szCs w:val="16"/>
          <w:lang w:val="es-EC"/>
        </w:rPr>
        <w:t>párrs</w:t>
      </w:r>
      <w:proofErr w:type="spellEnd"/>
      <w:r w:rsidRPr="00E45E3B">
        <w:rPr>
          <w:spacing w:val="-2"/>
          <w:sz w:val="16"/>
          <w:szCs w:val="16"/>
          <w:lang w:val="es-EC"/>
        </w:rPr>
        <w:t xml:space="preserve">. 7 y 8; Seguimiento a las Recomendaciones de País –Brasil, Relator Especial sobre Ejecuciones Extrajudiciales, Sumarias o Arbitrarias. </w:t>
      </w:r>
      <w:r w:rsidRPr="00E45E3B">
        <w:rPr>
          <w:spacing w:val="-2"/>
          <w:sz w:val="16"/>
          <w:szCs w:val="16"/>
        </w:rPr>
        <w:t xml:space="preserve">U.N. Doc. </w:t>
      </w:r>
      <w:r w:rsidRPr="00E45E3B">
        <w:rPr>
          <w:spacing w:val="-2"/>
          <w:sz w:val="16"/>
          <w:szCs w:val="16"/>
          <w:lang w:val="es-EC"/>
        </w:rPr>
        <w:t>A/HRC/14/24/</w:t>
      </w:r>
      <w:proofErr w:type="spellStart"/>
      <w:r w:rsidRPr="00E45E3B">
        <w:rPr>
          <w:spacing w:val="-2"/>
          <w:sz w:val="16"/>
          <w:szCs w:val="16"/>
          <w:lang w:val="es-EC"/>
        </w:rPr>
        <w:t>Add</w:t>
      </w:r>
      <w:proofErr w:type="spellEnd"/>
      <w:r w:rsidRPr="00E45E3B">
        <w:rPr>
          <w:spacing w:val="-2"/>
          <w:sz w:val="16"/>
          <w:szCs w:val="16"/>
          <w:lang w:val="es-EC"/>
        </w:rPr>
        <w:t xml:space="preserve">. 4, 28 de mayo de 2010. Ver también </w:t>
      </w:r>
      <w:proofErr w:type="spellStart"/>
      <w:r w:rsidRPr="00E45E3B">
        <w:rPr>
          <w:spacing w:val="-2"/>
          <w:sz w:val="16"/>
          <w:szCs w:val="16"/>
          <w:lang w:val="es-EC"/>
        </w:rPr>
        <w:t>Americas</w:t>
      </w:r>
      <w:proofErr w:type="spellEnd"/>
      <w:r w:rsidRPr="00E45E3B">
        <w:rPr>
          <w:spacing w:val="-2"/>
          <w:sz w:val="16"/>
          <w:szCs w:val="16"/>
          <w:lang w:val="es-EC"/>
        </w:rPr>
        <w:t xml:space="preserve"> </w:t>
      </w:r>
      <w:proofErr w:type="spellStart"/>
      <w:r w:rsidRPr="00E45E3B">
        <w:rPr>
          <w:spacing w:val="-2"/>
          <w:sz w:val="16"/>
          <w:szCs w:val="16"/>
          <w:lang w:val="es-EC"/>
        </w:rPr>
        <w:t>Watch</w:t>
      </w:r>
      <w:proofErr w:type="spellEnd"/>
      <w:r w:rsidRPr="00E45E3B">
        <w:rPr>
          <w:spacing w:val="-2"/>
          <w:sz w:val="16"/>
          <w:szCs w:val="16"/>
          <w:lang w:val="es-EC"/>
        </w:rPr>
        <w:t xml:space="preserve">, </w:t>
      </w:r>
      <w:proofErr w:type="spellStart"/>
      <w:r w:rsidRPr="00E45E3B">
        <w:rPr>
          <w:spacing w:val="-2"/>
          <w:sz w:val="16"/>
          <w:szCs w:val="16"/>
          <w:lang w:val="es-EC"/>
        </w:rPr>
        <w:t>Police</w:t>
      </w:r>
      <w:proofErr w:type="spellEnd"/>
      <w:r w:rsidRPr="00E45E3B">
        <w:rPr>
          <w:spacing w:val="-2"/>
          <w:sz w:val="16"/>
          <w:szCs w:val="16"/>
          <w:lang w:val="es-EC"/>
        </w:rPr>
        <w:t xml:space="preserve"> Abuse in </w:t>
      </w:r>
      <w:proofErr w:type="spellStart"/>
      <w:r w:rsidRPr="00E45E3B">
        <w:rPr>
          <w:spacing w:val="-2"/>
          <w:sz w:val="16"/>
          <w:szCs w:val="16"/>
          <w:lang w:val="es-EC"/>
        </w:rPr>
        <w:t>Brazil</w:t>
      </w:r>
      <w:proofErr w:type="spellEnd"/>
      <w:r w:rsidRPr="00E45E3B">
        <w:rPr>
          <w:spacing w:val="-2"/>
          <w:sz w:val="16"/>
          <w:szCs w:val="16"/>
          <w:lang w:val="es-EC"/>
        </w:rPr>
        <w:t xml:space="preserve">: </w:t>
      </w:r>
      <w:proofErr w:type="spellStart"/>
      <w:r w:rsidRPr="00E45E3B">
        <w:rPr>
          <w:spacing w:val="-2"/>
          <w:sz w:val="16"/>
          <w:szCs w:val="16"/>
          <w:lang w:val="es-EC"/>
        </w:rPr>
        <w:t>Summary</w:t>
      </w:r>
      <w:proofErr w:type="spellEnd"/>
      <w:r w:rsidRPr="00E45E3B">
        <w:rPr>
          <w:spacing w:val="-2"/>
          <w:sz w:val="16"/>
          <w:szCs w:val="16"/>
          <w:lang w:val="es-EC"/>
        </w:rPr>
        <w:t xml:space="preserve"> </w:t>
      </w:r>
      <w:proofErr w:type="spellStart"/>
      <w:r w:rsidRPr="00E45E3B">
        <w:rPr>
          <w:spacing w:val="-2"/>
          <w:sz w:val="16"/>
          <w:szCs w:val="16"/>
          <w:lang w:val="es-EC"/>
        </w:rPr>
        <w:t>Executions</w:t>
      </w:r>
      <w:proofErr w:type="spellEnd"/>
      <w:r w:rsidRPr="00E45E3B">
        <w:rPr>
          <w:spacing w:val="-2"/>
          <w:sz w:val="16"/>
          <w:szCs w:val="16"/>
          <w:lang w:val="es-EC"/>
        </w:rPr>
        <w:t xml:space="preserve"> and Torture in São Paulo and Rio de Janeiro (Abusos en Brasil: ejecuciones sumarias y torturas en São Paulo y Rio de Janeiro). </w:t>
      </w:r>
      <w:r w:rsidRPr="00E45E3B">
        <w:rPr>
          <w:spacing w:val="-2"/>
          <w:sz w:val="16"/>
          <w:szCs w:val="16"/>
          <w:lang w:val="pt-BR"/>
        </w:rPr>
        <w:t>New York, 1987, págs. 19-32 y 41-45; Human Rights Watch</w:t>
      </w:r>
      <w:r w:rsidRPr="00E45E3B">
        <w:rPr>
          <w:i/>
          <w:iCs/>
          <w:spacing w:val="-2"/>
          <w:sz w:val="16"/>
          <w:szCs w:val="16"/>
          <w:lang w:val="pt-BR"/>
        </w:rPr>
        <w:t>, Violência x Violência: violações aos Direitos Humanos e Criminalidade no Rio de Janeiro</w:t>
      </w:r>
      <w:r w:rsidRPr="00E45E3B">
        <w:rPr>
          <w:spacing w:val="-2"/>
          <w:sz w:val="16"/>
          <w:szCs w:val="16"/>
          <w:lang w:val="pt-BR"/>
        </w:rPr>
        <w:t xml:space="preserve">, 1996; Human Rights Watch, </w:t>
      </w:r>
      <w:r w:rsidRPr="00E45E3B">
        <w:rPr>
          <w:i/>
          <w:iCs/>
          <w:spacing w:val="-2"/>
          <w:sz w:val="16"/>
          <w:szCs w:val="16"/>
          <w:lang w:val="pt-BR"/>
        </w:rPr>
        <w:t>Brutalidade policial urbana no Brasil</w:t>
      </w:r>
      <w:r w:rsidRPr="00E45E3B">
        <w:rPr>
          <w:spacing w:val="-2"/>
          <w:sz w:val="16"/>
          <w:szCs w:val="16"/>
          <w:lang w:val="pt-BR"/>
        </w:rPr>
        <w:t>, 1997; Amnistía Internacional,</w:t>
      </w:r>
      <w:r w:rsidRPr="00E45E3B">
        <w:rPr>
          <w:i/>
          <w:iCs/>
          <w:spacing w:val="-2"/>
          <w:sz w:val="16"/>
          <w:szCs w:val="16"/>
          <w:lang w:val="pt-BR"/>
        </w:rPr>
        <w:t xml:space="preserve"> Rio de Janeiro 2003: Candelária e Vigário Geral 10 anos depois</w:t>
      </w:r>
      <w:r w:rsidRPr="00E45E3B">
        <w:rPr>
          <w:spacing w:val="-2"/>
          <w:sz w:val="16"/>
          <w:szCs w:val="16"/>
          <w:lang w:val="pt-BR"/>
        </w:rPr>
        <w:t xml:space="preserve">, 2003; Justiça Global, </w:t>
      </w:r>
      <w:r w:rsidRPr="00E45E3B">
        <w:rPr>
          <w:i/>
          <w:iCs/>
          <w:spacing w:val="-2"/>
          <w:sz w:val="16"/>
          <w:szCs w:val="16"/>
          <w:lang w:val="pt-BR"/>
        </w:rPr>
        <w:t>Relatório RIO: violência policial e insegurança pública</w:t>
      </w:r>
      <w:r w:rsidRPr="00E45E3B">
        <w:rPr>
          <w:spacing w:val="-2"/>
          <w:sz w:val="16"/>
          <w:szCs w:val="16"/>
          <w:lang w:val="pt-BR"/>
        </w:rPr>
        <w:t>, 2004; Amnistía Internacional,</w:t>
      </w:r>
      <w:r w:rsidRPr="00E45E3B">
        <w:rPr>
          <w:bCs/>
          <w:i/>
          <w:iCs/>
          <w:spacing w:val="-2"/>
          <w:sz w:val="16"/>
          <w:szCs w:val="16"/>
          <w:lang w:val="pt-BR"/>
        </w:rPr>
        <w:t xml:space="preserve"> "</w:t>
      </w:r>
      <w:r w:rsidRPr="00E45E3B">
        <w:rPr>
          <w:i/>
          <w:iCs/>
          <w:spacing w:val="-2"/>
          <w:sz w:val="16"/>
          <w:szCs w:val="16"/>
          <w:lang w:val="pt-BR"/>
        </w:rPr>
        <w:t>Eles entram atirando": Policiamento de comunidades socialmente excluídas</w:t>
      </w:r>
      <w:r w:rsidRPr="00E45E3B">
        <w:rPr>
          <w:spacing w:val="-2"/>
          <w:sz w:val="16"/>
          <w:szCs w:val="16"/>
          <w:lang w:val="pt-BR"/>
        </w:rPr>
        <w:t xml:space="preserve">, 2005; Amnistía Internacional, </w:t>
      </w:r>
      <w:r w:rsidRPr="00E45E3B">
        <w:rPr>
          <w:i/>
          <w:spacing w:val="-2"/>
          <w:sz w:val="16"/>
          <w:szCs w:val="16"/>
          <w:lang w:val="pt-BR"/>
        </w:rPr>
        <w:t>Nosotras Recogemos los Platos Rotos: La Experiencia de la Violencia Urbana para las Mujeres en Brasil</w:t>
      </w:r>
      <w:r w:rsidRPr="00E45E3B">
        <w:rPr>
          <w:spacing w:val="-2"/>
          <w:sz w:val="16"/>
          <w:szCs w:val="16"/>
          <w:lang w:val="pt-BR"/>
        </w:rPr>
        <w:t xml:space="preserve">. Madrid, 2008; Human Rights Watch, </w:t>
      </w:r>
      <w:r w:rsidRPr="00E45E3B">
        <w:rPr>
          <w:i/>
          <w:iCs/>
          <w:spacing w:val="-2"/>
          <w:sz w:val="16"/>
          <w:szCs w:val="16"/>
          <w:lang w:val="pt-BR"/>
        </w:rPr>
        <w:t>Força Letal: Violência Policial e Segurança Pública no Rio de Janeiro e São Paulo</w:t>
      </w:r>
      <w:r w:rsidRPr="00E45E3B">
        <w:rPr>
          <w:spacing w:val="-2"/>
          <w:sz w:val="16"/>
          <w:szCs w:val="16"/>
          <w:lang w:val="pt-BR"/>
        </w:rPr>
        <w:t>, 2009; Amnistía Internacional,</w:t>
      </w:r>
      <w:r w:rsidRPr="00E45E3B">
        <w:rPr>
          <w:i/>
          <w:iCs/>
          <w:spacing w:val="-2"/>
          <w:sz w:val="16"/>
          <w:szCs w:val="16"/>
          <w:lang w:val="pt-BR"/>
        </w:rPr>
        <w:t xml:space="preserve"> Você matou meu filho!: Homicídios cometidos pela Polícia Militar na cidade do Rio de Janeiro</w:t>
      </w:r>
      <w:r w:rsidRPr="00E45E3B">
        <w:rPr>
          <w:spacing w:val="-2"/>
          <w:sz w:val="16"/>
          <w:szCs w:val="16"/>
          <w:lang w:val="pt-BR"/>
        </w:rPr>
        <w:t>, 2015, y peritaje escrito rendido por Marlon Weichert el 30 de septiembre de 2016 (expediente de prueba, folio 14541).</w:t>
      </w:r>
      <w:r w:rsidRPr="0073167D">
        <w:rPr>
          <w:sz w:val="16"/>
          <w:szCs w:val="16"/>
          <w:lang w:val="pt-BR"/>
        </w:rPr>
        <w:t xml:space="preserve">  </w:t>
      </w:r>
    </w:p>
  </w:footnote>
  <w:footnote w:id="85">
    <w:p w14:paraId="5946C100" w14:textId="77777777" w:rsidR="00122408" w:rsidRPr="00C21A2E" w:rsidRDefault="00122408" w:rsidP="00B50B41">
      <w:pPr>
        <w:pStyle w:val="FootnoteText"/>
        <w:spacing w:after="40"/>
        <w:rPr>
          <w:i/>
          <w:szCs w:val="16"/>
        </w:rPr>
      </w:pPr>
      <w:r w:rsidRPr="0073167D">
        <w:rPr>
          <w:rStyle w:val="FootnoteReference"/>
          <w:sz w:val="16"/>
          <w:szCs w:val="16"/>
        </w:rPr>
        <w:footnoteRef/>
      </w:r>
      <w:r w:rsidRPr="0073167D">
        <w:rPr>
          <w:szCs w:val="16"/>
          <w:lang w:val="es-EC"/>
        </w:rPr>
        <w:t xml:space="preserve"> </w:t>
      </w:r>
      <w:r w:rsidRPr="0073167D">
        <w:rPr>
          <w:i/>
          <w:szCs w:val="16"/>
          <w:lang w:val="es-EC"/>
        </w:rPr>
        <w:t xml:space="preserve">Cfr. </w:t>
      </w:r>
      <w:r w:rsidRPr="0073167D">
        <w:rPr>
          <w:szCs w:val="16"/>
          <w:lang w:val="es-EC"/>
        </w:rPr>
        <w:t>Amnistía Internacional, Nosotras Recogemos los Platos Rotos: La Experiencia de la Violencia Urbana para las Mujeres en Brasil. Madrid, 2008, págs. 38 y 42.</w:t>
      </w:r>
      <w:r w:rsidRPr="00C21A2E">
        <w:rPr>
          <w:szCs w:val="16"/>
          <w:lang w:val="es-EC"/>
        </w:rPr>
        <w:t xml:space="preserve"> </w:t>
      </w:r>
    </w:p>
  </w:footnote>
  <w:footnote w:id="86">
    <w:p w14:paraId="7DF45D0A"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La competencia del Ministerio Publico está definida en el artículo 129, incisos VI, VII y VIII de la Constitución Federal Brasileña, en la Ley Complementar No. 75/1993 y en las Resoluciones No. 13/06 y No. 23/06 editadas por el Consejo Nacional del Ministerio Publico (CNMP).</w:t>
      </w:r>
    </w:p>
  </w:footnote>
  <w:footnote w:id="87">
    <w:p w14:paraId="0A66FA97"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El Estado reconoció que la conducta cometida por funcionarios públicos durante las redadas policiales en la Favela Nova Brasilia en los años 1994 y 1995 derivó en el asesinato de 26 personas y la violencia sexual contra tres mujeres.</w:t>
      </w:r>
    </w:p>
  </w:footnote>
  <w:footnote w:id="88">
    <w:p w14:paraId="2BA82150" w14:textId="4E2AF871"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de la DIVAI de 3 de diciembre de 1995</w:t>
      </w:r>
      <w:r>
        <w:rPr>
          <w:szCs w:val="16"/>
        </w:rPr>
        <w:t>. Averiguación Sumaria No. 460/95</w:t>
      </w:r>
      <w:r w:rsidRPr="00C21A2E">
        <w:rPr>
          <w:szCs w:val="16"/>
        </w:rPr>
        <w:t xml:space="preserve"> (expediente de prueba, folio 4992).</w:t>
      </w:r>
    </w:p>
  </w:footnote>
  <w:footnote w:id="89">
    <w:p w14:paraId="6C12C537" w14:textId="6B0026FA"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Declaración </w:t>
      </w:r>
      <w:r>
        <w:rPr>
          <w:szCs w:val="16"/>
        </w:rPr>
        <w:t xml:space="preserve">testimonial </w:t>
      </w:r>
      <w:r w:rsidRPr="00C21A2E">
        <w:rPr>
          <w:szCs w:val="16"/>
        </w:rPr>
        <w:t xml:space="preserve">de Cesar Augusto </w:t>
      </w:r>
      <w:proofErr w:type="spellStart"/>
      <w:r w:rsidRPr="00C21A2E">
        <w:rPr>
          <w:szCs w:val="16"/>
        </w:rPr>
        <w:t>Bento</w:t>
      </w:r>
      <w:proofErr w:type="spellEnd"/>
      <w:r w:rsidRPr="00C21A2E">
        <w:rPr>
          <w:szCs w:val="16"/>
        </w:rPr>
        <w:t xml:space="preserve"> </w:t>
      </w:r>
      <w:proofErr w:type="spellStart"/>
      <w:r w:rsidRPr="00C21A2E">
        <w:rPr>
          <w:szCs w:val="16"/>
        </w:rPr>
        <w:t>Leite</w:t>
      </w:r>
      <w:proofErr w:type="spellEnd"/>
      <w:r w:rsidRPr="00C21A2E">
        <w:rPr>
          <w:szCs w:val="16"/>
        </w:rPr>
        <w:t xml:space="preserve">, Jorge </w:t>
      </w:r>
      <w:proofErr w:type="spellStart"/>
      <w:r w:rsidRPr="00C21A2E">
        <w:rPr>
          <w:szCs w:val="16"/>
        </w:rPr>
        <w:t>Luiz</w:t>
      </w:r>
      <w:proofErr w:type="spellEnd"/>
      <w:r w:rsidRPr="00C21A2E">
        <w:rPr>
          <w:szCs w:val="16"/>
        </w:rPr>
        <w:t xml:space="preserve"> Andrade e Silva, </w:t>
      </w:r>
      <w:proofErr w:type="spellStart"/>
      <w:r w:rsidRPr="00C21A2E">
        <w:rPr>
          <w:szCs w:val="16"/>
        </w:rPr>
        <w:t>Luiz</w:t>
      </w:r>
      <w:proofErr w:type="spellEnd"/>
      <w:r w:rsidRPr="00C21A2E">
        <w:rPr>
          <w:szCs w:val="16"/>
        </w:rPr>
        <w:t xml:space="preserve"> Carlos Pereira Pinto, Carlos Alberto Figueroa Borges, </w:t>
      </w:r>
      <w:proofErr w:type="spellStart"/>
      <w:r w:rsidRPr="00C21A2E">
        <w:rPr>
          <w:szCs w:val="16"/>
        </w:rPr>
        <w:t>Janse</w:t>
      </w:r>
      <w:proofErr w:type="spellEnd"/>
      <w:r w:rsidRPr="00C21A2E">
        <w:rPr>
          <w:szCs w:val="16"/>
        </w:rPr>
        <w:t xml:space="preserve"> </w:t>
      </w:r>
      <w:proofErr w:type="spellStart"/>
      <w:r w:rsidRPr="00C21A2E">
        <w:rPr>
          <w:szCs w:val="16"/>
        </w:rPr>
        <w:t>Theobald</w:t>
      </w:r>
      <w:proofErr w:type="spellEnd"/>
      <w:r w:rsidRPr="00C21A2E">
        <w:rPr>
          <w:szCs w:val="16"/>
        </w:rPr>
        <w:t xml:space="preserve">, Paulo </w:t>
      </w:r>
      <w:proofErr w:type="spellStart"/>
      <w:r w:rsidRPr="00C21A2E">
        <w:rPr>
          <w:szCs w:val="16"/>
        </w:rPr>
        <w:t>Cannabrava</w:t>
      </w:r>
      <w:proofErr w:type="spellEnd"/>
      <w:r w:rsidRPr="00C21A2E">
        <w:rPr>
          <w:szCs w:val="16"/>
        </w:rPr>
        <w:t xml:space="preserve"> Barata y Alonso Ferreira Neto </w:t>
      </w:r>
      <w:r>
        <w:rPr>
          <w:szCs w:val="16"/>
        </w:rPr>
        <w:t xml:space="preserve">ante la Delegación Especial de Tortura y Abuso de Autoridad </w:t>
      </w:r>
      <w:r w:rsidRPr="00C21A2E">
        <w:rPr>
          <w:szCs w:val="16"/>
        </w:rPr>
        <w:t>(expediente de prueba, folios 230-245</w:t>
      </w:r>
      <w:r>
        <w:rPr>
          <w:szCs w:val="16"/>
        </w:rPr>
        <w:t xml:space="preserve">); declaración </w:t>
      </w:r>
      <w:r w:rsidRPr="00C21A2E">
        <w:rPr>
          <w:szCs w:val="16"/>
          <w:lang w:val="es-ES"/>
        </w:rPr>
        <w:t xml:space="preserve">de </w:t>
      </w:r>
      <w:proofErr w:type="spellStart"/>
      <w:r w:rsidRPr="00C21A2E">
        <w:rPr>
          <w:szCs w:val="16"/>
          <w:lang w:val="es-ES"/>
        </w:rPr>
        <w:t>Gilton</w:t>
      </w:r>
      <w:proofErr w:type="spellEnd"/>
      <w:r w:rsidRPr="00C21A2E">
        <w:rPr>
          <w:szCs w:val="16"/>
          <w:lang w:val="es-ES"/>
        </w:rPr>
        <w:t xml:space="preserve"> Machado </w:t>
      </w:r>
      <w:proofErr w:type="spellStart"/>
      <w:r w:rsidRPr="00C21A2E">
        <w:rPr>
          <w:szCs w:val="16"/>
          <w:lang w:val="es-ES"/>
        </w:rPr>
        <w:t>Macarenhas</w:t>
      </w:r>
      <w:proofErr w:type="spellEnd"/>
      <w:r w:rsidRPr="00C21A2E">
        <w:rPr>
          <w:szCs w:val="16"/>
          <w:lang w:val="es-ES"/>
        </w:rPr>
        <w:t xml:space="preserve"> (expediente de prueba, folio 4362</w:t>
      </w:r>
      <w:r>
        <w:rPr>
          <w:szCs w:val="16"/>
          <w:lang w:val="es-ES"/>
        </w:rPr>
        <w:t xml:space="preserve">); declaración testimonial </w:t>
      </w:r>
      <w:r w:rsidRPr="00C21A2E">
        <w:rPr>
          <w:szCs w:val="16"/>
          <w:lang w:val="es-ES"/>
        </w:rPr>
        <w:t xml:space="preserve">de Jorge </w:t>
      </w:r>
      <w:proofErr w:type="spellStart"/>
      <w:r w:rsidRPr="00C21A2E">
        <w:rPr>
          <w:szCs w:val="16"/>
          <w:lang w:val="es-ES"/>
        </w:rPr>
        <w:t>Luiz</w:t>
      </w:r>
      <w:proofErr w:type="spellEnd"/>
      <w:r w:rsidRPr="00C21A2E">
        <w:rPr>
          <w:szCs w:val="16"/>
          <w:lang w:val="es-ES"/>
        </w:rPr>
        <w:t xml:space="preserve"> Andrade E. Silva (expediente de prueba, folio 4363), y declaración </w:t>
      </w:r>
      <w:r>
        <w:rPr>
          <w:szCs w:val="16"/>
          <w:lang w:val="es-ES"/>
        </w:rPr>
        <w:t xml:space="preserve">testimonial </w:t>
      </w:r>
      <w:r w:rsidRPr="00C21A2E">
        <w:rPr>
          <w:szCs w:val="16"/>
          <w:lang w:val="es-ES"/>
        </w:rPr>
        <w:t xml:space="preserve">de Augusto </w:t>
      </w:r>
      <w:proofErr w:type="spellStart"/>
      <w:r w:rsidRPr="00C21A2E">
        <w:rPr>
          <w:szCs w:val="16"/>
          <w:lang w:val="es-ES"/>
        </w:rPr>
        <w:t>Bento</w:t>
      </w:r>
      <w:proofErr w:type="spellEnd"/>
      <w:r w:rsidRPr="00C21A2E">
        <w:rPr>
          <w:szCs w:val="16"/>
          <w:lang w:val="es-ES"/>
        </w:rPr>
        <w:t xml:space="preserve"> </w:t>
      </w:r>
      <w:proofErr w:type="spellStart"/>
      <w:r w:rsidRPr="00C21A2E">
        <w:rPr>
          <w:szCs w:val="16"/>
          <w:lang w:val="es-ES"/>
        </w:rPr>
        <w:t>Leite</w:t>
      </w:r>
      <w:proofErr w:type="spellEnd"/>
      <w:r w:rsidRPr="00C21A2E">
        <w:rPr>
          <w:szCs w:val="16"/>
          <w:lang w:val="es-ES"/>
        </w:rPr>
        <w:t xml:space="preserve"> (expediente de prueba, folio 4365).</w:t>
      </w:r>
    </w:p>
  </w:footnote>
  <w:footnote w:id="90">
    <w:p w14:paraId="2724AFF1"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Relación de policías que participaron en la Operación (expediente de prueba, folios 9471-9473).</w:t>
      </w:r>
    </w:p>
  </w:footnote>
  <w:footnote w:id="91">
    <w:p w14:paraId="457E65D3" w14:textId="00B1641E" w:rsidR="00122408" w:rsidRPr="00C21A2E" w:rsidRDefault="00122408" w:rsidP="00B50B41">
      <w:pPr>
        <w:pStyle w:val="FootnoteText"/>
        <w:spacing w:after="40"/>
        <w:rPr>
          <w:i/>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C21A2E">
        <w:rPr>
          <w:szCs w:val="16"/>
          <w:lang w:val="es-ES"/>
        </w:rPr>
        <w:t>Notas de prensa</w:t>
      </w:r>
      <w:r>
        <w:rPr>
          <w:szCs w:val="16"/>
          <w:lang w:val="es-ES"/>
        </w:rPr>
        <w:t xml:space="preserve">, y </w:t>
      </w:r>
      <w:r w:rsidRPr="00C21A2E">
        <w:rPr>
          <w:szCs w:val="16"/>
        </w:rPr>
        <w:t xml:space="preserve">Carta de la periodista Fernanda </w:t>
      </w:r>
      <w:proofErr w:type="spellStart"/>
      <w:r w:rsidRPr="00C21A2E">
        <w:rPr>
          <w:szCs w:val="16"/>
        </w:rPr>
        <w:t>Botelho</w:t>
      </w:r>
      <w:proofErr w:type="spellEnd"/>
      <w:r w:rsidRPr="00C21A2E">
        <w:rPr>
          <w:szCs w:val="16"/>
        </w:rPr>
        <w:t xml:space="preserve"> Portugal (expediente de prueb</w:t>
      </w:r>
      <w:r>
        <w:rPr>
          <w:szCs w:val="16"/>
        </w:rPr>
        <w:t>a, folios 144-145).</w:t>
      </w:r>
    </w:p>
  </w:footnote>
  <w:footnote w:id="92">
    <w:p w14:paraId="1D152F1D" w14:textId="55742E2F"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cs="Times New Roman"/>
          <w:szCs w:val="16"/>
          <w:lang w:val="es-EC"/>
        </w:rPr>
        <w:t xml:space="preserve">Declaración </w:t>
      </w:r>
      <w:r>
        <w:rPr>
          <w:rFonts w:cs="Times New Roman"/>
          <w:szCs w:val="16"/>
          <w:lang w:val="es-EC"/>
        </w:rPr>
        <w:t xml:space="preserve">testimonial de L.R.J. de 12 de noviembre de 1994 ante la Secretaría de Estado de la Policía Civil </w:t>
      </w:r>
      <w:r w:rsidRPr="00C21A2E">
        <w:rPr>
          <w:rFonts w:cs="Times New Roman"/>
          <w:szCs w:val="16"/>
        </w:rPr>
        <w:t>(</w:t>
      </w:r>
      <w:r w:rsidRPr="00C21A2E">
        <w:rPr>
          <w:szCs w:val="16"/>
        </w:rPr>
        <w:t>expediente de prueba, folios</w:t>
      </w:r>
      <w:r w:rsidRPr="00C21A2E">
        <w:rPr>
          <w:rFonts w:cs="Times New Roman"/>
          <w:szCs w:val="16"/>
        </w:rPr>
        <w:t xml:space="preserve"> 154-158), y </w:t>
      </w:r>
      <w:r w:rsidRPr="00C21A2E">
        <w:rPr>
          <w:rFonts w:cs="Times New Roman"/>
          <w:szCs w:val="16"/>
          <w:lang w:val="es-EC"/>
        </w:rPr>
        <w:t xml:space="preserve">declaración testimonial </w:t>
      </w:r>
      <w:r w:rsidRPr="00C21A2E">
        <w:rPr>
          <w:rFonts w:cs="Times New Roman"/>
          <w:szCs w:val="16"/>
        </w:rPr>
        <w:t>de C.S.S. de</w:t>
      </w:r>
      <w:r w:rsidRPr="00C21A2E">
        <w:rPr>
          <w:rFonts w:cs="Times New Roman"/>
          <w:szCs w:val="16"/>
          <w:lang w:val="es-EC"/>
        </w:rPr>
        <w:t xml:space="preserve"> 12 de noviembre de 1994 </w:t>
      </w:r>
      <w:r>
        <w:rPr>
          <w:rFonts w:cs="Times New Roman"/>
          <w:szCs w:val="16"/>
          <w:lang w:val="es-EC"/>
        </w:rPr>
        <w:t>ante la Secretaría de Estado de la Policía Civil</w:t>
      </w:r>
      <w:r w:rsidRPr="00C21A2E">
        <w:rPr>
          <w:rFonts w:cs="Times New Roman"/>
          <w:szCs w:val="16"/>
        </w:rPr>
        <w:t xml:space="preserve"> (</w:t>
      </w:r>
      <w:r w:rsidRPr="00C21A2E">
        <w:rPr>
          <w:szCs w:val="16"/>
        </w:rPr>
        <w:t>expediente de prueba, folios</w:t>
      </w:r>
      <w:r w:rsidRPr="00C21A2E">
        <w:rPr>
          <w:rFonts w:cs="Times New Roman"/>
          <w:szCs w:val="16"/>
        </w:rPr>
        <w:t xml:space="preserve"> 160-164</w:t>
      </w:r>
      <w:r>
        <w:rPr>
          <w:rFonts w:cs="Times New Roman"/>
          <w:szCs w:val="16"/>
        </w:rPr>
        <w:t xml:space="preserve">); declaración </w:t>
      </w:r>
      <w:r w:rsidRPr="00C21A2E">
        <w:rPr>
          <w:rFonts w:cs="Times New Roman"/>
          <w:szCs w:val="16"/>
          <w:lang w:val="es-EC"/>
        </w:rPr>
        <w:t xml:space="preserve">testimonial de J.F.C. de 12 de noviembre de 1994 </w:t>
      </w:r>
      <w:r>
        <w:rPr>
          <w:rFonts w:cs="Times New Roman"/>
          <w:szCs w:val="16"/>
          <w:lang w:val="es-EC"/>
        </w:rPr>
        <w:t>ante la Secretaría de Estado de la Policía Civil</w:t>
      </w:r>
      <w:r w:rsidRPr="00C21A2E">
        <w:rPr>
          <w:rFonts w:cs="Times New Roman"/>
          <w:szCs w:val="16"/>
        </w:rPr>
        <w:t xml:space="preserve"> (</w:t>
      </w:r>
      <w:r w:rsidRPr="00C21A2E">
        <w:rPr>
          <w:szCs w:val="16"/>
        </w:rPr>
        <w:t>expediente de prueba, folios</w:t>
      </w:r>
      <w:r w:rsidRPr="00C21A2E">
        <w:rPr>
          <w:rFonts w:cs="Times New Roman"/>
          <w:szCs w:val="16"/>
        </w:rPr>
        <w:t xml:space="preserve"> 166-171).</w:t>
      </w:r>
    </w:p>
  </w:footnote>
  <w:footnote w:id="93">
    <w:p w14:paraId="50BD2EBF" w14:textId="2082F29E"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El Estado reconoció durante la audiencia pública y en sus alegatos finales escritos que “las conductas perpetradas por agentes públicos durante las redadas policiales en la </w:t>
      </w:r>
      <w:r w:rsidRPr="00C21A2E">
        <w:rPr>
          <w:i/>
          <w:szCs w:val="16"/>
          <w:lang w:val="es-ES"/>
        </w:rPr>
        <w:t xml:space="preserve">Favela Nova </w:t>
      </w:r>
      <w:r>
        <w:rPr>
          <w:i/>
          <w:szCs w:val="16"/>
          <w:lang w:val="es-ES"/>
        </w:rPr>
        <w:t>Brasilia</w:t>
      </w:r>
      <w:r w:rsidRPr="00C21A2E">
        <w:rPr>
          <w:szCs w:val="16"/>
          <w:lang w:val="es-ES"/>
        </w:rPr>
        <w:t xml:space="preserve"> el 18 de octubre de 1994 y el 8 de mayo de 1995, resultantes, específicamente en el homicidio de 26 (veintiséis) personas y en la violencia sexual de otras 3 (tres), representan violaciones a los artículos 4.1 y 5.1 de la Convención Americana, </w:t>
      </w:r>
      <w:proofErr w:type="spellStart"/>
      <w:r w:rsidRPr="00C21A2E">
        <w:rPr>
          <w:szCs w:val="16"/>
          <w:lang w:val="es-ES"/>
        </w:rPr>
        <w:t>aún</w:t>
      </w:r>
      <w:proofErr w:type="spellEnd"/>
      <w:r w:rsidRPr="00C21A2E">
        <w:rPr>
          <w:szCs w:val="16"/>
          <w:lang w:val="es-ES"/>
        </w:rPr>
        <w:t xml:space="preserve"> cuando esos hechos no están bajo la jurisdicción temporal de la Corte” (expediente de fondo, folio 1182). </w:t>
      </w:r>
    </w:p>
  </w:footnote>
  <w:footnote w:id="94">
    <w:p w14:paraId="04B72C9B" w14:textId="651CA6C0"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rFonts w:cs="Times New Roman"/>
          <w:szCs w:val="16"/>
        </w:rPr>
        <w:t xml:space="preserve">Informe de la autopsia No. 8517/94 (expediente de prueba, folios 32-39); Informe de la autopsia No. 8518/94 (expediente de prueba, folios 41-48); Informe de la autopsia No. 8519/94 (expediente de prueba, folios 50-53); Informe de la autopsia </w:t>
      </w:r>
      <w:r w:rsidRPr="00C21A2E">
        <w:rPr>
          <w:szCs w:val="16"/>
        </w:rPr>
        <w:t>No. 8520/94 (</w:t>
      </w:r>
      <w:r w:rsidRPr="00C21A2E">
        <w:rPr>
          <w:rFonts w:cs="Times New Roman"/>
          <w:szCs w:val="16"/>
        </w:rPr>
        <w:t>expediente de prueba, folios</w:t>
      </w:r>
      <w:r w:rsidRPr="00C21A2E">
        <w:rPr>
          <w:szCs w:val="16"/>
        </w:rPr>
        <w:t xml:space="preserve"> 55-61); Informe de la autopsia No. 8521/94 (</w:t>
      </w:r>
      <w:r w:rsidRPr="00C21A2E">
        <w:rPr>
          <w:rFonts w:cs="Times New Roman"/>
          <w:szCs w:val="16"/>
        </w:rPr>
        <w:t>expediente de prueba, folios</w:t>
      </w:r>
      <w:r w:rsidRPr="00C21A2E">
        <w:rPr>
          <w:szCs w:val="16"/>
        </w:rPr>
        <w:t xml:space="preserve"> 63-69); Informe de la autopsia No. 8522/94 (</w:t>
      </w:r>
      <w:r w:rsidRPr="00C21A2E">
        <w:rPr>
          <w:rFonts w:cs="Times New Roman"/>
          <w:szCs w:val="16"/>
        </w:rPr>
        <w:t>expediente de prueba, folios</w:t>
      </w:r>
      <w:r w:rsidRPr="00C21A2E">
        <w:rPr>
          <w:szCs w:val="16"/>
        </w:rPr>
        <w:t xml:space="preserve"> 71-77); Informe de la autopsia No. 8523/94 (</w:t>
      </w:r>
      <w:r w:rsidRPr="00C21A2E">
        <w:rPr>
          <w:rFonts w:cs="Times New Roman"/>
          <w:szCs w:val="16"/>
        </w:rPr>
        <w:t>expediente de prueba, folios</w:t>
      </w:r>
      <w:r w:rsidRPr="00C21A2E">
        <w:rPr>
          <w:szCs w:val="16"/>
        </w:rPr>
        <w:t xml:space="preserve"> 79-86); Informe de la autopsia No. 8524/94 (</w:t>
      </w:r>
      <w:r w:rsidRPr="00C21A2E">
        <w:rPr>
          <w:rFonts w:cs="Times New Roman"/>
          <w:szCs w:val="16"/>
        </w:rPr>
        <w:t>expediente de prueba, folios</w:t>
      </w:r>
      <w:r w:rsidRPr="00C21A2E">
        <w:rPr>
          <w:szCs w:val="16"/>
        </w:rPr>
        <w:t xml:space="preserve"> 73-80); Informe de la autopsia No. 8526/94 (</w:t>
      </w:r>
      <w:r w:rsidRPr="00C21A2E">
        <w:rPr>
          <w:rFonts w:cs="Times New Roman"/>
          <w:szCs w:val="16"/>
        </w:rPr>
        <w:t>expediente de prueba, folios</w:t>
      </w:r>
      <w:r w:rsidRPr="00C21A2E">
        <w:rPr>
          <w:szCs w:val="16"/>
        </w:rPr>
        <w:t xml:space="preserve"> 97-104); Informe de la autopsia No. 8527/94 (</w:t>
      </w:r>
      <w:r w:rsidRPr="00C21A2E">
        <w:rPr>
          <w:rFonts w:cs="Times New Roman"/>
          <w:szCs w:val="16"/>
        </w:rPr>
        <w:t>expediente de prueba, folios</w:t>
      </w:r>
      <w:r w:rsidRPr="00C21A2E">
        <w:rPr>
          <w:szCs w:val="16"/>
        </w:rPr>
        <w:t xml:space="preserve"> 106-113); Informe de la autopsia No. 8528/94 (</w:t>
      </w:r>
      <w:r w:rsidRPr="00C21A2E">
        <w:rPr>
          <w:rFonts w:cs="Times New Roman"/>
          <w:szCs w:val="16"/>
        </w:rPr>
        <w:t>expediente de prueba, folios</w:t>
      </w:r>
      <w:r w:rsidRPr="00C21A2E">
        <w:rPr>
          <w:szCs w:val="16"/>
        </w:rPr>
        <w:t xml:space="preserve"> 115-122); Informe de la autopsia No. 8529/94 (</w:t>
      </w:r>
      <w:r w:rsidRPr="00C21A2E">
        <w:rPr>
          <w:rFonts w:cs="Times New Roman"/>
          <w:szCs w:val="16"/>
        </w:rPr>
        <w:t>expediente de prueba, folios</w:t>
      </w:r>
      <w:r w:rsidRPr="00C21A2E">
        <w:rPr>
          <w:szCs w:val="16"/>
        </w:rPr>
        <w:t xml:space="preserve"> 124-131)</w:t>
      </w:r>
      <w:r>
        <w:rPr>
          <w:szCs w:val="16"/>
        </w:rPr>
        <w:t>, e</w:t>
      </w:r>
      <w:r w:rsidRPr="00C21A2E">
        <w:rPr>
          <w:szCs w:val="16"/>
        </w:rPr>
        <w:t xml:space="preserve"> Informe de la autopsia  No. 8525/94 (</w:t>
      </w:r>
      <w:r w:rsidRPr="00C21A2E">
        <w:rPr>
          <w:rFonts w:cs="Times New Roman"/>
          <w:szCs w:val="16"/>
        </w:rPr>
        <w:t>expediente de prueba, folios</w:t>
      </w:r>
      <w:r w:rsidRPr="00C21A2E">
        <w:rPr>
          <w:szCs w:val="16"/>
        </w:rPr>
        <w:t xml:space="preserve"> 133-138). </w:t>
      </w:r>
    </w:p>
  </w:footnote>
  <w:footnote w:id="95">
    <w:p w14:paraId="0236FA46"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317A79">
        <w:rPr>
          <w:spacing w:val="-2"/>
          <w:szCs w:val="16"/>
          <w:lang w:val="es-ES"/>
        </w:rPr>
        <w:t>El Estado reconoció que la conducta cometida por funcionarios públicos durante las redadas policiales en la Favela Nova Brasilia en los años 1994 y 1995 derivó en el asesinato de 26 personas y la violencia sexual contra tres mujeres.</w:t>
      </w:r>
    </w:p>
  </w:footnote>
  <w:footnote w:id="96">
    <w:p w14:paraId="122BF93E" w14:textId="17360040"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Boletín de Novedades No. 000252/95 de 8 de mayo de 1995 (expediente de prueba, folios 323-332)</w:t>
      </w:r>
      <w:r>
        <w:rPr>
          <w:szCs w:val="16"/>
        </w:rPr>
        <w:t>, y</w:t>
      </w:r>
      <w:r w:rsidRPr="00C21A2E">
        <w:rPr>
          <w:szCs w:val="16"/>
        </w:rPr>
        <w:t xml:space="preserve"> Carta del Jefe de Policía Marcos Alexandre C. </w:t>
      </w:r>
      <w:proofErr w:type="spellStart"/>
      <w:r w:rsidRPr="00C21A2E">
        <w:rPr>
          <w:szCs w:val="16"/>
        </w:rPr>
        <w:t>Reimão</w:t>
      </w:r>
      <w:proofErr w:type="spellEnd"/>
      <w:r w:rsidRPr="00C21A2E">
        <w:rPr>
          <w:szCs w:val="16"/>
        </w:rPr>
        <w:t xml:space="preserve"> de 8 de mayo de 1995 (expediente de prueba, folios 320-321). </w:t>
      </w:r>
    </w:p>
  </w:footnote>
  <w:footnote w:id="97">
    <w:p w14:paraId="3C0580A4"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Boletín de Novedades No. 000252/95 de 8 de mayo de 1995 (expediente de prueba, folios 323-332).</w:t>
      </w:r>
    </w:p>
  </w:footnote>
  <w:footnote w:id="98">
    <w:p w14:paraId="3A24D823" w14:textId="58BA9235"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Carta del Jefe de Policía Marcos Alexandre C. </w:t>
      </w:r>
      <w:proofErr w:type="spellStart"/>
      <w:r w:rsidRPr="00C21A2E">
        <w:rPr>
          <w:szCs w:val="16"/>
        </w:rPr>
        <w:t>Reimão</w:t>
      </w:r>
      <w:proofErr w:type="spellEnd"/>
      <w:r w:rsidRPr="00C21A2E">
        <w:rPr>
          <w:szCs w:val="16"/>
        </w:rPr>
        <w:t xml:space="preserve"> de 8 de mayo de 1995</w:t>
      </w:r>
      <w:r>
        <w:rPr>
          <w:szCs w:val="16"/>
        </w:rPr>
        <w:t xml:space="preserve">; </w:t>
      </w:r>
      <w:r w:rsidRPr="00C21A2E">
        <w:rPr>
          <w:szCs w:val="16"/>
        </w:rPr>
        <w:t xml:space="preserve">Carta de la periodista Fernanda </w:t>
      </w:r>
      <w:proofErr w:type="spellStart"/>
      <w:r w:rsidRPr="00C21A2E">
        <w:rPr>
          <w:szCs w:val="16"/>
        </w:rPr>
        <w:t>Botelho</w:t>
      </w:r>
      <w:proofErr w:type="spellEnd"/>
      <w:r w:rsidRPr="00C21A2E">
        <w:rPr>
          <w:szCs w:val="16"/>
        </w:rPr>
        <w:t xml:space="preserve"> Portugal (expediente de prueba, folios 144-145)</w:t>
      </w:r>
      <w:r>
        <w:rPr>
          <w:szCs w:val="16"/>
        </w:rPr>
        <w:t>, y</w:t>
      </w:r>
      <w:r w:rsidRPr="00C21A2E">
        <w:rPr>
          <w:szCs w:val="16"/>
        </w:rPr>
        <w:t xml:space="preserve"> Oficio SJU/GAB de 1 de diciembre de 1994 (expediente de prueba, folios 320-321). </w:t>
      </w:r>
    </w:p>
  </w:footnote>
  <w:footnote w:id="99">
    <w:p w14:paraId="32849846" w14:textId="21ABC7B1"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szCs w:val="16"/>
          <w:lang w:val="es-ES"/>
        </w:rPr>
        <w:t xml:space="preserve">El Estado reconoció que “las conductas perpetradas por agentes públicos durante las redadas policiales en la </w:t>
      </w:r>
      <w:r w:rsidRPr="00C21A2E">
        <w:rPr>
          <w:i/>
          <w:szCs w:val="16"/>
          <w:lang w:val="es-ES"/>
        </w:rPr>
        <w:t xml:space="preserve">Favela Nova </w:t>
      </w:r>
      <w:r>
        <w:rPr>
          <w:i/>
          <w:szCs w:val="16"/>
          <w:lang w:val="es-ES"/>
        </w:rPr>
        <w:t>Brasilia</w:t>
      </w:r>
      <w:r w:rsidRPr="00C21A2E">
        <w:rPr>
          <w:szCs w:val="16"/>
          <w:lang w:val="es-ES"/>
        </w:rPr>
        <w:t xml:space="preserve"> el 18 de octubre de 1994 y el 8 de mayo de 1995, resultantes, específicamente en el homicidio de 26 (veintiséis) personas y en la violencia sexual de otras 3 (tres), representan violaciones a los artículos 4.1 y 5.1 de la Convención Americana, aun cuando esos hechos no están bajo la jurisdicción temporal de la Corte” (expediente de fondo, folio 1182).</w:t>
      </w:r>
    </w:p>
  </w:footnote>
  <w:footnote w:id="100">
    <w:p w14:paraId="23D27BF0" w14:textId="0887DA0B"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Pericial de la experta forense Tania </w:t>
      </w:r>
      <w:proofErr w:type="spellStart"/>
      <w:r w:rsidRPr="00C21A2E">
        <w:rPr>
          <w:szCs w:val="16"/>
        </w:rPr>
        <w:t>Donati</w:t>
      </w:r>
      <w:proofErr w:type="spellEnd"/>
      <w:r w:rsidRPr="00C21A2E">
        <w:rPr>
          <w:szCs w:val="16"/>
        </w:rPr>
        <w:t xml:space="preserve"> </w:t>
      </w:r>
      <w:proofErr w:type="spellStart"/>
      <w:r w:rsidRPr="00C21A2E">
        <w:rPr>
          <w:szCs w:val="16"/>
        </w:rPr>
        <w:t>Paes</w:t>
      </w:r>
      <w:proofErr w:type="spellEnd"/>
      <w:r w:rsidRPr="00C21A2E">
        <w:rPr>
          <w:szCs w:val="16"/>
        </w:rPr>
        <w:t xml:space="preserve"> Rio de 25 de septiembre de 2000 (expediente de prueba, folios 576-</w:t>
      </w:r>
      <w:r>
        <w:rPr>
          <w:szCs w:val="16"/>
        </w:rPr>
        <w:t>5</w:t>
      </w:r>
      <w:r w:rsidRPr="00C21A2E">
        <w:rPr>
          <w:szCs w:val="16"/>
        </w:rPr>
        <w:t>78).</w:t>
      </w:r>
    </w:p>
  </w:footnote>
  <w:footnote w:id="101">
    <w:p w14:paraId="5CE97D1A"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Actas de Remoción de Cadáver llenadas por Paulino </w:t>
      </w:r>
      <w:proofErr w:type="spellStart"/>
      <w:r w:rsidRPr="00C21A2E">
        <w:rPr>
          <w:szCs w:val="16"/>
        </w:rPr>
        <w:t>Soares</w:t>
      </w:r>
      <w:proofErr w:type="spellEnd"/>
      <w:r w:rsidRPr="00C21A2E">
        <w:rPr>
          <w:szCs w:val="16"/>
        </w:rPr>
        <w:t xml:space="preserve"> M. </w:t>
      </w:r>
      <w:proofErr w:type="spellStart"/>
      <w:r w:rsidRPr="00C21A2E">
        <w:rPr>
          <w:szCs w:val="16"/>
        </w:rPr>
        <w:t>Filho</w:t>
      </w:r>
      <w:proofErr w:type="spellEnd"/>
      <w:r w:rsidRPr="00C21A2E">
        <w:rPr>
          <w:szCs w:val="16"/>
        </w:rPr>
        <w:t xml:space="preserve"> (persona de guardia en el Hospital </w:t>
      </w:r>
      <w:proofErr w:type="spellStart"/>
      <w:r w:rsidRPr="00C21A2E">
        <w:rPr>
          <w:szCs w:val="16"/>
        </w:rPr>
        <w:t>Getúlio</w:t>
      </w:r>
      <w:proofErr w:type="spellEnd"/>
      <w:r w:rsidRPr="00C21A2E">
        <w:rPr>
          <w:szCs w:val="16"/>
        </w:rPr>
        <w:t xml:space="preserve"> Vargas) el 8 de mayo de 1995 (expediente de prueba, folios 487-549).</w:t>
      </w:r>
    </w:p>
  </w:footnote>
  <w:footnote w:id="102">
    <w:p w14:paraId="04714343" w14:textId="34AA059D"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de la autopsia No. 891 (expediente de prueba, folios 356-361); Informe de la autopsia No. 00892/95 (expediente de prueba, folios 363-368); Informe de la autopsia No. 893 (expediente de prueba, folios 370-374); Informe de la autopsia No. 894/95 (expediente de prueba, folios 376-382); Informe de la autopsia No. 895 (expediente de prueba, folios 384-389); Informe de la autopsia No. 896/95 (expediente de prueba, folios 391-396); Informe de la autopsia No. 897/95 (expediente de prueba, folios 398-403); Informe de la autopsia No. 898/95 (exped</w:t>
      </w:r>
      <w:r>
        <w:rPr>
          <w:szCs w:val="16"/>
        </w:rPr>
        <w:t>iente de prueba, folios 405-411</w:t>
      </w:r>
      <w:r w:rsidRPr="00C21A2E">
        <w:rPr>
          <w:szCs w:val="16"/>
        </w:rPr>
        <w:t>); Informe de la autopsia No. 899/95 (expediente de prueba, folios 413-418); Informe de la autopsia No. 900/95 (expediente de prueba, folios 420-424); Informe de la autopsia No. 901/95 (expediente de prueba, folios 426-431); Informe de la autopsia No. 902/95 (expediente de prueba, folios 433-439)</w:t>
      </w:r>
      <w:r>
        <w:rPr>
          <w:szCs w:val="16"/>
        </w:rPr>
        <w:t>, e</w:t>
      </w:r>
      <w:r w:rsidRPr="00C21A2E">
        <w:rPr>
          <w:szCs w:val="16"/>
        </w:rPr>
        <w:t xml:space="preserve"> Informe de la autopsia No. 903 (expediente de prueba, folios 441-445).</w:t>
      </w:r>
    </w:p>
  </w:footnote>
  <w:footnote w:id="103">
    <w:p w14:paraId="082E1BA3"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Boletín de Novedades No. 523 de 18 de octubre de 1994 (expediente de prueba, folios 6-20).</w:t>
      </w:r>
    </w:p>
  </w:footnote>
  <w:footnote w:id="104">
    <w:p w14:paraId="6BE6FBD4"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Boletín de Novedades No. 0000523 de 18 de octubre de 1994 (expediente de prueba, folios 6 - 20).</w:t>
      </w:r>
    </w:p>
  </w:footnote>
  <w:footnote w:id="105">
    <w:p w14:paraId="1757D606" w14:textId="5158FFA0"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de Fondo </w:t>
      </w:r>
      <w:r>
        <w:rPr>
          <w:szCs w:val="16"/>
        </w:rPr>
        <w:t xml:space="preserve">No. </w:t>
      </w:r>
      <w:r w:rsidRPr="00C21A2E">
        <w:rPr>
          <w:szCs w:val="16"/>
        </w:rPr>
        <w:t>141/11 (párr. 89).</w:t>
      </w:r>
    </w:p>
  </w:footnote>
  <w:footnote w:id="106">
    <w:p w14:paraId="1FBA6E23"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Carta de la Periodista Fernanda </w:t>
      </w:r>
      <w:proofErr w:type="spellStart"/>
      <w:r w:rsidRPr="00C21A2E">
        <w:rPr>
          <w:szCs w:val="16"/>
        </w:rPr>
        <w:t>Botelho</w:t>
      </w:r>
      <w:proofErr w:type="spellEnd"/>
      <w:r w:rsidRPr="00C21A2E">
        <w:rPr>
          <w:szCs w:val="16"/>
        </w:rPr>
        <w:t xml:space="preserve"> Portugal (expediente de prueba, folios 144-145).</w:t>
      </w:r>
    </w:p>
  </w:footnote>
  <w:footnote w:id="107">
    <w:p w14:paraId="4E1FF2E8" w14:textId="33DCE181"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de Escena del Crimen </w:t>
      </w:r>
      <w:r>
        <w:rPr>
          <w:szCs w:val="16"/>
        </w:rPr>
        <w:t xml:space="preserve">OC No. 3.420-A/94/SPH Laudo No 1156011 de </w:t>
      </w:r>
      <w:r w:rsidRPr="00C21A2E">
        <w:rPr>
          <w:szCs w:val="16"/>
        </w:rPr>
        <w:t>17 de noviembre de 1994 (expediente de prueba, folios 147-152).</w:t>
      </w:r>
    </w:p>
  </w:footnote>
  <w:footnote w:id="108">
    <w:p w14:paraId="3AB67EFB"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vertAlign w:val="superscript"/>
        </w:rPr>
        <w:t xml:space="preserve"> </w:t>
      </w:r>
      <w:r w:rsidRPr="00C21A2E">
        <w:rPr>
          <w:szCs w:val="16"/>
        </w:rPr>
        <w:t>Oficio SJU/GAB de 1 de diciembre de 1994 (expediente de prueba, folio 201).</w:t>
      </w:r>
    </w:p>
  </w:footnote>
  <w:footnote w:id="109">
    <w:p w14:paraId="06322EB7" w14:textId="4208F319"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szCs w:val="16"/>
          <w:lang w:val="es-EC"/>
        </w:rPr>
        <w:t xml:space="preserve">Declaración testimonial </w:t>
      </w:r>
      <w:r w:rsidRPr="00C21A2E">
        <w:rPr>
          <w:szCs w:val="16"/>
        </w:rPr>
        <w:t xml:space="preserve">de C.S.S. </w:t>
      </w:r>
      <w:r w:rsidRPr="00C21A2E">
        <w:rPr>
          <w:szCs w:val="16"/>
          <w:lang w:val="es-EC"/>
        </w:rPr>
        <w:t xml:space="preserve">el 12 de noviembre de 1994 </w:t>
      </w:r>
      <w:r>
        <w:rPr>
          <w:szCs w:val="16"/>
          <w:lang w:val="es-EC"/>
        </w:rPr>
        <w:t xml:space="preserve">ante la Secretaría de Estado de la Policía Civil </w:t>
      </w:r>
      <w:r w:rsidRPr="00C21A2E">
        <w:rPr>
          <w:szCs w:val="16"/>
        </w:rPr>
        <w:t>(expediente de prueba, folios 160-164).</w:t>
      </w:r>
    </w:p>
  </w:footnote>
  <w:footnote w:id="110">
    <w:p w14:paraId="4E36D98D" w14:textId="22C8AC30"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szCs w:val="16"/>
          <w:lang w:val="es-EC"/>
        </w:rPr>
        <w:t xml:space="preserve">Declaración testimonial de L.R.J. el 12 de noviembre de 1994 </w:t>
      </w:r>
      <w:r>
        <w:rPr>
          <w:szCs w:val="16"/>
          <w:lang w:val="es-EC"/>
        </w:rPr>
        <w:t>ante la Secretaría de Estado de la Policía Civil</w:t>
      </w:r>
      <w:r w:rsidRPr="00C21A2E">
        <w:rPr>
          <w:szCs w:val="16"/>
        </w:rPr>
        <w:t xml:space="preserve"> </w:t>
      </w:r>
      <w:r>
        <w:rPr>
          <w:szCs w:val="16"/>
        </w:rPr>
        <w:t xml:space="preserve"> </w:t>
      </w:r>
      <w:r w:rsidRPr="00C21A2E">
        <w:rPr>
          <w:szCs w:val="16"/>
        </w:rPr>
        <w:t>(expediente de prueba, folios 154-158).</w:t>
      </w:r>
    </w:p>
  </w:footnote>
  <w:footnote w:id="111">
    <w:p w14:paraId="2944E378" w14:textId="0A591CBB" w:rsidR="00122408" w:rsidRPr="00C21A2E" w:rsidRDefault="00122408" w:rsidP="00B50B41">
      <w:pPr>
        <w:pStyle w:val="FootnoteText"/>
        <w:spacing w:after="40"/>
        <w:rPr>
          <w:szCs w:val="16"/>
          <w:lang w:val="es-EC"/>
        </w:rPr>
      </w:pPr>
      <w:r w:rsidRPr="00C21A2E">
        <w:rPr>
          <w:rStyle w:val="FootnoteReference"/>
          <w:sz w:val="16"/>
          <w:szCs w:val="16"/>
        </w:rPr>
        <w:footnoteRef/>
      </w:r>
      <w:r w:rsidRPr="00C21A2E">
        <w:rPr>
          <w:szCs w:val="16"/>
          <w:lang w:val="es-EC"/>
        </w:rPr>
        <w:t xml:space="preserve"> Declaración testimonial de J.F.C. el 12 de noviembre de 1994 </w:t>
      </w:r>
      <w:r>
        <w:rPr>
          <w:szCs w:val="16"/>
          <w:lang w:val="es-EC"/>
        </w:rPr>
        <w:t>ante la Secretaría de Estado de la Policía Civil</w:t>
      </w:r>
      <w:r w:rsidRPr="00C21A2E">
        <w:rPr>
          <w:szCs w:val="16"/>
        </w:rPr>
        <w:t xml:space="preserve"> (expediente de prueba, folios 166-171).</w:t>
      </w:r>
    </w:p>
  </w:footnote>
  <w:footnote w:id="112">
    <w:p w14:paraId="52D745FD" w14:textId="3BC3D274" w:rsidR="00122408" w:rsidRPr="00C21A2E" w:rsidRDefault="00122408" w:rsidP="00B50B41">
      <w:pPr>
        <w:pStyle w:val="FootnoteText"/>
        <w:spacing w:after="40"/>
        <w:rPr>
          <w:szCs w:val="16"/>
          <w:lang w:val="es-EC"/>
        </w:rPr>
      </w:pPr>
      <w:r w:rsidRPr="00C21A2E">
        <w:rPr>
          <w:rStyle w:val="FootnoteReference"/>
          <w:sz w:val="16"/>
          <w:szCs w:val="16"/>
        </w:rPr>
        <w:footnoteRef/>
      </w:r>
      <w:r w:rsidRPr="00C21A2E">
        <w:rPr>
          <w:szCs w:val="16"/>
          <w:lang w:val="es-EC"/>
        </w:rPr>
        <w:t xml:space="preserve"> Exámenes de Cuerpo de Delito de L.R.J., C.S.S. y J.F.C. </w:t>
      </w:r>
      <w:r>
        <w:rPr>
          <w:szCs w:val="16"/>
          <w:lang w:val="es-EC"/>
        </w:rPr>
        <w:t>No. 12242/94 de</w:t>
      </w:r>
      <w:r w:rsidRPr="00C21A2E">
        <w:rPr>
          <w:szCs w:val="16"/>
          <w:lang w:val="es-EC"/>
        </w:rPr>
        <w:t xml:space="preserve"> 14 de noviembre de 1994 (</w:t>
      </w:r>
      <w:r w:rsidRPr="00C21A2E">
        <w:rPr>
          <w:szCs w:val="16"/>
        </w:rPr>
        <w:t>expediente de prueba,</w:t>
      </w:r>
      <w:r w:rsidRPr="00C21A2E">
        <w:rPr>
          <w:szCs w:val="16"/>
          <w:lang w:val="es-EC"/>
        </w:rPr>
        <w:t xml:space="preserve"> </w:t>
      </w:r>
      <w:r w:rsidRPr="00C21A2E">
        <w:rPr>
          <w:szCs w:val="16"/>
        </w:rPr>
        <w:t xml:space="preserve">folios </w:t>
      </w:r>
      <w:r w:rsidRPr="00C21A2E">
        <w:rPr>
          <w:szCs w:val="16"/>
          <w:lang w:val="es-EC"/>
        </w:rPr>
        <w:t>173-177).</w:t>
      </w:r>
    </w:p>
  </w:footnote>
  <w:footnote w:id="113">
    <w:p w14:paraId="27A4DB1F" w14:textId="77777777" w:rsidR="00122408" w:rsidRPr="00C21A2E" w:rsidRDefault="00122408" w:rsidP="00B50B41">
      <w:pPr>
        <w:pStyle w:val="FootnoteText"/>
        <w:spacing w:after="40"/>
        <w:rPr>
          <w:szCs w:val="16"/>
          <w:lang w:val="es-EC"/>
        </w:rPr>
      </w:pPr>
      <w:r w:rsidRPr="00C21A2E">
        <w:rPr>
          <w:rStyle w:val="FootnoteReference"/>
          <w:sz w:val="16"/>
          <w:szCs w:val="16"/>
        </w:rPr>
        <w:footnoteRef/>
      </w:r>
      <w:r w:rsidRPr="00C21A2E">
        <w:rPr>
          <w:szCs w:val="16"/>
          <w:lang w:val="es-EC"/>
        </w:rPr>
        <w:t xml:space="preserve"> </w:t>
      </w:r>
      <w:r w:rsidRPr="00021FD2">
        <w:rPr>
          <w:spacing w:val="-2"/>
          <w:szCs w:val="16"/>
          <w:lang w:val="es-EC"/>
        </w:rPr>
        <w:t xml:space="preserve">Autos de Reconocimiento de Persona de L.R.J. el 18 de noviembre de 1994 </w:t>
      </w:r>
      <w:r w:rsidRPr="00021FD2">
        <w:rPr>
          <w:spacing w:val="-2"/>
          <w:szCs w:val="16"/>
        </w:rPr>
        <w:t>(expediente de prueba, folios 179-182).</w:t>
      </w:r>
    </w:p>
  </w:footnote>
  <w:footnote w:id="114">
    <w:p w14:paraId="7A76F06D" w14:textId="77777777" w:rsidR="00122408" w:rsidRPr="00C21A2E" w:rsidRDefault="00122408" w:rsidP="00B50B41">
      <w:pPr>
        <w:pStyle w:val="FootnoteText"/>
        <w:spacing w:after="40"/>
        <w:rPr>
          <w:szCs w:val="16"/>
          <w:lang w:val="es-EC"/>
        </w:rPr>
      </w:pPr>
      <w:r w:rsidRPr="00C21A2E">
        <w:rPr>
          <w:rStyle w:val="FootnoteReference"/>
          <w:sz w:val="16"/>
          <w:szCs w:val="16"/>
        </w:rPr>
        <w:footnoteRef/>
      </w:r>
      <w:r w:rsidRPr="00C21A2E">
        <w:rPr>
          <w:szCs w:val="16"/>
          <w:lang w:val="es-EC"/>
        </w:rPr>
        <w:t xml:space="preserve"> </w:t>
      </w:r>
      <w:r w:rsidRPr="00021FD2">
        <w:rPr>
          <w:spacing w:val="-2"/>
          <w:szCs w:val="16"/>
          <w:lang w:val="es-EC"/>
        </w:rPr>
        <w:t xml:space="preserve">Autos de Reconocimiento de Persona de </w:t>
      </w:r>
      <w:r w:rsidRPr="00CB0375">
        <w:rPr>
          <w:spacing w:val="-4"/>
          <w:szCs w:val="16"/>
          <w:lang w:val="es-EC"/>
        </w:rPr>
        <w:t>C.S.S. el 18 de noviembre de 1994</w:t>
      </w:r>
      <w:r w:rsidRPr="00CB0375">
        <w:rPr>
          <w:spacing w:val="-4"/>
          <w:szCs w:val="16"/>
        </w:rPr>
        <w:t xml:space="preserve"> (expediente</w:t>
      </w:r>
      <w:r w:rsidRPr="00021FD2">
        <w:rPr>
          <w:spacing w:val="-2"/>
          <w:szCs w:val="16"/>
        </w:rPr>
        <w:t xml:space="preserve"> de prueba, folios 184-187).</w:t>
      </w:r>
    </w:p>
  </w:footnote>
  <w:footnote w:id="115">
    <w:p w14:paraId="3FF28055" w14:textId="3C1D91E4" w:rsidR="00122408" w:rsidRPr="00C21A2E" w:rsidRDefault="00122408" w:rsidP="00B50B41">
      <w:pPr>
        <w:pStyle w:val="FootnoteText"/>
        <w:spacing w:after="40"/>
        <w:rPr>
          <w:szCs w:val="16"/>
          <w:lang w:val="es-EC"/>
        </w:rPr>
      </w:pPr>
      <w:r w:rsidRPr="00C21A2E">
        <w:rPr>
          <w:rStyle w:val="FootnoteReference"/>
          <w:sz w:val="16"/>
          <w:szCs w:val="16"/>
        </w:rPr>
        <w:footnoteRef/>
      </w:r>
      <w:r w:rsidRPr="00C21A2E">
        <w:rPr>
          <w:szCs w:val="16"/>
          <w:lang w:val="es-EC"/>
        </w:rPr>
        <w:t xml:space="preserve"> </w:t>
      </w:r>
      <w:r w:rsidRPr="00021FD2">
        <w:rPr>
          <w:spacing w:val="-2"/>
          <w:szCs w:val="16"/>
          <w:lang w:val="es-EC"/>
        </w:rPr>
        <w:t>Autos de Reconocimiento de Persona de J.F.C. el 18 de noviembre de 1994</w:t>
      </w:r>
      <w:r w:rsidRPr="00021FD2">
        <w:rPr>
          <w:spacing w:val="-2"/>
          <w:szCs w:val="16"/>
        </w:rPr>
        <w:t xml:space="preserve"> (expediente de prueba, folios 189-196).</w:t>
      </w:r>
    </w:p>
  </w:footnote>
  <w:footnote w:id="116">
    <w:p w14:paraId="553204BC"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Boletín Informativo No. 209 el 22 de noviembre de 1994 (expediente de prueba, folio 203).</w:t>
      </w:r>
    </w:p>
  </w:footnote>
  <w:footnote w:id="117">
    <w:p w14:paraId="7AEC818D"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Oficio SJU/GAB el 1 de diciembre de 1994 (expediente de prueba, folios 198-201).</w:t>
      </w:r>
    </w:p>
  </w:footnote>
  <w:footnote w:id="118">
    <w:p w14:paraId="5E32F595"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Oficio SJU/GAB el 1 de diciembre de 1994 (expediente de prueba, folio 201).</w:t>
      </w:r>
    </w:p>
  </w:footnote>
  <w:footnote w:id="119">
    <w:p w14:paraId="64043C9A"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Oficio SJU/GAB No. 1057/94 (expediente de prueba, folio 140).</w:t>
      </w:r>
    </w:p>
  </w:footnote>
  <w:footnote w:id="120">
    <w:p w14:paraId="1195DA3B"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szCs w:val="16"/>
          <w:lang w:val="es-EC"/>
        </w:rPr>
        <w:t xml:space="preserve">Oficio CPGJ No. 821 </w:t>
      </w:r>
      <w:r w:rsidRPr="00C21A2E">
        <w:rPr>
          <w:szCs w:val="16"/>
        </w:rPr>
        <w:t>(expediente de prueba, folio 142).</w:t>
      </w:r>
    </w:p>
  </w:footnote>
  <w:footnote w:id="121">
    <w:p w14:paraId="3CE1CDB2"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Decisión de la Autoridad Policial de </w:t>
      </w:r>
      <w:r w:rsidRPr="00C21A2E">
        <w:rPr>
          <w:szCs w:val="16"/>
          <w:lang w:val="es-EC"/>
        </w:rPr>
        <w:t>DETAA el 28 de noviembre de 1994 (</w:t>
      </w:r>
      <w:r w:rsidRPr="00C21A2E">
        <w:rPr>
          <w:szCs w:val="16"/>
        </w:rPr>
        <w:t>expediente de prueba, folios</w:t>
      </w:r>
      <w:r w:rsidRPr="00C21A2E">
        <w:rPr>
          <w:szCs w:val="16"/>
          <w:lang w:val="es-EC"/>
        </w:rPr>
        <w:t xml:space="preserve"> 205-208).</w:t>
      </w:r>
    </w:p>
  </w:footnote>
  <w:footnote w:id="122">
    <w:p w14:paraId="3D9CEB59"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Instructivo de</w:t>
      </w:r>
      <w:r w:rsidRPr="00C21A2E">
        <w:rPr>
          <w:szCs w:val="16"/>
          <w:lang w:val="es-EC"/>
        </w:rPr>
        <w:t xml:space="preserve"> DETAA el 5 de diciembre de 1994 (</w:t>
      </w:r>
      <w:r w:rsidRPr="00C21A2E">
        <w:rPr>
          <w:szCs w:val="16"/>
        </w:rPr>
        <w:t>expediente de prueba, folio</w:t>
      </w:r>
      <w:r w:rsidRPr="00C21A2E">
        <w:rPr>
          <w:szCs w:val="16"/>
          <w:lang w:val="es-EC"/>
        </w:rPr>
        <w:t xml:space="preserve"> 25).</w:t>
      </w:r>
    </w:p>
  </w:footnote>
  <w:footnote w:id="123">
    <w:p w14:paraId="47FD8C53"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Declaración de </w:t>
      </w:r>
      <w:proofErr w:type="spellStart"/>
      <w:r w:rsidRPr="00C21A2E">
        <w:rPr>
          <w:szCs w:val="16"/>
        </w:rPr>
        <w:t>Rogério</w:t>
      </w:r>
      <w:proofErr w:type="spellEnd"/>
      <w:r w:rsidRPr="00C21A2E">
        <w:rPr>
          <w:szCs w:val="16"/>
        </w:rPr>
        <w:t xml:space="preserve"> Pereira da Silva y José Lino da Costa (expediente de prueba, folios 227-228).</w:t>
      </w:r>
    </w:p>
  </w:footnote>
  <w:footnote w:id="124">
    <w:p w14:paraId="64FD2192" w14:textId="00D72CF5" w:rsidR="00122408" w:rsidRPr="00C21A2E" w:rsidRDefault="00122408" w:rsidP="00B50B41">
      <w:pPr>
        <w:pStyle w:val="FootnoteText"/>
        <w:spacing w:after="40"/>
        <w:rPr>
          <w:szCs w:val="16"/>
        </w:rPr>
      </w:pPr>
      <w:r w:rsidRPr="00C21A2E">
        <w:rPr>
          <w:rStyle w:val="FootnoteReference"/>
          <w:sz w:val="16"/>
          <w:szCs w:val="16"/>
        </w:rPr>
        <w:footnoteRef/>
      </w:r>
      <w:r w:rsidRPr="00B21CA7">
        <w:rPr>
          <w:rStyle w:val="FootnoteReference"/>
          <w:sz w:val="16"/>
          <w:szCs w:val="16"/>
        </w:rPr>
        <w:t xml:space="preserve"> </w:t>
      </w:r>
      <w:r w:rsidRPr="00B21CA7">
        <w:rPr>
          <w:szCs w:val="16"/>
        </w:rPr>
        <w:t xml:space="preserve">Declaración testimonial de Cesar Augusto </w:t>
      </w:r>
      <w:proofErr w:type="spellStart"/>
      <w:r w:rsidRPr="00B21CA7">
        <w:rPr>
          <w:szCs w:val="16"/>
        </w:rPr>
        <w:t>Bento</w:t>
      </w:r>
      <w:proofErr w:type="spellEnd"/>
      <w:r w:rsidRPr="00B21CA7">
        <w:rPr>
          <w:szCs w:val="16"/>
        </w:rPr>
        <w:t xml:space="preserve"> </w:t>
      </w:r>
      <w:proofErr w:type="spellStart"/>
      <w:r w:rsidRPr="00B21CA7">
        <w:rPr>
          <w:szCs w:val="16"/>
        </w:rPr>
        <w:t>Leite</w:t>
      </w:r>
      <w:proofErr w:type="spellEnd"/>
      <w:r w:rsidRPr="00B21CA7">
        <w:rPr>
          <w:szCs w:val="16"/>
        </w:rPr>
        <w:t xml:space="preserve">, Jorge </w:t>
      </w:r>
      <w:proofErr w:type="spellStart"/>
      <w:r w:rsidRPr="00B21CA7">
        <w:rPr>
          <w:szCs w:val="16"/>
        </w:rPr>
        <w:t>Luiz</w:t>
      </w:r>
      <w:proofErr w:type="spellEnd"/>
      <w:r w:rsidRPr="00B21CA7">
        <w:rPr>
          <w:szCs w:val="16"/>
        </w:rPr>
        <w:t xml:space="preserve"> Andrade e Silva, </w:t>
      </w:r>
      <w:proofErr w:type="spellStart"/>
      <w:r w:rsidRPr="00B21CA7">
        <w:rPr>
          <w:szCs w:val="16"/>
        </w:rPr>
        <w:t>Luiz</w:t>
      </w:r>
      <w:proofErr w:type="spellEnd"/>
      <w:r w:rsidRPr="00B21CA7">
        <w:rPr>
          <w:szCs w:val="16"/>
        </w:rPr>
        <w:t xml:space="preserve"> Carlos Pereira Pinto, Carlos Alberto Figueroa Borges, </w:t>
      </w:r>
      <w:proofErr w:type="spellStart"/>
      <w:r w:rsidRPr="00B21CA7">
        <w:rPr>
          <w:szCs w:val="16"/>
        </w:rPr>
        <w:t>Janse</w:t>
      </w:r>
      <w:proofErr w:type="spellEnd"/>
      <w:r w:rsidRPr="00B21CA7">
        <w:rPr>
          <w:szCs w:val="16"/>
        </w:rPr>
        <w:t xml:space="preserve"> </w:t>
      </w:r>
      <w:proofErr w:type="spellStart"/>
      <w:r w:rsidRPr="00B21CA7">
        <w:rPr>
          <w:szCs w:val="16"/>
        </w:rPr>
        <w:t>Theobald</w:t>
      </w:r>
      <w:proofErr w:type="spellEnd"/>
      <w:r w:rsidRPr="00B21CA7">
        <w:rPr>
          <w:szCs w:val="16"/>
        </w:rPr>
        <w:t xml:space="preserve">, Paulo </w:t>
      </w:r>
      <w:proofErr w:type="spellStart"/>
      <w:r w:rsidRPr="00B21CA7">
        <w:rPr>
          <w:szCs w:val="16"/>
        </w:rPr>
        <w:t>Cannabrava</w:t>
      </w:r>
      <w:proofErr w:type="spellEnd"/>
      <w:r w:rsidRPr="00B21CA7">
        <w:rPr>
          <w:szCs w:val="16"/>
        </w:rPr>
        <w:t xml:space="preserve"> Barata y Alonso Ferreira Neto ante la Delegación Especial de Tortura y Abuso de Autoridad </w:t>
      </w:r>
      <w:r w:rsidRPr="00C21A2E">
        <w:rPr>
          <w:szCs w:val="16"/>
        </w:rPr>
        <w:t>(expediente de prueba, folios 230-245).</w:t>
      </w:r>
    </w:p>
  </w:footnote>
  <w:footnote w:id="125">
    <w:p w14:paraId="5DFDBA93" w14:textId="28876204"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Decisión de la Autoridad Policial de </w:t>
      </w:r>
      <w:r w:rsidRPr="00C21A2E">
        <w:rPr>
          <w:szCs w:val="16"/>
          <w:lang w:val="es-EC"/>
        </w:rPr>
        <w:t>DETAA</w:t>
      </w:r>
      <w:r w:rsidRPr="00C21A2E">
        <w:rPr>
          <w:szCs w:val="16"/>
        </w:rPr>
        <w:t xml:space="preserve"> el 30 de diciembre de 1994</w:t>
      </w:r>
      <w:r w:rsidRPr="00C21A2E">
        <w:rPr>
          <w:szCs w:val="16"/>
          <w:lang w:val="es-EC"/>
        </w:rPr>
        <w:t xml:space="preserve"> </w:t>
      </w:r>
      <w:r w:rsidRPr="00C21A2E">
        <w:rPr>
          <w:szCs w:val="16"/>
        </w:rPr>
        <w:t>(</w:t>
      </w:r>
      <w:r>
        <w:rPr>
          <w:szCs w:val="16"/>
        </w:rPr>
        <w:t xml:space="preserve">expediente de prueba, folios </w:t>
      </w:r>
      <w:r w:rsidRPr="00C21A2E">
        <w:rPr>
          <w:szCs w:val="16"/>
        </w:rPr>
        <w:t>247</w:t>
      </w:r>
      <w:r>
        <w:rPr>
          <w:szCs w:val="16"/>
        </w:rPr>
        <w:t xml:space="preserve"> a </w:t>
      </w:r>
      <w:r w:rsidRPr="00C21A2E">
        <w:rPr>
          <w:szCs w:val="16"/>
        </w:rPr>
        <w:t>249)</w:t>
      </w:r>
      <w:r>
        <w:rPr>
          <w:szCs w:val="16"/>
        </w:rPr>
        <w:t>.</w:t>
      </w:r>
    </w:p>
  </w:footnote>
  <w:footnote w:id="126">
    <w:p w14:paraId="69EB7FC1" w14:textId="151C6C1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Carta </w:t>
      </w:r>
      <w:r w:rsidRPr="00021FD2">
        <w:rPr>
          <w:spacing w:val="-2"/>
          <w:szCs w:val="16"/>
        </w:rPr>
        <w:t xml:space="preserve">del Jefe de Policía Marcos Alexandre </w:t>
      </w:r>
      <w:proofErr w:type="spellStart"/>
      <w:r w:rsidRPr="00021FD2">
        <w:rPr>
          <w:spacing w:val="-2"/>
          <w:szCs w:val="16"/>
        </w:rPr>
        <w:t>Reimão</w:t>
      </w:r>
      <w:proofErr w:type="spellEnd"/>
      <w:r w:rsidRPr="00021FD2">
        <w:rPr>
          <w:spacing w:val="-2"/>
          <w:szCs w:val="16"/>
        </w:rPr>
        <w:t xml:space="preserve"> de 8 de mayo de 1995 (expediente de prueba, folios 320 y 321</w:t>
      </w:r>
      <w:r w:rsidRPr="00C21A2E">
        <w:rPr>
          <w:szCs w:val="16"/>
        </w:rPr>
        <w:t xml:space="preserve">). </w:t>
      </w:r>
    </w:p>
  </w:footnote>
  <w:footnote w:id="127">
    <w:p w14:paraId="0A90ED9A" w14:textId="7E6B5EC1"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Boletín de Novedades No.  252/95 de 8 de mayo de 1995 (expediente de prueba, folios 323</w:t>
      </w:r>
      <w:r>
        <w:rPr>
          <w:szCs w:val="16"/>
        </w:rPr>
        <w:t xml:space="preserve"> a </w:t>
      </w:r>
      <w:r w:rsidRPr="00C21A2E">
        <w:rPr>
          <w:szCs w:val="16"/>
        </w:rPr>
        <w:t>332).</w:t>
      </w:r>
    </w:p>
  </w:footnote>
  <w:footnote w:id="128">
    <w:p w14:paraId="74F7E24B" w14:textId="0602AC3B"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Pr>
          <w:i/>
          <w:szCs w:val="16"/>
        </w:rPr>
        <w:t xml:space="preserve">Cfr. </w:t>
      </w:r>
      <w:r w:rsidRPr="00C21A2E">
        <w:rPr>
          <w:szCs w:val="16"/>
        </w:rPr>
        <w:t xml:space="preserve">Informe de </w:t>
      </w:r>
      <w:r>
        <w:rPr>
          <w:szCs w:val="16"/>
        </w:rPr>
        <w:t xml:space="preserve">Fondo No. </w:t>
      </w:r>
      <w:r w:rsidRPr="00C21A2E">
        <w:rPr>
          <w:szCs w:val="16"/>
        </w:rPr>
        <w:t>141/11</w:t>
      </w:r>
      <w:r>
        <w:rPr>
          <w:szCs w:val="16"/>
        </w:rPr>
        <w:t xml:space="preserve">, </w:t>
      </w:r>
      <w:r w:rsidRPr="00C21A2E">
        <w:rPr>
          <w:szCs w:val="16"/>
        </w:rPr>
        <w:t>párr. 110.</w:t>
      </w:r>
    </w:p>
  </w:footnote>
  <w:footnote w:id="129">
    <w:p w14:paraId="64B13DAC" w14:textId="50EE8162"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Declaración </w:t>
      </w:r>
      <w:r>
        <w:rPr>
          <w:szCs w:val="16"/>
        </w:rPr>
        <w:t xml:space="preserve">testimonial </w:t>
      </w:r>
      <w:r w:rsidRPr="00C21A2E">
        <w:rPr>
          <w:szCs w:val="16"/>
        </w:rPr>
        <w:t xml:space="preserve">de </w:t>
      </w:r>
      <w:proofErr w:type="spellStart"/>
      <w:r w:rsidRPr="00C21A2E">
        <w:rPr>
          <w:szCs w:val="16"/>
        </w:rPr>
        <w:t>Moises</w:t>
      </w:r>
      <w:proofErr w:type="spellEnd"/>
      <w:r w:rsidRPr="00C21A2E">
        <w:rPr>
          <w:szCs w:val="16"/>
        </w:rPr>
        <w:t xml:space="preserve"> Pereira Castro el 8 de mayo de 1995 </w:t>
      </w:r>
      <w:r>
        <w:rPr>
          <w:szCs w:val="16"/>
        </w:rPr>
        <w:t xml:space="preserve">ante la Superintendencia de Policía Judiciaria </w:t>
      </w:r>
      <w:r w:rsidRPr="00C21A2E">
        <w:rPr>
          <w:szCs w:val="16"/>
        </w:rPr>
        <w:t>(expediente de prueba, folios 336-337).</w:t>
      </w:r>
    </w:p>
  </w:footnote>
  <w:footnote w:id="130">
    <w:p w14:paraId="7E97D502" w14:textId="2710074A"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Declaración </w:t>
      </w:r>
      <w:r>
        <w:rPr>
          <w:szCs w:val="16"/>
        </w:rPr>
        <w:t xml:space="preserve">testimonial </w:t>
      </w:r>
      <w:r w:rsidRPr="00C21A2E">
        <w:rPr>
          <w:szCs w:val="16"/>
        </w:rPr>
        <w:t xml:space="preserve">de Jorge </w:t>
      </w:r>
      <w:proofErr w:type="spellStart"/>
      <w:r w:rsidRPr="00C21A2E">
        <w:rPr>
          <w:szCs w:val="16"/>
        </w:rPr>
        <w:t>Luiz</w:t>
      </w:r>
      <w:proofErr w:type="spellEnd"/>
      <w:r w:rsidRPr="00C21A2E">
        <w:rPr>
          <w:szCs w:val="16"/>
        </w:rPr>
        <w:t xml:space="preserve"> de Sales y </w:t>
      </w:r>
      <w:proofErr w:type="spellStart"/>
      <w:r w:rsidRPr="00C21A2E">
        <w:rPr>
          <w:szCs w:val="16"/>
        </w:rPr>
        <w:t>Marcio</w:t>
      </w:r>
      <w:proofErr w:type="spellEnd"/>
      <w:r w:rsidRPr="00C21A2E">
        <w:rPr>
          <w:szCs w:val="16"/>
        </w:rPr>
        <w:t xml:space="preserve"> Lima el 8 de mayo de 1995 </w:t>
      </w:r>
      <w:r>
        <w:rPr>
          <w:szCs w:val="16"/>
        </w:rPr>
        <w:t>ante la Superintendencia de Policía Judiciaria</w:t>
      </w:r>
      <w:r w:rsidRPr="00C21A2E">
        <w:rPr>
          <w:szCs w:val="16"/>
        </w:rPr>
        <w:t xml:space="preserve"> (expediente de prueba, folios 339-341</w:t>
      </w:r>
      <w:r>
        <w:rPr>
          <w:szCs w:val="16"/>
        </w:rPr>
        <w:t xml:space="preserve">); declaración testimonial </w:t>
      </w:r>
      <w:r w:rsidRPr="00C21A2E">
        <w:rPr>
          <w:szCs w:val="16"/>
        </w:rPr>
        <w:t xml:space="preserve">de </w:t>
      </w:r>
      <w:proofErr w:type="spellStart"/>
      <w:r w:rsidRPr="00C21A2E">
        <w:rPr>
          <w:szCs w:val="16"/>
        </w:rPr>
        <w:t>Everton</w:t>
      </w:r>
      <w:proofErr w:type="spellEnd"/>
      <w:r w:rsidRPr="00C21A2E">
        <w:rPr>
          <w:szCs w:val="16"/>
        </w:rPr>
        <w:t xml:space="preserve"> </w:t>
      </w:r>
      <w:proofErr w:type="spellStart"/>
      <w:r w:rsidRPr="00C21A2E">
        <w:rPr>
          <w:szCs w:val="16"/>
        </w:rPr>
        <w:t>Eugênio</w:t>
      </w:r>
      <w:proofErr w:type="spellEnd"/>
      <w:r w:rsidRPr="00C21A2E">
        <w:rPr>
          <w:szCs w:val="16"/>
        </w:rPr>
        <w:t xml:space="preserve"> </w:t>
      </w:r>
      <w:proofErr w:type="spellStart"/>
      <w:r w:rsidRPr="00C21A2E">
        <w:rPr>
          <w:szCs w:val="16"/>
        </w:rPr>
        <w:t>Gonçalves</w:t>
      </w:r>
      <w:proofErr w:type="spellEnd"/>
      <w:r w:rsidRPr="00C21A2E">
        <w:rPr>
          <w:szCs w:val="16"/>
        </w:rPr>
        <w:t xml:space="preserve"> Silva, Fabiano </w:t>
      </w:r>
      <w:proofErr w:type="spellStart"/>
      <w:r w:rsidRPr="00C21A2E">
        <w:rPr>
          <w:szCs w:val="16"/>
        </w:rPr>
        <w:t>Bessa</w:t>
      </w:r>
      <w:proofErr w:type="spellEnd"/>
      <w:r w:rsidRPr="00C21A2E">
        <w:rPr>
          <w:szCs w:val="16"/>
        </w:rPr>
        <w:t xml:space="preserve"> y </w:t>
      </w:r>
      <w:proofErr w:type="spellStart"/>
      <w:r w:rsidRPr="00C21A2E">
        <w:rPr>
          <w:szCs w:val="16"/>
        </w:rPr>
        <w:t>Ubiraci</w:t>
      </w:r>
      <w:proofErr w:type="spellEnd"/>
      <w:r w:rsidRPr="00C21A2E">
        <w:rPr>
          <w:szCs w:val="16"/>
        </w:rPr>
        <w:t xml:space="preserve"> Silva de </w:t>
      </w:r>
      <w:proofErr w:type="spellStart"/>
      <w:r w:rsidRPr="00C21A2E">
        <w:rPr>
          <w:szCs w:val="16"/>
        </w:rPr>
        <w:t>Jesus</w:t>
      </w:r>
      <w:proofErr w:type="spellEnd"/>
      <w:r w:rsidRPr="00C21A2E">
        <w:rPr>
          <w:szCs w:val="16"/>
        </w:rPr>
        <w:t xml:space="preserve"> el 8 de mayo de 1995 </w:t>
      </w:r>
      <w:r>
        <w:rPr>
          <w:szCs w:val="16"/>
        </w:rPr>
        <w:t>ante la Superintendencia de Policía Judiciaria</w:t>
      </w:r>
      <w:r w:rsidRPr="00C21A2E">
        <w:rPr>
          <w:szCs w:val="16"/>
        </w:rPr>
        <w:t xml:space="preserve"> (expediente de prueba, folios 343-348</w:t>
      </w:r>
      <w:r>
        <w:rPr>
          <w:szCs w:val="16"/>
        </w:rPr>
        <w:t xml:space="preserve">); declaración testimonial </w:t>
      </w:r>
      <w:r w:rsidRPr="00C21A2E">
        <w:rPr>
          <w:szCs w:val="16"/>
        </w:rPr>
        <w:t xml:space="preserve">de Raimundo </w:t>
      </w:r>
      <w:proofErr w:type="spellStart"/>
      <w:r w:rsidRPr="00C21A2E">
        <w:rPr>
          <w:szCs w:val="16"/>
        </w:rPr>
        <w:t>Edilson</w:t>
      </w:r>
      <w:proofErr w:type="spellEnd"/>
      <w:r w:rsidRPr="00C21A2E">
        <w:rPr>
          <w:szCs w:val="16"/>
        </w:rPr>
        <w:t xml:space="preserve"> Reis el 8 de mayo de 1995 </w:t>
      </w:r>
      <w:r>
        <w:rPr>
          <w:szCs w:val="16"/>
        </w:rPr>
        <w:t>ante la Superintendencia de Policía Judiciaria</w:t>
      </w:r>
      <w:r w:rsidRPr="00C21A2E">
        <w:rPr>
          <w:szCs w:val="16"/>
        </w:rPr>
        <w:t xml:space="preserve"> (expediente de prueba, folios 350-351).</w:t>
      </w:r>
    </w:p>
  </w:footnote>
  <w:footnote w:id="131">
    <w:p w14:paraId="51796D22" w14:textId="12C15C89"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Decisión de la Autoridad Policial </w:t>
      </w:r>
      <w:r w:rsidRPr="00C21A2E">
        <w:rPr>
          <w:szCs w:val="16"/>
          <w:lang w:val="es-EC"/>
        </w:rPr>
        <w:t>el 15 de mayo de 1995 (</w:t>
      </w:r>
      <w:r w:rsidRPr="00C21A2E">
        <w:rPr>
          <w:szCs w:val="16"/>
        </w:rPr>
        <w:t>expediente de prueba, folio 353</w:t>
      </w:r>
      <w:r w:rsidRPr="00C21A2E">
        <w:rPr>
          <w:szCs w:val="16"/>
          <w:lang w:val="es-EC"/>
        </w:rPr>
        <w:t>).</w:t>
      </w:r>
    </w:p>
  </w:footnote>
  <w:footnote w:id="132">
    <w:p w14:paraId="3A5CA198" w14:textId="34C638BB" w:rsidR="00122408" w:rsidRPr="00C21A2E" w:rsidRDefault="00122408" w:rsidP="00B50B41">
      <w:pPr>
        <w:pStyle w:val="FootnoteText"/>
        <w:spacing w:after="40"/>
        <w:rPr>
          <w:szCs w:val="16"/>
          <w:lang w:val="pt-BR"/>
        </w:rPr>
      </w:pPr>
      <w:r w:rsidRPr="00C21A2E">
        <w:rPr>
          <w:rStyle w:val="FootnoteReference"/>
          <w:sz w:val="16"/>
          <w:szCs w:val="16"/>
        </w:rPr>
        <w:footnoteRef/>
      </w:r>
      <w:r w:rsidRPr="00C21A2E">
        <w:rPr>
          <w:szCs w:val="16"/>
          <w:lang w:val="pt-BR"/>
        </w:rPr>
        <w:t xml:space="preserve"> </w:t>
      </w:r>
      <w:r w:rsidRPr="00C21A2E">
        <w:rPr>
          <w:szCs w:val="16"/>
          <w:lang w:val="pt-BR"/>
        </w:rPr>
        <w:t xml:space="preserve">Declaraciones </w:t>
      </w:r>
      <w:r>
        <w:rPr>
          <w:szCs w:val="16"/>
          <w:lang w:val="pt-BR"/>
        </w:rPr>
        <w:t xml:space="preserve">testimoniales </w:t>
      </w:r>
      <w:r w:rsidRPr="00C21A2E">
        <w:rPr>
          <w:szCs w:val="16"/>
          <w:lang w:val="pt-BR"/>
        </w:rPr>
        <w:t xml:space="preserve">del Jefe de Policía Marcos Alexandre Cardoso Reimão, y </w:t>
      </w:r>
      <w:r>
        <w:rPr>
          <w:szCs w:val="16"/>
          <w:lang w:val="pt-BR"/>
        </w:rPr>
        <w:t xml:space="preserve">de </w:t>
      </w:r>
      <w:r w:rsidRPr="00C21A2E">
        <w:rPr>
          <w:szCs w:val="16"/>
          <w:lang w:val="pt-BR"/>
        </w:rPr>
        <w:t xml:space="preserve">los oficiales Carlos Alberto Gonçalves Vieira, Vitor Pereira Júnior, Gustavo Barbosa Lima, Cesar Ulisses C. Machado, Newton Fróes de Azevedo Filho, Renato José Lopes, Alfredo Silva Neto, Carlos Alberto Donato da Cruz, Márcio Mendes Gomes, Alcides Pereira de Carvalho Filho, Adonis Lopes de Oliveira, Renato Babaiof, Flavio Martins Molina, Lucio Desidério de Assumpção, Alfredo Pereira dos Santos, Paulo Marcio de Bragança Teixeira, Flávio Noronha, y Mauro José Gonçalves </w:t>
      </w:r>
      <w:r>
        <w:rPr>
          <w:szCs w:val="16"/>
          <w:lang w:val="pt-BR"/>
        </w:rPr>
        <w:t>los días</w:t>
      </w:r>
      <w:r w:rsidRPr="00C21A2E">
        <w:rPr>
          <w:szCs w:val="16"/>
          <w:lang w:val="pt-BR"/>
        </w:rPr>
        <w:t xml:space="preserve"> 23, 30 y 31 de mayo de 1995 </w:t>
      </w:r>
      <w:r w:rsidRPr="006253B7">
        <w:rPr>
          <w:szCs w:val="16"/>
          <w:lang w:val="pt-BR"/>
        </w:rPr>
        <w:t>ante la Superintendencia de Policía Judiciaria</w:t>
      </w:r>
      <w:r w:rsidRPr="00C21A2E">
        <w:rPr>
          <w:szCs w:val="16"/>
          <w:lang w:val="pt-BR"/>
        </w:rPr>
        <w:t xml:space="preserve"> (expediente de prueba, folios 447-483).</w:t>
      </w:r>
    </w:p>
  </w:footnote>
  <w:footnote w:id="133">
    <w:p w14:paraId="0EB021CF" w14:textId="79EA21F3"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Pr>
          <w:i/>
          <w:szCs w:val="16"/>
        </w:rPr>
        <w:t xml:space="preserve">Cfr. </w:t>
      </w:r>
      <w:r w:rsidRPr="00C21A2E">
        <w:rPr>
          <w:szCs w:val="16"/>
        </w:rPr>
        <w:t xml:space="preserve">Informe de </w:t>
      </w:r>
      <w:r>
        <w:rPr>
          <w:szCs w:val="16"/>
        </w:rPr>
        <w:t xml:space="preserve">Fondo No. </w:t>
      </w:r>
      <w:r w:rsidRPr="00C21A2E">
        <w:rPr>
          <w:szCs w:val="16"/>
        </w:rPr>
        <w:t>141/11</w:t>
      </w:r>
      <w:r>
        <w:rPr>
          <w:szCs w:val="16"/>
        </w:rPr>
        <w:t xml:space="preserve">, </w:t>
      </w:r>
      <w:r w:rsidRPr="00C21A2E">
        <w:rPr>
          <w:szCs w:val="16"/>
        </w:rPr>
        <w:t>párr. 114.</w:t>
      </w:r>
    </w:p>
  </w:footnote>
  <w:footnote w:id="134">
    <w:p w14:paraId="160DB0A8"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Manifestación de la Fiscal </w:t>
      </w:r>
      <w:proofErr w:type="spellStart"/>
      <w:r w:rsidRPr="00C21A2E">
        <w:rPr>
          <w:szCs w:val="16"/>
        </w:rPr>
        <w:t>Maria</w:t>
      </w:r>
      <w:proofErr w:type="spellEnd"/>
      <w:r w:rsidRPr="00C21A2E">
        <w:rPr>
          <w:szCs w:val="16"/>
        </w:rPr>
        <w:t xml:space="preserve"> </w:t>
      </w:r>
      <w:proofErr w:type="spellStart"/>
      <w:r w:rsidRPr="00C21A2E">
        <w:rPr>
          <w:szCs w:val="16"/>
        </w:rPr>
        <w:t>Ignez</w:t>
      </w:r>
      <w:proofErr w:type="spellEnd"/>
      <w:r w:rsidRPr="00C21A2E">
        <w:rPr>
          <w:szCs w:val="16"/>
        </w:rPr>
        <w:t xml:space="preserve"> Pimentel el 29 de junio de 1995 (expediente de prueba, folios 551-552).</w:t>
      </w:r>
    </w:p>
  </w:footnote>
  <w:footnote w:id="135">
    <w:p w14:paraId="263EE830" w14:textId="28AE7DEF"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Declaración </w:t>
      </w:r>
      <w:r>
        <w:rPr>
          <w:szCs w:val="16"/>
        </w:rPr>
        <w:t xml:space="preserve">testimonial </w:t>
      </w:r>
      <w:r w:rsidRPr="00C21A2E">
        <w:rPr>
          <w:szCs w:val="16"/>
        </w:rPr>
        <w:t xml:space="preserve">de Marcos </w:t>
      </w:r>
      <w:proofErr w:type="spellStart"/>
      <w:r w:rsidRPr="00C21A2E">
        <w:rPr>
          <w:szCs w:val="16"/>
        </w:rPr>
        <w:t>Luiz</w:t>
      </w:r>
      <w:proofErr w:type="spellEnd"/>
      <w:r w:rsidRPr="00C21A2E">
        <w:rPr>
          <w:szCs w:val="16"/>
        </w:rPr>
        <w:t xml:space="preserve"> </w:t>
      </w:r>
      <w:proofErr w:type="spellStart"/>
      <w:r w:rsidRPr="00C21A2E">
        <w:rPr>
          <w:szCs w:val="16"/>
        </w:rPr>
        <w:t>Rodrigues</w:t>
      </w:r>
      <w:proofErr w:type="spellEnd"/>
      <w:r w:rsidRPr="00C21A2E">
        <w:rPr>
          <w:szCs w:val="16"/>
        </w:rPr>
        <w:t xml:space="preserve"> el 6 de julio de 1995 </w:t>
      </w:r>
      <w:r>
        <w:rPr>
          <w:szCs w:val="16"/>
        </w:rPr>
        <w:t xml:space="preserve">ante la Secretaría de Estado de la Policía Civil </w:t>
      </w:r>
      <w:r w:rsidRPr="00C21A2E">
        <w:rPr>
          <w:szCs w:val="16"/>
        </w:rPr>
        <w:t>(expediente de prueba, folios 554-555).</w:t>
      </w:r>
    </w:p>
  </w:footnote>
  <w:footnote w:id="136">
    <w:p w14:paraId="565E3408" w14:textId="0461670A"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con conclusiones </w:t>
      </w:r>
      <w:r>
        <w:rPr>
          <w:rFonts w:cs="Arial"/>
          <w:szCs w:val="16"/>
        </w:rPr>
        <w:t>IP No. 061/95</w:t>
      </w:r>
      <w:r w:rsidRPr="00C21A2E">
        <w:rPr>
          <w:rFonts w:cs="Arial"/>
          <w:szCs w:val="16"/>
        </w:rPr>
        <w:t xml:space="preserve"> el </w:t>
      </w:r>
      <w:r w:rsidRPr="00C21A2E">
        <w:rPr>
          <w:szCs w:val="16"/>
        </w:rPr>
        <w:t>21 de septiembre de 1995</w:t>
      </w:r>
      <w:r w:rsidRPr="00C21A2E">
        <w:rPr>
          <w:rFonts w:cs="Arial"/>
          <w:szCs w:val="16"/>
        </w:rPr>
        <w:t xml:space="preserve"> </w:t>
      </w:r>
      <w:r w:rsidRPr="00C21A2E">
        <w:rPr>
          <w:szCs w:val="16"/>
        </w:rPr>
        <w:t>(expediente de prueba, folios 557-560).</w:t>
      </w:r>
    </w:p>
  </w:footnote>
  <w:footnote w:id="137">
    <w:p w14:paraId="76FEF264"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Manifestación de la Fiscal </w:t>
      </w:r>
      <w:proofErr w:type="spellStart"/>
      <w:r w:rsidRPr="00C21A2E">
        <w:rPr>
          <w:szCs w:val="16"/>
        </w:rPr>
        <w:t>Maria</w:t>
      </w:r>
      <w:proofErr w:type="spellEnd"/>
      <w:r w:rsidRPr="00C21A2E">
        <w:rPr>
          <w:szCs w:val="16"/>
        </w:rPr>
        <w:t xml:space="preserve"> </w:t>
      </w:r>
      <w:proofErr w:type="spellStart"/>
      <w:r w:rsidRPr="00C21A2E">
        <w:rPr>
          <w:szCs w:val="16"/>
        </w:rPr>
        <w:t>Ignez</w:t>
      </w:r>
      <w:proofErr w:type="spellEnd"/>
      <w:r w:rsidRPr="00C21A2E">
        <w:rPr>
          <w:szCs w:val="16"/>
        </w:rPr>
        <w:t xml:space="preserve"> Pimentel el 29 de enero de 1996 (expediente de prueba, folio 562).</w:t>
      </w:r>
    </w:p>
  </w:footnote>
  <w:footnote w:id="138">
    <w:p w14:paraId="2DA5DE37" w14:textId="08359958"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Declaraciones </w:t>
      </w:r>
      <w:r>
        <w:rPr>
          <w:szCs w:val="16"/>
        </w:rPr>
        <w:t xml:space="preserve">testimoniales </w:t>
      </w:r>
      <w:r w:rsidRPr="00C21A2E">
        <w:rPr>
          <w:szCs w:val="16"/>
        </w:rPr>
        <w:t xml:space="preserve">de familiares de víctimas el 16 de febrero, 1 de marzo, 8 de marzo, 22 de marzo y 29 de marzo de 1996 </w:t>
      </w:r>
      <w:r>
        <w:rPr>
          <w:szCs w:val="16"/>
        </w:rPr>
        <w:t xml:space="preserve">ante la Fiscalía de Investigación Penal </w:t>
      </w:r>
      <w:r w:rsidRPr="00C21A2E">
        <w:rPr>
          <w:szCs w:val="16"/>
        </w:rPr>
        <w:t>(expediente de prueba, folios 563-574).</w:t>
      </w:r>
    </w:p>
  </w:footnote>
  <w:footnote w:id="139">
    <w:p w14:paraId="4F4AAF6F"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Oficina de Asuntos Internos.</w:t>
      </w:r>
    </w:p>
  </w:footnote>
  <w:footnote w:id="140">
    <w:p w14:paraId="7F390BCA"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Carátula del expediente reenumerado 141/02 (expediente de prueba, folio 27).</w:t>
      </w:r>
    </w:p>
  </w:footnote>
  <w:footnote w:id="141">
    <w:p w14:paraId="4A8635C0"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Pedido de plazo para cumplimiento de diligencias. (expediente de prueba, folios 270-298).</w:t>
      </w:r>
    </w:p>
  </w:footnote>
  <w:footnote w:id="142">
    <w:p w14:paraId="19C8D9D9" w14:textId="27BA8B9A"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C"/>
        </w:rPr>
        <w:t xml:space="preserve"> </w:t>
      </w:r>
      <w:r>
        <w:rPr>
          <w:szCs w:val="16"/>
          <w:lang w:val="es-EC"/>
        </w:rPr>
        <w:t>Certificado del envío</w:t>
      </w:r>
      <w:r w:rsidRPr="00C21A2E">
        <w:rPr>
          <w:szCs w:val="16"/>
          <w:lang w:val="es-EC"/>
        </w:rPr>
        <w:t xml:space="preserve"> a COINPOL el 15 de diciembre de 2003 </w:t>
      </w:r>
      <w:r w:rsidRPr="00C21A2E">
        <w:rPr>
          <w:szCs w:val="16"/>
        </w:rPr>
        <w:t>(</w:t>
      </w:r>
      <w:r w:rsidRPr="00C21A2E">
        <w:rPr>
          <w:rFonts w:cs="Arial"/>
          <w:szCs w:val="16"/>
        </w:rPr>
        <w:t>expediente de prueba, folios</w:t>
      </w:r>
      <w:r w:rsidRPr="00C21A2E">
        <w:rPr>
          <w:szCs w:val="16"/>
        </w:rPr>
        <w:t xml:space="preserve"> 22-23).</w:t>
      </w:r>
    </w:p>
  </w:footnote>
  <w:footnote w:id="143">
    <w:p w14:paraId="495A1E2B"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Certificado de unificación de expedientes el 13 de agosto de 2007 (</w:t>
      </w:r>
      <w:r w:rsidRPr="00C21A2E">
        <w:rPr>
          <w:rFonts w:cs="Arial"/>
          <w:szCs w:val="16"/>
        </w:rPr>
        <w:t>expediente de prueba, folios</w:t>
      </w:r>
      <w:r w:rsidRPr="00C21A2E">
        <w:rPr>
          <w:szCs w:val="16"/>
        </w:rPr>
        <w:t xml:space="preserve"> 29-30). </w:t>
      </w:r>
    </w:p>
  </w:footnote>
  <w:footnote w:id="144">
    <w:p w14:paraId="21442446"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Convocatoria para José Secundino (</w:t>
      </w:r>
      <w:r w:rsidRPr="00C21A2E">
        <w:rPr>
          <w:rFonts w:cs="Arial"/>
          <w:szCs w:val="16"/>
        </w:rPr>
        <w:t>expediente de prueba, folio</w:t>
      </w:r>
      <w:r w:rsidRPr="00C21A2E">
        <w:rPr>
          <w:szCs w:val="16"/>
        </w:rPr>
        <w:t xml:space="preserve"> 308).</w:t>
      </w:r>
    </w:p>
  </w:footnote>
  <w:footnote w:id="145">
    <w:p w14:paraId="4E30644D" w14:textId="3A8A69CA"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Orden de citación </w:t>
      </w:r>
      <w:r>
        <w:rPr>
          <w:szCs w:val="16"/>
        </w:rPr>
        <w:t>IP No. 141/02</w:t>
      </w:r>
      <w:r w:rsidRPr="00C21A2E">
        <w:rPr>
          <w:szCs w:val="16"/>
        </w:rPr>
        <w:t xml:space="preserve"> (</w:t>
      </w:r>
      <w:r w:rsidRPr="00C21A2E">
        <w:rPr>
          <w:rFonts w:cs="Arial"/>
          <w:szCs w:val="16"/>
        </w:rPr>
        <w:t>expediente de prueba, folio</w:t>
      </w:r>
      <w:r w:rsidRPr="00C21A2E">
        <w:rPr>
          <w:szCs w:val="16"/>
        </w:rPr>
        <w:t xml:space="preserve"> 310).</w:t>
      </w:r>
    </w:p>
  </w:footnote>
  <w:footnote w:id="146">
    <w:p w14:paraId="3184B3C4" w14:textId="5ACAD010"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Expediente </w:t>
      </w:r>
      <w:r>
        <w:rPr>
          <w:rFonts w:cs="Arial"/>
          <w:szCs w:val="16"/>
        </w:rPr>
        <w:t>IP No. 141/02</w:t>
      </w:r>
      <w:r w:rsidRPr="00C21A2E">
        <w:rPr>
          <w:rFonts w:cs="Arial"/>
          <w:szCs w:val="16"/>
        </w:rPr>
        <w:t xml:space="preserve">, oficio de 30 de abril de 2009 (expediente de prueba, folio 5099); </w:t>
      </w:r>
      <w:r w:rsidRPr="00C21A2E">
        <w:rPr>
          <w:szCs w:val="16"/>
        </w:rPr>
        <w:t xml:space="preserve">Expediente </w:t>
      </w:r>
      <w:r>
        <w:rPr>
          <w:rFonts w:cs="Arial"/>
          <w:szCs w:val="16"/>
        </w:rPr>
        <w:t>IP No. 141/02</w:t>
      </w:r>
      <w:r w:rsidRPr="00C21A2E">
        <w:rPr>
          <w:rFonts w:cs="Arial"/>
          <w:szCs w:val="16"/>
        </w:rPr>
        <w:t>, oficio de 13 de agosto de 2009 (expediente de prueba, folio 5101).</w:t>
      </w:r>
    </w:p>
  </w:footnote>
  <w:footnote w:id="147">
    <w:p w14:paraId="4AF13F38" w14:textId="699D36E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Expediente </w:t>
      </w:r>
      <w:r>
        <w:rPr>
          <w:rFonts w:cs="Arial"/>
          <w:szCs w:val="16"/>
        </w:rPr>
        <w:t>IP No. 141/02</w:t>
      </w:r>
      <w:r w:rsidRPr="00C21A2E">
        <w:rPr>
          <w:rFonts w:cs="Arial"/>
          <w:szCs w:val="16"/>
        </w:rPr>
        <w:t>, oficio de 14 de agosto de 2009 (expediente de prueba, folios 5102 y 5103).</w:t>
      </w:r>
    </w:p>
  </w:footnote>
  <w:footnote w:id="148">
    <w:p w14:paraId="24131918" w14:textId="4F503CB8"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Expediente </w:t>
      </w:r>
      <w:r>
        <w:rPr>
          <w:rFonts w:cs="Arial"/>
          <w:szCs w:val="16"/>
        </w:rPr>
        <w:t>IP No. 141/02</w:t>
      </w:r>
      <w:r w:rsidRPr="00C21A2E">
        <w:rPr>
          <w:rFonts w:cs="Arial"/>
          <w:szCs w:val="16"/>
        </w:rPr>
        <w:t>, oficio de 18 de agosto de 2009 (expediente de prueba, folio 5104).</w:t>
      </w:r>
    </w:p>
  </w:footnote>
  <w:footnote w:id="149">
    <w:p w14:paraId="0BB667B7" w14:textId="543641E6"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Expediente </w:t>
      </w:r>
      <w:r>
        <w:rPr>
          <w:rFonts w:cs="Arial"/>
          <w:szCs w:val="16"/>
        </w:rPr>
        <w:t>IP No. 141/02</w:t>
      </w:r>
      <w:r w:rsidRPr="00C21A2E">
        <w:rPr>
          <w:rFonts w:cs="Arial"/>
          <w:szCs w:val="16"/>
        </w:rPr>
        <w:t>, oficio de 1 de octubre de 2009 (expediente de prueba, folios 5105-5107).</w:t>
      </w:r>
    </w:p>
  </w:footnote>
  <w:footnote w:id="150">
    <w:p w14:paraId="6FB5A195" w14:textId="408AF35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Expediente </w:t>
      </w:r>
      <w:r>
        <w:rPr>
          <w:rFonts w:cs="Arial"/>
          <w:szCs w:val="16"/>
        </w:rPr>
        <w:t>IP No. 141/02</w:t>
      </w:r>
      <w:r w:rsidRPr="00C21A2E">
        <w:rPr>
          <w:rFonts w:cs="Arial"/>
          <w:szCs w:val="16"/>
        </w:rPr>
        <w:t xml:space="preserve">, decisión </w:t>
      </w:r>
      <w:r w:rsidRPr="00C21A2E">
        <w:rPr>
          <w:szCs w:val="16"/>
          <w:lang w:val="es-EC"/>
        </w:rPr>
        <w:t>Juez de Juzgado 31º Penal del Tribunal de Justicia del Estado de Río de Janeiro</w:t>
      </w:r>
      <w:r w:rsidRPr="00C21A2E">
        <w:rPr>
          <w:rFonts w:cs="Arial"/>
          <w:szCs w:val="16"/>
        </w:rPr>
        <w:t xml:space="preserve"> de 3 de noviembre de 2009 (expediente de prueba, folios 5108-5109).</w:t>
      </w:r>
    </w:p>
  </w:footnote>
  <w:footnote w:id="151">
    <w:p w14:paraId="2604C39F"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Solicitud de desarchivo de 7 de marzo de 2013 (e</w:t>
      </w:r>
      <w:proofErr w:type="spellStart"/>
      <w:r w:rsidRPr="00C21A2E">
        <w:rPr>
          <w:szCs w:val="16"/>
          <w:lang w:val="es-ES"/>
        </w:rPr>
        <w:t>xpediente</w:t>
      </w:r>
      <w:proofErr w:type="spellEnd"/>
      <w:r w:rsidRPr="00C21A2E">
        <w:rPr>
          <w:szCs w:val="16"/>
          <w:lang w:val="es-ES"/>
        </w:rPr>
        <w:t xml:space="preserve"> de prueba, folio 6409).</w:t>
      </w:r>
    </w:p>
  </w:footnote>
  <w:footnote w:id="152">
    <w:p w14:paraId="1FD17338"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Solicitud de desarchivo de 7 de marzo de 2013, </w:t>
      </w:r>
      <w:r w:rsidRPr="00C21A2E">
        <w:rPr>
          <w:szCs w:val="16"/>
          <w:lang w:val="es-ES"/>
        </w:rPr>
        <w:t>folios 6427, 6430.</w:t>
      </w:r>
    </w:p>
  </w:footnote>
  <w:footnote w:id="153">
    <w:p w14:paraId="413DF79F"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Solicitud de desarchivo de 7 de marzo de 2013</w:t>
      </w:r>
      <w:r w:rsidRPr="00C21A2E">
        <w:rPr>
          <w:szCs w:val="16"/>
          <w:lang w:val="es-ES"/>
        </w:rPr>
        <w:t>, folios 6427, 6431.</w:t>
      </w:r>
    </w:p>
  </w:footnote>
  <w:footnote w:id="154">
    <w:p w14:paraId="01516528" w14:textId="20CA5D4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Petición inicial del Ministerio Público de 13 de mayo de 2013 (e</w:t>
      </w:r>
      <w:proofErr w:type="spellStart"/>
      <w:r w:rsidRPr="00C21A2E">
        <w:rPr>
          <w:szCs w:val="16"/>
          <w:lang w:val="es-ES"/>
        </w:rPr>
        <w:t>xpediente</w:t>
      </w:r>
      <w:proofErr w:type="spellEnd"/>
      <w:r w:rsidRPr="00C21A2E">
        <w:rPr>
          <w:szCs w:val="16"/>
          <w:lang w:val="es-ES"/>
        </w:rPr>
        <w:t xml:space="preserve"> de prueba, folio</w:t>
      </w:r>
      <w:r>
        <w:rPr>
          <w:szCs w:val="16"/>
          <w:lang w:val="es-ES"/>
        </w:rPr>
        <w:t>s</w:t>
      </w:r>
      <w:r w:rsidRPr="00C21A2E">
        <w:rPr>
          <w:szCs w:val="16"/>
          <w:lang w:val="es-ES"/>
        </w:rPr>
        <w:t xml:space="preserve"> 6438 y 6439)</w:t>
      </w:r>
    </w:p>
  </w:footnote>
  <w:footnote w:id="155">
    <w:p w14:paraId="2AA27391"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Decisión del </w:t>
      </w:r>
      <w:r w:rsidRPr="00C21A2E">
        <w:rPr>
          <w:szCs w:val="16"/>
          <w:lang w:val="es-EC"/>
        </w:rPr>
        <w:t xml:space="preserve">Juez del Juzgado 1º Penal </w:t>
      </w:r>
      <w:r w:rsidRPr="00C21A2E">
        <w:rPr>
          <w:szCs w:val="16"/>
          <w:lang w:val="es-ES"/>
        </w:rPr>
        <w:t>de 21 de mayo de 2013 (expediente de prueba, folio 6447).</w:t>
      </w:r>
    </w:p>
  </w:footnote>
  <w:footnote w:id="156">
    <w:p w14:paraId="353858D2"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folios 6477-6478, 6483-6485, 6487-6490, 6491-6495, 6497-6498, 6517-6524, 6525-6528).</w:t>
      </w:r>
    </w:p>
  </w:footnote>
  <w:footnote w:id="157">
    <w:p w14:paraId="4DB438C8"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6658).</w:t>
      </w:r>
    </w:p>
  </w:footnote>
  <w:footnote w:id="158">
    <w:p w14:paraId="15F3339A"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6665).</w:t>
      </w:r>
    </w:p>
  </w:footnote>
  <w:footnote w:id="159">
    <w:p w14:paraId="2E0F5C22"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6780).</w:t>
      </w:r>
    </w:p>
  </w:footnote>
  <w:footnote w:id="160">
    <w:p w14:paraId="1E4E5F3E"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6837).</w:t>
      </w:r>
    </w:p>
  </w:footnote>
  <w:footnote w:id="161">
    <w:p w14:paraId="3FA88DAA"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6841).</w:t>
      </w:r>
    </w:p>
  </w:footnote>
  <w:footnote w:id="162">
    <w:p w14:paraId="404F78D1"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6853).</w:t>
      </w:r>
    </w:p>
  </w:footnote>
  <w:footnote w:id="163">
    <w:p w14:paraId="43DABD65"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6855).</w:t>
      </w:r>
    </w:p>
  </w:footnote>
  <w:footnote w:id="164">
    <w:p w14:paraId="39A0B2DE" w14:textId="16DCC289"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Pr>
          <w:szCs w:val="16"/>
          <w:lang w:val="es-EC"/>
        </w:rPr>
        <w:t xml:space="preserve">Testimonio rendido mediante affidávit por </w:t>
      </w:r>
      <w:proofErr w:type="spellStart"/>
      <w:r>
        <w:rPr>
          <w:szCs w:val="16"/>
          <w:lang w:val="es-EC"/>
        </w:rPr>
        <w:t>Caetano</w:t>
      </w:r>
      <w:proofErr w:type="spellEnd"/>
      <w:r>
        <w:rPr>
          <w:szCs w:val="16"/>
          <w:lang w:val="es-EC"/>
        </w:rPr>
        <w:t xml:space="preserve"> </w:t>
      </w:r>
      <w:proofErr w:type="spellStart"/>
      <w:r>
        <w:rPr>
          <w:szCs w:val="16"/>
          <w:lang w:val="es-EC"/>
        </w:rPr>
        <w:t>Lagrasta</w:t>
      </w:r>
      <w:proofErr w:type="spellEnd"/>
      <w:r>
        <w:rPr>
          <w:szCs w:val="16"/>
          <w:lang w:val="es-EC"/>
        </w:rPr>
        <w:t xml:space="preserve"> Neto el </w:t>
      </w:r>
      <w:r w:rsidRPr="00C21A2E">
        <w:rPr>
          <w:szCs w:val="16"/>
          <w:lang w:val="es-EC"/>
        </w:rPr>
        <w:t>30 de septiembre de 2016 (expediente de</w:t>
      </w:r>
      <w:r w:rsidRPr="00C21A2E">
        <w:rPr>
          <w:rFonts w:cs="Arial"/>
          <w:szCs w:val="16"/>
        </w:rPr>
        <w:t xml:space="preserve"> prueba, folio 16588).</w:t>
      </w:r>
    </w:p>
  </w:footnote>
  <w:footnote w:id="165">
    <w:p w14:paraId="64FACD0E"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Pericial de la experta forense Tania </w:t>
      </w:r>
      <w:proofErr w:type="spellStart"/>
      <w:r w:rsidRPr="00C21A2E">
        <w:rPr>
          <w:szCs w:val="16"/>
        </w:rPr>
        <w:t>Donati</w:t>
      </w:r>
      <w:proofErr w:type="spellEnd"/>
      <w:r w:rsidRPr="00C21A2E">
        <w:rPr>
          <w:szCs w:val="16"/>
        </w:rPr>
        <w:t xml:space="preserve"> </w:t>
      </w:r>
      <w:proofErr w:type="spellStart"/>
      <w:r w:rsidRPr="00C21A2E">
        <w:rPr>
          <w:szCs w:val="16"/>
        </w:rPr>
        <w:t>Paes</w:t>
      </w:r>
      <w:proofErr w:type="spellEnd"/>
      <w:r w:rsidRPr="00C21A2E">
        <w:rPr>
          <w:szCs w:val="16"/>
        </w:rPr>
        <w:t xml:space="preserve"> Rio de 25 de septiembre de 2000 (</w:t>
      </w:r>
      <w:r w:rsidRPr="00C21A2E">
        <w:rPr>
          <w:rFonts w:cs="Arial"/>
          <w:szCs w:val="16"/>
        </w:rPr>
        <w:t>expediente de prueba, folios</w:t>
      </w:r>
      <w:r w:rsidRPr="00C21A2E">
        <w:rPr>
          <w:szCs w:val="16"/>
        </w:rPr>
        <w:t xml:space="preserve"> 576-578).</w:t>
      </w:r>
    </w:p>
  </w:footnote>
  <w:footnote w:id="166">
    <w:p w14:paraId="04998D32"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Pericial de la experta forense Tania </w:t>
      </w:r>
      <w:proofErr w:type="spellStart"/>
      <w:r w:rsidRPr="00C21A2E">
        <w:rPr>
          <w:szCs w:val="16"/>
        </w:rPr>
        <w:t>Donati</w:t>
      </w:r>
      <w:proofErr w:type="spellEnd"/>
      <w:r w:rsidRPr="00C21A2E">
        <w:rPr>
          <w:szCs w:val="16"/>
        </w:rPr>
        <w:t xml:space="preserve"> </w:t>
      </w:r>
      <w:proofErr w:type="spellStart"/>
      <w:r w:rsidRPr="00C21A2E">
        <w:rPr>
          <w:szCs w:val="16"/>
        </w:rPr>
        <w:t>Paes</w:t>
      </w:r>
      <w:proofErr w:type="spellEnd"/>
      <w:r w:rsidRPr="00C21A2E">
        <w:rPr>
          <w:szCs w:val="16"/>
        </w:rPr>
        <w:t xml:space="preserve"> Rio de 25 de septiembre de 2000 (</w:t>
      </w:r>
      <w:r w:rsidRPr="00C21A2E">
        <w:rPr>
          <w:rFonts w:cs="Arial"/>
          <w:szCs w:val="16"/>
        </w:rPr>
        <w:t>expediente de prueba, folio</w:t>
      </w:r>
      <w:r w:rsidRPr="00C21A2E">
        <w:rPr>
          <w:szCs w:val="16"/>
        </w:rPr>
        <w:t xml:space="preserve"> 577).</w:t>
      </w:r>
    </w:p>
  </w:footnote>
  <w:footnote w:id="167">
    <w:p w14:paraId="11CA7B5A"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Pericial de la experta forense Tania </w:t>
      </w:r>
      <w:proofErr w:type="spellStart"/>
      <w:r w:rsidRPr="00C21A2E">
        <w:rPr>
          <w:szCs w:val="16"/>
        </w:rPr>
        <w:t>Donati</w:t>
      </w:r>
      <w:proofErr w:type="spellEnd"/>
      <w:r w:rsidRPr="00C21A2E">
        <w:rPr>
          <w:szCs w:val="16"/>
        </w:rPr>
        <w:t xml:space="preserve"> </w:t>
      </w:r>
      <w:proofErr w:type="spellStart"/>
      <w:r w:rsidRPr="00C21A2E">
        <w:rPr>
          <w:szCs w:val="16"/>
        </w:rPr>
        <w:t>Paes</w:t>
      </w:r>
      <w:proofErr w:type="spellEnd"/>
      <w:r w:rsidRPr="00C21A2E">
        <w:rPr>
          <w:szCs w:val="16"/>
        </w:rPr>
        <w:t xml:space="preserve"> Rio de 25 de septiembre de 2000 (</w:t>
      </w:r>
      <w:r w:rsidRPr="00C21A2E">
        <w:rPr>
          <w:rFonts w:cs="Arial"/>
          <w:szCs w:val="16"/>
        </w:rPr>
        <w:t>expediente de prueba, folio</w:t>
      </w:r>
      <w:r w:rsidRPr="00C21A2E">
        <w:rPr>
          <w:szCs w:val="16"/>
        </w:rPr>
        <w:t xml:space="preserve"> 578).</w:t>
      </w:r>
    </w:p>
  </w:footnote>
  <w:footnote w:id="168">
    <w:p w14:paraId="1FEAEA6A" w14:textId="5C616E1E"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Manifestación del Fiscal Stephan </w:t>
      </w:r>
      <w:proofErr w:type="spellStart"/>
      <w:r w:rsidRPr="00C21A2E">
        <w:rPr>
          <w:szCs w:val="16"/>
        </w:rPr>
        <w:t>Stamm</w:t>
      </w:r>
      <w:proofErr w:type="spellEnd"/>
      <w:r w:rsidRPr="00C21A2E">
        <w:rPr>
          <w:szCs w:val="16"/>
        </w:rPr>
        <w:t xml:space="preserve"> el 2 de</w:t>
      </w:r>
      <w:r>
        <w:rPr>
          <w:szCs w:val="16"/>
        </w:rPr>
        <w:t xml:space="preserve"> octubre de 2000</w:t>
      </w:r>
      <w:r w:rsidRPr="00C21A2E">
        <w:rPr>
          <w:szCs w:val="16"/>
        </w:rPr>
        <w:t xml:space="preserve"> (</w:t>
      </w:r>
      <w:r w:rsidRPr="00C21A2E">
        <w:rPr>
          <w:rFonts w:cs="Arial"/>
          <w:szCs w:val="16"/>
        </w:rPr>
        <w:t>expediente de prueba, folio</w:t>
      </w:r>
      <w:r w:rsidRPr="00C21A2E">
        <w:rPr>
          <w:szCs w:val="16"/>
        </w:rPr>
        <w:t xml:space="preserve"> 5</w:t>
      </w:r>
      <w:r>
        <w:rPr>
          <w:szCs w:val="16"/>
        </w:rPr>
        <w:t>80</w:t>
      </w:r>
      <w:r w:rsidRPr="00C21A2E">
        <w:rPr>
          <w:szCs w:val="16"/>
        </w:rPr>
        <w:t>).</w:t>
      </w:r>
    </w:p>
  </w:footnote>
  <w:footnote w:id="169">
    <w:p w14:paraId="122F9943" w14:textId="360E78F5"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proofErr w:type="spellStart"/>
      <w:r w:rsidRPr="00C21A2E">
        <w:rPr>
          <w:szCs w:val="16"/>
        </w:rPr>
        <w:t>Renumeración</w:t>
      </w:r>
      <w:proofErr w:type="spellEnd"/>
      <w:r w:rsidRPr="00C21A2E">
        <w:rPr>
          <w:szCs w:val="16"/>
        </w:rPr>
        <w:t xml:space="preserve"> del </w:t>
      </w:r>
      <w:r>
        <w:rPr>
          <w:szCs w:val="16"/>
        </w:rPr>
        <w:t>IP No. 061/95</w:t>
      </w:r>
      <w:r w:rsidRPr="00C21A2E">
        <w:rPr>
          <w:szCs w:val="16"/>
        </w:rPr>
        <w:t xml:space="preserve"> como IP 120/01 (</w:t>
      </w:r>
      <w:r w:rsidRPr="00C21A2E">
        <w:rPr>
          <w:rFonts w:cs="Arial"/>
          <w:szCs w:val="16"/>
        </w:rPr>
        <w:t>expediente de prueba, folios</w:t>
      </w:r>
      <w:r w:rsidRPr="00C21A2E">
        <w:rPr>
          <w:szCs w:val="16"/>
        </w:rPr>
        <w:t xml:space="preserve"> 312-315).</w:t>
      </w:r>
    </w:p>
  </w:footnote>
  <w:footnote w:id="170">
    <w:p w14:paraId="47174E05" w14:textId="64431882"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Manifestación del Fiscal Daniel Lima Ribeiro el 31 de enero de 2003 (</w:t>
      </w:r>
      <w:r w:rsidRPr="00C21A2E">
        <w:rPr>
          <w:rFonts w:cs="Arial"/>
          <w:szCs w:val="16"/>
        </w:rPr>
        <w:t>expediente de prueba, folios</w:t>
      </w:r>
      <w:r w:rsidRPr="00C21A2E">
        <w:rPr>
          <w:szCs w:val="16"/>
        </w:rPr>
        <w:t xml:space="preserve"> 58</w:t>
      </w:r>
      <w:r>
        <w:rPr>
          <w:szCs w:val="16"/>
        </w:rPr>
        <w:t>5</w:t>
      </w:r>
      <w:r w:rsidRPr="00C21A2E">
        <w:rPr>
          <w:szCs w:val="16"/>
        </w:rPr>
        <w:t>-586).</w:t>
      </w:r>
    </w:p>
  </w:footnote>
  <w:footnote w:id="171">
    <w:p w14:paraId="6418F5DF"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Avocación y Distribución de Procedimiento el 30 de noviembre de 2004 (</w:t>
      </w:r>
      <w:r w:rsidRPr="00C21A2E">
        <w:rPr>
          <w:rFonts w:cs="Arial"/>
          <w:szCs w:val="16"/>
        </w:rPr>
        <w:t>expediente de prueba, folio</w:t>
      </w:r>
      <w:r w:rsidRPr="00C21A2E">
        <w:rPr>
          <w:szCs w:val="16"/>
        </w:rPr>
        <w:t xml:space="preserve"> 656).</w:t>
      </w:r>
    </w:p>
  </w:footnote>
  <w:footnote w:id="172">
    <w:p w14:paraId="2C9D66F8" w14:textId="50105603"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proofErr w:type="spellStart"/>
      <w:r w:rsidRPr="00C21A2E">
        <w:rPr>
          <w:szCs w:val="16"/>
        </w:rPr>
        <w:t>Renumeración</w:t>
      </w:r>
      <w:proofErr w:type="spellEnd"/>
      <w:r w:rsidRPr="00C21A2E">
        <w:rPr>
          <w:szCs w:val="16"/>
        </w:rPr>
        <w:t xml:space="preserve"> del IP </w:t>
      </w:r>
      <w:r>
        <w:rPr>
          <w:szCs w:val="16"/>
        </w:rPr>
        <w:t xml:space="preserve">No. </w:t>
      </w:r>
      <w:r w:rsidRPr="00C21A2E">
        <w:rPr>
          <w:szCs w:val="16"/>
        </w:rPr>
        <w:t>120/01 como IP</w:t>
      </w:r>
      <w:r>
        <w:rPr>
          <w:szCs w:val="16"/>
        </w:rPr>
        <w:t xml:space="preserve"> No.</w:t>
      </w:r>
      <w:r w:rsidRPr="00C21A2E">
        <w:rPr>
          <w:szCs w:val="16"/>
        </w:rPr>
        <w:t xml:space="preserve"> 217/04 (</w:t>
      </w:r>
      <w:r w:rsidRPr="00C21A2E">
        <w:rPr>
          <w:rFonts w:cs="Arial"/>
          <w:szCs w:val="16"/>
        </w:rPr>
        <w:t>expediente de prueba, folios</w:t>
      </w:r>
      <w:r w:rsidRPr="00C21A2E">
        <w:rPr>
          <w:szCs w:val="16"/>
        </w:rPr>
        <w:t xml:space="preserve"> 317-318).</w:t>
      </w:r>
    </w:p>
  </w:footnote>
  <w:footnote w:id="173">
    <w:p w14:paraId="2D8414B5" w14:textId="0EA8EA45"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Manifestación </w:t>
      </w:r>
      <w:r w:rsidRPr="00021FD2">
        <w:rPr>
          <w:spacing w:val="-2"/>
          <w:szCs w:val="16"/>
        </w:rPr>
        <w:t>del Oficial de Policía Fernando Albuquerque el 27 de enero de 2005</w:t>
      </w:r>
      <w:r w:rsidRPr="00C21A2E">
        <w:rPr>
          <w:szCs w:val="16"/>
        </w:rPr>
        <w:t xml:space="preserve"> (</w:t>
      </w:r>
      <w:r w:rsidRPr="00C21A2E">
        <w:rPr>
          <w:rFonts w:cs="Arial"/>
          <w:szCs w:val="16"/>
        </w:rPr>
        <w:t>expediente de prueba, folios</w:t>
      </w:r>
      <w:r w:rsidRPr="00C21A2E">
        <w:rPr>
          <w:szCs w:val="16"/>
        </w:rPr>
        <w:t xml:space="preserve"> 658-659).</w:t>
      </w:r>
    </w:p>
  </w:footnote>
  <w:footnote w:id="174">
    <w:p w14:paraId="3F1B2AB6" w14:textId="01300D25"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B0375">
        <w:rPr>
          <w:spacing w:val="-4"/>
          <w:szCs w:val="16"/>
        </w:rPr>
        <w:t>Manifestación del Oficial de Policía Fernando Albuquerque el 13 de febrero de 2016 (</w:t>
      </w:r>
      <w:r w:rsidRPr="00CB0375">
        <w:rPr>
          <w:rFonts w:cs="Arial"/>
          <w:spacing w:val="-4"/>
          <w:szCs w:val="16"/>
        </w:rPr>
        <w:t>expediente de prueba, folios</w:t>
      </w:r>
      <w:r w:rsidRPr="00CB0375">
        <w:rPr>
          <w:spacing w:val="-4"/>
          <w:szCs w:val="16"/>
        </w:rPr>
        <w:t xml:space="preserve"> 661).</w:t>
      </w:r>
    </w:p>
  </w:footnote>
  <w:footnote w:id="175">
    <w:p w14:paraId="1042627C"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Pedido de plazo para cumplimiento de diligencias (</w:t>
      </w:r>
      <w:r w:rsidRPr="00C21A2E">
        <w:rPr>
          <w:rFonts w:cs="Arial"/>
          <w:szCs w:val="16"/>
        </w:rPr>
        <w:t>expediente de prueba, folios</w:t>
      </w:r>
      <w:r w:rsidRPr="00C21A2E">
        <w:rPr>
          <w:szCs w:val="16"/>
        </w:rPr>
        <w:t xml:space="preserve"> 663-693).</w:t>
      </w:r>
    </w:p>
  </w:footnote>
  <w:footnote w:id="176">
    <w:p w14:paraId="5DC8E4C5"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Informe Policía Civil de Río de Janeiro (expediente de prueba, folios 5740-5745).</w:t>
      </w:r>
    </w:p>
  </w:footnote>
  <w:footnote w:id="177">
    <w:p w14:paraId="7EFD3C78" w14:textId="7D101455"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Oficio de la COINPOL</w:t>
      </w:r>
      <w:r w:rsidRPr="00C21A2E">
        <w:rPr>
          <w:szCs w:val="16"/>
          <w:lang w:val="es-ES"/>
        </w:rPr>
        <w:t xml:space="preserve"> (expediente de prueba, folios 5746-5747).</w:t>
      </w:r>
    </w:p>
  </w:footnote>
  <w:footnote w:id="178">
    <w:p w14:paraId="5405BECE" w14:textId="6CE8EA4D"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Oficio del Ministerio Público de </w:t>
      </w:r>
      <w:r w:rsidRPr="00C21A2E">
        <w:rPr>
          <w:szCs w:val="16"/>
          <w:lang w:val="es-ES"/>
        </w:rPr>
        <w:t>Río de Janeiro (expediente de prueba, folios 5751-5752).</w:t>
      </w:r>
    </w:p>
  </w:footnote>
  <w:footnote w:id="179">
    <w:p w14:paraId="7B75BE5F"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Oficio </w:t>
      </w:r>
      <w:r w:rsidRPr="00C21A2E">
        <w:rPr>
          <w:szCs w:val="16"/>
        </w:rPr>
        <w:t xml:space="preserve">del Juzgado 3º Penal </w:t>
      </w:r>
      <w:r w:rsidRPr="00C21A2E">
        <w:rPr>
          <w:szCs w:val="16"/>
          <w:lang w:val="es-ES"/>
        </w:rPr>
        <w:t>(expediente de prueba, folio 5753).</w:t>
      </w:r>
    </w:p>
  </w:footnote>
  <w:footnote w:id="180">
    <w:p w14:paraId="6F154509" w14:textId="3E717BB1"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Oficio del Ministerio Público de </w:t>
      </w:r>
      <w:r w:rsidRPr="00C21A2E">
        <w:rPr>
          <w:szCs w:val="16"/>
          <w:lang w:val="es-ES"/>
        </w:rPr>
        <w:t>Río de Janeiro (expediente de prueba, folios 7740-7742).</w:t>
      </w:r>
    </w:p>
  </w:footnote>
  <w:footnote w:id="181">
    <w:p w14:paraId="1E06544C"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Decisión </w:t>
      </w:r>
      <w:r w:rsidRPr="00C21A2E">
        <w:rPr>
          <w:szCs w:val="16"/>
        </w:rPr>
        <w:t xml:space="preserve">del Juzgado 3º Penal </w:t>
      </w:r>
      <w:r w:rsidRPr="00C21A2E">
        <w:rPr>
          <w:szCs w:val="16"/>
          <w:lang w:val="es-ES"/>
        </w:rPr>
        <w:t>(expediente de prueba, folios 7757-7761).</w:t>
      </w:r>
    </w:p>
  </w:footnote>
  <w:footnote w:id="182">
    <w:p w14:paraId="73DC9BFB" w14:textId="22A3088C"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Oficio del Procurador General </w:t>
      </w:r>
      <w:r w:rsidRPr="00C21A2E">
        <w:rPr>
          <w:szCs w:val="16"/>
          <w:lang w:val="es-ES"/>
        </w:rPr>
        <w:t>de Justicia (expediente de prueba, folio 7769).</w:t>
      </w:r>
    </w:p>
  </w:footnote>
  <w:footnote w:id="183">
    <w:p w14:paraId="7158EB1C" w14:textId="638BB521"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Expediente del Proceso IP No. </w:t>
      </w:r>
      <w:r w:rsidRPr="00C21A2E">
        <w:rPr>
          <w:szCs w:val="16"/>
          <w:lang w:val="es-ES"/>
        </w:rPr>
        <w:t>901-008992/2013 (expediente de prueba, folio 7109).</w:t>
      </w:r>
    </w:p>
  </w:footnote>
  <w:footnote w:id="184">
    <w:p w14:paraId="7B4085FB" w14:textId="01B09DC4"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Expediente del Proceso IP No. </w:t>
      </w:r>
      <w:r w:rsidRPr="00C21A2E">
        <w:rPr>
          <w:szCs w:val="16"/>
          <w:lang w:val="es-ES"/>
        </w:rPr>
        <w:t>901-008992/2013 (expediente de prueba, folios 7807-7819).</w:t>
      </w:r>
    </w:p>
  </w:footnote>
  <w:footnote w:id="185">
    <w:p w14:paraId="7560F547" w14:textId="6FA11575"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Expediente del Proceso IP No. </w:t>
      </w:r>
      <w:r w:rsidRPr="00C21A2E">
        <w:rPr>
          <w:szCs w:val="16"/>
          <w:lang w:val="es-ES"/>
        </w:rPr>
        <w:t>901-008992/2013 (expediente de prueba, folios 7820-7838).</w:t>
      </w:r>
    </w:p>
  </w:footnote>
  <w:footnote w:id="186">
    <w:p w14:paraId="23AE91D1" w14:textId="38C08092"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Expediente del Proceso IP No. </w:t>
      </w:r>
      <w:r w:rsidRPr="00C21A2E">
        <w:rPr>
          <w:szCs w:val="16"/>
          <w:lang w:val="es-ES"/>
        </w:rPr>
        <w:t>901-008992/2013 (expediente de prueba, folios 7853-7858).</w:t>
      </w:r>
    </w:p>
  </w:footnote>
  <w:footnote w:id="187">
    <w:p w14:paraId="7B1CBD7D" w14:textId="4C112D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Oficio del Ministerio Público de </w:t>
      </w:r>
      <w:r w:rsidRPr="00C21A2E">
        <w:rPr>
          <w:szCs w:val="16"/>
          <w:lang w:val="es-ES"/>
        </w:rPr>
        <w:t>Río de Janeiro (expediente de prueba, folios 8163-8169).</w:t>
      </w:r>
    </w:p>
  </w:footnote>
  <w:footnote w:id="188">
    <w:p w14:paraId="189E57F4" w14:textId="4A0A128F"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Expediente del Proceso IP No. </w:t>
      </w:r>
      <w:r w:rsidRPr="00C21A2E">
        <w:rPr>
          <w:szCs w:val="16"/>
          <w:lang w:val="es-ES"/>
        </w:rPr>
        <w:t>901-008992/2013 (expediente de prueba, folios 8226, 8231-8251, 8252, 8282-8288, 8289, 8291-8320).</w:t>
      </w:r>
    </w:p>
  </w:footnote>
  <w:footnote w:id="189">
    <w:p w14:paraId="0DA0E2B7"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Decisión </w:t>
      </w:r>
      <w:r w:rsidRPr="00C21A2E">
        <w:rPr>
          <w:szCs w:val="16"/>
        </w:rPr>
        <w:t>del 3º Juzgado Penal</w:t>
      </w:r>
      <w:r w:rsidRPr="00C21A2E">
        <w:rPr>
          <w:szCs w:val="16"/>
          <w:lang w:val="es-ES"/>
        </w:rPr>
        <w:t xml:space="preserve"> (expediente de prueba, folios 8321-8337).</w:t>
      </w:r>
    </w:p>
  </w:footnote>
  <w:footnote w:id="190">
    <w:p w14:paraId="70264D5C"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Proceso No. 0087743-75.2002.819.0001 (expediente de prueba, folios 9497-9504).</w:t>
      </w:r>
    </w:p>
  </w:footnote>
  <w:footnote w:id="191">
    <w:p w14:paraId="0872BC2F"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Proceso No. 0087743-75.2002.819.0001 (expediente de prueba, folios 9497-9504).</w:t>
      </w:r>
    </w:p>
  </w:footnote>
  <w:footnote w:id="192">
    <w:p w14:paraId="34AA10FF"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Proceso No. 0087743-75.2002.819.0001 (expediente de prueba, folios 9497-9504).</w:t>
      </w:r>
    </w:p>
  </w:footnote>
  <w:footnote w:id="193">
    <w:p w14:paraId="7B5AC9C5"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bCs/>
          <w:szCs w:val="16"/>
          <w:lang w:val="es-ES"/>
        </w:rPr>
        <w:t>Artículo 8.  Garantías Judiciales.</w:t>
      </w:r>
      <w:r w:rsidRPr="00C21A2E">
        <w:rPr>
          <w:b/>
          <w:bCs/>
          <w:szCs w:val="16"/>
          <w:lang w:val="es-ES"/>
        </w:rPr>
        <w:t xml:space="preserve"> </w:t>
      </w:r>
      <w:r w:rsidRPr="00C21A2E">
        <w:rPr>
          <w:szCs w:val="16"/>
          <w:lang w:val="es-ES"/>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64FB812D" w14:textId="77777777" w:rsidR="00122408" w:rsidRPr="00C21A2E" w:rsidRDefault="00122408" w:rsidP="00B50B41">
      <w:pPr>
        <w:pStyle w:val="FootnoteText"/>
        <w:spacing w:after="40"/>
        <w:rPr>
          <w:szCs w:val="16"/>
          <w:lang w:val="es-ES"/>
        </w:rPr>
      </w:pPr>
      <w:r w:rsidRPr="00C21A2E">
        <w:rPr>
          <w:szCs w:val="16"/>
          <w:lang w:val="es-ES"/>
        </w:rPr>
        <w:t> 2. Toda persona inculpada de delito tiene derecho a que se presuma su inocencia mientras no se establezca legalmente su culpabilidad.  Durante el proceso, toda persona tiene derecho, en plena igualdad, a las siguientes garantías mínimas:</w:t>
      </w:r>
    </w:p>
    <w:p w14:paraId="1F9789DF" w14:textId="77777777" w:rsidR="00122408" w:rsidRPr="00C21A2E" w:rsidRDefault="00122408" w:rsidP="00B50B41">
      <w:pPr>
        <w:pStyle w:val="FootnoteText"/>
        <w:spacing w:after="40"/>
        <w:rPr>
          <w:szCs w:val="16"/>
          <w:lang w:val="es-ES"/>
        </w:rPr>
      </w:pPr>
      <w:r w:rsidRPr="00C21A2E">
        <w:rPr>
          <w:szCs w:val="16"/>
          <w:lang w:val="es-ES"/>
        </w:rPr>
        <w:t> a) derecho del inculpado de ser asistido gratuitamente por el traductor o intérprete, si no comprende o no habla el idioma del juzgado o tribunal;</w:t>
      </w:r>
    </w:p>
    <w:p w14:paraId="1390E06B" w14:textId="77777777" w:rsidR="00122408" w:rsidRPr="00C21A2E" w:rsidRDefault="00122408" w:rsidP="00B50B41">
      <w:pPr>
        <w:pStyle w:val="FootnoteText"/>
        <w:spacing w:after="40"/>
        <w:rPr>
          <w:szCs w:val="16"/>
          <w:lang w:val="es-ES"/>
        </w:rPr>
      </w:pPr>
      <w:r w:rsidRPr="00C21A2E">
        <w:rPr>
          <w:szCs w:val="16"/>
          <w:lang w:val="es-ES"/>
        </w:rPr>
        <w:t> b) comunicación previa y detallada al inculpado de la acusación formulada;</w:t>
      </w:r>
    </w:p>
    <w:p w14:paraId="37FE2963" w14:textId="77777777" w:rsidR="00122408" w:rsidRPr="00C21A2E" w:rsidRDefault="00122408" w:rsidP="00B50B41">
      <w:pPr>
        <w:pStyle w:val="FootnoteText"/>
        <w:spacing w:after="40"/>
        <w:rPr>
          <w:szCs w:val="16"/>
          <w:lang w:val="es-ES"/>
        </w:rPr>
      </w:pPr>
      <w:r w:rsidRPr="00C21A2E">
        <w:rPr>
          <w:szCs w:val="16"/>
          <w:lang w:val="es-ES"/>
        </w:rPr>
        <w:t> c) concesión al inculpado del tiempo y de los medios adecuados para la preparación de su defensa;</w:t>
      </w:r>
    </w:p>
    <w:p w14:paraId="2C867D81" w14:textId="77777777" w:rsidR="00122408" w:rsidRPr="00C21A2E" w:rsidRDefault="00122408" w:rsidP="00B50B41">
      <w:pPr>
        <w:pStyle w:val="FootnoteText"/>
        <w:spacing w:after="40"/>
        <w:rPr>
          <w:szCs w:val="16"/>
          <w:lang w:val="es-ES"/>
        </w:rPr>
      </w:pPr>
      <w:r w:rsidRPr="00C21A2E">
        <w:rPr>
          <w:szCs w:val="16"/>
          <w:lang w:val="es-ES"/>
        </w:rPr>
        <w:t> d) derecho del inculpado de defenderse personalmente o de ser asistido por un defensor de su elección y de comunicarse libre y privadamente con su defensor;</w:t>
      </w:r>
    </w:p>
    <w:p w14:paraId="3E897CBB" w14:textId="77777777" w:rsidR="00122408" w:rsidRPr="00C21A2E" w:rsidRDefault="00122408" w:rsidP="00B50B41">
      <w:pPr>
        <w:pStyle w:val="FootnoteText"/>
        <w:spacing w:after="40"/>
        <w:rPr>
          <w:szCs w:val="16"/>
          <w:lang w:val="es-ES"/>
        </w:rPr>
      </w:pPr>
      <w:r w:rsidRPr="00C21A2E">
        <w:rPr>
          <w:szCs w:val="16"/>
          <w:lang w:val="es-ES"/>
        </w:rPr>
        <w:t> e) derecho irrenunciable de ser asistido por un defensor proporcionado por el Estado, remunerado o no según la legislación interna, si el inculpado no se defendiere por sí mismo ni nombrare defensor dentro del plazo establecido por la ley;</w:t>
      </w:r>
    </w:p>
    <w:p w14:paraId="3B82D49F" w14:textId="77777777" w:rsidR="00122408" w:rsidRPr="00C21A2E" w:rsidRDefault="00122408" w:rsidP="00B50B41">
      <w:pPr>
        <w:pStyle w:val="FootnoteText"/>
        <w:spacing w:after="40"/>
        <w:rPr>
          <w:szCs w:val="16"/>
          <w:lang w:val="es-ES"/>
        </w:rPr>
      </w:pPr>
      <w:r w:rsidRPr="00C21A2E">
        <w:rPr>
          <w:szCs w:val="16"/>
          <w:lang w:val="es-ES"/>
        </w:rPr>
        <w:t> f) derecho de la defensa de interrogar a los testigos presentes en el tribunal y de obtener la comparecencia, como testigos o peritos, de otras personas que puedan arrojar luz sobre los hechos;</w:t>
      </w:r>
    </w:p>
    <w:p w14:paraId="2523A491" w14:textId="77777777" w:rsidR="00122408" w:rsidRPr="00C21A2E" w:rsidRDefault="00122408" w:rsidP="00B50B41">
      <w:pPr>
        <w:pStyle w:val="FootnoteText"/>
        <w:spacing w:after="40"/>
        <w:rPr>
          <w:szCs w:val="16"/>
          <w:lang w:val="es-ES"/>
        </w:rPr>
      </w:pPr>
      <w:r w:rsidRPr="00C21A2E">
        <w:rPr>
          <w:szCs w:val="16"/>
          <w:lang w:val="es-ES"/>
        </w:rPr>
        <w:t> g) derecho a no ser obligado a declarar contra sí mismo ni a declararse culpable, y</w:t>
      </w:r>
    </w:p>
    <w:p w14:paraId="636D091E" w14:textId="77777777" w:rsidR="00122408" w:rsidRPr="00C21A2E" w:rsidRDefault="00122408" w:rsidP="00B50B41">
      <w:pPr>
        <w:pStyle w:val="FootnoteText"/>
        <w:spacing w:after="40"/>
        <w:rPr>
          <w:szCs w:val="16"/>
          <w:lang w:val="es-ES"/>
        </w:rPr>
      </w:pPr>
      <w:r w:rsidRPr="00C21A2E">
        <w:rPr>
          <w:szCs w:val="16"/>
          <w:lang w:val="es-ES"/>
        </w:rPr>
        <w:t> h) derecho de recurrir del fallo ante juez o tribunal superior.</w:t>
      </w:r>
    </w:p>
    <w:p w14:paraId="6903B7CF" w14:textId="77777777" w:rsidR="00122408" w:rsidRPr="00C21A2E" w:rsidRDefault="00122408" w:rsidP="00B50B41">
      <w:pPr>
        <w:pStyle w:val="FootnoteText"/>
        <w:spacing w:after="40"/>
        <w:rPr>
          <w:szCs w:val="16"/>
          <w:lang w:val="es-ES"/>
        </w:rPr>
      </w:pPr>
      <w:r w:rsidRPr="00C21A2E">
        <w:rPr>
          <w:szCs w:val="16"/>
          <w:lang w:val="es-ES"/>
        </w:rPr>
        <w:t> 3. La confesión del inculpado solamente es válida si es hecha sin coacción de ninguna naturaleza.</w:t>
      </w:r>
    </w:p>
    <w:p w14:paraId="4EAF8053" w14:textId="77777777" w:rsidR="00122408" w:rsidRPr="00C21A2E" w:rsidRDefault="00122408" w:rsidP="00B50B41">
      <w:pPr>
        <w:pStyle w:val="FootnoteText"/>
        <w:spacing w:after="40"/>
        <w:rPr>
          <w:szCs w:val="16"/>
          <w:lang w:val="es-ES"/>
        </w:rPr>
      </w:pPr>
      <w:r w:rsidRPr="00C21A2E">
        <w:rPr>
          <w:szCs w:val="16"/>
          <w:lang w:val="es-ES"/>
        </w:rPr>
        <w:t> 4. El inculpado absuelto por una sentencia firme no podrá ser sometido a nuevo juicio por los mismos hechos.</w:t>
      </w:r>
    </w:p>
    <w:p w14:paraId="3DDAE138" w14:textId="77777777" w:rsidR="00122408" w:rsidRPr="00C21A2E" w:rsidRDefault="00122408" w:rsidP="00B50B41">
      <w:pPr>
        <w:pStyle w:val="FootnoteText"/>
        <w:spacing w:after="40"/>
        <w:rPr>
          <w:szCs w:val="16"/>
          <w:lang w:val="es-ES"/>
        </w:rPr>
      </w:pPr>
      <w:r w:rsidRPr="00C21A2E">
        <w:rPr>
          <w:szCs w:val="16"/>
          <w:lang w:val="es-ES"/>
        </w:rPr>
        <w:t> 5. El proceso penal debe ser público, salvo en lo que sea necesario para preservar los intereses de la justicia.</w:t>
      </w:r>
    </w:p>
  </w:footnote>
  <w:footnote w:id="194">
    <w:p w14:paraId="10FEFEDC"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bCs/>
          <w:szCs w:val="16"/>
          <w:lang w:val="es-ES"/>
        </w:rPr>
        <w:t xml:space="preserve">Artículo 25.  Protección Judicial. </w:t>
      </w:r>
      <w:r w:rsidRPr="00C21A2E">
        <w:rPr>
          <w:szCs w:val="16"/>
          <w:lang w:val="es-E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2183E569" w14:textId="77777777" w:rsidR="00122408" w:rsidRPr="00C21A2E" w:rsidRDefault="00122408" w:rsidP="00B50B41">
      <w:pPr>
        <w:pStyle w:val="FootnoteText"/>
        <w:spacing w:after="40"/>
        <w:rPr>
          <w:szCs w:val="16"/>
          <w:lang w:val="es-ES"/>
        </w:rPr>
      </w:pPr>
      <w:r w:rsidRPr="00C21A2E">
        <w:rPr>
          <w:szCs w:val="16"/>
          <w:lang w:val="es-ES"/>
        </w:rPr>
        <w:t>2. Los Estados Partes se comprometen:</w:t>
      </w:r>
    </w:p>
    <w:p w14:paraId="5C04BC6B" w14:textId="77777777" w:rsidR="00122408" w:rsidRPr="00C21A2E" w:rsidRDefault="00122408" w:rsidP="00B50B41">
      <w:pPr>
        <w:pStyle w:val="FootnoteText"/>
        <w:spacing w:after="40"/>
        <w:rPr>
          <w:szCs w:val="16"/>
          <w:lang w:val="es-ES"/>
        </w:rPr>
      </w:pPr>
      <w:r w:rsidRPr="00C21A2E">
        <w:rPr>
          <w:szCs w:val="16"/>
          <w:lang w:val="es-ES"/>
        </w:rPr>
        <w:t> a) a garantizar que la autoridad competente prevista por el sistema legal del Estado decidirá sobre los derechos de toda persona que interponga tal recurso;</w:t>
      </w:r>
    </w:p>
    <w:p w14:paraId="3CBD3574" w14:textId="77777777" w:rsidR="00122408" w:rsidRPr="00C21A2E" w:rsidRDefault="00122408" w:rsidP="00B50B41">
      <w:pPr>
        <w:pStyle w:val="FootnoteText"/>
        <w:spacing w:after="40"/>
        <w:rPr>
          <w:szCs w:val="16"/>
          <w:lang w:val="es-ES"/>
        </w:rPr>
      </w:pPr>
      <w:r w:rsidRPr="00C21A2E">
        <w:rPr>
          <w:szCs w:val="16"/>
          <w:lang w:val="es-ES"/>
        </w:rPr>
        <w:t> b) a desarrollar las posibilidades de recurso judicial, y</w:t>
      </w:r>
    </w:p>
    <w:p w14:paraId="41B88226" w14:textId="77777777" w:rsidR="00122408" w:rsidRPr="00C21A2E" w:rsidRDefault="00122408" w:rsidP="00B50B41">
      <w:pPr>
        <w:pStyle w:val="FootnoteText"/>
        <w:spacing w:after="40"/>
        <w:rPr>
          <w:szCs w:val="16"/>
          <w:lang w:val="es-ES"/>
        </w:rPr>
      </w:pPr>
      <w:r w:rsidRPr="00C21A2E">
        <w:rPr>
          <w:szCs w:val="16"/>
          <w:lang w:val="es-ES"/>
        </w:rPr>
        <w:t> c) a garantizar el cumplimiento, por las autoridades competentes, de toda decisión en que se haya estimado procedente el recurso.</w:t>
      </w:r>
    </w:p>
  </w:footnote>
  <w:footnote w:id="195">
    <w:p w14:paraId="5E65D1EE" w14:textId="286B16B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Cfr</w:t>
      </w:r>
      <w:r w:rsidRPr="00C21A2E">
        <w:rPr>
          <w:rFonts w:eastAsia="Verdana" w:cs="Verdana"/>
          <w:szCs w:val="16"/>
          <w:lang w:val="es-ES"/>
        </w:rPr>
        <w:t xml:space="preserve">. </w:t>
      </w:r>
      <w:r w:rsidRPr="00C21A2E">
        <w:rPr>
          <w:rFonts w:eastAsia="Verdana" w:cs="Verdana"/>
          <w:i/>
          <w:szCs w:val="16"/>
          <w:lang w:val="es-ES"/>
        </w:rPr>
        <w:t xml:space="preserve">Caso Velásquez Rodríguez Vs. Honduras. Excepciones Preliminares, </w:t>
      </w:r>
      <w:r w:rsidRPr="00C21A2E">
        <w:rPr>
          <w:rFonts w:eastAsia="Verdana" w:cs="Verdana"/>
          <w:szCs w:val="16"/>
          <w:lang w:val="es-ES"/>
        </w:rPr>
        <w:t xml:space="preserve">párr. 91, y </w:t>
      </w:r>
      <w:r w:rsidRPr="00C21A2E">
        <w:rPr>
          <w:rFonts w:eastAsia="Verdana" w:cs="Verdana"/>
          <w:i/>
          <w:szCs w:val="16"/>
          <w:lang w:val="es-ES"/>
        </w:rPr>
        <w:t xml:space="preserve">Caso </w:t>
      </w:r>
      <w:r>
        <w:rPr>
          <w:rFonts w:eastAsia="Verdana" w:cs="Verdana"/>
          <w:i/>
          <w:szCs w:val="16"/>
          <w:lang w:val="es-ES"/>
        </w:rPr>
        <w:t xml:space="preserve">I.V., </w:t>
      </w:r>
      <w:r w:rsidRPr="00C21A2E">
        <w:rPr>
          <w:rFonts w:eastAsia="Verdana" w:cs="Verdana"/>
          <w:szCs w:val="16"/>
          <w:lang w:val="es-ES"/>
        </w:rPr>
        <w:t xml:space="preserve">párr. </w:t>
      </w:r>
      <w:r>
        <w:rPr>
          <w:rFonts w:eastAsia="Verdana" w:cs="Verdana"/>
          <w:szCs w:val="16"/>
          <w:lang w:val="es-ES"/>
        </w:rPr>
        <w:t>292</w:t>
      </w:r>
      <w:r w:rsidRPr="00C21A2E">
        <w:rPr>
          <w:rFonts w:eastAsia="Verdana" w:cs="Verdana"/>
          <w:szCs w:val="16"/>
          <w:lang w:val="es-ES"/>
        </w:rPr>
        <w:t>.</w:t>
      </w:r>
    </w:p>
  </w:footnote>
  <w:footnote w:id="196">
    <w:p w14:paraId="03338768"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Caso Cantoral </w:t>
      </w:r>
      <w:proofErr w:type="spellStart"/>
      <w:r w:rsidRPr="00C21A2E">
        <w:rPr>
          <w:rFonts w:eastAsia="Verdana" w:cs="Verdana"/>
          <w:i/>
          <w:szCs w:val="16"/>
          <w:lang w:val="es-ES"/>
        </w:rPr>
        <w:t>Huamaní</w:t>
      </w:r>
      <w:proofErr w:type="spellEnd"/>
      <w:r w:rsidRPr="00C21A2E">
        <w:rPr>
          <w:rFonts w:eastAsia="Verdana" w:cs="Verdana"/>
          <w:i/>
          <w:szCs w:val="16"/>
          <w:lang w:val="es-ES"/>
        </w:rPr>
        <w:t xml:space="preserve"> y García Santa Cruz, </w:t>
      </w:r>
      <w:r w:rsidRPr="00C21A2E">
        <w:rPr>
          <w:rFonts w:eastAsia="Verdana" w:cs="Verdana"/>
          <w:szCs w:val="16"/>
          <w:lang w:val="es-ES"/>
        </w:rPr>
        <w:t xml:space="preserve">párr.101 y </w:t>
      </w:r>
      <w:r w:rsidRPr="00C21A2E">
        <w:rPr>
          <w:rFonts w:eastAsia="Verdana" w:cs="Verdana"/>
          <w:i/>
          <w:szCs w:val="16"/>
          <w:lang w:val="es-ES"/>
        </w:rPr>
        <w:t>Caso Cruz Sánchez</w:t>
      </w:r>
      <w:r w:rsidRPr="00C21A2E">
        <w:rPr>
          <w:rFonts w:eastAsia="Verdana" w:cs="Verdana"/>
          <w:szCs w:val="16"/>
          <w:lang w:val="es-ES"/>
        </w:rPr>
        <w:t>, párr. 347.</w:t>
      </w:r>
    </w:p>
  </w:footnote>
  <w:footnote w:id="197">
    <w:p w14:paraId="6ADE627E" w14:textId="2E6A45D6"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Cfr</w:t>
      </w:r>
      <w:r w:rsidRPr="00C21A2E">
        <w:rPr>
          <w:rFonts w:eastAsia="Verdana" w:cs="Verdana"/>
          <w:szCs w:val="16"/>
          <w:lang w:val="es-ES"/>
        </w:rPr>
        <w:t xml:space="preserve">. </w:t>
      </w:r>
      <w:r w:rsidRPr="006253B7">
        <w:rPr>
          <w:rFonts w:eastAsia="Verdana" w:cs="Verdana"/>
          <w:bCs/>
          <w:i/>
          <w:szCs w:val="16"/>
        </w:rPr>
        <w:t xml:space="preserve">Caso Zambrano Vélez y otros Vs. Ecuador. Fondo, Reparaciones y Costas. </w:t>
      </w:r>
      <w:r w:rsidRPr="006253B7">
        <w:rPr>
          <w:rFonts w:eastAsia="Verdana" w:cs="Verdana"/>
          <w:bCs/>
          <w:szCs w:val="16"/>
        </w:rPr>
        <w:t>Sentencia de 4 de julio de 2007. Serie C No. 166</w:t>
      </w:r>
      <w:r w:rsidRPr="00C21A2E">
        <w:rPr>
          <w:rFonts w:eastAsia="Verdana" w:cs="Verdana"/>
          <w:i/>
          <w:szCs w:val="16"/>
          <w:lang w:val="es-ES"/>
        </w:rPr>
        <w:t xml:space="preserve">, </w:t>
      </w:r>
      <w:r w:rsidRPr="00C21A2E">
        <w:rPr>
          <w:rFonts w:eastAsia="Verdana" w:cs="Verdana"/>
          <w:szCs w:val="16"/>
          <w:lang w:val="es-ES"/>
        </w:rPr>
        <w:t xml:space="preserve">párr. 88, y </w:t>
      </w:r>
      <w:r w:rsidRPr="00280EBA">
        <w:rPr>
          <w:rFonts w:eastAsia="Verdana" w:cs="Verdana"/>
          <w:bCs/>
          <w:i/>
          <w:szCs w:val="16"/>
        </w:rPr>
        <w:t>Caso Valencia Hinojosa y otra Vs. Ecuador. Excepciones Preliminares, Fondo, Reparaciones y Costas.</w:t>
      </w:r>
      <w:r w:rsidRPr="00280EBA">
        <w:rPr>
          <w:rFonts w:eastAsia="Verdana" w:cs="Verdana"/>
          <w:bCs/>
          <w:szCs w:val="16"/>
        </w:rPr>
        <w:t xml:space="preserve"> Sentencia de 29 de noviembre de 2016. Serie C No. 327</w:t>
      </w:r>
      <w:r w:rsidRPr="00C21A2E">
        <w:rPr>
          <w:rFonts w:eastAsia="Verdana" w:cs="Verdana"/>
          <w:szCs w:val="16"/>
          <w:lang w:val="es-ES"/>
        </w:rPr>
        <w:t xml:space="preserve">, párr. </w:t>
      </w:r>
      <w:r>
        <w:rPr>
          <w:rFonts w:eastAsia="Verdana" w:cs="Verdana"/>
          <w:szCs w:val="16"/>
          <w:lang w:val="es-ES"/>
        </w:rPr>
        <w:t>133</w:t>
      </w:r>
      <w:r w:rsidRPr="00C21A2E">
        <w:rPr>
          <w:rFonts w:eastAsia="Verdana" w:cs="Verdana"/>
          <w:szCs w:val="16"/>
          <w:lang w:val="es-ES"/>
        </w:rPr>
        <w:t>.</w:t>
      </w:r>
    </w:p>
  </w:footnote>
  <w:footnote w:id="198">
    <w:p w14:paraId="70756114" w14:textId="7E4BE18E"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w:t>
      </w:r>
      <w:r w:rsidRPr="006253B7">
        <w:rPr>
          <w:rFonts w:eastAsia="Verdana" w:cs="Verdana"/>
          <w:bCs/>
          <w:i/>
          <w:szCs w:val="16"/>
        </w:rPr>
        <w:t xml:space="preserve">Caso de la Masacre de Pueblo Bello Vs. Colombia. </w:t>
      </w:r>
      <w:r w:rsidRPr="006253B7">
        <w:rPr>
          <w:rFonts w:eastAsia="Verdana" w:cs="Verdana"/>
          <w:bCs/>
          <w:szCs w:val="16"/>
        </w:rPr>
        <w:t>Sentencia de 31 de enero de 2006. Serie C No. 140</w:t>
      </w:r>
      <w:r w:rsidRPr="00C21A2E">
        <w:rPr>
          <w:rFonts w:eastAsia="Verdana" w:cs="Verdana"/>
          <w:i/>
          <w:szCs w:val="16"/>
          <w:lang w:val="es-ES"/>
        </w:rPr>
        <w:t xml:space="preserve">, </w:t>
      </w:r>
      <w:r w:rsidRPr="00C21A2E">
        <w:rPr>
          <w:rFonts w:eastAsia="Verdana" w:cs="Verdana"/>
          <w:szCs w:val="16"/>
          <w:lang w:val="es-ES"/>
        </w:rPr>
        <w:t xml:space="preserve">párr. 143, y </w:t>
      </w:r>
      <w:r w:rsidRPr="00280EBA">
        <w:rPr>
          <w:rFonts w:eastAsia="Verdana" w:cs="Verdana"/>
          <w:bCs/>
          <w:i/>
          <w:szCs w:val="16"/>
        </w:rPr>
        <w:t xml:space="preserve">Caso </w:t>
      </w:r>
      <w:proofErr w:type="spellStart"/>
      <w:r w:rsidRPr="00280EBA">
        <w:rPr>
          <w:rFonts w:eastAsia="Verdana" w:cs="Verdana"/>
          <w:bCs/>
          <w:i/>
          <w:szCs w:val="16"/>
        </w:rPr>
        <w:t>Yarce</w:t>
      </w:r>
      <w:proofErr w:type="spellEnd"/>
      <w:r w:rsidRPr="00280EBA">
        <w:rPr>
          <w:rFonts w:eastAsia="Verdana" w:cs="Verdana"/>
          <w:bCs/>
          <w:i/>
          <w:szCs w:val="16"/>
        </w:rPr>
        <w:t xml:space="preserve"> y otras Vs. Colombia. Excepción Preliminar, Fondo, Reparaciones y Costas. </w:t>
      </w:r>
      <w:r w:rsidRPr="00280EBA">
        <w:rPr>
          <w:rFonts w:eastAsia="Verdana" w:cs="Verdana"/>
          <w:bCs/>
          <w:szCs w:val="16"/>
        </w:rPr>
        <w:t>Sentencia de 22 de noviembre de 2016. Serie C No. 325</w:t>
      </w:r>
      <w:r w:rsidRPr="00280EBA">
        <w:rPr>
          <w:rFonts w:eastAsia="Verdana" w:cs="Verdana"/>
          <w:szCs w:val="16"/>
          <w:lang w:val="es-ES"/>
        </w:rPr>
        <w:t>,</w:t>
      </w:r>
      <w:r w:rsidRPr="00C21A2E">
        <w:rPr>
          <w:rFonts w:eastAsia="Verdana" w:cs="Verdana"/>
          <w:szCs w:val="16"/>
          <w:lang w:val="es-ES"/>
        </w:rPr>
        <w:t xml:space="preserve"> párr. </w:t>
      </w:r>
      <w:r>
        <w:rPr>
          <w:rFonts w:eastAsia="Verdana" w:cs="Verdana"/>
          <w:szCs w:val="16"/>
          <w:lang w:val="es-ES"/>
        </w:rPr>
        <w:t>280</w:t>
      </w:r>
      <w:r w:rsidRPr="00C21A2E">
        <w:rPr>
          <w:rFonts w:eastAsia="Verdana" w:cs="Verdana"/>
          <w:szCs w:val="16"/>
          <w:lang w:val="es-ES"/>
        </w:rPr>
        <w:t>.</w:t>
      </w:r>
    </w:p>
  </w:footnote>
  <w:footnote w:id="199">
    <w:p w14:paraId="621A1CFF" w14:textId="5BB080AC" w:rsidR="00122408" w:rsidRPr="00C21A2E" w:rsidRDefault="00122408" w:rsidP="00B50B41">
      <w:pPr>
        <w:pStyle w:val="FootnoteText"/>
        <w:spacing w:after="40"/>
        <w:rPr>
          <w:rFonts w:eastAsia="Verdana" w:cs="Verdana"/>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Caso Myrna </w:t>
      </w:r>
      <w:proofErr w:type="spellStart"/>
      <w:r w:rsidRPr="00C21A2E">
        <w:rPr>
          <w:rFonts w:eastAsia="Verdana" w:cs="Verdana"/>
          <w:i/>
          <w:szCs w:val="16"/>
          <w:lang w:val="es-ES"/>
        </w:rPr>
        <w:t>Mack</w:t>
      </w:r>
      <w:proofErr w:type="spellEnd"/>
      <w:r w:rsidRPr="00C21A2E">
        <w:rPr>
          <w:rFonts w:eastAsia="Verdana" w:cs="Verdana"/>
          <w:i/>
          <w:szCs w:val="16"/>
          <w:lang w:val="es-ES"/>
        </w:rPr>
        <w:t xml:space="preserve"> Chang Vs. Guatemala. Fondo, Reparaciones y Costas. </w:t>
      </w:r>
      <w:r w:rsidRPr="00C21A2E">
        <w:rPr>
          <w:rFonts w:eastAsia="Verdana" w:cs="Verdana"/>
          <w:szCs w:val="16"/>
          <w:lang w:val="es-ES"/>
        </w:rPr>
        <w:t xml:space="preserve">Sentencia de 25 de noviembre de 2003. Serie C No. 101, párr. 156, y </w:t>
      </w:r>
      <w:r w:rsidRPr="007B28AA">
        <w:rPr>
          <w:rFonts w:eastAsia="Verdana" w:cs="Verdana"/>
          <w:bCs/>
          <w:i/>
          <w:szCs w:val="16"/>
        </w:rPr>
        <w:t xml:space="preserve">Caso </w:t>
      </w:r>
      <w:proofErr w:type="spellStart"/>
      <w:r w:rsidRPr="007B28AA">
        <w:rPr>
          <w:rFonts w:eastAsia="Verdana" w:cs="Verdana"/>
          <w:bCs/>
          <w:i/>
          <w:szCs w:val="16"/>
        </w:rPr>
        <w:t>Quispialaya</w:t>
      </w:r>
      <w:proofErr w:type="spellEnd"/>
      <w:r w:rsidRPr="007B28AA">
        <w:rPr>
          <w:rFonts w:eastAsia="Verdana" w:cs="Verdana"/>
          <w:bCs/>
          <w:i/>
          <w:szCs w:val="16"/>
        </w:rPr>
        <w:t xml:space="preserve"> </w:t>
      </w:r>
      <w:proofErr w:type="spellStart"/>
      <w:r w:rsidRPr="007B28AA">
        <w:rPr>
          <w:rFonts w:eastAsia="Verdana" w:cs="Verdana"/>
          <w:bCs/>
          <w:i/>
          <w:szCs w:val="16"/>
        </w:rPr>
        <w:t>Vilcapoma</w:t>
      </w:r>
      <w:proofErr w:type="spellEnd"/>
      <w:r w:rsidRPr="007B28AA">
        <w:rPr>
          <w:rFonts w:eastAsia="Verdana" w:cs="Verdana"/>
          <w:bCs/>
          <w:i/>
          <w:szCs w:val="16"/>
        </w:rPr>
        <w:t xml:space="preserve"> Vs. Perú. Excepciones Preliminares, Fondo, Reparaciones y Costas.</w:t>
      </w:r>
      <w:r w:rsidRPr="007B28AA">
        <w:rPr>
          <w:rFonts w:eastAsia="Verdana" w:cs="Verdana"/>
          <w:bCs/>
          <w:szCs w:val="16"/>
        </w:rPr>
        <w:t xml:space="preserve"> Sentencia de 23 de noviembre de 2015. Serie C No. 308</w:t>
      </w:r>
      <w:r w:rsidRPr="00C21A2E">
        <w:rPr>
          <w:rFonts w:eastAsia="Verdana" w:cs="Verdana"/>
          <w:szCs w:val="16"/>
          <w:lang w:val="es-ES"/>
        </w:rPr>
        <w:t xml:space="preserve">, párr. </w:t>
      </w:r>
      <w:r>
        <w:rPr>
          <w:rFonts w:eastAsia="Verdana" w:cs="Verdana"/>
          <w:szCs w:val="16"/>
          <w:lang w:val="es-ES"/>
        </w:rPr>
        <w:t>162</w:t>
      </w:r>
      <w:r w:rsidRPr="00C21A2E">
        <w:rPr>
          <w:rFonts w:eastAsia="Verdana" w:cs="Verdana"/>
          <w:szCs w:val="16"/>
          <w:lang w:val="es-ES"/>
        </w:rPr>
        <w:t>.</w:t>
      </w:r>
    </w:p>
  </w:footnote>
  <w:footnote w:id="200">
    <w:p w14:paraId="1ED74FA9"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Caso de la Masacre de Pueblo Bello, </w:t>
      </w:r>
      <w:r w:rsidRPr="00C21A2E">
        <w:rPr>
          <w:rFonts w:eastAsia="Verdana" w:cs="Verdana"/>
          <w:szCs w:val="16"/>
          <w:lang w:val="es-ES"/>
        </w:rPr>
        <w:t xml:space="preserve">párr. 145, y </w:t>
      </w:r>
      <w:r w:rsidRPr="00C21A2E">
        <w:rPr>
          <w:rFonts w:eastAsia="Verdana" w:cs="Verdana"/>
          <w:i/>
          <w:szCs w:val="16"/>
          <w:lang w:val="es-ES"/>
        </w:rPr>
        <w:t>Caso Cruz Sánchez</w:t>
      </w:r>
      <w:r w:rsidRPr="00C21A2E">
        <w:rPr>
          <w:rFonts w:eastAsia="Verdana" w:cs="Verdana"/>
          <w:szCs w:val="16"/>
          <w:lang w:val="es-ES"/>
        </w:rPr>
        <w:t>, párr. 348.</w:t>
      </w:r>
    </w:p>
  </w:footnote>
  <w:footnote w:id="201">
    <w:p w14:paraId="4517C4E2" w14:textId="5675ADF0"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Caso Velásquez Rodríguez Vs. Honduras. Fondo, </w:t>
      </w:r>
      <w:r w:rsidRPr="00C21A2E">
        <w:rPr>
          <w:rFonts w:eastAsia="Verdana" w:cs="Verdana"/>
          <w:szCs w:val="16"/>
          <w:lang w:val="es-ES"/>
        </w:rPr>
        <w:t xml:space="preserve">párr. 177, y </w:t>
      </w:r>
      <w:r w:rsidRPr="00C21A2E">
        <w:rPr>
          <w:rFonts w:eastAsia="Verdana" w:cs="Verdana"/>
          <w:i/>
          <w:szCs w:val="16"/>
          <w:lang w:val="es-ES"/>
        </w:rPr>
        <w:t xml:space="preserve">Caso </w:t>
      </w:r>
      <w:r>
        <w:rPr>
          <w:rFonts w:eastAsia="Verdana" w:cs="Verdana"/>
          <w:i/>
          <w:szCs w:val="16"/>
          <w:lang w:val="es-ES"/>
        </w:rPr>
        <w:t>I.V.</w:t>
      </w:r>
      <w:r w:rsidRPr="00C21A2E">
        <w:rPr>
          <w:rFonts w:eastAsia="Verdana" w:cs="Verdana"/>
          <w:szCs w:val="16"/>
          <w:lang w:val="es-ES"/>
        </w:rPr>
        <w:t xml:space="preserve">, párr. </w:t>
      </w:r>
      <w:r>
        <w:rPr>
          <w:rFonts w:eastAsia="Verdana" w:cs="Verdana"/>
          <w:szCs w:val="16"/>
          <w:lang w:val="es-ES"/>
        </w:rPr>
        <w:t>315</w:t>
      </w:r>
      <w:r w:rsidRPr="00C21A2E">
        <w:rPr>
          <w:rFonts w:eastAsia="Verdana" w:cs="Verdana"/>
          <w:szCs w:val="16"/>
          <w:lang w:val="es-ES"/>
        </w:rPr>
        <w:t>.</w:t>
      </w:r>
    </w:p>
  </w:footnote>
  <w:footnote w:id="202">
    <w:p w14:paraId="3BE8FEAC"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Caso </w:t>
      </w:r>
      <w:proofErr w:type="spellStart"/>
      <w:r w:rsidRPr="00C21A2E">
        <w:rPr>
          <w:rFonts w:eastAsia="Verdana" w:cs="Verdana"/>
          <w:i/>
          <w:szCs w:val="16"/>
          <w:lang w:val="es-ES"/>
        </w:rPr>
        <w:t>Genie</w:t>
      </w:r>
      <w:proofErr w:type="spellEnd"/>
      <w:r w:rsidRPr="00C21A2E">
        <w:rPr>
          <w:rFonts w:eastAsia="Verdana" w:cs="Verdana"/>
          <w:i/>
          <w:szCs w:val="16"/>
          <w:lang w:val="es-ES"/>
        </w:rPr>
        <w:t xml:space="preserve"> Lacayo Vs. Nicaragua. Fondo, Reparaciones y Costas</w:t>
      </w:r>
      <w:r w:rsidRPr="00C21A2E">
        <w:rPr>
          <w:rFonts w:eastAsia="Verdana" w:cs="Verdana"/>
          <w:szCs w:val="16"/>
          <w:lang w:val="es-ES"/>
        </w:rPr>
        <w:t>. Sentencia de 29 de enero de 1997. Serie C No. 30</w:t>
      </w:r>
      <w:r w:rsidRPr="00C21A2E">
        <w:rPr>
          <w:rFonts w:eastAsia="Verdana" w:cs="Verdana"/>
          <w:i/>
          <w:szCs w:val="16"/>
          <w:lang w:val="es-ES"/>
        </w:rPr>
        <w:t xml:space="preserve">, </w:t>
      </w:r>
      <w:r w:rsidRPr="00C21A2E">
        <w:rPr>
          <w:rFonts w:eastAsia="Verdana" w:cs="Verdana"/>
          <w:szCs w:val="16"/>
          <w:lang w:val="es-ES"/>
        </w:rPr>
        <w:t xml:space="preserve">párr. 77, y </w:t>
      </w:r>
      <w:r w:rsidRPr="00C21A2E">
        <w:rPr>
          <w:rFonts w:eastAsia="Verdana" w:cs="Verdana"/>
          <w:i/>
          <w:szCs w:val="16"/>
          <w:lang w:val="es-ES"/>
        </w:rPr>
        <w:t>Caso Cruz Sánchez</w:t>
      </w:r>
      <w:r w:rsidRPr="00C21A2E">
        <w:rPr>
          <w:rFonts w:eastAsia="Verdana" w:cs="Verdana"/>
          <w:szCs w:val="16"/>
          <w:lang w:val="es-ES"/>
        </w:rPr>
        <w:t>, párr. 352.</w:t>
      </w:r>
    </w:p>
  </w:footnote>
  <w:footnote w:id="203">
    <w:p w14:paraId="747EEDE3" w14:textId="0501377B"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7B28AA">
        <w:rPr>
          <w:i/>
          <w:szCs w:val="16"/>
          <w:lang w:val="es-ES"/>
        </w:rPr>
        <w:t>Cf</w:t>
      </w:r>
      <w:r>
        <w:rPr>
          <w:i/>
          <w:szCs w:val="16"/>
          <w:lang w:val="es-ES"/>
        </w:rPr>
        <w:t>r</w:t>
      </w:r>
      <w:r>
        <w:rPr>
          <w:szCs w:val="16"/>
          <w:lang w:val="es-ES"/>
        </w:rPr>
        <w:t xml:space="preserve">. </w:t>
      </w:r>
      <w:r w:rsidRPr="00C21A2E">
        <w:rPr>
          <w:rFonts w:eastAsia="Verdana" w:cs="Verdana"/>
          <w:i/>
          <w:szCs w:val="16"/>
          <w:lang w:val="es-ES"/>
        </w:rPr>
        <w:t xml:space="preserve">Caso de la “Panel Blanca” (Paniagua Morales y otros) Vs. Guatemala. Fondo, </w:t>
      </w:r>
      <w:r w:rsidRPr="00C21A2E">
        <w:rPr>
          <w:rFonts w:eastAsia="Verdana" w:cs="Verdana"/>
          <w:szCs w:val="16"/>
          <w:lang w:val="es-ES"/>
        </w:rPr>
        <w:t xml:space="preserve">párr. 173, y </w:t>
      </w:r>
      <w:r w:rsidRPr="007B28AA">
        <w:rPr>
          <w:rFonts w:eastAsia="Verdana" w:cs="Verdana"/>
          <w:bCs/>
          <w:i/>
          <w:szCs w:val="16"/>
        </w:rPr>
        <w:t xml:space="preserve">Caso Miembros de la Aldea </w:t>
      </w:r>
      <w:proofErr w:type="spellStart"/>
      <w:r w:rsidRPr="007B28AA">
        <w:rPr>
          <w:rFonts w:eastAsia="Verdana" w:cs="Verdana"/>
          <w:bCs/>
          <w:i/>
          <w:szCs w:val="16"/>
        </w:rPr>
        <w:t>Chichupac</w:t>
      </w:r>
      <w:proofErr w:type="spellEnd"/>
      <w:r w:rsidRPr="007B28AA">
        <w:rPr>
          <w:rFonts w:eastAsia="Verdana" w:cs="Verdana"/>
          <w:bCs/>
          <w:i/>
          <w:szCs w:val="16"/>
        </w:rPr>
        <w:t xml:space="preserve"> y comunidades vecinas del Municipio de Rabinal</w:t>
      </w:r>
      <w:r w:rsidRPr="00C21A2E">
        <w:rPr>
          <w:rFonts w:eastAsia="Verdana" w:cs="Verdana"/>
          <w:szCs w:val="16"/>
          <w:lang w:val="es-ES"/>
        </w:rPr>
        <w:t xml:space="preserve">, párr. </w:t>
      </w:r>
      <w:r>
        <w:rPr>
          <w:rFonts w:eastAsia="Verdana" w:cs="Verdana"/>
          <w:szCs w:val="16"/>
          <w:lang w:val="es-ES"/>
        </w:rPr>
        <w:t>288</w:t>
      </w:r>
      <w:r w:rsidRPr="00C21A2E">
        <w:rPr>
          <w:rFonts w:eastAsia="Verdana" w:cs="Verdana"/>
          <w:szCs w:val="16"/>
          <w:lang w:val="es-ES"/>
        </w:rPr>
        <w:t>.</w:t>
      </w:r>
    </w:p>
  </w:footnote>
  <w:footnote w:id="204">
    <w:p w14:paraId="447922C3" w14:textId="76FCCAEC" w:rsidR="00122408" w:rsidRPr="00C21A2E" w:rsidRDefault="00122408" w:rsidP="00B50B41">
      <w:pPr>
        <w:pStyle w:val="FootnoteText"/>
        <w:spacing w:after="40"/>
        <w:rPr>
          <w:szCs w:val="16"/>
          <w:lang w:val="es-ES"/>
        </w:rPr>
      </w:pPr>
      <w:r w:rsidRPr="00C21A2E">
        <w:rPr>
          <w:rStyle w:val="FootnoteReference"/>
          <w:sz w:val="16"/>
          <w:szCs w:val="16"/>
        </w:rPr>
        <w:footnoteRef/>
      </w:r>
      <w:r w:rsidRPr="009E2C1B">
        <w:rPr>
          <w:szCs w:val="16"/>
          <w:lang w:val="es-ES"/>
        </w:rPr>
        <w:t xml:space="preserve"> </w:t>
      </w:r>
      <w:r w:rsidRPr="009E2C1B">
        <w:rPr>
          <w:rFonts w:eastAsia="Verdana" w:cs="Verdana"/>
          <w:i/>
          <w:szCs w:val="16"/>
          <w:lang w:val="es-ES"/>
        </w:rPr>
        <w:t xml:space="preserve">Cfr. </w:t>
      </w:r>
      <w:r w:rsidRPr="009E2C1B">
        <w:rPr>
          <w:i/>
          <w:iCs/>
          <w:szCs w:val="16"/>
          <w:lang w:val="es-ES"/>
        </w:rPr>
        <w:t xml:space="preserve">Caso </w:t>
      </w:r>
      <w:proofErr w:type="spellStart"/>
      <w:r w:rsidRPr="009E2C1B">
        <w:rPr>
          <w:i/>
          <w:iCs/>
          <w:szCs w:val="16"/>
          <w:lang w:val="es-ES"/>
        </w:rPr>
        <w:t>Kawas</w:t>
      </w:r>
      <w:proofErr w:type="spellEnd"/>
      <w:r w:rsidRPr="009E2C1B">
        <w:rPr>
          <w:i/>
          <w:iCs/>
          <w:szCs w:val="16"/>
          <w:lang w:val="es-ES"/>
        </w:rPr>
        <w:t xml:space="preserve"> Fernández Vs. </w:t>
      </w:r>
      <w:r w:rsidRPr="00C21A2E">
        <w:rPr>
          <w:i/>
          <w:iCs/>
          <w:szCs w:val="16"/>
          <w:lang w:val="es-ES"/>
        </w:rPr>
        <w:t>Honduras. Fondo, Reparaciones y Costas</w:t>
      </w:r>
      <w:r w:rsidRPr="00C21A2E">
        <w:rPr>
          <w:szCs w:val="16"/>
          <w:lang w:val="es-ES"/>
        </w:rPr>
        <w:t>. Sentencia de 3 de abril de 2009. Serie C No. 196</w:t>
      </w:r>
      <w:r w:rsidRPr="00C21A2E">
        <w:rPr>
          <w:rFonts w:eastAsia="Verdana" w:cs="Verdana"/>
          <w:i/>
          <w:szCs w:val="16"/>
          <w:lang w:val="es-ES"/>
        </w:rPr>
        <w:t xml:space="preserve">, </w:t>
      </w:r>
      <w:r w:rsidRPr="00C21A2E">
        <w:rPr>
          <w:rFonts w:eastAsia="Verdana" w:cs="Verdana"/>
          <w:szCs w:val="16"/>
          <w:lang w:val="es-ES"/>
        </w:rPr>
        <w:t xml:space="preserve">párr. 109, y </w:t>
      </w:r>
      <w:r w:rsidRPr="00C21A2E">
        <w:rPr>
          <w:rFonts w:eastAsia="Verdana" w:cs="Verdana"/>
          <w:i/>
          <w:szCs w:val="16"/>
          <w:lang w:val="es-ES"/>
        </w:rPr>
        <w:t>Caso Cruz Sánchez</w:t>
      </w:r>
      <w:r w:rsidRPr="00C21A2E">
        <w:rPr>
          <w:rFonts w:eastAsia="Verdana" w:cs="Verdana"/>
          <w:szCs w:val="16"/>
          <w:lang w:val="es-ES"/>
        </w:rPr>
        <w:t>, párr. 352.</w:t>
      </w:r>
    </w:p>
  </w:footnote>
  <w:footnote w:id="205">
    <w:p w14:paraId="76377212" w14:textId="44D37C00"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w:t>
      </w:r>
      <w:r w:rsidRPr="00C21A2E">
        <w:rPr>
          <w:i/>
          <w:iCs/>
          <w:szCs w:val="16"/>
          <w:lang w:val="es-ES"/>
        </w:rPr>
        <w:t>Caso de la Masacre de la Rochela Vs. Colombia. Fondo, Reparaciones y Costas</w:t>
      </w:r>
      <w:r w:rsidRPr="00C21A2E">
        <w:rPr>
          <w:iCs/>
          <w:szCs w:val="16"/>
          <w:lang w:val="es-ES"/>
        </w:rPr>
        <w:t xml:space="preserve">. </w:t>
      </w:r>
      <w:r w:rsidRPr="00C21A2E">
        <w:rPr>
          <w:szCs w:val="16"/>
          <w:lang w:val="es-ES"/>
        </w:rPr>
        <w:t xml:space="preserve">Sentencia de 11 de mayo de 2007. Serie C No. 163, párr. 158, y </w:t>
      </w:r>
      <w:r w:rsidRPr="007B28AA">
        <w:rPr>
          <w:bCs/>
          <w:i/>
          <w:iCs/>
          <w:szCs w:val="16"/>
        </w:rPr>
        <w:t xml:space="preserve">Caso Miembros de la Aldea </w:t>
      </w:r>
      <w:proofErr w:type="spellStart"/>
      <w:r w:rsidRPr="007B28AA">
        <w:rPr>
          <w:bCs/>
          <w:i/>
          <w:iCs/>
          <w:szCs w:val="16"/>
        </w:rPr>
        <w:t>Chichupac</w:t>
      </w:r>
      <w:proofErr w:type="spellEnd"/>
      <w:r w:rsidRPr="007B28AA">
        <w:rPr>
          <w:bCs/>
          <w:i/>
          <w:iCs/>
          <w:szCs w:val="16"/>
        </w:rPr>
        <w:t xml:space="preserve"> y comunidades vecinas del Municipio de Rabinal</w:t>
      </w:r>
      <w:r w:rsidRPr="00C21A2E">
        <w:rPr>
          <w:iCs/>
          <w:szCs w:val="16"/>
          <w:lang w:val="es-ES"/>
        </w:rPr>
        <w:t xml:space="preserve">, </w:t>
      </w:r>
      <w:r w:rsidRPr="00C21A2E">
        <w:rPr>
          <w:szCs w:val="16"/>
          <w:lang w:val="es-ES"/>
        </w:rPr>
        <w:t xml:space="preserve">párr. </w:t>
      </w:r>
      <w:r>
        <w:rPr>
          <w:szCs w:val="16"/>
          <w:lang w:val="es-ES"/>
        </w:rPr>
        <w:t>212</w:t>
      </w:r>
      <w:r w:rsidRPr="00C21A2E">
        <w:rPr>
          <w:szCs w:val="16"/>
          <w:lang w:val="es-ES"/>
        </w:rPr>
        <w:t xml:space="preserve">.  </w:t>
      </w:r>
    </w:p>
  </w:footnote>
  <w:footnote w:id="206">
    <w:p w14:paraId="48201792" w14:textId="2E19AD89"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w:t>
      </w:r>
      <w:r w:rsidRPr="00C21A2E">
        <w:rPr>
          <w:i/>
          <w:iCs/>
          <w:szCs w:val="16"/>
          <w:lang w:val="es-ES"/>
        </w:rPr>
        <w:t xml:space="preserve">Caso </w:t>
      </w:r>
      <w:proofErr w:type="spellStart"/>
      <w:r w:rsidRPr="00C21A2E">
        <w:rPr>
          <w:i/>
          <w:iCs/>
          <w:szCs w:val="16"/>
          <w:lang w:val="es-ES"/>
        </w:rPr>
        <w:t>Kawas</w:t>
      </w:r>
      <w:proofErr w:type="spellEnd"/>
      <w:r w:rsidRPr="00C21A2E">
        <w:rPr>
          <w:i/>
          <w:iCs/>
          <w:szCs w:val="16"/>
          <w:lang w:val="es-ES"/>
        </w:rPr>
        <w:t xml:space="preserve"> Fernández</w:t>
      </w:r>
      <w:r w:rsidRPr="00C21A2E">
        <w:rPr>
          <w:szCs w:val="16"/>
          <w:lang w:val="es-ES"/>
        </w:rPr>
        <w:t xml:space="preserve">, párr. 96, y </w:t>
      </w:r>
      <w:r w:rsidRPr="00C21A2E">
        <w:rPr>
          <w:i/>
          <w:iCs/>
          <w:szCs w:val="16"/>
          <w:lang w:val="es-ES"/>
        </w:rPr>
        <w:t xml:space="preserve">Caso </w:t>
      </w:r>
      <w:proofErr w:type="spellStart"/>
      <w:r>
        <w:rPr>
          <w:i/>
          <w:iCs/>
          <w:szCs w:val="16"/>
          <w:lang w:val="es-ES"/>
        </w:rPr>
        <w:t>Yarce</w:t>
      </w:r>
      <w:proofErr w:type="spellEnd"/>
      <w:r>
        <w:rPr>
          <w:i/>
          <w:iCs/>
          <w:szCs w:val="16"/>
          <w:lang w:val="es-ES"/>
        </w:rPr>
        <w:t xml:space="preserve"> y otras</w:t>
      </w:r>
      <w:r w:rsidRPr="00C21A2E">
        <w:rPr>
          <w:iCs/>
          <w:szCs w:val="16"/>
          <w:lang w:val="es-ES"/>
        </w:rPr>
        <w:t xml:space="preserve">, </w:t>
      </w:r>
      <w:r w:rsidRPr="00C21A2E">
        <w:rPr>
          <w:szCs w:val="16"/>
          <w:lang w:val="es-ES"/>
        </w:rPr>
        <w:t xml:space="preserve">párr. </w:t>
      </w:r>
      <w:r>
        <w:rPr>
          <w:szCs w:val="16"/>
          <w:lang w:val="es-ES"/>
        </w:rPr>
        <w:t>307</w:t>
      </w:r>
      <w:r w:rsidRPr="00C21A2E">
        <w:rPr>
          <w:szCs w:val="16"/>
          <w:lang w:val="es-ES"/>
        </w:rPr>
        <w:t xml:space="preserve">.  </w:t>
      </w:r>
    </w:p>
  </w:footnote>
  <w:footnote w:id="207">
    <w:p w14:paraId="12351FC6" w14:textId="2ADEE15F"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iCs/>
          <w:szCs w:val="16"/>
          <w:lang w:val="es-ES"/>
        </w:rPr>
        <w:t xml:space="preserve">Caso Cantoral </w:t>
      </w:r>
      <w:proofErr w:type="spellStart"/>
      <w:r w:rsidRPr="00C21A2E">
        <w:rPr>
          <w:i/>
          <w:iCs/>
          <w:szCs w:val="16"/>
          <w:lang w:val="es-ES"/>
        </w:rPr>
        <w:t>Huamaní</w:t>
      </w:r>
      <w:proofErr w:type="spellEnd"/>
      <w:r w:rsidRPr="00C21A2E">
        <w:rPr>
          <w:i/>
          <w:iCs/>
          <w:szCs w:val="16"/>
          <w:lang w:val="es-ES"/>
        </w:rPr>
        <w:t xml:space="preserve"> y García Santa Cruz</w:t>
      </w:r>
      <w:r w:rsidRPr="00C21A2E">
        <w:rPr>
          <w:iCs/>
          <w:szCs w:val="16"/>
          <w:lang w:val="es-ES"/>
        </w:rPr>
        <w:t xml:space="preserve">, </w:t>
      </w:r>
      <w:r w:rsidRPr="00C21A2E">
        <w:rPr>
          <w:szCs w:val="16"/>
          <w:lang w:val="es-ES"/>
        </w:rPr>
        <w:t xml:space="preserve">párr. 87, y </w:t>
      </w:r>
      <w:r w:rsidRPr="00C21A2E">
        <w:rPr>
          <w:i/>
          <w:iCs/>
          <w:szCs w:val="16"/>
          <w:lang w:val="es-ES"/>
        </w:rPr>
        <w:t>Caso Defensor de Derechos Humanos</w:t>
      </w:r>
      <w:r w:rsidRPr="00C21A2E">
        <w:rPr>
          <w:iCs/>
          <w:szCs w:val="16"/>
          <w:lang w:val="es-ES"/>
        </w:rPr>
        <w:t xml:space="preserve">, </w:t>
      </w:r>
      <w:r w:rsidRPr="00C21A2E">
        <w:rPr>
          <w:szCs w:val="16"/>
          <w:lang w:val="es-ES"/>
        </w:rPr>
        <w:t xml:space="preserve">párr. 214.  </w:t>
      </w:r>
    </w:p>
  </w:footnote>
  <w:footnote w:id="208">
    <w:p w14:paraId="1B109957" w14:textId="375919AA"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w:t>
      </w:r>
      <w:r w:rsidRPr="00C21A2E">
        <w:rPr>
          <w:i/>
          <w:iCs/>
          <w:szCs w:val="16"/>
          <w:lang w:val="es-ES"/>
        </w:rPr>
        <w:t>Caso Nogueira de Carvalho y otro Vs. Brasil</w:t>
      </w:r>
      <w:r w:rsidRPr="00C21A2E">
        <w:rPr>
          <w:i/>
          <w:szCs w:val="16"/>
          <w:lang w:val="es-ES"/>
        </w:rPr>
        <w:t xml:space="preserve">. </w:t>
      </w:r>
      <w:r w:rsidRPr="00C21A2E">
        <w:rPr>
          <w:i/>
          <w:iCs/>
          <w:szCs w:val="16"/>
          <w:lang w:val="es-ES"/>
        </w:rPr>
        <w:t>Excepciones Preliminares y Fondo</w:t>
      </w:r>
      <w:r w:rsidRPr="00C21A2E">
        <w:rPr>
          <w:szCs w:val="16"/>
          <w:lang w:val="es-ES"/>
        </w:rPr>
        <w:t>. Sentencia de 28 de noviembre de 2006. Serie C No. 161</w:t>
      </w:r>
      <w:r w:rsidRPr="00C21A2E">
        <w:rPr>
          <w:iCs/>
          <w:szCs w:val="16"/>
          <w:lang w:val="es-ES"/>
        </w:rPr>
        <w:t xml:space="preserve">, </w:t>
      </w:r>
      <w:r w:rsidRPr="00C21A2E">
        <w:rPr>
          <w:szCs w:val="16"/>
          <w:lang w:val="es-ES"/>
        </w:rPr>
        <w:t xml:space="preserve">párr. 80, y </w:t>
      </w:r>
      <w:r w:rsidRPr="007B28AA">
        <w:rPr>
          <w:bCs/>
          <w:i/>
          <w:iCs/>
          <w:szCs w:val="16"/>
        </w:rPr>
        <w:t xml:space="preserve">Caso Velásquez </w:t>
      </w:r>
      <w:proofErr w:type="spellStart"/>
      <w:r w:rsidRPr="007B28AA">
        <w:rPr>
          <w:bCs/>
          <w:i/>
          <w:iCs/>
          <w:szCs w:val="16"/>
        </w:rPr>
        <w:t>Paiz</w:t>
      </w:r>
      <w:proofErr w:type="spellEnd"/>
      <w:r w:rsidRPr="007B28AA">
        <w:rPr>
          <w:bCs/>
          <w:i/>
          <w:iCs/>
          <w:szCs w:val="16"/>
        </w:rPr>
        <w:t xml:space="preserve"> y otros</w:t>
      </w:r>
      <w:r w:rsidRPr="00C21A2E">
        <w:rPr>
          <w:iCs/>
          <w:szCs w:val="16"/>
          <w:lang w:val="es-ES"/>
        </w:rPr>
        <w:t xml:space="preserve">, </w:t>
      </w:r>
      <w:r w:rsidRPr="00C21A2E">
        <w:rPr>
          <w:szCs w:val="16"/>
          <w:lang w:val="es-ES"/>
        </w:rPr>
        <w:t xml:space="preserve">párr. </w:t>
      </w:r>
      <w:r>
        <w:rPr>
          <w:szCs w:val="16"/>
          <w:lang w:val="es-ES"/>
        </w:rPr>
        <w:t>165</w:t>
      </w:r>
      <w:r w:rsidRPr="00C21A2E">
        <w:rPr>
          <w:szCs w:val="16"/>
          <w:lang w:val="es-ES"/>
        </w:rPr>
        <w:t xml:space="preserve">.  </w:t>
      </w:r>
    </w:p>
  </w:footnote>
  <w:footnote w:id="209">
    <w:p w14:paraId="66D77119" w14:textId="3BD7F805"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w:t>
      </w:r>
      <w:r w:rsidRPr="00C21A2E">
        <w:rPr>
          <w:i/>
          <w:iCs/>
          <w:szCs w:val="16"/>
          <w:lang w:val="es-ES"/>
        </w:rPr>
        <w:t>Cfr</w:t>
      </w:r>
      <w:r w:rsidRPr="00C21A2E">
        <w:rPr>
          <w:szCs w:val="16"/>
          <w:lang w:val="es-ES"/>
        </w:rPr>
        <w:t xml:space="preserve">. </w:t>
      </w:r>
      <w:r w:rsidRPr="00C21A2E">
        <w:rPr>
          <w:i/>
          <w:iCs/>
          <w:szCs w:val="16"/>
          <w:lang w:val="es-ES"/>
        </w:rPr>
        <w:t xml:space="preserve">Caso </w:t>
      </w:r>
      <w:proofErr w:type="spellStart"/>
      <w:r w:rsidRPr="00C21A2E">
        <w:rPr>
          <w:i/>
          <w:iCs/>
          <w:szCs w:val="16"/>
          <w:lang w:val="es-ES"/>
        </w:rPr>
        <w:t>Ibsen</w:t>
      </w:r>
      <w:proofErr w:type="spellEnd"/>
      <w:r w:rsidRPr="00C21A2E">
        <w:rPr>
          <w:i/>
          <w:iCs/>
          <w:szCs w:val="16"/>
          <w:lang w:val="es-ES"/>
        </w:rPr>
        <w:t xml:space="preserve"> Cárdenas e </w:t>
      </w:r>
      <w:proofErr w:type="spellStart"/>
      <w:r w:rsidRPr="00C21A2E">
        <w:rPr>
          <w:i/>
          <w:iCs/>
          <w:szCs w:val="16"/>
          <w:lang w:val="es-ES"/>
        </w:rPr>
        <w:t>Ibsen</w:t>
      </w:r>
      <w:proofErr w:type="spellEnd"/>
      <w:r w:rsidRPr="00C21A2E">
        <w:rPr>
          <w:i/>
          <w:iCs/>
          <w:szCs w:val="16"/>
          <w:lang w:val="es-ES"/>
        </w:rPr>
        <w:t xml:space="preserve"> Peña Vs. Bolivia. Fondo, Reparaciones y Costas. </w:t>
      </w:r>
      <w:r w:rsidRPr="00C21A2E">
        <w:rPr>
          <w:szCs w:val="16"/>
          <w:lang w:val="es-ES"/>
        </w:rPr>
        <w:t xml:space="preserve">Sentencia de 1 de septiembre de 2010 Serie C No. 217, párr. 172, y </w:t>
      </w:r>
      <w:r w:rsidRPr="00C21A2E">
        <w:rPr>
          <w:i/>
          <w:iCs/>
          <w:szCs w:val="16"/>
          <w:lang w:val="es-ES"/>
        </w:rPr>
        <w:t xml:space="preserve">Caso </w:t>
      </w:r>
      <w:proofErr w:type="spellStart"/>
      <w:r>
        <w:rPr>
          <w:i/>
          <w:iCs/>
          <w:szCs w:val="16"/>
          <w:lang w:val="es-ES"/>
        </w:rPr>
        <w:t>Yarce</w:t>
      </w:r>
      <w:proofErr w:type="spellEnd"/>
      <w:r>
        <w:rPr>
          <w:i/>
          <w:iCs/>
          <w:szCs w:val="16"/>
          <w:lang w:val="es-ES"/>
        </w:rPr>
        <w:t xml:space="preserve"> y otras</w:t>
      </w:r>
      <w:r w:rsidRPr="00C21A2E">
        <w:rPr>
          <w:i/>
          <w:iCs/>
          <w:szCs w:val="16"/>
          <w:lang w:val="es-ES"/>
        </w:rPr>
        <w:t xml:space="preserve">, </w:t>
      </w:r>
      <w:r w:rsidRPr="00C21A2E">
        <w:rPr>
          <w:szCs w:val="16"/>
          <w:lang w:val="es-ES"/>
        </w:rPr>
        <w:t xml:space="preserve">párr. </w:t>
      </w:r>
      <w:r>
        <w:rPr>
          <w:szCs w:val="16"/>
          <w:lang w:val="es-ES"/>
        </w:rPr>
        <w:t>282</w:t>
      </w:r>
      <w:r w:rsidRPr="00C21A2E">
        <w:rPr>
          <w:szCs w:val="16"/>
          <w:lang w:val="es-ES"/>
        </w:rPr>
        <w:t xml:space="preserve">. La impunidad ha sido definida por la Corte como la falta en su conjunto de investigación, persecución, captura, enjuiciamiento y condena de los responsables de las violaciones de los derechos humanos. </w:t>
      </w:r>
      <w:r w:rsidRPr="00C21A2E">
        <w:rPr>
          <w:i/>
          <w:iCs/>
          <w:szCs w:val="16"/>
          <w:lang w:val="es-ES"/>
        </w:rPr>
        <w:t xml:space="preserve">Cfr. Caso de la “Panel Blanca” (Paniagua Morales y otros) Vs. Guatemala. Excepciones Preliminares. </w:t>
      </w:r>
      <w:r w:rsidRPr="00C21A2E">
        <w:rPr>
          <w:szCs w:val="16"/>
          <w:lang w:val="es-ES"/>
        </w:rPr>
        <w:t xml:space="preserve">Sentencia del 25 de enero de 1996. Serie C No. 23, párr. 173, y </w:t>
      </w:r>
      <w:r w:rsidRPr="00C21A2E">
        <w:rPr>
          <w:i/>
          <w:iCs/>
          <w:szCs w:val="16"/>
          <w:lang w:val="es-ES"/>
        </w:rPr>
        <w:t xml:space="preserve">Caso Manuel Cepeda Vargas Vs. Colombia, </w:t>
      </w:r>
      <w:r w:rsidRPr="00C21A2E">
        <w:rPr>
          <w:szCs w:val="16"/>
          <w:lang w:val="es-ES"/>
        </w:rPr>
        <w:t xml:space="preserve">nota 184.  </w:t>
      </w:r>
    </w:p>
  </w:footnote>
  <w:footnote w:id="210">
    <w:p w14:paraId="721ACBC2" w14:textId="22027D0D"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iCs/>
          <w:szCs w:val="16"/>
          <w:lang w:val="es-ES"/>
        </w:rPr>
        <w:t xml:space="preserve">Cfr. </w:t>
      </w:r>
      <w:r w:rsidRPr="00C21A2E">
        <w:rPr>
          <w:szCs w:val="16"/>
          <w:lang w:val="es-ES"/>
        </w:rPr>
        <w:t>Manual sobre la Prevención e Investigación Efectiva de Ejecuciones Extrajudiciales, Arbitrarias y Sumarias de Naciones Unidas (Protocolo de Minnesota)</w:t>
      </w:r>
      <w:r>
        <w:rPr>
          <w:szCs w:val="16"/>
          <w:lang w:val="es-ES"/>
        </w:rPr>
        <w:t xml:space="preserve">, </w:t>
      </w:r>
      <w:r w:rsidRPr="00C21A2E">
        <w:rPr>
          <w:szCs w:val="16"/>
        </w:rPr>
        <w:t>UN Doc. E/ST/CSDHA/.12 (1991)</w:t>
      </w:r>
      <w:r w:rsidRPr="00C21A2E">
        <w:rPr>
          <w:szCs w:val="16"/>
          <w:lang w:val="es-ES"/>
        </w:rPr>
        <w:t>,</w:t>
      </w:r>
      <w:r w:rsidRPr="00C21A2E">
        <w:rPr>
          <w:i/>
          <w:iCs/>
          <w:szCs w:val="16"/>
          <w:lang w:val="es-ES"/>
        </w:rPr>
        <w:t xml:space="preserve"> </w:t>
      </w:r>
      <w:r w:rsidRPr="00C21A2E">
        <w:rPr>
          <w:szCs w:val="16"/>
          <w:lang w:val="es-ES"/>
        </w:rPr>
        <w:t xml:space="preserve">y </w:t>
      </w:r>
      <w:r w:rsidRPr="008D15E6">
        <w:rPr>
          <w:bCs/>
          <w:i/>
          <w:iCs/>
          <w:szCs w:val="16"/>
        </w:rPr>
        <w:t>Caso Comunidad Campesina de Santa Bárbara</w:t>
      </w:r>
      <w:r w:rsidRPr="00C21A2E">
        <w:rPr>
          <w:szCs w:val="16"/>
          <w:lang w:val="es-ES"/>
        </w:rPr>
        <w:t xml:space="preserve">, párr. </w:t>
      </w:r>
      <w:r>
        <w:rPr>
          <w:szCs w:val="16"/>
          <w:lang w:val="es-ES"/>
        </w:rPr>
        <w:t>228</w:t>
      </w:r>
      <w:r w:rsidRPr="00C21A2E">
        <w:rPr>
          <w:szCs w:val="16"/>
          <w:lang w:val="es-ES"/>
        </w:rPr>
        <w:t xml:space="preserve">.  </w:t>
      </w:r>
    </w:p>
  </w:footnote>
  <w:footnote w:id="211">
    <w:p w14:paraId="0907BF1A" w14:textId="1DEC0494" w:rsidR="00122408" w:rsidRPr="006253B7"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iCs/>
          <w:szCs w:val="16"/>
          <w:lang w:val="es-ES"/>
        </w:rPr>
        <w:t>Cfr. Caso González y otras (“Campo Algodonero”)</w:t>
      </w:r>
      <w:r w:rsidRPr="00C21A2E">
        <w:rPr>
          <w:szCs w:val="16"/>
          <w:lang w:val="es-ES"/>
        </w:rPr>
        <w:t xml:space="preserve">, párr. </w:t>
      </w:r>
      <w:r>
        <w:rPr>
          <w:szCs w:val="16"/>
          <w:lang w:val="es-ES"/>
        </w:rPr>
        <w:t xml:space="preserve">305, y </w:t>
      </w:r>
      <w:r w:rsidRPr="007B28AA">
        <w:rPr>
          <w:bCs/>
          <w:i/>
          <w:iCs/>
          <w:szCs w:val="16"/>
        </w:rPr>
        <w:t xml:space="preserve">Caso Velásquez </w:t>
      </w:r>
      <w:proofErr w:type="spellStart"/>
      <w:r w:rsidRPr="007B28AA">
        <w:rPr>
          <w:bCs/>
          <w:i/>
          <w:iCs/>
          <w:szCs w:val="16"/>
        </w:rPr>
        <w:t>Paiz</w:t>
      </w:r>
      <w:proofErr w:type="spellEnd"/>
      <w:r w:rsidRPr="007B28AA">
        <w:rPr>
          <w:bCs/>
          <w:i/>
          <w:iCs/>
          <w:szCs w:val="16"/>
        </w:rPr>
        <w:t xml:space="preserve"> y otros</w:t>
      </w:r>
      <w:r w:rsidRPr="00C21A2E">
        <w:rPr>
          <w:iCs/>
          <w:szCs w:val="16"/>
          <w:lang w:val="es-ES"/>
        </w:rPr>
        <w:t xml:space="preserve">, </w:t>
      </w:r>
      <w:r w:rsidRPr="00C21A2E">
        <w:rPr>
          <w:szCs w:val="16"/>
          <w:lang w:val="es-ES"/>
        </w:rPr>
        <w:t xml:space="preserve">párr. </w:t>
      </w:r>
      <w:r>
        <w:rPr>
          <w:szCs w:val="16"/>
          <w:lang w:val="es-ES"/>
        </w:rPr>
        <w:t>153.</w:t>
      </w:r>
    </w:p>
  </w:footnote>
  <w:footnote w:id="212">
    <w:p w14:paraId="093AF209" w14:textId="76E2C318" w:rsidR="00122408" w:rsidRPr="00C21A2E" w:rsidRDefault="00122408" w:rsidP="00B50B41">
      <w:pPr>
        <w:pStyle w:val="FootnoteText"/>
        <w:spacing w:after="40"/>
        <w:rPr>
          <w:szCs w:val="16"/>
        </w:rPr>
      </w:pPr>
      <w:r w:rsidRPr="00C21A2E">
        <w:rPr>
          <w:rStyle w:val="FootnoteReference"/>
          <w:sz w:val="16"/>
          <w:szCs w:val="16"/>
        </w:rPr>
        <w:footnoteRef/>
      </w:r>
      <w:r w:rsidRPr="006253B7">
        <w:rPr>
          <w:szCs w:val="16"/>
          <w:lang w:val="es-ES"/>
        </w:rPr>
        <w:t xml:space="preserve"> </w:t>
      </w:r>
      <w:r w:rsidRPr="006253B7">
        <w:rPr>
          <w:i/>
          <w:szCs w:val="16"/>
          <w:lang w:val="es-ES"/>
        </w:rPr>
        <w:t>Cfr</w:t>
      </w:r>
      <w:r w:rsidRPr="006253B7">
        <w:rPr>
          <w:szCs w:val="16"/>
          <w:lang w:val="es-ES"/>
        </w:rPr>
        <w:t xml:space="preserve">. </w:t>
      </w:r>
      <w:r w:rsidRPr="006253B7">
        <w:rPr>
          <w:i/>
          <w:szCs w:val="16"/>
          <w:lang w:val="es-ES"/>
        </w:rPr>
        <w:t>Caso YATAMA Vs. Nicaragua</w:t>
      </w:r>
      <w:r w:rsidRPr="006253B7">
        <w:rPr>
          <w:szCs w:val="16"/>
          <w:lang w:val="es-ES"/>
        </w:rPr>
        <w:t xml:space="preserve">. </w:t>
      </w:r>
      <w:r w:rsidRPr="006253B7">
        <w:rPr>
          <w:bCs/>
          <w:i/>
          <w:szCs w:val="16"/>
        </w:rPr>
        <w:t>Excepciones Preliminares, Fondo, Reparaciones y Costas</w:t>
      </w:r>
      <w:r w:rsidRPr="006253B7">
        <w:rPr>
          <w:bCs/>
          <w:szCs w:val="16"/>
        </w:rPr>
        <w:t>. Sentencia de 23 de junio de 2005. Serie C No. 127</w:t>
      </w:r>
      <w:r w:rsidRPr="006253B7">
        <w:rPr>
          <w:szCs w:val="16"/>
          <w:lang w:val="es-ES"/>
        </w:rPr>
        <w:t xml:space="preserve">, párr. 149; </w:t>
      </w:r>
      <w:r w:rsidRPr="008D15E6">
        <w:rPr>
          <w:bCs/>
          <w:i/>
          <w:szCs w:val="16"/>
        </w:rPr>
        <w:t>Caso Flor Freire</w:t>
      </w:r>
      <w:r w:rsidRPr="00C21A2E">
        <w:rPr>
          <w:szCs w:val="16"/>
        </w:rPr>
        <w:t xml:space="preserve">, párr. </w:t>
      </w:r>
      <w:r>
        <w:rPr>
          <w:szCs w:val="16"/>
        </w:rPr>
        <w:t>166</w:t>
      </w:r>
      <w:r w:rsidRPr="00C21A2E">
        <w:rPr>
          <w:szCs w:val="16"/>
        </w:rPr>
        <w:t>.</w:t>
      </w:r>
    </w:p>
  </w:footnote>
  <w:footnote w:id="213">
    <w:p w14:paraId="3563EF7A" w14:textId="37F6A7FF"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rFonts w:cs="Verdana"/>
          <w:bCs/>
          <w:i/>
          <w:szCs w:val="16"/>
          <w:lang w:bidi="en-US"/>
        </w:rPr>
        <w:t>Cfr. Caso de los “Niños de la Calle” (Villagrán Morales y otros)</w:t>
      </w:r>
      <w:r>
        <w:rPr>
          <w:rFonts w:cs="Verdana"/>
          <w:bCs/>
          <w:i/>
          <w:szCs w:val="16"/>
          <w:lang w:bidi="en-US"/>
        </w:rPr>
        <w:t>. Fondo</w:t>
      </w:r>
      <w:r w:rsidRPr="00C21A2E">
        <w:rPr>
          <w:szCs w:val="16"/>
        </w:rPr>
        <w:t xml:space="preserve">, </w:t>
      </w:r>
      <w:r w:rsidRPr="00C21A2E">
        <w:rPr>
          <w:rFonts w:cs="Verdana"/>
          <w:bCs/>
          <w:szCs w:val="16"/>
          <w:lang w:bidi="en-US"/>
        </w:rPr>
        <w:t>párr. 222</w:t>
      </w:r>
      <w:r w:rsidRPr="00C21A2E">
        <w:rPr>
          <w:szCs w:val="16"/>
        </w:rPr>
        <w:t>,</w:t>
      </w:r>
      <w:r w:rsidRPr="00C21A2E">
        <w:rPr>
          <w:szCs w:val="16"/>
          <w:lang w:val="es-ES"/>
        </w:rPr>
        <w:t xml:space="preserve"> y </w:t>
      </w:r>
      <w:r w:rsidRPr="00C21A2E">
        <w:rPr>
          <w:i/>
          <w:szCs w:val="16"/>
        </w:rPr>
        <w:t>Caso Fern</w:t>
      </w:r>
      <w:r>
        <w:rPr>
          <w:i/>
          <w:szCs w:val="16"/>
        </w:rPr>
        <w:t>á</w:t>
      </w:r>
      <w:r w:rsidRPr="00C21A2E">
        <w:rPr>
          <w:i/>
          <w:szCs w:val="16"/>
        </w:rPr>
        <w:t xml:space="preserve">ndez Ortega y </w:t>
      </w:r>
      <w:r>
        <w:rPr>
          <w:i/>
          <w:szCs w:val="16"/>
        </w:rPr>
        <w:t>otros</w:t>
      </w:r>
      <w:r w:rsidRPr="00C21A2E">
        <w:rPr>
          <w:szCs w:val="16"/>
        </w:rPr>
        <w:t>, párr. 175</w:t>
      </w:r>
      <w:r w:rsidRPr="00C21A2E">
        <w:rPr>
          <w:szCs w:val="16"/>
          <w:lang w:val="es-ES"/>
        </w:rPr>
        <w:t>.</w:t>
      </w:r>
    </w:p>
  </w:footnote>
  <w:footnote w:id="214">
    <w:p w14:paraId="55E6FB9A" w14:textId="00D73AC3"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lang w:val="es-ES"/>
        </w:rPr>
        <w:t xml:space="preserve">Cantoral </w:t>
      </w:r>
      <w:proofErr w:type="spellStart"/>
      <w:r w:rsidRPr="00C21A2E">
        <w:rPr>
          <w:i/>
          <w:szCs w:val="16"/>
          <w:lang w:val="es-ES"/>
        </w:rPr>
        <w:t>Huamaní</w:t>
      </w:r>
      <w:proofErr w:type="spellEnd"/>
      <w:r w:rsidRPr="00C21A2E">
        <w:rPr>
          <w:i/>
          <w:szCs w:val="16"/>
          <w:lang w:val="es-ES"/>
        </w:rPr>
        <w:t xml:space="preserve"> y García Santa Cruz</w:t>
      </w:r>
      <w:r>
        <w:rPr>
          <w:szCs w:val="16"/>
        </w:rPr>
        <w:t xml:space="preserve">, párr. 133, y </w:t>
      </w:r>
      <w:r w:rsidRPr="00794AA5">
        <w:rPr>
          <w:i/>
          <w:szCs w:val="16"/>
          <w:lang w:val="es-ES"/>
        </w:rPr>
        <w:t>Caso García Ibarra y otros</w:t>
      </w:r>
      <w:r>
        <w:rPr>
          <w:szCs w:val="16"/>
          <w:lang w:val="es-ES"/>
        </w:rPr>
        <w:t>, párr. 135.</w:t>
      </w:r>
      <w:r>
        <w:rPr>
          <w:szCs w:val="16"/>
        </w:rPr>
        <w:t xml:space="preserve"> </w:t>
      </w:r>
    </w:p>
  </w:footnote>
  <w:footnote w:id="215">
    <w:p w14:paraId="194F2C72" w14:textId="344505E4"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Manual sobre la Prevención e Investigación Efectiva de Ejecuciones Extrajudiciales, Arbitrarias y Sumarias de Naciones Unidas (Protocolo de Minnesota).</w:t>
      </w:r>
    </w:p>
  </w:footnote>
  <w:footnote w:id="216">
    <w:p w14:paraId="0D68E1AA"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Cfr</w:t>
      </w:r>
      <w:r w:rsidRPr="00C21A2E">
        <w:rPr>
          <w:szCs w:val="16"/>
          <w:lang w:val="es-ES"/>
        </w:rPr>
        <w:t>. TEDH,</w:t>
      </w:r>
      <w:r w:rsidRPr="00C21A2E">
        <w:rPr>
          <w:i/>
          <w:szCs w:val="16"/>
          <w:lang w:val="es-ES"/>
        </w:rPr>
        <w:t xml:space="preserve"> Caso </w:t>
      </w:r>
      <w:proofErr w:type="spellStart"/>
      <w:r w:rsidRPr="00C21A2E">
        <w:rPr>
          <w:i/>
          <w:szCs w:val="16"/>
          <w:lang w:val="es-ES"/>
        </w:rPr>
        <w:t>Mustafa</w:t>
      </w:r>
      <w:proofErr w:type="spellEnd"/>
      <w:r w:rsidRPr="00C21A2E">
        <w:rPr>
          <w:i/>
          <w:szCs w:val="16"/>
          <w:lang w:val="es-ES"/>
        </w:rPr>
        <w:t xml:space="preserve"> </w:t>
      </w:r>
      <w:proofErr w:type="spellStart"/>
      <w:r w:rsidRPr="00C21A2E">
        <w:rPr>
          <w:i/>
          <w:szCs w:val="16"/>
          <w:lang w:val="es-ES"/>
        </w:rPr>
        <w:t>Tunc</w:t>
      </w:r>
      <w:proofErr w:type="spellEnd"/>
      <w:r w:rsidRPr="00C21A2E">
        <w:rPr>
          <w:i/>
          <w:szCs w:val="16"/>
          <w:lang w:val="es-ES"/>
        </w:rPr>
        <w:t xml:space="preserve"> y </w:t>
      </w:r>
      <w:proofErr w:type="spellStart"/>
      <w:r w:rsidRPr="00C21A2E">
        <w:rPr>
          <w:i/>
          <w:szCs w:val="16"/>
          <w:lang w:val="es-ES"/>
        </w:rPr>
        <w:t>Fecire</w:t>
      </w:r>
      <w:proofErr w:type="spellEnd"/>
      <w:r w:rsidRPr="00C21A2E">
        <w:rPr>
          <w:i/>
          <w:szCs w:val="16"/>
          <w:lang w:val="es-ES"/>
        </w:rPr>
        <w:t xml:space="preserve"> </w:t>
      </w:r>
      <w:proofErr w:type="spellStart"/>
      <w:r w:rsidRPr="00C21A2E">
        <w:rPr>
          <w:i/>
          <w:szCs w:val="16"/>
          <w:lang w:val="es-ES"/>
        </w:rPr>
        <w:t>Tunc</w:t>
      </w:r>
      <w:proofErr w:type="spellEnd"/>
      <w:r w:rsidRPr="00C21A2E">
        <w:rPr>
          <w:i/>
          <w:szCs w:val="16"/>
          <w:lang w:val="es-ES"/>
        </w:rPr>
        <w:t xml:space="preserve"> Vs. Turquía</w:t>
      </w:r>
      <w:r w:rsidRPr="00C21A2E">
        <w:rPr>
          <w:szCs w:val="16"/>
          <w:lang w:val="es-ES"/>
        </w:rPr>
        <w:t>, No. 24014/05, Sentencia de 14 de abril de 2015, párr. 230.</w:t>
      </w:r>
    </w:p>
  </w:footnote>
  <w:footnote w:id="217">
    <w:p w14:paraId="0BA5FED8" w14:textId="1EE99030"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rPr>
        <w:t xml:space="preserve">Cfr. </w:t>
      </w:r>
      <w:r w:rsidRPr="00C21A2E">
        <w:rPr>
          <w:szCs w:val="16"/>
        </w:rPr>
        <w:t xml:space="preserve">TEDH, </w:t>
      </w:r>
      <w:r w:rsidRPr="00C21A2E">
        <w:rPr>
          <w:i/>
          <w:szCs w:val="16"/>
        </w:rPr>
        <w:t xml:space="preserve">Caso </w:t>
      </w:r>
      <w:proofErr w:type="spellStart"/>
      <w:r w:rsidRPr="00C21A2E">
        <w:rPr>
          <w:i/>
          <w:szCs w:val="16"/>
        </w:rPr>
        <w:t>Mustafa</w:t>
      </w:r>
      <w:proofErr w:type="spellEnd"/>
      <w:r w:rsidRPr="00C21A2E">
        <w:rPr>
          <w:i/>
          <w:szCs w:val="16"/>
        </w:rPr>
        <w:t xml:space="preserve"> </w:t>
      </w:r>
      <w:proofErr w:type="spellStart"/>
      <w:r w:rsidRPr="00C21A2E">
        <w:rPr>
          <w:i/>
          <w:szCs w:val="16"/>
        </w:rPr>
        <w:t>Tunc</w:t>
      </w:r>
      <w:proofErr w:type="spellEnd"/>
      <w:r w:rsidRPr="00C21A2E">
        <w:rPr>
          <w:i/>
          <w:szCs w:val="16"/>
        </w:rPr>
        <w:t xml:space="preserve"> y </w:t>
      </w:r>
      <w:proofErr w:type="spellStart"/>
      <w:r w:rsidRPr="00C21A2E">
        <w:rPr>
          <w:i/>
          <w:szCs w:val="16"/>
        </w:rPr>
        <w:t>Fecire</w:t>
      </w:r>
      <w:proofErr w:type="spellEnd"/>
      <w:r w:rsidRPr="00C21A2E">
        <w:rPr>
          <w:i/>
          <w:szCs w:val="16"/>
        </w:rPr>
        <w:t xml:space="preserve"> </w:t>
      </w:r>
      <w:proofErr w:type="spellStart"/>
      <w:r w:rsidRPr="00C21A2E">
        <w:rPr>
          <w:i/>
          <w:szCs w:val="16"/>
        </w:rPr>
        <w:t>Tunc</w:t>
      </w:r>
      <w:proofErr w:type="spellEnd"/>
      <w:r w:rsidRPr="00C21A2E">
        <w:rPr>
          <w:i/>
          <w:szCs w:val="16"/>
        </w:rPr>
        <w:t xml:space="preserve"> v. Turquía</w:t>
      </w:r>
      <w:r w:rsidRPr="00C21A2E">
        <w:rPr>
          <w:szCs w:val="16"/>
        </w:rPr>
        <w:t>, No. 24014/05. Sentencia de 14 de abril de 2015, párr. 222</w:t>
      </w:r>
      <w:r>
        <w:rPr>
          <w:szCs w:val="16"/>
        </w:rPr>
        <w:t xml:space="preserve">; </w:t>
      </w:r>
      <w:r w:rsidRPr="00C21A2E">
        <w:rPr>
          <w:i/>
          <w:szCs w:val="16"/>
        </w:rPr>
        <w:t xml:space="preserve">Caso </w:t>
      </w:r>
      <w:proofErr w:type="spellStart"/>
      <w:r w:rsidRPr="00C21A2E">
        <w:rPr>
          <w:i/>
          <w:szCs w:val="16"/>
          <w:lang w:val="es-ES"/>
        </w:rPr>
        <w:t>Bektaş</w:t>
      </w:r>
      <w:proofErr w:type="spellEnd"/>
      <w:r w:rsidRPr="00C21A2E">
        <w:rPr>
          <w:i/>
          <w:szCs w:val="16"/>
          <w:lang w:val="es-ES"/>
        </w:rPr>
        <w:t xml:space="preserve"> y </w:t>
      </w:r>
      <w:proofErr w:type="spellStart"/>
      <w:r w:rsidRPr="00C21A2E">
        <w:rPr>
          <w:i/>
          <w:szCs w:val="16"/>
          <w:lang w:val="es-ES"/>
        </w:rPr>
        <w:t>Özalp</w:t>
      </w:r>
      <w:proofErr w:type="spellEnd"/>
      <w:r w:rsidRPr="00C21A2E">
        <w:rPr>
          <w:i/>
          <w:szCs w:val="16"/>
          <w:lang w:val="es-ES"/>
        </w:rPr>
        <w:t xml:space="preserve"> Vs. Turquía, </w:t>
      </w:r>
      <w:r w:rsidRPr="00C21A2E">
        <w:rPr>
          <w:szCs w:val="16"/>
          <w:lang w:val="es-ES"/>
        </w:rPr>
        <w:t xml:space="preserve">No. 10036/03. </w:t>
      </w:r>
      <w:r w:rsidRPr="00C21A2E">
        <w:rPr>
          <w:szCs w:val="16"/>
        </w:rPr>
        <w:t>Sentencia de 20 de abril de 2010, párr. 66,</w:t>
      </w:r>
      <w:r w:rsidRPr="00C21A2E">
        <w:rPr>
          <w:i/>
          <w:szCs w:val="16"/>
        </w:rPr>
        <w:t xml:space="preserve"> y Caso </w:t>
      </w:r>
      <w:proofErr w:type="spellStart"/>
      <w:r w:rsidRPr="00C21A2E">
        <w:rPr>
          <w:i/>
          <w:szCs w:val="16"/>
        </w:rPr>
        <w:t>Orhan</w:t>
      </w:r>
      <w:proofErr w:type="spellEnd"/>
      <w:r w:rsidRPr="00C21A2E">
        <w:rPr>
          <w:i/>
          <w:szCs w:val="16"/>
        </w:rPr>
        <w:t xml:space="preserve"> Vs. Turquía, </w:t>
      </w:r>
      <w:r w:rsidRPr="00C21A2E">
        <w:rPr>
          <w:szCs w:val="16"/>
        </w:rPr>
        <w:t xml:space="preserve">No. 25656/94. </w:t>
      </w:r>
      <w:r w:rsidRPr="00C21A2E">
        <w:rPr>
          <w:szCs w:val="16"/>
          <w:lang w:val="es-ES"/>
        </w:rPr>
        <w:t>Sentencia de 18 de junio de 2002, pár</w:t>
      </w:r>
      <w:r>
        <w:rPr>
          <w:szCs w:val="16"/>
          <w:lang w:val="es-ES"/>
        </w:rPr>
        <w:t xml:space="preserve">r. 342; </w:t>
      </w:r>
      <w:r w:rsidRPr="00C21A2E">
        <w:rPr>
          <w:i/>
          <w:szCs w:val="16"/>
          <w:lang w:val="es-ES"/>
        </w:rPr>
        <w:t xml:space="preserve">Caso </w:t>
      </w:r>
      <w:proofErr w:type="spellStart"/>
      <w:r w:rsidRPr="00C21A2E">
        <w:rPr>
          <w:i/>
          <w:szCs w:val="16"/>
          <w:lang w:val="es-ES"/>
        </w:rPr>
        <w:t>Ramsahai</w:t>
      </w:r>
      <w:proofErr w:type="spellEnd"/>
      <w:r w:rsidRPr="00C21A2E">
        <w:rPr>
          <w:i/>
          <w:szCs w:val="16"/>
          <w:lang w:val="es-ES"/>
        </w:rPr>
        <w:t xml:space="preserve"> y Otros Vs. Países Bajos</w:t>
      </w:r>
      <w:r w:rsidRPr="00C21A2E">
        <w:rPr>
          <w:szCs w:val="16"/>
          <w:lang w:val="es-ES"/>
        </w:rPr>
        <w:t xml:space="preserve">, No. 52391/99. </w:t>
      </w:r>
      <w:r w:rsidRPr="00C21A2E">
        <w:rPr>
          <w:szCs w:val="16"/>
        </w:rPr>
        <w:t xml:space="preserve">Sentencia de 15 de mayo de 2007, párr. 335-341; </w:t>
      </w:r>
      <w:r w:rsidRPr="00C21A2E">
        <w:rPr>
          <w:i/>
          <w:szCs w:val="16"/>
        </w:rPr>
        <w:t xml:space="preserve">Caso </w:t>
      </w:r>
      <w:proofErr w:type="spellStart"/>
      <w:r w:rsidRPr="00C21A2E">
        <w:rPr>
          <w:i/>
          <w:szCs w:val="16"/>
        </w:rPr>
        <w:t>Emars</w:t>
      </w:r>
      <w:proofErr w:type="spellEnd"/>
      <w:r w:rsidRPr="00C21A2E">
        <w:rPr>
          <w:i/>
          <w:szCs w:val="16"/>
        </w:rPr>
        <w:t xml:space="preserve">  Vs. Letonia</w:t>
      </w:r>
      <w:r w:rsidRPr="00C21A2E">
        <w:rPr>
          <w:szCs w:val="16"/>
        </w:rPr>
        <w:t xml:space="preserve">, No. 22412/08. Sentencia de 18 de noviembre de 2014, párr. 85 y 95,  </w:t>
      </w:r>
      <w:r w:rsidRPr="00C21A2E">
        <w:rPr>
          <w:i/>
          <w:szCs w:val="16"/>
        </w:rPr>
        <w:t xml:space="preserve">Caso </w:t>
      </w:r>
      <w:proofErr w:type="spellStart"/>
      <w:r w:rsidRPr="00C21A2E">
        <w:rPr>
          <w:i/>
          <w:szCs w:val="16"/>
        </w:rPr>
        <w:t>Aktaş</w:t>
      </w:r>
      <w:proofErr w:type="spellEnd"/>
      <w:r w:rsidRPr="00C21A2E">
        <w:rPr>
          <w:i/>
          <w:szCs w:val="16"/>
        </w:rPr>
        <w:t xml:space="preserve"> Vs. Turquía</w:t>
      </w:r>
      <w:r w:rsidRPr="00C21A2E">
        <w:rPr>
          <w:szCs w:val="16"/>
        </w:rPr>
        <w:t>, No. 24351/94. Sentencia de 24 de abril de 2003, párr. 301</w:t>
      </w:r>
      <w:r>
        <w:rPr>
          <w:szCs w:val="16"/>
        </w:rPr>
        <w:t xml:space="preserve">; </w:t>
      </w:r>
      <w:r w:rsidRPr="00C21A2E">
        <w:rPr>
          <w:i/>
          <w:szCs w:val="16"/>
        </w:rPr>
        <w:t>Caso</w:t>
      </w:r>
      <w:r w:rsidRPr="00C21A2E">
        <w:rPr>
          <w:i/>
          <w:szCs w:val="16"/>
          <w:lang w:val="es-ES"/>
        </w:rPr>
        <w:t xml:space="preserve"> </w:t>
      </w:r>
      <w:proofErr w:type="spellStart"/>
      <w:r w:rsidRPr="00C21A2E">
        <w:rPr>
          <w:i/>
          <w:szCs w:val="16"/>
          <w:lang w:val="es-ES"/>
        </w:rPr>
        <w:t>Şandru</w:t>
      </w:r>
      <w:proofErr w:type="spellEnd"/>
      <w:r w:rsidRPr="00C21A2E">
        <w:rPr>
          <w:i/>
          <w:szCs w:val="16"/>
          <w:lang w:val="es-ES"/>
        </w:rPr>
        <w:t xml:space="preserve"> y Otros Vs. Rumania</w:t>
      </w:r>
      <w:r w:rsidRPr="00C21A2E">
        <w:rPr>
          <w:szCs w:val="16"/>
          <w:lang w:val="es-ES"/>
        </w:rPr>
        <w:t xml:space="preserve">, No. 22465/03. </w:t>
      </w:r>
      <w:r w:rsidRPr="00C21A2E">
        <w:rPr>
          <w:szCs w:val="16"/>
        </w:rPr>
        <w:t xml:space="preserve">Sentencia de 8 de diciembre de 2009, párr. 74, y </w:t>
      </w:r>
      <w:r w:rsidRPr="00C21A2E">
        <w:rPr>
          <w:i/>
          <w:szCs w:val="16"/>
        </w:rPr>
        <w:t xml:space="preserve">Caso </w:t>
      </w:r>
      <w:proofErr w:type="spellStart"/>
      <w:r w:rsidRPr="00C21A2E">
        <w:rPr>
          <w:i/>
          <w:szCs w:val="16"/>
        </w:rPr>
        <w:t>Enukidze</w:t>
      </w:r>
      <w:proofErr w:type="spellEnd"/>
      <w:r w:rsidRPr="00C21A2E">
        <w:rPr>
          <w:i/>
          <w:szCs w:val="16"/>
        </w:rPr>
        <w:t xml:space="preserve"> y </w:t>
      </w:r>
      <w:proofErr w:type="spellStart"/>
      <w:r w:rsidRPr="00C21A2E">
        <w:rPr>
          <w:i/>
          <w:szCs w:val="16"/>
        </w:rPr>
        <w:t>Girgvliani</w:t>
      </w:r>
      <w:proofErr w:type="spellEnd"/>
      <w:r w:rsidRPr="00C21A2E">
        <w:rPr>
          <w:i/>
          <w:szCs w:val="16"/>
        </w:rPr>
        <w:t xml:space="preserve"> Vs. Georgia</w:t>
      </w:r>
      <w:r w:rsidRPr="00C21A2E">
        <w:rPr>
          <w:szCs w:val="16"/>
        </w:rPr>
        <w:t xml:space="preserve">, No. 25091/07. </w:t>
      </w:r>
      <w:r w:rsidRPr="00C21A2E">
        <w:rPr>
          <w:szCs w:val="16"/>
          <w:lang w:val="es-ES"/>
        </w:rPr>
        <w:t xml:space="preserve">Sentencia de 26  de abril de 2011, párr. 247 y </w:t>
      </w:r>
      <w:proofErr w:type="spellStart"/>
      <w:r w:rsidRPr="00C21A2E">
        <w:rPr>
          <w:szCs w:val="16"/>
          <w:lang w:val="es-ES"/>
        </w:rPr>
        <w:t>ss</w:t>
      </w:r>
      <w:proofErr w:type="spellEnd"/>
      <w:r>
        <w:rPr>
          <w:szCs w:val="16"/>
          <w:lang w:val="es-ES"/>
        </w:rPr>
        <w:t xml:space="preserve">; </w:t>
      </w:r>
      <w:r w:rsidRPr="00C21A2E">
        <w:rPr>
          <w:i/>
          <w:szCs w:val="16"/>
        </w:rPr>
        <w:t xml:space="preserve">Caso </w:t>
      </w:r>
      <w:proofErr w:type="spellStart"/>
      <w:r w:rsidRPr="00C21A2E">
        <w:rPr>
          <w:i/>
          <w:szCs w:val="16"/>
        </w:rPr>
        <w:t>Sergey</w:t>
      </w:r>
      <w:proofErr w:type="spellEnd"/>
      <w:r w:rsidRPr="00C21A2E">
        <w:rPr>
          <w:i/>
          <w:szCs w:val="16"/>
        </w:rPr>
        <w:t xml:space="preserve"> Shevchenko Vs. Ucrania</w:t>
      </w:r>
      <w:r w:rsidRPr="00C21A2E">
        <w:rPr>
          <w:szCs w:val="16"/>
        </w:rPr>
        <w:t xml:space="preserve">, No. 32478/02. </w:t>
      </w:r>
      <w:r w:rsidRPr="00C21A2E">
        <w:rPr>
          <w:szCs w:val="16"/>
          <w:lang w:val="es-ES"/>
        </w:rPr>
        <w:t>Sentencia de 4 de abril de 2006, párrs.72 y 73</w:t>
      </w:r>
      <w:r>
        <w:rPr>
          <w:szCs w:val="16"/>
          <w:lang w:val="es-ES"/>
        </w:rPr>
        <w:t xml:space="preserve">; </w:t>
      </w:r>
      <w:r w:rsidRPr="00C21A2E">
        <w:rPr>
          <w:i/>
          <w:szCs w:val="16"/>
          <w:lang w:val="es-ES"/>
        </w:rPr>
        <w:t xml:space="preserve">Caso </w:t>
      </w:r>
      <w:proofErr w:type="spellStart"/>
      <w:r w:rsidRPr="00C21A2E">
        <w:rPr>
          <w:i/>
          <w:szCs w:val="16"/>
          <w:lang w:val="es-ES"/>
        </w:rPr>
        <w:t>Kaya</w:t>
      </w:r>
      <w:proofErr w:type="spellEnd"/>
      <w:r w:rsidRPr="00C21A2E">
        <w:rPr>
          <w:i/>
          <w:szCs w:val="16"/>
          <w:lang w:val="es-ES"/>
        </w:rPr>
        <w:t xml:space="preserve"> Vs. </w:t>
      </w:r>
      <w:proofErr w:type="spellStart"/>
      <w:r w:rsidRPr="00C21A2E">
        <w:rPr>
          <w:i/>
          <w:szCs w:val="16"/>
          <w:lang w:val="es-ES"/>
        </w:rPr>
        <w:t>Turquia</w:t>
      </w:r>
      <w:proofErr w:type="spellEnd"/>
      <w:r w:rsidRPr="00C21A2E">
        <w:rPr>
          <w:szCs w:val="16"/>
          <w:lang w:val="es-ES"/>
        </w:rPr>
        <w:t xml:space="preserve">, No. 22535/93. Sentencia de 19 de febrero de 1998, párr. </w:t>
      </w:r>
      <w:r w:rsidRPr="00C21A2E">
        <w:rPr>
          <w:szCs w:val="16"/>
        </w:rPr>
        <w:t>89</w:t>
      </w:r>
      <w:r>
        <w:rPr>
          <w:szCs w:val="16"/>
        </w:rPr>
        <w:t xml:space="preserve">; </w:t>
      </w:r>
      <w:r w:rsidRPr="00C21A2E">
        <w:rPr>
          <w:szCs w:val="16"/>
        </w:rPr>
        <w:t xml:space="preserve">y </w:t>
      </w:r>
      <w:r w:rsidRPr="00C21A2E">
        <w:rPr>
          <w:i/>
          <w:szCs w:val="16"/>
        </w:rPr>
        <w:t xml:space="preserve">Caso </w:t>
      </w:r>
      <w:proofErr w:type="spellStart"/>
      <w:r w:rsidRPr="00C21A2E">
        <w:rPr>
          <w:i/>
          <w:szCs w:val="16"/>
        </w:rPr>
        <w:t>Grimailovs</w:t>
      </w:r>
      <w:proofErr w:type="spellEnd"/>
      <w:r w:rsidRPr="00C21A2E">
        <w:rPr>
          <w:i/>
          <w:szCs w:val="16"/>
        </w:rPr>
        <w:t xml:space="preserve"> Vs. </w:t>
      </w:r>
      <w:r w:rsidRPr="00C21A2E">
        <w:rPr>
          <w:i/>
          <w:szCs w:val="16"/>
          <w:lang w:val="es-ES"/>
        </w:rPr>
        <w:t>Letonia</w:t>
      </w:r>
      <w:r w:rsidRPr="00C21A2E">
        <w:rPr>
          <w:szCs w:val="16"/>
        </w:rPr>
        <w:t xml:space="preserve">, No. 6087/03. </w:t>
      </w:r>
      <w:r w:rsidRPr="00C21A2E">
        <w:rPr>
          <w:szCs w:val="16"/>
          <w:lang w:val="es-ES"/>
        </w:rPr>
        <w:t>Sentencia de 25 de junio de 2013, párr. 114</w:t>
      </w:r>
      <w:r>
        <w:rPr>
          <w:szCs w:val="16"/>
          <w:lang w:val="es-ES"/>
        </w:rPr>
        <w:t xml:space="preserve">; </w:t>
      </w:r>
      <w:r w:rsidRPr="00C21A2E">
        <w:rPr>
          <w:i/>
          <w:szCs w:val="16"/>
          <w:lang w:val="es-ES"/>
        </w:rPr>
        <w:t xml:space="preserve">Caso </w:t>
      </w:r>
      <w:proofErr w:type="spellStart"/>
      <w:r w:rsidRPr="00C21A2E">
        <w:rPr>
          <w:i/>
          <w:szCs w:val="16"/>
          <w:lang w:val="es-ES"/>
        </w:rPr>
        <w:t>Oğur</w:t>
      </w:r>
      <w:proofErr w:type="spellEnd"/>
      <w:r w:rsidRPr="00C21A2E">
        <w:rPr>
          <w:i/>
          <w:szCs w:val="16"/>
          <w:lang w:val="es-ES"/>
        </w:rPr>
        <w:t xml:space="preserve"> Vs. </w:t>
      </w:r>
      <w:proofErr w:type="spellStart"/>
      <w:r w:rsidRPr="00C21A2E">
        <w:rPr>
          <w:i/>
          <w:szCs w:val="16"/>
          <w:lang w:val="es-ES"/>
        </w:rPr>
        <w:t>Turquia</w:t>
      </w:r>
      <w:proofErr w:type="spellEnd"/>
      <w:r w:rsidRPr="00C21A2E">
        <w:rPr>
          <w:szCs w:val="16"/>
          <w:lang w:val="es-ES"/>
        </w:rPr>
        <w:t xml:space="preserve">, No. 21594/93. Sentencia de 20 de mayo de 1999, </w:t>
      </w:r>
      <w:proofErr w:type="spellStart"/>
      <w:r w:rsidRPr="00C21A2E">
        <w:rPr>
          <w:szCs w:val="16"/>
          <w:lang w:val="es-ES"/>
        </w:rPr>
        <w:t>párrs</w:t>
      </w:r>
      <w:proofErr w:type="spellEnd"/>
      <w:r w:rsidRPr="00C21A2E">
        <w:rPr>
          <w:szCs w:val="16"/>
          <w:lang w:val="es-ES"/>
        </w:rPr>
        <w:t>. 90-91</w:t>
      </w:r>
      <w:r>
        <w:rPr>
          <w:szCs w:val="16"/>
          <w:lang w:val="es-ES"/>
        </w:rPr>
        <w:t xml:space="preserve">; </w:t>
      </w:r>
      <w:r w:rsidRPr="00C21A2E">
        <w:rPr>
          <w:i/>
          <w:szCs w:val="16"/>
          <w:lang w:val="es-ES"/>
        </w:rPr>
        <w:t>Caso</w:t>
      </w:r>
      <w:r w:rsidRPr="00C21A2E">
        <w:rPr>
          <w:szCs w:val="16"/>
          <w:lang w:val="es-ES"/>
        </w:rPr>
        <w:t xml:space="preserve"> </w:t>
      </w:r>
      <w:proofErr w:type="spellStart"/>
      <w:r w:rsidRPr="00C21A2E">
        <w:rPr>
          <w:i/>
          <w:szCs w:val="16"/>
          <w:lang w:val="es-ES"/>
        </w:rPr>
        <w:t>Rupa</w:t>
      </w:r>
      <w:proofErr w:type="spellEnd"/>
      <w:r w:rsidRPr="00C21A2E">
        <w:rPr>
          <w:i/>
          <w:szCs w:val="16"/>
          <w:lang w:val="es-ES"/>
        </w:rPr>
        <w:t xml:space="preserve"> Vs. Rumania (no. 1)</w:t>
      </w:r>
      <w:r w:rsidRPr="00C21A2E">
        <w:rPr>
          <w:szCs w:val="16"/>
          <w:lang w:val="es-ES"/>
        </w:rPr>
        <w:t xml:space="preserve">, No. 58478/00. Sentencia de 16 de diciembre de 2008, </w:t>
      </w:r>
      <w:proofErr w:type="spellStart"/>
      <w:r w:rsidRPr="00C21A2E">
        <w:rPr>
          <w:szCs w:val="16"/>
          <w:lang w:val="es-ES"/>
        </w:rPr>
        <w:t>párrs</w:t>
      </w:r>
      <w:proofErr w:type="spellEnd"/>
      <w:r w:rsidRPr="00C21A2E">
        <w:rPr>
          <w:szCs w:val="16"/>
          <w:lang w:val="es-ES"/>
        </w:rPr>
        <w:t>. 123 y 124</w:t>
      </w:r>
      <w:r>
        <w:rPr>
          <w:szCs w:val="16"/>
          <w:lang w:val="es-ES"/>
        </w:rPr>
        <w:t xml:space="preserve">; </w:t>
      </w:r>
      <w:r w:rsidRPr="00CA3759">
        <w:rPr>
          <w:i/>
          <w:szCs w:val="16"/>
          <w:lang w:val="es-ES"/>
        </w:rPr>
        <w:t xml:space="preserve">Caso Armani da Silva Vs. </w:t>
      </w:r>
      <w:r w:rsidRPr="00C21A2E">
        <w:rPr>
          <w:i/>
          <w:szCs w:val="16"/>
          <w:lang w:val="es-ES"/>
        </w:rPr>
        <w:t>Reino Unido</w:t>
      </w:r>
      <w:r w:rsidRPr="00C21A2E">
        <w:rPr>
          <w:szCs w:val="16"/>
          <w:lang w:val="es-ES"/>
        </w:rPr>
        <w:t>, No. 5878/08, Sentencia de 30 de marzo de 2016, párr. 233</w:t>
      </w:r>
      <w:r>
        <w:rPr>
          <w:szCs w:val="16"/>
          <w:lang w:val="es-ES"/>
        </w:rPr>
        <w:t xml:space="preserve">, y </w:t>
      </w:r>
      <w:r w:rsidRPr="00C21A2E">
        <w:rPr>
          <w:szCs w:val="16"/>
        </w:rPr>
        <w:t>Caso</w:t>
      </w:r>
      <w:r w:rsidRPr="00C21A2E">
        <w:rPr>
          <w:i/>
          <w:szCs w:val="16"/>
        </w:rPr>
        <w:t xml:space="preserve"> </w:t>
      </w:r>
      <w:r w:rsidRPr="00C21A2E">
        <w:rPr>
          <w:i/>
          <w:szCs w:val="16"/>
          <w:lang w:val="es-ES"/>
        </w:rPr>
        <w:t>Al-</w:t>
      </w:r>
      <w:proofErr w:type="spellStart"/>
      <w:r w:rsidRPr="00C21A2E">
        <w:rPr>
          <w:i/>
          <w:szCs w:val="16"/>
          <w:lang w:val="es-ES"/>
        </w:rPr>
        <w:t>Skeini</w:t>
      </w:r>
      <w:proofErr w:type="spellEnd"/>
      <w:r w:rsidRPr="00C21A2E">
        <w:rPr>
          <w:i/>
          <w:szCs w:val="16"/>
          <w:lang w:val="es-ES"/>
        </w:rPr>
        <w:t xml:space="preserve"> y Otros Vs Reino Unido [GS], </w:t>
      </w:r>
      <w:r w:rsidRPr="00C21A2E">
        <w:rPr>
          <w:szCs w:val="16"/>
          <w:lang w:val="es-ES"/>
        </w:rPr>
        <w:t xml:space="preserve">No. 55721/07. </w:t>
      </w:r>
      <w:r w:rsidRPr="00C21A2E">
        <w:rPr>
          <w:szCs w:val="16"/>
        </w:rPr>
        <w:t>Sentencia de 7 de julio de 2011, párr. 173</w:t>
      </w:r>
      <w:r>
        <w:rPr>
          <w:szCs w:val="16"/>
        </w:rPr>
        <w:t>.</w:t>
      </w:r>
    </w:p>
  </w:footnote>
  <w:footnote w:id="218">
    <w:p w14:paraId="7FE5FAB5" w14:textId="0F905C06"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rPr>
        <w:t xml:space="preserve">Cfr. </w:t>
      </w:r>
      <w:r>
        <w:rPr>
          <w:szCs w:val="16"/>
        </w:rPr>
        <w:t xml:space="preserve">TEDH, </w:t>
      </w:r>
      <w:r w:rsidRPr="00C21A2E">
        <w:rPr>
          <w:i/>
          <w:szCs w:val="16"/>
          <w:lang w:val="es-ES"/>
        </w:rPr>
        <w:t xml:space="preserve">Caso </w:t>
      </w:r>
      <w:proofErr w:type="spellStart"/>
      <w:r w:rsidRPr="00C21A2E">
        <w:rPr>
          <w:i/>
          <w:szCs w:val="16"/>
          <w:lang w:val="es-ES"/>
        </w:rPr>
        <w:t>Ramsahai</w:t>
      </w:r>
      <w:proofErr w:type="spellEnd"/>
      <w:r w:rsidRPr="00C21A2E">
        <w:rPr>
          <w:i/>
          <w:szCs w:val="16"/>
          <w:lang w:val="es-ES"/>
        </w:rPr>
        <w:t xml:space="preserve"> y Otros Vs. Países Bajos</w:t>
      </w:r>
      <w:r w:rsidRPr="00C21A2E">
        <w:rPr>
          <w:szCs w:val="16"/>
          <w:lang w:val="es-ES"/>
        </w:rPr>
        <w:t xml:space="preserve">, No. 52391/99. Sentencia de 15 de mayo de 2007, </w:t>
      </w:r>
      <w:proofErr w:type="spellStart"/>
      <w:r w:rsidRPr="00C21A2E">
        <w:rPr>
          <w:szCs w:val="16"/>
          <w:lang w:val="es-ES"/>
        </w:rPr>
        <w:t>párrs</w:t>
      </w:r>
      <w:proofErr w:type="spellEnd"/>
      <w:r w:rsidRPr="00C21A2E">
        <w:rPr>
          <w:szCs w:val="16"/>
          <w:lang w:val="es-ES"/>
        </w:rPr>
        <w:t>. 343 y 344</w:t>
      </w:r>
      <w:r>
        <w:rPr>
          <w:szCs w:val="16"/>
          <w:lang w:val="es-ES"/>
        </w:rPr>
        <w:t xml:space="preserve">, y </w:t>
      </w:r>
      <w:r w:rsidRPr="00C21A2E">
        <w:rPr>
          <w:i/>
          <w:szCs w:val="16"/>
        </w:rPr>
        <w:t xml:space="preserve">Caso </w:t>
      </w:r>
      <w:proofErr w:type="spellStart"/>
      <w:r w:rsidRPr="00C21A2E">
        <w:rPr>
          <w:i/>
          <w:szCs w:val="16"/>
        </w:rPr>
        <w:t>Mustafa</w:t>
      </w:r>
      <w:proofErr w:type="spellEnd"/>
      <w:r w:rsidRPr="00C21A2E">
        <w:rPr>
          <w:i/>
          <w:szCs w:val="16"/>
        </w:rPr>
        <w:t xml:space="preserve"> </w:t>
      </w:r>
      <w:proofErr w:type="spellStart"/>
      <w:r w:rsidRPr="00C21A2E">
        <w:rPr>
          <w:i/>
          <w:szCs w:val="16"/>
        </w:rPr>
        <w:t>Tunc</w:t>
      </w:r>
      <w:proofErr w:type="spellEnd"/>
      <w:r w:rsidRPr="00C21A2E">
        <w:rPr>
          <w:i/>
          <w:szCs w:val="16"/>
        </w:rPr>
        <w:t xml:space="preserve"> y </w:t>
      </w:r>
      <w:proofErr w:type="spellStart"/>
      <w:r w:rsidRPr="00C21A2E">
        <w:rPr>
          <w:i/>
          <w:szCs w:val="16"/>
        </w:rPr>
        <w:t>Fecire</w:t>
      </w:r>
      <w:proofErr w:type="spellEnd"/>
      <w:r w:rsidRPr="00C21A2E">
        <w:rPr>
          <w:i/>
          <w:szCs w:val="16"/>
        </w:rPr>
        <w:t xml:space="preserve"> </w:t>
      </w:r>
      <w:proofErr w:type="spellStart"/>
      <w:r w:rsidRPr="00C21A2E">
        <w:rPr>
          <w:i/>
          <w:szCs w:val="16"/>
        </w:rPr>
        <w:t>Tunc</w:t>
      </w:r>
      <w:proofErr w:type="spellEnd"/>
      <w:r w:rsidRPr="00C21A2E">
        <w:rPr>
          <w:i/>
          <w:szCs w:val="16"/>
        </w:rPr>
        <w:t xml:space="preserve"> Vs. Turquía</w:t>
      </w:r>
      <w:r w:rsidRPr="00C21A2E">
        <w:rPr>
          <w:szCs w:val="16"/>
        </w:rPr>
        <w:t>, No. 24014/05. Sentencia de 14 de abril de 2015, párr. 223.</w:t>
      </w:r>
    </w:p>
  </w:footnote>
  <w:footnote w:id="219">
    <w:p w14:paraId="34CFEE23" w14:textId="1AE0A2CF"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rPr>
        <w:t xml:space="preserve">Cfr. </w:t>
      </w:r>
      <w:r>
        <w:rPr>
          <w:szCs w:val="16"/>
        </w:rPr>
        <w:t xml:space="preserve">TEDH, </w:t>
      </w:r>
      <w:r w:rsidRPr="00C21A2E">
        <w:rPr>
          <w:i/>
          <w:szCs w:val="16"/>
        </w:rPr>
        <w:t xml:space="preserve">Caso </w:t>
      </w:r>
      <w:proofErr w:type="spellStart"/>
      <w:r w:rsidRPr="00C21A2E">
        <w:rPr>
          <w:i/>
          <w:szCs w:val="16"/>
        </w:rPr>
        <w:t>Mustafa</w:t>
      </w:r>
      <w:proofErr w:type="spellEnd"/>
      <w:r w:rsidRPr="00C21A2E">
        <w:rPr>
          <w:i/>
          <w:szCs w:val="16"/>
        </w:rPr>
        <w:t xml:space="preserve"> </w:t>
      </w:r>
      <w:proofErr w:type="spellStart"/>
      <w:r w:rsidRPr="00C21A2E">
        <w:rPr>
          <w:i/>
          <w:szCs w:val="16"/>
        </w:rPr>
        <w:t>Tunc</w:t>
      </w:r>
      <w:proofErr w:type="spellEnd"/>
      <w:r w:rsidRPr="00C21A2E">
        <w:rPr>
          <w:i/>
          <w:szCs w:val="16"/>
        </w:rPr>
        <w:t xml:space="preserve"> y </w:t>
      </w:r>
      <w:proofErr w:type="spellStart"/>
      <w:r w:rsidRPr="00C21A2E">
        <w:rPr>
          <w:i/>
          <w:szCs w:val="16"/>
        </w:rPr>
        <w:t>Fecire</w:t>
      </w:r>
      <w:proofErr w:type="spellEnd"/>
      <w:r w:rsidRPr="00C21A2E">
        <w:rPr>
          <w:i/>
          <w:szCs w:val="16"/>
        </w:rPr>
        <w:t xml:space="preserve"> </w:t>
      </w:r>
      <w:proofErr w:type="spellStart"/>
      <w:r w:rsidRPr="00C21A2E">
        <w:rPr>
          <w:i/>
          <w:szCs w:val="16"/>
        </w:rPr>
        <w:t>Tunc</w:t>
      </w:r>
      <w:proofErr w:type="spellEnd"/>
      <w:r w:rsidRPr="00C21A2E">
        <w:rPr>
          <w:i/>
          <w:szCs w:val="16"/>
        </w:rPr>
        <w:t xml:space="preserve"> Vs. Turquía</w:t>
      </w:r>
      <w:r w:rsidRPr="00C21A2E">
        <w:rPr>
          <w:szCs w:val="16"/>
        </w:rPr>
        <w:t>, No. 24014/05. Sentencia de 14 de abril de 2015, párr. 224.</w:t>
      </w:r>
    </w:p>
  </w:footnote>
  <w:footnote w:id="220">
    <w:p w14:paraId="27EF7C46" w14:textId="2028745B" w:rsidR="00122408" w:rsidRPr="00A22B15"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i/>
          <w:szCs w:val="16"/>
        </w:rPr>
        <w:t xml:space="preserve">Cfr. </w:t>
      </w:r>
      <w:r>
        <w:rPr>
          <w:szCs w:val="16"/>
        </w:rPr>
        <w:t xml:space="preserve">TEDH, </w:t>
      </w:r>
      <w:r w:rsidRPr="00C21A2E">
        <w:rPr>
          <w:i/>
          <w:szCs w:val="16"/>
        </w:rPr>
        <w:t xml:space="preserve">Caso </w:t>
      </w:r>
      <w:proofErr w:type="spellStart"/>
      <w:r w:rsidRPr="00C21A2E">
        <w:rPr>
          <w:i/>
          <w:szCs w:val="16"/>
        </w:rPr>
        <w:t>Mustafa</w:t>
      </w:r>
      <w:proofErr w:type="spellEnd"/>
      <w:r w:rsidRPr="00C21A2E">
        <w:rPr>
          <w:i/>
          <w:szCs w:val="16"/>
        </w:rPr>
        <w:t xml:space="preserve"> </w:t>
      </w:r>
      <w:proofErr w:type="spellStart"/>
      <w:r w:rsidRPr="00C21A2E">
        <w:rPr>
          <w:i/>
          <w:szCs w:val="16"/>
        </w:rPr>
        <w:t>Tunc</w:t>
      </w:r>
      <w:proofErr w:type="spellEnd"/>
      <w:r w:rsidRPr="00C21A2E">
        <w:rPr>
          <w:i/>
          <w:szCs w:val="16"/>
        </w:rPr>
        <w:t xml:space="preserve"> y </w:t>
      </w:r>
      <w:proofErr w:type="spellStart"/>
      <w:r w:rsidRPr="00C21A2E">
        <w:rPr>
          <w:i/>
          <w:szCs w:val="16"/>
        </w:rPr>
        <w:t>Fecire</w:t>
      </w:r>
      <w:proofErr w:type="spellEnd"/>
      <w:r w:rsidRPr="00C21A2E">
        <w:rPr>
          <w:i/>
          <w:szCs w:val="16"/>
        </w:rPr>
        <w:t xml:space="preserve"> </w:t>
      </w:r>
      <w:proofErr w:type="spellStart"/>
      <w:r w:rsidRPr="00C21A2E">
        <w:rPr>
          <w:i/>
          <w:szCs w:val="16"/>
        </w:rPr>
        <w:t>Tunc</w:t>
      </w:r>
      <w:proofErr w:type="spellEnd"/>
      <w:r w:rsidRPr="00C21A2E">
        <w:rPr>
          <w:i/>
          <w:szCs w:val="16"/>
        </w:rPr>
        <w:t xml:space="preserve"> Vs. Turquía</w:t>
      </w:r>
      <w:r w:rsidRPr="00C21A2E">
        <w:rPr>
          <w:szCs w:val="16"/>
        </w:rPr>
        <w:t xml:space="preserve">, No. 24014/05. </w:t>
      </w:r>
      <w:r w:rsidRPr="00A22B15">
        <w:rPr>
          <w:szCs w:val="16"/>
          <w:lang w:val="es-ES"/>
        </w:rPr>
        <w:t>Sentencia de 14 de abril de 2015, párr. 225.</w:t>
      </w:r>
    </w:p>
  </w:footnote>
  <w:footnote w:id="221">
    <w:p w14:paraId="297F4ED1" w14:textId="45C172E9"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i/>
          <w:szCs w:val="16"/>
        </w:rPr>
        <w:t xml:space="preserve">Cfr. </w:t>
      </w:r>
      <w:r w:rsidRPr="00C21A2E">
        <w:rPr>
          <w:szCs w:val="16"/>
        </w:rPr>
        <w:t>TEDH</w:t>
      </w:r>
      <w:r>
        <w:rPr>
          <w:szCs w:val="16"/>
        </w:rPr>
        <w:t xml:space="preserve"> </w:t>
      </w:r>
      <w:r w:rsidRPr="00C21A2E">
        <w:rPr>
          <w:i/>
          <w:szCs w:val="16"/>
        </w:rPr>
        <w:t xml:space="preserve">Caso </w:t>
      </w:r>
      <w:proofErr w:type="spellStart"/>
      <w:r w:rsidRPr="00C21A2E">
        <w:rPr>
          <w:i/>
          <w:szCs w:val="16"/>
        </w:rPr>
        <w:t>Mustafa</w:t>
      </w:r>
      <w:proofErr w:type="spellEnd"/>
      <w:r w:rsidRPr="00C21A2E">
        <w:rPr>
          <w:i/>
          <w:szCs w:val="16"/>
        </w:rPr>
        <w:t xml:space="preserve"> </w:t>
      </w:r>
      <w:proofErr w:type="spellStart"/>
      <w:r w:rsidRPr="00C21A2E">
        <w:rPr>
          <w:i/>
          <w:szCs w:val="16"/>
        </w:rPr>
        <w:t>Tunc</w:t>
      </w:r>
      <w:proofErr w:type="spellEnd"/>
      <w:r w:rsidRPr="00C21A2E">
        <w:rPr>
          <w:i/>
          <w:szCs w:val="16"/>
        </w:rPr>
        <w:t xml:space="preserve"> y </w:t>
      </w:r>
      <w:proofErr w:type="spellStart"/>
      <w:r w:rsidRPr="00C21A2E">
        <w:rPr>
          <w:i/>
          <w:szCs w:val="16"/>
        </w:rPr>
        <w:t>Fecire</w:t>
      </w:r>
      <w:proofErr w:type="spellEnd"/>
      <w:r w:rsidRPr="00C21A2E">
        <w:rPr>
          <w:i/>
          <w:szCs w:val="16"/>
        </w:rPr>
        <w:t xml:space="preserve"> </w:t>
      </w:r>
      <w:proofErr w:type="spellStart"/>
      <w:r w:rsidRPr="00C21A2E">
        <w:rPr>
          <w:i/>
          <w:szCs w:val="16"/>
        </w:rPr>
        <w:t>Tunc</w:t>
      </w:r>
      <w:proofErr w:type="spellEnd"/>
      <w:r w:rsidRPr="00C21A2E">
        <w:rPr>
          <w:i/>
          <w:szCs w:val="16"/>
        </w:rPr>
        <w:t xml:space="preserve"> v. Turquía</w:t>
      </w:r>
      <w:r w:rsidRPr="00C21A2E">
        <w:rPr>
          <w:szCs w:val="16"/>
        </w:rPr>
        <w:t xml:space="preserve">, No. 24014/05. Sentencia de 14 de abril de 2015, párr. </w:t>
      </w:r>
      <w:r w:rsidRPr="00C21A2E">
        <w:rPr>
          <w:szCs w:val="16"/>
          <w:lang w:val="es-ES"/>
        </w:rPr>
        <w:t>234.</w:t>
      </w:r>
    </w:p>
  </w:footnote>
  <w:footnote w:id="222">
    <w:p w14:paraId="13FF630C" w14:textId="5CAB5181"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Cfr.</w:t>
      </w:r>
      <w:r>
        <w:rPr>
          <w:szCs w:val="16"/>
          <w:lang w:val="es-ES"/>
        </w:rPr>
        <w:t>, entre otros,</w:t>
      </w:r>
      <w:r w:rsidRPr="00C21A2E">
        <w:rPr>
          <w:i/>
          <w:szCs w:val="16"/>
          <w:lang w:val="es-ES"/>
        </w:rPr>
        <w:t xml:space="preserve"> </w:t>
      </w:r>
      <w:r w:rsidRPr="00C21A2E">
        <w:rPr>
          <w:szCs w:val="16"/>
          <w:lang w:val="es-EC"/>
        </w:rPr>
        <w:t xml:space="preserve">Informe de la Misión a Brasil, Relator Especial sobre Ejecuciones Extrajudiciales, Sumarias o Arbitrarias. U.N. Doc. A/HRC/11/2/Add.2, 23 de marzo de 2009; </w:t>
      </w:r>
      <w:r w:rsidRPr="00C21A2E">
        <w:rPr>
          <w:szCs w:val="16"/>
          <w:lang w:val="es-AR"/>
        </w:rPr>
        <w:t xml:space="preserve">peritaje rendido mediante </w:t>
      </w:r>
      <w:r>
        <w:rPr>
          <w:szCs w:val="16"/>
          <w:lang w:val="es-AR"/>
        </w:rPr>
        <w:t>affidávit</w:t>
      </w:r>
      <w:r w:rsidRPr="00C21A2E">
        <w:rPr>
          <w:szCs w:val="16"/>
          <w:lang w:val="es-AR"/>
        </w:rPr>
        <w:t xml:space="preserve"> </w:t>
      </w:r>
      <w:r>
        <w:rPr>
          <w:szCs w:val="16"/>
          <w:lang w:val="es-AR"/>
        </w:rPr>
        <w:t>por</w:t>
      </w:r>
      <w:r w:rsidRPr="00C21A2E">
        <w:rPr>
          <w:szCs w:val="16"/>
          <w:lang w:val="es-AR"/>
        </w:rPr>
        <w:t xml:space="preserve"> Michel </w:t>
      </w:r>
      <w:proofErr w:type="spellStart"/>
      <w:r w:rsidRPr="00C21A2E">
        <w:rPr>
          <w:szCs w:val="16"/>
          <w:lang w:val="es-AR"/>
        </w:rPr>
        <w:t>Misse</w:t>
      </w:r>
      <w:proofErr w:type="spellEnd"/>
      <w:r w:rsidRPr="00C21A2E">
        <w:rPr>
          <w:szCs w:val="16"/>
          <w:lang w:val="es-AR"/>
        </w:rPr>
        <w:t xml:space="preserve"> </w:t>
      </w:r>
      <w:r>
        <w:rPr>
          <w:szCs w:val="16"/>
          <w:lang w:val="es-AR"/>
        </w:rPr>
        <w:t>el</w:t>
      </w:r>
      <w:r w:rsidRPr="00C21A2E">
        <w:rPr>
          <w:szCs w:val="16"/>
          <w:lang w:val="es-AR"/>
        </w:rPr>
        <w:t xml:space="preserve"> 16 de septiembre de 2016, folios 14510 y 14511, 14515; </w:t>
      </w:r>
      <w:r>
        <w:rPr>
          <w:szCs w:val="16"/>
          <w:lang w:val="es-AR"/>
        </w:rPr>
        <w:t xml:space="preserve">peritaje </w:t>
      </w:r>
      <w:r w:rsidRPr="00C21A2E">
        <w:rPr>
          <w:szCs w:val="16"/>
          <w:lang w:val="es-AR"/>
        </w:rPr>
        <w:t xml:space="preserve">rendido mediante </w:t>
      </w:r>
      <w:r>
        <w:rPr>
          <w:szCs w:val="16"/>
          <w:lang w:val="es-AR"/>
        </w:rPr>
        <w:t>affidávit</w:t>
      </w:r>
      <w:r w:rsidRPr="00C21A2E">
        <w:rPr>
          <w:szCs w:val="16"/>
          <w:lang w:val="es-AR"/>
        </w:rPr>
        <w:t xml:space="preserve"> </w:t>
      </w:r>
      <w:r>
        <w:rPr>
          <w:szCs w:val="16"/>
          <w:lang w:val="es-AR"/>
        </w:rPr>
        <w:t>por</w:t>
      </w:r>
      <w:r w:rsidRPr="00C21A2E">
        <w:rPr>
          <w:szCs w:val="16"/>
          <w:lang w:val="es-AR"/>
        </w:rPr>
        <w:t xml:space="preserve"> </w:t>
      </w:r>
      <w:r>
        <w:rPr>
          <w:szCs w:val="16"/>
          <w:lang w:val="es-AR"/>
        </w:rPr>
        <w:t xml:space="preserve">Marlon </w:t>
      </w:r>
      <w:proofErr w:type="spellStart"/>
      <w:r>
        <w:rPr>
          <w:szCs w:val="16"/>
          <w:lang w:val="es-AR"/>
        </w:rPr>
        <w:t>Weichert</w:t>
      </w:r>
      <w:proofErr w:type="spellEnd"/>
      <w:r>
        <w:rPr>
          <w:szCs w:val="16"/>
          <w:lang w:val="es-AR"/>
        </w:rPr>
        <w:t xml:space="preserve"> el </w:t>
      </w:r>
      <w:r w:rsidRPr="00C21A2E">
        <w:rPr>
          <w:szCs w:val="16"/>
          <w:lang w:val="es-AR"/>
        </w:rPr>
        <w:t xml:space="preserve">30 de septiembre de 2016, folios 14545 a 14549; </w:t>
      </w:r>
      <w:r>
        <w:rPr>
          <w:szCs w:val="16"/>
          <w:lang w:val="es-AR"/>
        </w:rPr>
        <w:t xml:space="preserve">Testimonio rendido mediante affidávit por Ignacio Cano el 27 </w:t>
      </w:r>
      <w:r w:rsidRPr="00C21A2E">
        <w:rPr>
          <w:szCs w:val="16"/>
          <w:lang w:val="es-AR"/>
        </w:rPr>
        <w:t xml:space="preserve">de septiembre de 2016, folios 15557 a 15561, y peritaje rendido mediante </w:t>
      </w:r>
      <w:r>
        <w:rPr>
          <w:szCs w:val="16"/>
          <w:lang w:val="es-AR"/>
        </w:rPr>
        <w:t>affidávit</w:t>
      </w:r>
      <w:r w:rsidRPr="00C21A2E">
        <w:rPr>
          <w:szCs w:val="16"/>
          <w:lang w:val="es-AR"/>
        </w:rPr>
        <w:t xml:space="preserve"> </w:t>
      </w:r>
      <w:r>
        <w:rPr>
          <w:szCs w:val="16"/>
          <w:lang w:val="es-AR"/>
        </w:rPr>
        <w:t>por</w:t>
      </w:r>
      <w:r w:rsidRPr="00C21A2E">
        <w:rPr>
          <w:szCs w:val="16"/>
          <w:lang w:val="es-AR"/>
        </w:rPr>
        <w:t xml:space="preserve"> </w:t>
      </w:r>
      <w:proofErr w:type="spellStart"/>
      <w:r w:rsidRPr="00C21A2E">
        <w:rPr>
          <w:szCs w:val="16"/>
          <w:lang w:val="es-AR"/>
        </w:rPr>
        <w:t>Caetano</w:t>
      </w:r>
      <w:proofErr w:type="spellEnd"/>
      <w:r w:rsidRPr="00C21A2E">
        <w:rPr>
          <w:szCs w:val="16"/>
          <w:lang w:val="es-AR"/>
        </w:rPr>
        <w:t xml:space="preserve"> </w:t>
      </w:r>
      <w:proofErr w:type="spellStart"/>
      <w:r w:rsidRPr="00C21A2E">
        <w:rPr>
          <w:szCs w:val="16"/>
          <w:lang w:val="es-AR"/>
        </w:rPr>
        <w:t>Lagrasta</w:t>
      </w:r>
      <w:proofErr w:type="spellEnd"/>
      <w:r w:rsidRPr="00C21A2E">
        <w:rPr>
          <w:szCs w:val="16"/>
          <w:lang w:val="es-AR"/>
        </w:rPr>
        <w:t xml:space="preserve"> Neto </w:t>
      </w:r>
      <w:r>
        <w:rPr>
          <w:szCs w:val="16"/>
          <w:lang w:val="es-AR"/>
        </w:rPr>
        <w:t>el</w:t>
      </w:r>
      <w:r w:rsidRPr="00C21A2E">
        <w:rPr>
          <w:szCs w:val="16"/>
          <w:lang w:val="es-AR"/>
        </w:rPr>
        <w:t xml:space="preserve"> 30 de septiembre de 2016, folios 16529 a 16532, 16553, 16555, 16557 a 16558.</w:t>
      </w:r>
    </w:p>
  </w:footnote>
  <w:footnote w:id="223">
    <w:p w14:paraId="34B58C98" w14:textId="4D5B0B71"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Carátula del expediente renumerado 141/02 (expediente de prueba, folio 27).</w:t>
      </w:r>
    </w:p>
  </w:footnote>
  <w:footnote w:id="224">
    <w:p w14:paraId="33DF714C" w14:textId="7A8E2F63" w:rsidR="00122408" w:rsidRPr="006253B7" w:rsidRDefault="00122408" w:rsidP="00B50B41">
      <w:pPr>
        <w:pStyle w:val="FootnoteText"/>
        <w:spacing w:after="40"/>
        <w:rPr>
          <w:b/>
          <w:szCs w:val="16"/>
        </w:rPr>
      </w:pPr>
      <w:r w:rsidRPr="00C21A2E">
        <w:rPr>
          <w:rStyle w:val="FootnoteReference"/>
          <w:sz w:val="16"/>
          <w:szCs w:val="16"/>
        </w:rPr>
        <w:footnoteRef/>
      </w:r>
      <w:r w:rsidRPr="00C21A2E">
        <w:rPr>
          <w:szCs w:val="16"/>
        </w:rPr>
        <w:t xml:space="preserve"> Pedido de plazo para cumplimiento de diligencias (expediente de prueba, folios 270-298).</w:t>
      </w:r>
      <w:r>
        <w:rPr>
          <w:szCs w:val="16"/>
        </w:rPr>
        <w:t xml:space="preserve"> </w:t>
      </w:r>
    </w:p>
  </w:footnote>
  <w:footnote w:id="225">
    <w:p w14:paraId="1E0A2E6D"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Certificado de unificación de expedientes el 13 de agosto de 2007 (</w:t>
      </w:r>
      <w:r w:rsidRPr="00C21A2E">
        <w:rPr>
          <w:rFonts w:cs="Arial"/>
          <w:szCs w:val="16"/>
        </w:rPr>
        <w:t>expediente de prueba, folios</w:t>
      </w:r>
      <w:r w:rsidRPr="00C21A2E">
        <w:rPr>
          <w:szCs w:val="16"/>
        </w:rPr>
        <w:t xml:space="preserve"> 29-30). </w:t>
      </w:r>
    </w:p>
  </w:footnote>
  <w:footnote w:id="226">
    <w:p w14:paraId="07A3DFD2"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Convocatoria para José Secundino (</w:t>
      </w:r>
      <w:r w:rsidRPr="00C21A2E">
        <w:rPr>
          <w:rFonts w:cs="Arial"/>
          <w:szCs w:val="16"/>
        </w:rPr>
        <w:t>expediente de prueba, folio</w:t>
      </w:r>
      <w:r w:rsidRPr="00C21A2E">
        <w:rPr>
          <w:szCs w:val="16"/>
        </w:rPr>
        <w:t xml:space="preserve"> 308).</w:t>
      </w:r>
    </w:p>
  </w:footnote>
  <w:footnote w:id="227">
    <w:p w14:paraId="34CE350F" w14:textId="1BC6274D"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Orden de citación </w:t>
      </w:r>
      <w:r>
        <w:rPr>
          <w:szCs w:val="16"/>
        </w:rPr>
        <w:t>IP No. 141/02</w:t>
      </w:r>
      <w:r w:rsidRPr="00C21A2E">
        <w:rPr>
          <w:szCs w:val="16"/>
        </w:rPr>
        <w:t xml:space="preserve"> (</w:t>
      </w:r>
      <w:r w:rsidRPr="00C21A2E">
        <w:rPr>
          <w:rFonts w:cs="Arial"/>
          <w:szCs w:val="16"/>
        </w:rPr>
        <w:t>expediente de prueba, folio</w:t>
      </w:r>
      <w:r w:rsidRPr="00C21A2E">
        <w:rPr>
          <w:szCs w:val="16"/>
        </w:rPr>
        <w:t xml:space="preserve"> 310).</w:t>
      </w:r>
    </w:p>
  </w:footnote>
  <w:footnote w:id="228">
    <w:p w14:paraId="65D65C02" w14:textId="1BDE7AA9"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Expediente </w:t>
      </w:r>
      <w:r>
        <w:rPr>
          <w:rFonts w:cs="Arial"/>
          <w:szCs w:val="16"/>
        </w:rPr>
        <w:t>IP No. 141/02</w:t>
      </w:r>
      <w:r w:rsidRPr="00C21A2E">
        <w:rPr>
          <w:rFonts w:cs="Arial"/>
          <w:szCs w:val="16"/>
        </w:rPr>
        <w:t>, oficio de 14 de agosto de 2009 (expediente de prueba, folios 5102 y 5103).</w:t>
      </w:r>
    </w:p>
  </w:footnote>
  <w:footnote w:id="229">
    <w:p w14:paraId="6B94B794" w14:textId="41145606"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Expediente </w:t>
      </w:r>
      <w:r>
        <w:rPr>
          <w:rFonts w:cs="Arial"/>
          <w:szCs w:val="16"/>
        </w:rPr>
        <w:t>IP No. 141/02</w:t>
      </w:r>
      <w:r w:rsidRPr="00C21A2E">
        <w:rPr>
          <w:rFonts w:cs="Arial"/>
          <w:szCs w:val="16"/>
        </w:rPr>
        <w:t>, oficio de 1 de octubre de 2009 (expediente de prueba, folios 5105-5107).</w:t>
      </w:r>
    </w:p>
  </w:footnote>
  <w:footnote w:id="230">
    <w:p w14:paraId="43539676" w14:textId="3F583F1E"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Expediente </w:t>
      </w:r>
      <w:r>
        <w:rPr>
          <w:rFonts w:cs="Arial"/>
          <w:szCs w:val="16"/>
        </w:rPr>
        <w:t>IP No. 141/02</w:t>
      </w:r>
      <w:r w:rsidRPr="00C21A2E">
        <w:rPr>
          <w:rFonts w:cs="Arial"/>
          <w:szCs w:val="16"/>
        </w:rPr>
        <w:t xml:space="preserve">, decisión del </w:t>
      </w:r>
      <w:r w:rsidRPr="00C21A2E">
        <w:rPr>
          <w:szCs w:val="16"/>
          <w:lang w:val="es-EC"/>
        </w:rPr>
        <w:t xml:space="preserve">31º Juzgado Penal </w:t>
      </w:r>
      <w:r w:rsidRPr="00C21A2E">
        <w:rPr>
          <w:rFonts w:cs="Arial"/>
          <w:szCs w:val="16"/>
        </w:rPr>
        <w:t>de 3 de noviembre de 2009 (expediente de prueba, folio 510</w:t>
      </w:r>
      <w:r>
        <w:rPr>
          <w:rFonts w:cs="Arial"/>
          <w:szCs w:val="16"/>
        </w:rPr>
        <w:t>8</w:t>
      </w:r>
      <w:r w:rsidRPr="00C21A2E">
        <w:rPr>
          <w:rFonts w:cs="Arial"/>
          <w:szCs w:val="16"/>
        </w:rPr>
        <w:t>).</w:t>
      </w:r>
    </w:p>
  </w:footnote>
  <w:footnote w:id="231">
    <w:p w14:paraId="78C003B5" w14:textId="377A4840"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Decisión del 1º </w:t>
      </w:r>
      <w:r w:rsidRPr="00C21A2E">
        <w:rPr>
          <w:szCs w:val="16"/>
          <w:lang w:val="es-EC"/>
        </w:rPr>
        <w:t xml:space="preserve">Juzgado Penal </w:t>
      </w:r>
      <w:r w:rsidRPr="00C21A2E">
        <w:rPr>
          <w:szCs w:val="16"/>
          <w:lang w:val="es-ES"/>
        </w:rPr>
        <w:t>de 21 de mayo de 2013 (expediente de prueba, folio 64</w:t>
      </w:r>
      <w:r>
        <w:rPr>
          <w:szCs w:val="16"/>
          <w:lang w:val="es-ES"/>
        </w:rPr>
        <w:t>52-6453</w:t>
      </w:r>
      <w:r w:rsidRPr="00C21A2E">
        <w:rPr>
          <w:szCs w:val="16"/>
          <w:lang w:val="es-ES"/>
        </w:rPr>
        <w:t>).</w:t>
      </w:r>
    </w:p>
  </w:footnote>
  <w:footnote w:id="232">
    <w:p w14:paraId="795B2498"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6658).</w:t>
      </w:r>
    </w:p>
  </w:footnote>
  <w:footnote w:id="233">
    <w:p w14:paraId="3897E683"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6665).</w:t>
      </w:r>
    </w:p>
  </w:footnote>
  <w:footnote w:id="234">
    <w:p w14:paraId="3672FCD8"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6780).</w:t>
      </w:r>
    </w:p>
  </w:footnote>
  <w:footnote w:id="235">
    <w:p w14:paraId="745AA85B"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6837).</w:t>
      </w:r>
    </w:p>
  </w:footnote>
  <w:footnote w:id="236">
    <w:p w14:paraId="54F9AC9C"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6841).</w:t>
      </w:r>
    </w:p>
  </w:footnote>
  <w:footnote w:id="237">
    <w:p w14:paraId="095FB8C3"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6853).</w:t>
      </w:r>
    </w:p>
  </w:footnote>
  <w:footnote w:id="238">
    <w:p w14:paraId="383FCD62"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Expediente del Proceso No. 2009.001.272489-7 (expediente de prueba, folio 6855).</w:t>
      </w:r>
    </w:p>
  </w:footnote>
  <w:footnote w:id="239">
    <w:p w14:paraId="02B6F974" w14:textId="01AE41AA" w:rsidR="00122408" w:rsidRPr="00C21A2E" w:rsidRDefault="00122408" w:rsidP="00B50B41">
      <w:pPr>
        <w:pStyle w:val="FootnoteText"/>
        <w:spacing w:after="40"/>
        <w:rPr>
          <w:szCs w:val="16"/>
        </w:rPr>
      </w:pPr>
      <w:r w:rsidRPr="00C21A2E">
        <w:rPr>
          <w:rStyle w:val="FootnoteReference"/>
          <w:sz w:val="16"/>
          <w:szCs w:val="16"/>
        </w:rPr>
        <w:footnoteRef/>
      </w:r>
      <w:r w:rsidRPr="006253B7">
        <w:rPr>
          <w:szCs w:val="16"/>
          <w:lang w:val="pt-BR"/>
        </w:rPr>
        <w:t xml:space="preserve"> </w:t>
      </w:r>
      <w:r w:rsidRPr="006253B7">
        <w:rPr>
          <w:i/>
          <w:szCs w:val="16"/>
          <w:lang w:val="pt-BR"/>
        </w:rPr>
        <w:t xml:space="preserve">Cfr. </w:t>
      </w:r>
      <w:r w:rsidRPr="006253B7">
        <w:rPr>
          <w:bCs/>
          <w:i/>
          <w:szCs w:val="16"/>
          <w:lang w:val="pt-BR"/>
        </w:rPr>
        <w:t xml:space="preserve">Caso Ximenes Lopes Vs. Brasil. </w:t>
      </w:r>
      <w:r w:rsidRPr="006253B7">
        <w:rPr>
          <w:bCs/>
          <w:szCs w:val="16"/>
        </w:rPr>
        <w:t>Sentencia de 4 de julio de 2006. Serie C No. 149</w:t>
      </w:r>
      <w:r w:rsidRPr="00C21A2E">
        <w:rPr>
          <w:szCs w:val="16"/>
          <w:lang w:val="es-ES"/>
        </w:rPr>
        <w:t xml:space="preserve">, párr. 199, y </w:t>
      </w:r>
      <w:r w:rsidRPr="001D770C">
        <w:rPr>
          <w:bCs/>
          <w:i/>
          <w:szCs w:val="16"/>
          <w:shd w:val="clear" w:color="auto" w:fill="FFFFFF"/>
        </w:rPr>
        <w:t xml:space="preserve">Caso Miembros de la Aldea </w:t>
      </w:r>
      <w:proofErr w:type="spellStart"/>
      <w:r w:rsidRPr="001D770C">
        <w:rPr>
          <w:bCs/>
          <w:i/>
          <w:szCs w:val="16"/>
          <w:shd w:val="clear" w:color="auto" w:fill="FFFFFF"/>
        </w:rPr>
        <w:t>Chichupac</w:t>
      </w:r>
      <w:proofErr w:type="spellEnd"/>
      <w:r w:rsidRPr="001D770C">
        <w:rPr>
          <w:bCs/>
          <w:i/>
          <w:szCs w:val="16"/>
          <w:shd w:val="clear" w:color="auto" w:fill="FFFFFF"/>
        </w:rPr>
        <w:t xml:space="preserve"> y comunidades vecinas del Municipio de Rabinal</w:t>
      </w:r>
      <w:r w:rsidRPr="00C21A2E">
        <w:rPr>
          <w:rStyle w:val="Strong"/>
          <w:b w:val="0"/>
          <w:szCs w:val="16"/>
          <w:shd w:val="clear" w:color="auto" w:fill="FFFFFF"/>
          <w:lang w:val="es-ES"/>
        </w:rPr>
        <w:t xml:space="preserve">, párr. </w:t>
      </w:r>
      <w:r>
        <w:rPr>
          <w:rStyle w:val="Strong"/>
          <w:b w:val="0"/>
          <w:szCs w:val="16"/>
          <w:shd w:val="clear" w:color="auto" w:fill="FFFFFF"/>
          <w:lang w:val="es-ES"/>
        </w:rPr>
        <w:t>210</w:t>
      </w:r>
      <w:r w:rsidRPr="00C21A2E">
        <w:rPr>
          <w:rStyle w:val="Strong"/>
          <w:b w:val="0"/>
          <w:szCs w:val="16"/>
          <w:shd w:val="clear" w:color="auto" w:fill="FFFFFF"/>
          <w:lang w:val="es-ES"/>
        </w:rPr>
        <w:t>.</w:t>
      </w:r>
      <w:r w:rsidRPr="00C21A2E">
        <w:rPr>
          <w:szCs w:val="16"/>
          <w:lang w:val="es-ES"/>
        </w:rPr>
        <w:t xml:space="preserve"> </w:t>
      </w:r>
    </w:p>
  </w:footnote>
  <w:footnote w:id="240">
    <w:p w14:paraId="6AA041B8" w14:textId="2B787024"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Entre otros, ver </w:t>
      </w:r>
      <w:r w:rsidRPr="00C21A2E">
        <w:rPr>
          <w:szCs w:val="16"/>
          <w:lang w:val="es-AR"/>
        </w:rPr>
        <w:t xml:space="preserve">peritaje rendido mediante </w:t>
      </w:r>
      <w:r>
        <w:rPr>
          <w:szCs w:val="16"/>
          <w:lang w:val="es-AR"/>
        </w:rPr>
        <w:t>affidávit</w:t>
      </w:r>
      <w:r w:rsidRPr="00C21A2E">
        <w:rPr>
          <w:szCs w:val="16"/>
          <w:lang w:val="es-AR"/>
        </w:rPr>
        <w:t xml:space="preserve"> </w:t>
      </w:r>
      <w:r>
        <w:rPr>
          <w:szCs w:val="16"/>
          <w:lang w:val="es-AR"/>
        </w:rPr>
        <w:t>por</w:t>
      </w:r>
      <w:r w:rsidRPr="00C21A2E">
        <w:rPr>
          <w:szCs w:val="16"/>
          <w:lang w:val="es-AR"/>
        </w:rPr>
        <w:t xml:space="preserve"> </w:t>
      </w:r>
      <w:proofErr w:type="spellStart"/>
      <w:r w:rsidRPr="00C21A2E">
        <w:rPr>
          <w:szCs w:val="16"/>
          <w:lang w:val="es-AR"/>
        </w:rPr>
        <w:t>Caetano</w:t>
      </w:r>
      <w:proofErr w:type="spellEnd"/>
      <w:r w:rsidRPr="00C21A2E">
        <w:rPr>
          <w:szCs w:val="16"/>
          <w:lang w:val="es-AR"/>
        </w:rPr>
        <w:t xml:space="preserve"> </w:t>
      </w:r>
      <w:proofErr w:type="spellStart"/>
      <w:r w:rsidRPr="00C21A2E">
        <w:rPr>
          <w:szCs w:val="16"/>
          <w:lang w:val="es-AR"/>
        </w:rPr>
        <w:t>Lagrasta</w:t>
      </w:r>
      <w:proofErr w:type="spellEnd"/>
      <w:r w:rsidRPr="00C21A2E">
        <w:rPr>
          <w:szCs w:val="16"/>
          <w:lang w:val="es-AR"/>
        </w:rPr>
        <w:t xml:space="preserve"> Neto </w:t>
      </w:r>
      <w:r>
        <w:rPr>
          <w:szCs w:val="16"/>
          <w:lang w:val="es-AR"/>
        </w:rPr>
        <w:t>el</w:t>
      </w:r>
      <w:r w:rsidRPr="00C21A2E">
        <w:rPr>
          <w:szCs w:val="16"/>
          <w:lang w:val="es-AR"/>
        </w:rPr>
        <w:t xml:space="preserve"> 30 de septiembre de 2016, folios 16558, 16564, 16594; peritaje rendido mediante </w:t>
      </w:r>
      <w:r>
        <w:rPr>
          <w:szCs w:val="16"/>
          <w:lang w:val="es-AR"/>
        </w:rPr>
        <w:t>affidávit</w:t>
      </w:r>
      <w:r w:rsidRPr="00C21A2E">
        <w:rPr>
          <w:szCs w:val="16"/>
          <w:lang w:val="es-AR"/>
        </w:rPr>
        <w:t xml:space="preserve"> </w:t>
      </w:r>
      <w:r>
        <w:rPr>
          <w:szCs w:val="16"/>
          <w:lang w:val="es-AR"/>
        </w:rPr>
        <w:t>por</w:t>
      </w:r>
      <w:r w:rsidRPr="00C21A2E">
        <w:rPr>
          <w:szCs w:val="16"/>
          <w:lang w:val="es-AR"/>
        </w:rPr>
        <w:t xml:space="preserve"> </w:t>
      </w:r>
      <w:proofErr w:type="spellStart"/>
      <w:r w:rsidRPr="00C21A2E">
        <w:rPr>
          <w:szCs w:val="16"/>
          <w:lang w:val="es-AR"/>
        </w:rPr>
        <w:t>Jose</w:t>
      </w:r>
      <w:proofErr w:type="spellEnd"/>
      <w:r w:rsidRPr="00C21A2E">
        <w:rPr>
          <w:szCs w:val="16"/>
          <w:lang w:val="es-AR"/>
        </w:rPr>
        <w:t xml:space="preserve"> Pablo </w:t>
      </w:r>
      <w:proofErr w:type="spellStart"/>
      <w:r w:rsidRPr="00C21A2E">
        <w:rPr>
          <w:szCs w:val="16"/>
          <w:lang w:val="es-AR"/>
        </w:rPr>
        <w:t>Baraybar</w:t>
      </w:r>
      <w:proofErr w:type="spellEnd"/>
      <w:r w:rsidRPr="00C21A2E">
        <w:rPr>
          <w:szCs w:val="16"/>
          <w:lang w:val="es-AR"/>
        </w:rPr>
        <w:t xml:space="preserve"> </w:t>
      </w:r>
      <w:r>
        <w:rPr>
          <w:szCs w:val="16"/>
          <w:lang w:val="es-AR"/>
        </w:rPr>
        <w:t>el</w:t>
      </w:r>
      <w:r w:rsidRPr="00C21A2E">
        <w:rPr>
          <w:szCs w:val="16"/>
          <w:lang w:val="es-AR"/>
        </w:rPr>
        <w:t xml:space="preserve"> 4 de agosto de 2016 (expediente de prueba, folios 16307, 16308 y 16343); Informe Pericial de Tania </w:t>
      </w:r>
      <w:proofErr w:type="spellStart"/>
      <w:r w:rsidRPr="00C21A2E">
        <w:rPr>
          <w:szCs w:val="16"/>
          <w:lang w:val="es-AR"/>
        </w:rPr>
        <w:t>Donati</w:t>
      </w:r>
      <w:proofErr w:type="spellEnd"/>
      <w:r w:rsidRPr="00C21A2E">
        <w:rPr>
          <w:szCs w:val="16"/>
          <w:lang w:val="es-AR"/>
        </w:rPr>
        <w:t xml:space="preserve"> </w:t>
      </w:r>
      <w:proofErr w:type="spellStart"/>
      <w:r w:rsidRPr="00C21A2E">
        <w:rPr>
          <w:szCs w:val="16"/>
          <w:lang w:val="es-AR"/>
        </w:rPr>
        <w:t>Paes</w:t>
      </w:r>
      <w:proofErr w:type="spellEnd"/>
      <w:r w:rsidRPr="00C21A2E">
        <w:rPr>
          <w:szCs w:val="16"/>
          <w:lang w:val="es-AR"/>
        </w:rPr>
        <w:t xml:space="preserve"> Rio de 25 de septiembre de 2000 (expediente de prueba, folio 578), y peritaje rendido mediante </w:t>
      </w:r>
      <w:r>
        <w:rPr>
          <w:szCs w:val="16"/>
          <w:lang w:val="es-AR"/>
        </w:rPr>
        <w:t>affidávit</w:t>
      </w:r>
      <w:r w:rsidRPr="00C21A2E">
        <w:rPr>
          <w:szCs w:val="16"/>
          <w:lang w:val="es-AR"/>
        </w:rPr>
        <w:t xml:space="preserve"> </w:t>
      </w:r>
      <w:r>
        <w:rPr>
          <w:szCs w:val="16"/>
          <w:lang w:val="es-AR"/>
        </w:rPr>
        <w:t>por</w:t>
      </w:r>
      <w:r w:rsidRPr="00C21A2E">
        <w:rPr>
          <w:szCs w:val="16"/>
          <w:lang w:val="es-AR"/>
        </w:rPr>
        <w:t xml:space="preserve"> </w:t>
      </w:r>
      <w:proofErr w:type="spellStart"/>
      <w:r w:rsidRPr="00C21A2E">
        <w:rPr>
          <w:szCs w:val="16"/>
          <w:lang w:val="es-AR"/>
        </w:rPr>
        <w:t>Jan</w:t>
      </w:r>
      <w:proofErr w:type="spellEnd"/>
      <w:r w:rsidRPr="00C21A2E">
        <w:rPr>
          <w:szCs w:val="16"/>
          <w:lang w:val="es-AR"/>
        </w:rPr>
        <w:t xml:space="preserve"> Michael-</w:t>
      </w:r>
      <w:proofErr w:type="spellStart"/>
      <w:r w:rsidRPr="00C21A2E">
        <w:rPr>
          <w:szCs w:val="16"/>
          <w:lang w:val="es-AR"/>
        </w:rPr>
        <w:t>Simon</w:t>
      </w:r>
      <w:proofErr w:type="spellEnd"/>
      <w:r w:rsidRPr="00C21A2E">
        <w:rPr>
          <w:szCs w:val="16"/>
          <w:lang w:val="es-AR"/>
        </w:rPr>
        <w:t xml:space="preserve"> </w:t>
      </w:r>
      <w:r>
        <w:rPr>
          <w:szCs w:val="16"/>
          <w:lang w:val="es-AR"/>
        </w:rPr>
        <w:t>el</w:t>
      </w:r>
      <w:r w:rsidRPr="00C21A2E">
        <w:rPr>
          <w:szCs w:val="16"/>
          <w:lang w:val="es-AR"/>
        </w:rPr>
        <w:t xml:space="preserve"> 29 de septiembre de 2016 (expediente de prueba, folios  15828).</w:t>
      </w:r>
    </w:p>
  </w:footnote>
  <w:footnote w:id="241">
    <w:p w14:paraId="21060E7B" w14:textId="3D9B94B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Peritaje rendido mediante </w:t>
      </w:r>
      <w:r>
        <w:rPr>
          <w:szCs w:val="16"/>
        </w:rPr>
        <w:t>affidávit</w:t>
      </w:r>
      <w:r w:rsidRPr="00C21A2E">
        <w:rPr>
          <w:szCs w:val="16"/>
        </w:rPr>
        <w:t xml:space="preserve"> </w:t>
      </w:r>
      <w:r>
        <w:rPr>
          <w:szCs w:val="16"/>
        </w:rPr>
        <w:t>por</w:t>
      </w:r>
      <w:r w:rsidRPr="00C21A2E">
        <w:rPr>
          <w:szCs w:val="16"/>
        </w:rPr>
        <w:t xml:space="preserve"> João Trajano </w:t>
      </w:r>
      <w:r w:rsidRPr="00C21A2E">
        <w:rPr>
          <w:szCs w:val="16"/>
          <w:lang w:val="es-AR"/>
        </w:rPr>
        <w:t xml:space="preserve">Lima </w:t>
      </w:r>
      <w:proofErr w:type="spellStart"/>
      <w:r w:rsidRPr="00C21A2E">
        <w:rPr>
          <w:szCs w:val="16"/>
          <w:lang w:val="es-AR"/>
        </w:rPr>
        <w:t>Sento</w:t>
      </w:r>
      <w:proofErr w:type="spellEnd"/>
      <w:r w:rsidRPr="00C21A2E">
        <w:rPr>
          <w:szCs w:val="16"/>
          <w:lang w:val="es-AR"/>
        </w:rPr>
        <w:t xml:space="preserve">-Sé </w:t>
      </w:r>
      <w:r>
        <w:rPr>
          <w:szCs w:val="16"/>
          <w:lang w:val="es-AR"/>
        </w:rPr>
        <w:t>el</w:t>
      </w:r>
      <w:r w:rsidRPr="00C21A2E">
        <w:rPr>
          <w:szCs w:val="16"/>
          <w:lang w:val="es-AR"/>
        </w:rPr>
        <w:t xml:space="preserve"> 28 de septiembre de 2016 (expediente de prueba, folio 16478). </w:t>
      </w:r>
    </w:p>
  </w:footnote>
  <w:footnote w:id="242">
    <w:p w14:paraId="006647F9"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Informe Pericial de la experta forense Tania </w:t>
      </w:r>
      <w:proofErr w:type="spellStart"/>
      <w:r w:rsidRPr="00C21A2E">
        <w:rPr>
          <w:szCs w:val="16"/>
        </w:rPr>
        <w:t>Donati</w:t>
      </w:r>
      <w:proofErr w:type="spellEnd"/>
      <w:r w:rsidRPr="00C21A2E">
        <w:rPr>
          <w:szCs w:val="16"/>
        </w:rPr>
        <w:t xml:space="preserve"> </w:t>
      </w:r>
      <w:proofErr w:type="spellStart"/>
      <w:r w:rsidRPr="00C21A2E">
        <w:rPr>
          <w:szCs w:val="16"/>
        </w:rPr>
        <w:t>Paes</w:t>
      </w:r>
      <w:proofErr w:type="spellEnd"/>
      <w:r w:rsidRPr="00C21A2E">
        <w:rPr>
          <w:szCs w:val="16"/>
        </w:rPr>
        <w:t xml:space="preserve"> Rio de 25 de septiembre de 2000 (</w:t>
      </w:r>
      <w:r w:rsidRPr="00C21A2E">
        <w:rPr>
          <w:rFonts w:cs="Arial"/>
          <w:szCs w:val="16"/>
        </w:rPr>
        <w:t>expediente de prueba, folios</w:t>
      </w:r>
      <w:r w:rsidRPr="00C21A2E">
        <w:rPr>
          <w:szCs w:val="16"/>
        </w:rPr>
        <w:t xml:space="preserve"> 576-578).</w:t>
      </w:r>
    </w:p>
  </w:footnote>
  <w:footnote w:id="243">
    <w:p w14:paraId="6EE3D347" w14:textId="60522A80"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6253B7">
        <w:rPr>
          <w:i/>
          <w:szCs w:val="16"/>
        </w:rPr>
        <w:t xml:space="preserve">Ato </w:t>
      </w:r>
      <w:proofErr w:type="spellStart"/>
      <w:r w:rsidRPr="006253B7">
        <w:rPr>
          <w:i/>
          <w:szCs w:val="16"/>
        </w:rPr>
        <w:t>Avocatório</w:t>
      </w:r>
      <w:proofErr w:type="spellEnd"/>
      <w:r>
        <w:rPr>
          <w:szCs w:val="16"/>
        </w:rPr>
        <w:t xml:space="preserve"> de </w:t>
      </w:r>
      <w:r w:rsidRPr="00C21A2E">
        <w:rPr>
          <w:szCs w:val="16"/>
        </w:rPr>
        <w:t>30 de noviembre de 2004 (</w:t>
      </w:r>
      <w:r w:rsidRPr="00C21A2E">
        <w:rPr>
          <w:rFonts w:cs="Arial"/>
          <w:szCs w:val="16"/>
        </w:rPr>
        <w:t>expediente de prueba, folio</w:t>
      </w:r>
      <w:r w:rsidRPr="00C21A2E">
        <w:rPr>
          <w:szCs w:val="16"/>
        </w:rPr>
        <w:t xml:space="preserve"> 656).</w:t>
      </w:r>
    </w:p>
  </w:footnote>
  <w:footnote w:id="244">
    <w:p w14:paraId="352D30FF" w14:textId="7885575B"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proofErr w:type="spellStart"/>
      <w:r w:rsidRPr="00C21A2E">
        <w:rPr>
          <w:szCs w:val="16"/>
        </w:rPr>
        <w:t>Renumeración</w:t>
      </w:r>
      <w:proofErr w:type="spellEnd"/>
      <w:r w:rsidRPr="00C21A2E">
        <w:rPr>
          <w:szCs w:val="16"/>
        </w:rPr>
        <w:t xml:space="preserve"> del IP </w:t>
      </w:r>
      <w:r>
        <w:rPr>
          <w:szCs w:val="16"/>
        </w:rPr>
        <w:t xml:space="preserve">No. </w:t>
      </w:r>
      <w:r w:rsidRPr="00C21A2E">
        <w:rPr>
          <w:szCs w:val="16"/>
        </w:rPr>
        <w:t>120/01 como IP 217/04 (</w:t>
      </w:r>
      <w:r w:rsidRPr="00C21A2E">
        <w:rPr>
          <w:rFonts w:cs="Arial"/>
          <w:szCs w:val="16"/>
        </w:rPr>
        <w:t>expediente de prueba, folios</w:t>
      </w:r>
      <w:r w:rsidRPr="00C21A2E">
        <w:rPr>
          <w:szCs w:val="16"/>
        </w:rPr>
        <w:t xml:space="preserve"> 317-318).</w:t>
      </w:r>
    </w:p>
  </w:footnote>
  <w:footnote w:id="245">
    <w:p w14:paraId="21BD8593" w14:textId="362FBD1A"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Manifestación del Oficial de Policía Fernando Albuquerque el 27 de enero de 2005 (</w:t>
      </w:r>
      <w:r w:rsidRPr="00C21A2E">
        <w:rPr>
          <w:rFonts w:cs="Arial"/>
          <w:szCs w:val="16"/>
        </w:rPr>
        <w:t>expediente de prueba, folios</w:t>
      </w:r>
      <w:r w:rsidRPr="00C21A2E">
        <w:rPr>
          <w:szCs w:val="16"/>
        </w:rPr>
        <w:t xml:space="preserve"> 658-659).</w:t>
      </w:r>
    </w:p>
  </w:footnote>
  <w:footnote w:id="246">
    <w:p w14:paraId="7EBA1132" w14:textId="777777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Pedido de plazo para cumplimiento de diligencias (</w:t>
      </w:r>
      <w:r w:rsidRPr="00C21A2E">
        <w:rPr>
          <w:rFonts w:cs="Arial"/>
          <w:szCs w:val="16"/>
        </w:rPr>
        <w:t>expediente de prueba, folios</w:t>
      </w:r>
      <w:r w:rsidRPr="00C21A2E">
        <w:rPr>
          <w:szCs w:val="16"/>
        </w:rPr>
        <w:t xml:space="preserve"> 663-693).</w:t>
      </w:r>
    </w:p>
  </w:footnote>
  <w:footnote w:id="247">
    <w:p w14:paraId="43329F3A" w14:textId="769B276C"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Informe </w:t>
      </w:r>
      <w:r>
        <w:rPr>
          <w:szCs w:val="16"/>
          <w:lang w:val="es-ES"/>
        </w:rPr>
        <w:t xml:space="preserve">de la </w:t>
      </w:r>
      <w:r w:rsidRPr="00C21A2E">
        <w:rPr>
          <w:szCs w:val="16"/>
          <w:lang w:val="es-ES"/>
        </w:rPr>
        <w:t>Policía Civil de Río de Janeiro (expediente de prueba, folios 5740-5745).</w:t>
      </w:r>
    </w:p>
  </w:footnote>
  <w:footnote w:id="248">
    <w:p w14:paraId="08135BDA" w14:textId="4B354A44"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Oficio de la COINPOL</w:t>
      </w:r>
      <w:r w:rsidRPr="00C21A2E">
        <w:rPr>
          <w:szCs w:val="16"/>
          <w:lang w:val="es-ES"/>
        </w:rPr>
        <w:t xml:space="preserve"> (expediente de prueba, folios 5746-5747).</w:t>
      </w:r>
    </w:p>
  </w:footnote>
  <w:footnote w:id="249">
    <w:p w14:paraId="69B75D42" w14:textId="566EDD68"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Oficio del Ministerio Público de </w:t>
      </w:r>
      <w:r w:rsidRPr="00C21A2E">
        <w:rPr>
          <w:szCs w:val="16"/>
          <w:lang w:val="es-ES"/>
        </w:rPr>
        <w:t>Río de Janeiro (expediente de prueba, folios 5751-5752).</w:t>
      </w:r>
    </w:p>
  </w:footnote>
  <w:footnote w:id="250">
    <w:p w14:paraId="3A81AD7B"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Decisión </w:t>
      </w:r>
      <w:r w:rsidRPr="00C21A2E">
        <w:rPr>
          <w:szCs w:val="16"/>
        </w:rPr>
        <w:t xml:space="preserve">del 3º Juzgado Penal </w:t>
      </w:r>
      <w:r w:rsidRPr="00C21A2E">
        <w:rPr>
          <w:szCs w:val="16"/>
          <w:lang w:val="es-ES"/>
        </w:rPr>
        <w:t>(expediente de prueba, folio 5753).</w:t>
      </w:r>
    </w:p>
  </w:footnote>
  <w:footnote w:id="251">
    <w:p w14:paraId="1BE90EDE" w14:textId="46B45719"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Oficio del Ministerio Público de </w:t>
      </w:r>
      <w:r w:rsidRPr="00C21A2E">
        <w:rPr>
          <w:szCs w:val="16"/>
          <w:lang w:val="es-ES"/>
        </w:rPr>
        <w:t>Río de Janeiro (expediente de prueba, folios 7740-77</w:t>
      </w:r>
      <w:r>
        <w:rPr>
          <w:szCs w:val="16"/>
          <w:lang w:val="es-ES"/>
        </w:rPr>
        <w:t>55</w:t>
      </w:r>
      <w:r w:rsidRPr="00C21A2E">
        <w:rPr>
          <w:szCs w:val="16"/>
          <w:lang w:val="es-ES"/>
        </w:rPr>
        <w:t>).</w:t>
      </w:r>
    </w:p>
  </w:footnote>
  <w:footnote w:id="252">
    <w:p w14:paraId="56EC238D"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Decisión </w:t>
      </w:r>
      <w:r w:rsidRPr="00C21A2E">
        <w:rPr>
          <w:szCs w:val="16"/>
        </w:rPr>
        <w:t xml:space="preserve">del 3º Juzgado Penal </w:t>
      </w:r>
      <w:r w:rsidRPr="00C21A2E">
        <w:rPr>
          <w:szCs w:val="16"/>
          <w:lang w:val="es-ES"/>
        </w:rPr>
        <w:t>(expediente de prueba, folios 7757-7761).</w:t>
      </w:r>
    </w:p>
  </w:footnote>
  <w:footnote w:id="253">
    <w:p w14:paraId="3C1CCE4F" w14:textId="0F7E296F"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Oficio del Procurador General </w:t>
      </w:r>
      <w:r w:rsidRPr="00C21A2E">
        <w:rPr>
          <w:szCs w:val="16"/>
          <w:lang w:val="es-ES"/>
        </w:rPr>
        <w:t>de Justicia (expediente de prueba, folio 7769).</w:t>
      </w:r>
    </w:p>
  </w:footnote>
  <w:footnote w:id="254">
    <w:p w14:paraId="382390BB" w14:textId="76084882"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Expediente del Proceso IP </w:t>
      </w:r>
      <w:r w:rsidRPr="00C21A2E">
        <w:rPr>
          <w:szCs w:val="16"/>
          <w:lang w:val="es-ES"/>
        </w:rPr>
        <w:t>901-008992/2013 (expediente de prueba, folio 7109).</w:t>
      </w:r>
    </w:p>
  </w:footnote>
  <w:footnote w:id="255">
    <w:p w14:paraId="47741C37" w14:textId="36D2A47B"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Expediente del Proceso IP </w:t>
      </w:r>
      <w:r w:rsidRPr="00C21A2E">
        <w:rPr>
          <w:szCs w:val="16"/>
          <w:lang w:val="es-ES"/>
        </w:rPr>
        <w:t>901-008992/2013 (expediente de prueba, folios 7807-7819).</w:t>
      </w:r>
    </w:p>
  </w:footnote>
  <w:footnote w:id="256">
    <w:p w14:paraId="4C6B525B" w14:textId="49FCC2E6"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Oficio del Ministerio Público de </w:t>
      </w:r>
      <w:r w:rsidRPr="00C21A2E">
        <w:rPr>
          <w:szCs w:val="16"/>
          <w:lang w:val="es-ES"/>
        </w:rPr>
        <w:t>Río de Janeiro (expediente de prueba, folios 8163-8169).</w:t>
      </w:r>
    </w:p>
  </w:footnote>
  <w:footnote w:id="257">
    <w:p w14:paraId="4C4347DF" w14:textId="7015297A"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Expediente del Proceso IP </w:t>
      </w:r>
      <w:r w:rsidRPr="00C21A2E">
        <w:rPr>
          <w:szCs w:val="16"/>
          <w:lang w:val="es-ES"/>
        </w:rPr>
        <w:t>901-008992/2013 (expediente de prueba, folios 8226, 8231-8251, 8252, 8282-8288).</w:t>
      </w:r>
    </w:p>
  </w:footnote>
  <w:footnote w:id="258">
    <w:p w14:paraId="4C29158B"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Decisión </w:t>
      </w:r>
      <w:r w:rsidRPr="00C21A2E">
        <w:rPr>
          <w:szCs w:val="16"/>
        </w:rPr>
        <w:t>del 3º Juzgado Penal</w:t>
      </w:r>
      <w:r w:rsidRPr="00C21A2E">
        <w:rPr>
          <w:szCs w:val="16"/>
          <w:lang w:val="es-ES"/>
        </w:rPr>
        <w:t xml:space="preserve"> (expediente de prueba, folios 8321-8337).</w:t>
      </w:r>
    </w:p>
  </w:footnote>
  <w:footnote w:id="259">
    <w:p w14:paraId="5F2C6609" w14:textId="4604BB1E" w:rsidR="00122408" w:rsidRPr="00C21A2E" w:rsidRDefault="00122408" w:rsidP="00B50B41">
      <w:pPr>
        <w:pStyle w:val="FootnoteText"/>
        <w:spacing w:after="40"/>
        <w:rPr>
          <w:szCs w:val="16"/>
          <w:lang w:val="es-AR"/>
        </w:rPr>
      </w:pPr>
      <w:r w:rsidRPr="00C21A2E">
        <w:rPr>
          <w:rStyle w:val="FootnoteReference"/>
          <w:rFonts w:eastAsia="Calibri"/>
          <w:sz w:val="16"/>
          <w:szCs w:val="16"/>
        </w:rPr>
        <w:footnoteRef/>
      </w:r>
      <w:r w:rsidRPr="00C21A2E">
        <w:rPr>
          <w:szCs w:val="16"/>
          <w:lang w:val="es-AR"/>
        </w:rPr>
        <w:t xml:space="preserve"> </w:t>
      </w:r>
      <w:r w:rsidRPr="00C21A2E">
        <w:rPr>
          <w:i/>
          <w:szCs w:val="16"/>
          <w:lang w:val="es-AR"/>
        </w:rPr>
        <w:t xml:space="preserve">Cfr. </w:t>
      </w:r>
      <w:r w:rsidRPr="006253B7">
        <w:rPr>
          <w:bCs/>
          <w:i/>
          <w:szCs w:val="16"/>
        </w:rPr>
        <w:t xml:space="preserve">Caso Herrera Ulloa Vs. Costa Rica. Excepciones Preliminares, Fondo, Reparaciones y Costas. </w:t>
      </w:r>
      <w:r w:rsidRPr="006253B7">
        <w:rPr>
          <w:bCs/>
          <w:szCs w:val="16"/>
        </w:rPr>
        <w:t>Sentencia de 2 de julio de 2004. Serie C No. 107</w:t>
      </w:r>
      <w:r w:rsidRPr="00C21A2E">
        <w:rPr>
          <w:szCs w:val="16"/>
          <w:lang w:val="es-AR"/>
        </w:rPr>
        <w:t xml:space="preserve">, párr. 171, y </w:t>
      </w:r>
      <w:r w:rsidRPr="00C21A2E">
        <w:rPr>
          <w:rFonts w:cs="Arial"/>
          <w:i/>
          <w:szCs w:val="16"/>
          <w:lang w:val="es-CL"/>
        </w:rPr>
        <w:t xml:space="preserve">Caso </w:t>
      </w:r>
      <w:r>
        <w:rPr>
          <w:rFonts w:cs="Arial"/>
          <w:i/>
          <w:szCs w:val="16"/>
          <w:lang w:val="es-CL"/>
        </w:rPr>
        <w:t xml:space="preserve">Duque, </w:t>
      </w:r>
      <w:proofErr w:type="spellStart"/>
      <w:r w:rsidRPr="00C21A2E">
        <w:rPr>
          <w:rFonts w:cs="Arial"/>
          <w:szCs w:val="16"/>
          <w:lang w:val="es-CL"/>
        </w:rPr>
        <w:t>párr</w:t>
      </w:r>
      <w:proofErr w:type="spellEnd"/>
      <w:r w:rsidRPr="00C21A2E">
        <w:rPr>
          <w:rFonts w:cs="Arial"/>
          <w:szCs w:val="16"/>
          <w:lang w:val="es-CO"/>
        </w:rPr>
        <w:t xml:space="preserve">. </w:t>
      </w:r>
      <w:r>
        <w:rPr>
          <w:rFonts w:cs="Arial"/>
          <w:szCs w:val="16"/>
          <w:lang w:val="es-CO"/>
        </w:rPr>
        <w:t>162</w:t>
      </w:r>
      <w:r w:rsidRPr="00C21A2E">
        <w:rPr>
          <w:rFonts w:cs="Arial"/>
          <w:szCs w:val="16"/>
          <w:lang w:val="es-CO"/>
        </w:rPr>
        <w:t>.</w:t>
      </w:r>
    </w:p>
  </w:footnote>
  <w:footnote w:id="260">
    <w:p w14:paraId="455360BA" w14:textId="4757E314"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C21A2E">
        <w:rPr>
          <w:bCs/>
          <w:i/>
          <w:szCs w:val="16"/>
          <w:lang w:val="es-ES"/>
        </w:rPr>
        <w:t xml:space="preserve">Caso Suárez Rosero Vs. Ecuador. </w:t>
      </w:r>
      <w:r w:rsidRPr="00C21A2E">
        <w:rPr>
          <w:i/>
          <w:szCs w:val="16"/>
          <w:lang w:val="es-ES"/>
        </w:rPr>
        <w:t>Fondo</w:t>
      </w:r>
      <w:r w:rsidRPr="00C21A2E">
        <w:rPr>
          <w:szCs w:val="16"/>
          <w:lang w:val="es-ES"/>
        </w:rPr>
        <w:t xml:space="preserve">. Sentencia de 12 de noviembre de 1997. Serie C No. 35, párr. 71, y </w:t>
      </w:r>
      <w:r w:rsidRPr="00F53CF6">
        <w:rPr>
          <w:bCs/>
          <w:i/>
          <w:szCs w:val="16"/>
        </w:rPr>
        <w:t>Caso Andrade Salmón</w:t>
      </w:r>
      <w:r w:rsidRPr="00C21A2E">
        <w:rPr>
          <w:i/>
          <w:szCs w:val="16"/>
          <w:lang w:val="es-ES"/>
        </w:rPr>
        <w:t xml:space="preserve">, </w:t>
      </w:r>
      <w:r w:rsidRPr="00C21A2E">
        <w:rPr>
          <w:szCs w:val="16"/>
          <w:lang w:val="es-ES"/>
        </w:rPr>
        <w:t xml:space="preserve">párr. </w:t>
      </w:r>
      <w:r>
        <w:rPr>
          <w:szCs w:val="16"/>
          <w:lang w:val="es-ES"/>
        </w:rPr>
        <w:t>157</w:t>
      </w:r>
      <w:r w:rsidRPr="00C21A2E">
        <w:rPr>
          <w:szCs w:val="16"/>
          <w:lang w:val="es-ES"/>
        </w:rPr>
        <w:t>.</w:t>
      </w:r>
    </w:p>
  </w:footnote>
  <w:footnote w:id="261">
    <w:p w14:paraId="2AB2AA45" w14:textId="0BDE4624"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rPr>
        <w:t xml:space="preserve">Cfr. </w:t>
      </w:r>
      <w:r w:rsidRPr="00C21A2E">
        <w:rPr>
          <w:bCs/>
          <w:i/>
          <w:szCs w:val="16"/>
        </w:rPr>
        <w:t xml:space="preserve">Caso Suárez Rosero. </w:t>
      </w:r>
      <w:r w:rsidRPr="00C21A2E">
        <w:rPr>
          <w:i/>
          <w:szCs w:val="16"/>
        </w:rPr>
        <w:t xml:space="preserve">Fondo, </w:t>
      </w:r>
      <w:r w:rsidRPr="00C21A2E">
        <w:rPr>
          <w:szCs w:val="16"/>
        </w:rPr>
        <w:t xml:space="preserve">párr. 71, y </w:t>
      </w:r>
      <w:r w:rsidRPr="00F53CF6">
        <w:rPr>
          <w:bCs/>
          <w:i/>
          <w:szCs w:val="16"/>
        </w:rPr>
        <w:t>Caso Andrade Salmón</w:t>
      </w:r>
      <w:r w:rsidRPr="00C21A2E">
        <w:rPr>
          <w:i/>
          <w:szCs w:val="16"/>
          <w:lang w:val="es-ES"/>
        </w:rPr>
        <w:t xml:space="preserve">, </w:t>
      </w:r>
      <w:r w:rsidRPr="00C21A2E">
        <w:rPr>
          <w:szCs w:val="16"/>
          <w:lang w:val="es-ES"/>
        </w:rPr>
        <w:t xml:space="preserve">párr. </w:t>
      </w:r>
      <w:r>
        <w:rPr>
          <w:szCs w:val="16"/>
          <w:lang w:val="es-ES"/>
        </w:rPr>
        <w:t>157</w:t>
      </w:r>
      <w:r w:rsidRPr="00C21A2E">
        <w:rPr>
          <w:szCs w:val="16"/>
          <w:lang w:val="es-ES"/>
        </w:rPr>
        <w:t>.</w:t>
      </w:r>
    </w:p>
  </w:footnote>
  <w:footnote w:id="262">
    <w:p w14:paraId="233AE5B8" w14:textId="4546E975"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i/>
          <w:szCs w:val="16"/>
        </w:rPr>
        <w:t xml:space="preserve">Cfr. </w:t>
      </w:r>
      <w:r w:rsidRPr="00C21A2E">
        <w:rPr>
          <w:bCs/>
          <w:i/>
          <w:szCs w:val="16"/>
        </w:rPr>
        <w:t xml:space="preserve">Caso </w:t>
      </w:r>
      <w:proofErr w:type="spellStart"/>
      <w:r w:rsidRPr="00C21A2E">
        <w:rPr>
          <w:bCs/>
          <w:i/>
          <w:szCs w:val="16"/>
        </w:rPr>
        <w:t>Hilaire</w:t>
      </w:r>
      <w:proofErr w:type="spellEnd"/>
      <w:r w:rsidRPr="00C21A2E">
        <w:rPr>
          <w:bCs/>
          <w:i/>
          <w:szCs w:val="16"/>
        </w:rPr>
        <w:t xml:space="preserve">, </w:t>
      </w:r>
      <w:proofErr w:type="spellStart"/>
      <w:r w:rsidRPr="00C21A2E">
        <w:rPr>
          <w:bCs/>
          <w:i/>
          <w:szCs w:val="16"/>
        </w:rPr>
        <w:t>Constantine</w:t>
      </w:r>
      <w:proofErr w:type="spellEnd"/>
      <w:r w:rsidRPr="00C21A2E">
        <w:rPr>
          <w:bCs/>
          <w:i/>
          <w:szCs w:val="16"/>
        </w:rPr>
        <w:t xml:space="preserve"> y </w:t>
      </w:r>
      <w:proofErr w:type="spellStart"/>
      <w:r w:rsidRPr="00C21A2E">
        <w:rPr>
          <w:bCs/>
          <w:i/>
          <w:szCs w:val="16"/>
        </w:rPr>
        <w:t>Benjamin</w:t>
      </w:r>
      <w:proofErr w:type="spellEnd"/>
      <w:r w:rsidRPr="00C21A2E">
        <w:rPr>
          <w:bCs/>
          <w:i/>
          <w:szCs w:val="16"/>
        </w:rPr>
        <w:t xml:space="preserve"> y otros Vs. Trinidad y Tobago</w:t>
      </w:r>
      <w:r w:rsidRPr="006253B7">
        <w:rPr>
          <w:bCs/>
          <w:i/>
          <w:szCs w:val="16"/>
        </w:rPr>
        <w:t>.</w:t>
      </w:r>
      <w:r w:rsidRPr="00C21A2E">
        <w:rPr>
          <w:b/>
          <w:bCs/>
          <w:i/>
          <w:szCs w:val="16"/>
        </w:rPr>
        <w:t xml:space="preserve"> </w:t>
      </w:r>
      <w:r w:rsidRPr="00C21A2E">
        <w:rPr>
          <w:rStyle w:val="Strong"/>
          <w:b w:val="0"/>
          <w:i/>
          <w:color w:val="000000"/>
          <w:szCs w:val="16"/>
          <w:shd w:val="clear" w:color="auto" w:fill="FFFFFF"/>
          <w:lang w:val="es-ES"/>
        </w:rPr>
        <w:t>Fondo, Reparaciones y Costas</w:t>
      </w:r>
      <w:r w:rsidRPr="00C21A2E">
        <w:rPr>
          <w:rStyle w:val="Strong"/>
          <w:b w:val="0"/>
          <w:color w:val="000000"/>
          <w:szCs w:val="16"/>
          <w:shd w:val="clear" w:color="auto" w:fill="FFFFFF"/>
          <w:lang w:val="es-ES"/>
        </w:rPr>
        <w:t xml:space="preserve">. Sentencia de 21 de junio de 2002. </w:t>
      </w:r>
      <w:r w:rsidRPr="00C21A2E">
        <w:rPr>
          <w:rStyle w:val="Strong"/>
          <w:b w:val="0"/>
          <w:color w:val="000000"/>
          <w:szCs w:val="16"/>
          <w:shd w:val="clear" w:color="auto" w:fill="FFFFFF"/>
        </w:rPr>
        <w:t>Serie C No. 94</w:t>
      </w:r>
      <w:r w:rsidRPr="001D770C">
        <w:rPr>
          <w:bCs/>
          <w:i/>
          <w:szCs w:val="16"/>
        </w:rPr>
        <w:t>,</w:t>
      </w:r>
      <w:r w:rsidRPr="00C21A2E">
        <w:rPr>
          <w:bCs/>
          <w:i/>
          <w:szCs w:val="16"/>
        </w:rPr>
        <w:t xml:space="preserve"> </w:t>
      </w:r>
      <w:r w:rsidRPr="00C21A2E">
        <w:rPr>
          <w:szCs w:val="16"/>
        </w:rPr>
        <w:t xml:space="preserve">párr. 145, y </w:t>
      </w:r>
      <w:r w:rsidRPr="00F53CF6">
        <w:rPr>
          <w:bCs/>
          <w:i/>
          <w:szCs w:val="16"/>
        </w:rPr>
        <w:t>Caso Andrade Salmón</w:t>
      </w:r>
      <w:r w:rsidRPr="00C21A2E">
        <w:rPr>
          <w:i/>
          <w:szCs w:val="16"/>
          <w:lang w:val="es-ES"/>
        </w:rPr>
        <w:t xml:space="preserve">, </w:t>
      </w:r>
      <w:r w:rsidRPr="00C21A2E">
        <w:rPr>
          <w:szCs w:val="16"/>
          <w:lang w:val="es-ES"/>
        </w:rPr>
        <w:t xml:space="preserve">párr. </w:t>
      </w:r>
      <w:r>
        <w:rPr>
          <w:szCs w:val="16"/>
          <w:lang w:val="es-ES"/>
        </w:rPr>
        <w:t>157</w:t>
      </w:r>
      <w:r w:rsidRPr="00C21A2E">
        <w:rPr>
          <w:szCs w:val="16"/>
          <w:lang w:val="es-ES"/>
        </w:rPr>
        <w:t>.</w:t>
      </w:r>
      <w:r w:rsidRPr="00C21A2E">
        <w:rPr>
          <w:szCs w:val="16"/>
        </w:rPr>
        <w:t xml:space="preserve"> </w:t>
      </w:r>
    </w:p>
  </w:footnote>
  <w:footnote w:id="263">
    <w:p w14:paraId="258B96B7" w14:textId="0C5078EE"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C21A2E">
        <w:rPr>
          <w:i/>
          <w:szCs w:val="16"/>
        </w:rPr>
        <w:t xml:space="preserve">Caso Valle Jaramillo y otros Vs. Colombia. Fondo, Reparaciones y Costas. </w:t>
      </w:r>
      <w:r w:rsidRPr="00C21A2E">
        <w:rPr>
          <w:szCs w:val="16"/>
        </w:rPr>
        <w:t xml:space="preserve">Sentencia de 27 de noviembre de 2008. Serie C No. 192, párr. 155, y </w:t>
      </w:r>
      <w:r w:rsidRPr="00F53CF6">
        <w:rPr>
          <w:bCs/>
          <w:i/>
          <w:szCs w:val="16"/>
        </w:rPr>
        <w:t>Caso Andrade Salmón</w:t>
      </w:r>
      <w:r w:rsidRPr="00C21A2E">
        <w:rPr>
          <w:i/>
          <w:szCs w:val="16"/>
          <w:lang w:val="es-ES"/>
        </w:rPr>
        <w:t xml:space="preserve">, </w:t>
      </w:r>
      <w:r w:rsidRPr="00C21A2E">
        <w:rPr>
          <w:szCs w:val="16"/>
          <w:lang w:val="es-ES"/>
        </w:rPr>
        <w:t xml:space="preserve">párr. </w:t>
      </w:r>
      <w:r>
        <w:rPr>
          <w:szCs w:val="16"/>
          <w:lang w:val="es-ES"/>
        </w:rPr>
        <w:t>157</w:t>
      </w:r>
      <w:r w:rsidRPr="00C21A2E">
        <w:rPr>
          <w:szCs w:val="16"/>
          <w:lang w:val="es-ES"/>
        </w:rPr>
        <w:t>.</w:t>
      </w:r>
      <w:r w:rsidRPr="00C21A2E">
        <w:rPr>
          <w:i/>
          <w:szCs w:val="16"/>
        </w:rPr>
        <w:t xml:space="preserve"> </w:t>
      </w:r>
    </w:p>
  </w:footnote>
  <w:footnote w:id="264">
    <w:p w14:paraId="7721C045" w14:textId="46735D0E" w:rsidR="00122408" w:rsidRPr="00C21A2E" w:rsidRDefault="00122408" w:rsidP="00B50B41">
      <w:pPr>
        <w:pStyle w:val="FootnoteText"/>
        <w:spacing w:after="40"/>
        <w:rPr>
          <w:szCs w:val="16"/>
          <w:lang w:val="es-CO"/>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C21A2E">
        <w:rPr>
          <w:rStyle w:val="Strong"/>
          <w:b w:val="0"/>
          <w:i/>
          <w:szCs w:val="16"/>
          <w:lang w:val="es-ES"/>
        </w:rPr>
        <w:t xml:space="preserve">Caso </w:t>
      </w:r>
      <w:proofErr w:type="spellStart"/>
      <w:r w:rsidRPr="00C21A2E">
        <w:rPr>
          <w:rStyle w:val="Strong"/>
          <w:b w:val="0"/>
          <w:i/>
          <w:szCs w:val="16"/>
          <w:lang w:val="es-ES"/>
        </w:rPr>
        <w:t>Anzualdo</w:t>
      </w:r>
      <w:proofErr w:type="spellEnd"/>
      <w:r w:rsidRPr="00C21A2E">
        <w:rPr>
          <w:rStyle w:val="Strong"/>
          <w:b w:val="0"/>
          <w:i/>
          <w:szCs w:val="16"/>
          <w:lang w:val="es-ES"/>
        </w:rPr>
        <w:t xml:space="preserve"> Castro Vs. Perú. Excepción Preliminar, Fondo, Reparaciones y Costas. </w:t>
      </w:r>
      <w:r w:rsidRPr="00C21A2E">
        <w:rPr>
          <w:rStyle w:val="Strong"/>
          <w:b w:val="0"/>
          <w:szCs w:val="16"/>
          <w:lang w:val="es-ES"/>
        </w:rPr>
        <w:t>Sentencia de 22 de septiembre de 2009. Serie C No. 202, párr. 156, y</w:t>
      </w:r>
      <w:r w:rsidRPr="00C21A2E">
        <w:rPr>
          <w:rStyle w:val="Strong"/>
          <w:szCs w:val="16"/>
          <w:lang w:val="es-ES"/>
        </w:rPr>
        <w:t xml:space="preserve"> </w:t>
      </w:r>
      <w:r w:rsidRPr="00F53CF6">
        <w:rPr>
          <w:bCs/>
          <w:i/>
          <w:szCs w:val="16"/>
        </w:rPr>
        <w:t>Caso Andrade Salmón</w:t>
      </w:r>
      <w:r w:rsidRPr="00C21A2E">
        <w:rPr>
          <w:i/>
          <w:szCs w:val="16"/>
          <w:lang w:val="es-ES"/>
        </w:rPr>
        <w:t xml:space="preserve">, </w:t>
      </w:r>
      <w:r w:rsidRPr="00C21A2E">
        <w:rPr>
          <w:szCs w:val="16"/>
          <w:lang w:val="es-ES"/>
        </w:rPr>
        <w:t xml:space="preserve">párr. </w:t>
      </w:r>
      <w:r>
        <w:rPr>
          <w:szCs w:val="16"/>
          <w:lang w:val="es-ES"/>
        </w:rPr>
        <w:t>157</w:t>
      </w:r>
      <w:r w:rsidRPr="00C21A2E">
        <w:rPr>
          <w:szCs w:val="16"/>
          <w:lang w:val="es-ES"/>
        </w:rPr>
        <w:t>.</w:t>
      </w:r>
    </w:p>
  </w:footnote>
  <w:footnote w:id="265">
    <w:p w14:paraId="64DA1671" w14:textId="1E375BFA"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rPr>
        <w:t xml:space="preserve">Cfr. </w:t>
      </w:r>
      <w:r w:rsidRPr="001D770C">
        <w:rPr>
          <w:szCs w:val="16"/>
        </w:rPr>
        <w:t>entre otros,</w:t>
      </w:r>
      <w:r w:rsidRPr="00C21A2E">
        <w:rPr>
          <w:i/>
          <w:szCs w:val="16"/>
        </w:rPr>
        <w:t xml:space="preserve"> Caso </w:t>
      </w:r>
      <w:proofErr w:type="spellStart"/>
      <w:r w:rsidRPr="00C21A2E">
        <w:rPr>
          <w:i/>
          <w:szCs w:val="16"/>
        </w:rPr>
        <w:t>Genie</w:t>
      </w:r>
      <w:proofErr w:type="spellEnd"/>
      <w:r w:rsidRPr="00C21A2E">
        <w:rPr>
          <w:i/>
          <w:szCs w:val="16"/>
        </w:rPr>
        <w:t xml:space="preserve"> Lacayo Vs. Nicaragua. </w:t>
      </w:r>
      <w:r>
        <w:rPr>
          <w:i/>
          <w:szCs w:val="16"/>
        </w:rPr>
        <w:t>Fondo, Reparaciones y Costas</w:t>
      </w:r>
      <w:r w:rsidRPr="00C21A2E">
        <w:rPr>
          <w:szCs w:val="16"/>
        </w:rPr>
        <w:t xml:space="preserve">, párr. 78, y </w:t>
      </w:r>
      <w:r w:rsidRPr="00F53CF6">
        <w:rPr>
          <w:bCs/>
          <w:i/>
          <w:szCs w:val="16"/>
        </w:rPr>
        <w:t>Caso Andrade Salmón</w:t>
      </w:r>
      <w:r w:rsidRPr="00C21A2E">
        <w:rPr>
          <w:i/>
          <w:szCs w:val="16"/>
          <w:lang w:val="es-ES"/>
        </w:rPr>
        <w:t xml:space="preserve">, </w:t>
      </w:r>
      <w:r w:rsidRPr="00C21A2E">
        <w:rPr>
          <w:szCs w:val="16"/>
          <w:lang w:val="es-ES"/>
        </w:rPr>
        <w:t xml:space="preserve">párr. </w:t>
      </w:r>
      <w:r>
        <w:rPr>
          <w:szCs w:val="16"/>
          <w:lang w:val="es-ES"/>
        </w:rPr>
        <w:t>158</w:t>
      </w:r>
      <w:r w:rsidRPr="00C21A2E">
        <w:rPr>
          <w:szCs w:val="16"/>
          <w:lang w:val="es-ES"/>
        </w:rPr>
        <w:t>.</w:t>
      </w:r>
    </w:p>
  </w:footnote>
  <w:footnote w:id="266">
    <w:p w14:paraId="1D9BE52A" w14:textId="0AF364C3" w:rsidR="00122408" w:rsidRPr="00C21A2E" w:rsidRDefault="00122408" w:rsidP="00B50B41">
      <w:pPr>
        <w:pStyle w:val="FootnoteText"/>
        <w:spacing w:after="40"/>
        <w:rPr>
          <w:szCs w:val="16"/>
        </w:rPr>
      </w:pPr>
      <w:r w:rsidRPr="00C21A2E">
        <w:rPr>
          <w:rStyle w:val="FootnoteReference"/>
          <w:sz w:val="16"/>
          <w:szCs w:val="16"/>
        </w:rPr>
        <w:footnoteRef/>
      </w:r>
      <w:r w:rsidRPr="006253B7">
        <w:rPr>
          <w:szCs w:val="16"/>
          <w:lang w:val="es-ES"/>
        </w:rPr>
        <w:t xml:space="preserve"> </w:t>
      </w:r>
      <w:r w:rsidRPr="006253B7">
        <w:rPr>
          <w:i/>
          <w:szCs w:val="16"/>
          <w:lang w:val="es-ES"/>
        </w:rPr>
        <w:t xml:space="preserve">Cfr. </w:t>
      </w:r>
      <w:r w:rsidRPr="006253B7">
        <w:rPr>
          <w:bCs/>
          <w:i/>
          <w:szCs w:val="16"/>
          <w:lang w:val="es-ES"/>
        </w:rPr>
        <w:t xml:space="preserve">Caso Garibaldi Vs. Brasil. </w:t>
      </w:r>
      <w:r w:rsidRPr="006253B7">
        <w:rPr>
          <w:bCs/>
          <w:i/>
          <w:szCs w:val="16"/>
        </w:rPr>
        <w:t xml:space="preserve">Excepciones Preliminares, Fondo, Reparaciones y Costas. </w:t>
      </w:r>
      <w:r w:rsidRPr="006253B7">
        <w:rPr>
          <w:bCs/>
          <w:szCs w:val="16"/>
        </w:rPr>
        <w:t>Sentencia de 23 de septiembre de 2009. Serie C No. 203</w:t>
      </w:r>
      <w:r w:rsidRPr="00C21A2E">
        <w:rPr>
          <w:szCs w:val="16"/>
          <w:lang w:val="es-ES"/>
        </w:rPr>
        <w:t xml:space="preserve">, párr. </w:t>
      </w:r>
      <w:r w:rsidRPr="00C21A2E">
        <w:rPr>
          <w:szCs w:val="16"/>
        </w:rPr>
        <w:t xml:space="preserve">138, y </w:t>
      </w:r>
      <w:r w:rsidRPr="00F53CF6">
        <w:rPr>
          <w:bCs/>
          <w:i/>
          <w:szCs w:val="16"/>
        </w:rPr>
        <w:t xml:space="preserve">Caso </w:t>
      </w:r>
      <w:proofErr w:type="spellStart"/>
      <w:r w:rsidRPr="00F53CF6">
        <w:rPr>
          <w:bCs/>
          <w:i/>
          <w:szCs w:val="16"/>
        </w:rPr>
        <w:t>Quispialaya</w:t>
      </w:r>
      <w:proofErr w:type="spellEnd"/>
      <w:r w:rsidRPr="00F53CF6">
        <w:rPr>
          <w:bCs/>
          <w:i/>
          <w:szCs w:val="16"/>
        </w:rPr>
        <w:t xml:space="preserve"> </w:t>
      </w:r>
      <w:proofErr w:type="spellStart"/>
      <w:r w:rsidRPr="00F53CF6">
        <w:rPr>
          <w:bCs/>
          <w:i/>
          <w:szCs w:val="16"/>
        </w:rPr>
        <w:t>Vilcapoma</w:t>
      </w:r>
      <w:proofErr w:type="spellEnd"/>
      <w:r w:rsidRPr="00C21A2E">
        <w:rPr>
          <w:i/>
          <w:szCs w:val="16"/>
        </w:rPr>
        <w:t xml:space="preserve">, </w:t>
      </w:r>
      <w:r w:rsidRPr="00C21A2E">
        <w:rPr>
          <w:szCs w:val="16"/>
        </w:rPr>
        <w:t xml:space="preserve">párr. </w:t>
      </w:r>
      <w:r>
        <w:rPr>
          <w:szCs w:val="16"/>
        </w:rPr>
        <w:t>187.</w:t>
      </w:r>
    </w:p>
  </w:footnote>
  <w:footnote w:id="267">
    <w:p w14:paraId="00B33642" w14:textId="2C4FF550"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w:t>
      </w:r>
      <w:r w:rsidRPr="00C21A2E">
        <w:rPr>
          <w:szCs w:val="16"/>
        </w:rPr>
        <w:t>Respecto de las víctimas, la Corte Interamericana cuenta con información que cuatro familiares indicados como presuntas víctimas por la Comisión Interamericana fallecieron antes del 10 de diciembre de 1998</w:t>
      </w:r>
      <w:r>
        <w:rPr>
          <w:szCs w:val="16"/>
        </w:rPr>
        <w:t xml:space="preserve"> (</w:t>
      </w:r>
      <w:r w:rsidRPr="00C21A2E">
        <w:rPr>
          <w:szCs w:val="16"/>
        </w:rPr>
        <w:t xml:space="preserve">Cirene dos Santos (madre de </w:t>
      </w:r>
      <w:r w:rsidRPr="00C21A2E">
        <w:rPr>
          <w:szCs w:val="16"/>
          <w:lang w:val="es-EC"/>
        </w:rPr>
        <w:t>Alberto dos Santos Ramos</w:t>
      </w:r>
      <w:r w:rsidRPr="00C21A2E">
        <w:rPr>
          <w:szCs w:val="16"/>
        </w:rPr>
        <w:t xml:space="preserve">, 1982), Edna Ribeiro Raimundo </w:t>
      </w:r>
      <w:proofErr w:type="spellStart"/>
      <w:r w:rsidRPr="00C21A2E">
        <w:rPr>
          <w:szCs w:val="16"/>
        </w:rPr>
        <w:t>Neves</w:t>
      </w:r>
      <w:proofErr w:type="spellEnd"/>
      <w:r w:rsidRPr="00C21A2E">
        <w:rPr>
          <w:szCs w:val="16"/>
        </w:rPr>
        <w:t xml:space="preserve"> (madre de </w:t>
      </w:r>
      <w:proofErr w:type="spellStart"/>
      <w:r w:rsidRPr="00C21A2E">
        <w:rPr>
          <w:szCs w:val="16"/>
          <w:lang w:val="es-EC"/>
        </w:rPr>
        <w:t>Macmiller</w:t>
      </w:r>
      <w:proofErr w:type="spellEnd"/>
      <w:r w:rsidRPr="00C21A2E">
        <w:rPr>
          <w:szCs w:val="16"/>
          <w:lang w:val="es-EC"/>
        </w:rPr>
        <w:t xml:space="preserve"> </w:t>
      </w:r>
      <w:proofErr w:type="spellStart"/>
      <w:r w:rsidRPr="00C21A2E">
        <w:rPr>
          <w:szCs w:val="16"/>
          <w:lang w:val="es-EC"/>
        </w:rPr>
        <w:t>Faria</w:t>
      </w:r>
      <w:proofErr w:type="spellEnd"/>
      <w:r w:rsidRPr="00C21A2E">
        <w:rPr>
          <w:szCs w:val="16"/>
          <w:lang w:val="es-EC"/>
        </w:rPr>
        <w:t xml:space="preserve"> </w:t>
      </w:r>
      <w:proofErr w:type="spellStart"/>
      <w:r w:rsidRPr="00C21A2E">
        <w:rPr>
          <w:szCs w:val="16"/>
          <w:lang w:val="es-EC"/>
        </w:rPr>
        <w:t>Neves</w:t>
      </w:r>
      <w:proofErr w:type="spellEnd"/>
      <w:r w:rsidRPr="00C21A2E">
        <w:rPr>
          <w:szCs w:val="16"/>
        </w:rPr>
        <w:t xml:space="preserve">, 1991), </w:t>
      </w:r>
      <w:proofErr w:type="spellStart"/>
      <w:r w:rsidRPr="00C21A2E">
        <w:rPr>
          <w:szCs w:val="16"/>
        </w:rPr>
        <w:t>Maria</w:t>
      </w:r>
      <w:proofErr w:type="spellEnd"/>
      <w:r w:rsidRPr="00C21A2E">
        <w:rPr>
          <w:szCs w:val="16"/>
        </w:rPr>
        <w:t xml:space="preserve"> de Lourdes Genuino (madre de </w:t>
      </w:r>
      <w:proofErr w:type="spellStart"/>
      <w:r w:rsidRPr="00C21A2E">
        <w:rPr>
          <w:szCs w:val="16"/>
          <w:lang w:val="es-EC"/>
        </w:rPr>
        <w:t>Robson</w:t>
      </w:r>
      <w:proofErr w:type="spellEnd"/>
      <w:r w:rsidRPr="00C21A2E">
        <w:rPr>
          <w:szCs w:val="16"/>
          <w:lang w:val="es-EC"/>
        </w:rPr>
        <w:t xml:space="preserve"> Genuino dos Santos</w:t>
      </w:r>
      <w:r w:rsidRPr="00C21A2E">
        <w:rPr>
          <w:szCs w:val="16"/>
        </w:rPr>
        <w:t xml:space="preserve">, 1997) y José Francisco </w:t>
      </w:r>
      <w:proofErr w:type="spellStart"/>
      <w:r w:rsidRPr="00C21A2E">
        <w:rPr>
          <w:szCs w:val="16"/>
        </w:rPr>
        <w:t>Sobrinho</w:t>
      </w:r>
      <w:proofErr w:type="spellEnd"/>
      <w:r w:rsidRPr="00C21A2E">
        <w:rPr>
          <w:szCs w:val="16"/>
        </w:rPr>
        <w:t xml:space="preserve"> (padre de </w:t>
      </w:r>
      <w:proofErr w:type="spellStart"/>
      <w:r w:rsidRPr="00C21A2E">
        <w:rPr>
          <w:szCs w:val="16"/>
          <w:lang w:val="es-EC"/>
        </w:rPr>
        <w:t>Robson</w:t>
      </w:r>
      <w:proofErr w:type="spellEnd"/>
      <w:r w:rsidRPr="00C21A2E">
        <w:rPr>
          <w:szCs w:val="16"/>
          <w:lang w:val="es-EC"/>
        </w:rPr>
        <w:t xml:space="preserve"> Genuino dos Santos</w:t>
      </w:r>
      <w:r w:rsidRPr="00C21A2E">
        <w:rPr>
          <w:szCs w:val="16"/>
        </w:rPr>
        <w:t>, 1971)</w:t>
      </w:r>
      <w:r>
        <w:rPr>
          <w:szCs w:val="16"/>
        </w:rPr>
        <w:t>)</w:t>
      </w:r>
      <w:r w:rsidRPr="00C21A2E">
        <w:rPr>
          <w:szCs w:val="16"/>
        </w:rPr>
        <w:t>. Respecto de estas personas, el Tribunal no hará ninguna declaración de responsabilidad estatal debido a la regla de competencia temporal. Por otra parte, de conformidad con la prueba remitida por la Comisión y los representantes, la Corte constató que: i) la persona identificada por la Comisión como “</w:t>
      </w:r>
      <w:proofErr w:type="spellStart"/>
      <w:r w:rsidRPr="00C21A2E">
        <w:rPr>
          <w:szCs w:val="16"/>
        </w:rPr>
        <w:t>Graça</w:t>
      </w:r>
      <w:proofErr w:type="spellEnd"/>
      <w:r w:rsidRPr="00C21A2E">
        <w:rPr>
          <w:szCs w:val="16"/>
        </w:rPr>
        <w:t xml:space="preserve">”, corresponde a </w:t>
      </w:r>
      <w:proofErr w:type="spellStart"/>
      <w:r w:rsidRPr="00C21A2E">
        <w:rPr>
          <w:szCs w:val="16"/>
        </w:rPr>
        <w:t>Maria</w:t>
      </w:r>
      <w:proofErr w:type="spellEnd"/>
      <w:r w:rsidRPr="00C21A2E">
        <w:rPr>
          <w:szCs w:val="16"/>
        </w:rPr>
        <w:t xml:space="preserve"> das </w:t>
      </w:r>
      <w:proofErr w:type="spellStart"/>
      <w:r w:rsidRPr="00C21A2E">
        <w:rPr>
          <w:szCs w:val="16"/>
        </w:rPr>
        <w:t>Graças</w:t>
      </w:r>
      <w:proofErr w:type="spellEnd"/>
      <w:r w:rsidRPr="00C21A2E">
        <w:rPr>
          <w:szCs w:val="16"/>
        </w:rPr>
        <w:t xml:space="preserve"> da Silva, pareja de Alberto dos Santos Ramos; ii)  la persona identificada por la Comisión como </w:t>
      </w:r>
      <w:proofErr w:type="spellStart"/>
      <w:r w:rsidRPr="00C21A2E">
        <w:rPr>
          <w:szCs w:val="16"/>
        </w:rPr>
        <w:t>Thiago</w:t>
      </w:r>
      <w:proofErr w:type="spellEnd"/>
      <w:r w:rsidRPr="00C21A2E">
        <w:rPr>
          <w:szCs w:val="16"/>
        </w:rPr>
        <w:t xml:space="preserve"> Ramos, corresponde a </w:t>
      </w:r>
      <w:proofErr w:type="spellStart"/>
      <w:r w:rsidRPr="00C21A2E">
        <w:rPr>
          <w:szCs w:val="16"/>
        </w:rPr>
        <w:t>Thiago</w:t>
      </w:r>
      <w:proofErr w:type="spellEnd"/>
      <w:r w:rsidRPr="00C21A2E">
        <w:rPr>
          <w:szCs w:val="16"/>
        </w:rPr>
        <w:t xml:space="preserve"> da Silva; iii) la persona identificada por la Comisión como Alberto Ramos, corresponde a Alberto da Silva; iv) la señora </w:t>
      </w:r>
      <w:proofErr w:type="spellStart"/>
      <w:r w:rsidRPr="00C21A2E">
        <w:rPr>
          <w:szCs w:val="16"/>
        </w:rPr>
        <w:t>Neuza</w:t>
      </w:r>
      <w:proofErr w:type="spellEnd"/>
      <w:r w:rsidRPr="00C21A2E">
        <w:rPr>
          <w:szCs w:val="16"/>
        </w:rPr>
        <w:t xml:space="preserve"> Ribeiro Raymundo, identificada por la Comisión como abuela de Fabio Henrique </w:t>
      </w:r>
      <w:proofErr w:type="spellStart"/>
      <w:r w:rsidRPr="00C21A2E">
        <w:rPr>
          <w:szCs w:val="16"/>
        </w:rPr>
        <w:t>Fernandes</w:t>
      </w:r>
      <w:proofErr w:type="spellEnd"/>
      <w:r w:rsidRPr="00C21A2E">
        <w:rPr>
          <w:szCs w:val="16"/>
        </w:rPr>
        <w:t xml:space="preserve">, es en realidad abuela de la víctima </w:t>
      </w:r>
      <w:proofErr w:type="spellStart"/>
      <w:r w:rsidRPr="00C21A2E">
        <w:rPr>
          <w:szCs w:val="16"/>
        </w:rPr>
        <w:t>Macmiller</w:t>
      </w:r>
      <w:proofErr w:type="spellEnd"/>
      <w:r w:rsidRPr="00C21A2E">
        <w:rPr>
          <w:szCs w:val="16"/>
        </w:rPr>
        <w:t xml:space="preserve"> </w:t>
      </w:r>
      <w:proofErr w:type="spellStart"/>
      <w:r w:rsidRPr="00C21A2E">
        <w:rPr>
          <w:szCs w:val="16"/>
        </w:rPr>
        <w:t>Faria</w:t>
      </w:r>
      <w:proofErr w:type="spellEnd"/>
      <w:r w:rsidRPr="00C21A2E">
        <w:rPr>
          <w:szCs w:val="16"/>
        </w:rPr>
        <w:t xml:space="preserve"> </w:t>
      </w:r>
      <w:proofErr w:type="spellStart"/>
      <w:r w:rsidRPr="00C21A2E">
        <w:rPr>
          <w:szCs w:val="16"/>
        </w:rPr>
        <w:t>Neves</w:t>
      </w:r>
      <w:proofErr w:type="spellEnd"/>
      <w:r w:rsidRPr="00C21A2E">
        <w:rPr>
          <w:szCs w:val="16"/>
        </w:rPr>
        <w:t xml:space="preserve">, y v) la persona identificada por la Comisión como </w:t>
      </w:r>
      <w:proofErr w:type="spellStart"/>
      <w:r w:rsidRPr="00C21A2E">
        <w:rPr>
          <w:szCs w:val="16"/>
        </w:rPr>
        <w:t>Alessandra</w:t>
      </w:r>
      <w:proofErr w:type="spellEnd"/>
      <w:r w:rsidRPr="00C21A2E">
        <w:rPr>
          <w:szCs w:val="16"/>
        </w:rPr>
        <w:t xml:space="preserve"> </w:t>
      </w:r>
      <w:proofErr w:type="spellStart"/>
      <w:r w:rsidRPr="00C21A2E">
        <w:rPr>
          <w:szCs w:val="16"/>
        </w:rPr>
        <w:t>Vianna</w:t>
      </w:r>
      <w:proofErr w:type="spellEnd"/>
      <w:r w:rsidRPr="00C21A2E">
        <w:rPr>
          <w:szCs w:val="16"/>
        </w:rPr>
        <w:t xml:space="preserve"> dos Santos, corresponde a </w:t>
      </w:r>
      <w:proofErr w:type="spellStart"/>
      <w:r w:rsidRPr="00C21A2E">
        <w:rPr>
          <w:szCs w:val="16"/>
        </w:rPr>
        <w:t>Alessandra</w:t>
      </w:r>
      <w:proofErr w:type="spellEnd"/>
      <w:r w:rsidRPr="00C21A2E">
        <w:rPr>
          <w:szCs w:val="16"/>
        </w:rPr>
        <w:t xml:space="preserve"> </w:t>
      </w:r>
      <w:proofErr w:type="spellStart"/>
      <w:r w:rsidRPr="00C21A2E">
        <w:rPr>
          <w:szCs w:val="16"/>
        </w:rPr>
        <w:t>Vianna</w:t>
      </w:r>
      <w:proofErr w:type="spellEnd"/>
      <w:r w:rsidRPr="00C21A2E">
        <w:rPr>
          <w:szCs w:val="16"/>
        </w:rPr>
        <w:t xml:space="preserve"> Vieira.</w:t>
      </w:r>
    </w:p>
  </w:footnote>
  <w:footnote w:id="268">
    <w:p w14:paraId="763525B7" w14:textId="53EFE374"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C21A2E">
        <w:rPr>
          <w:i/>
          <w:szCs w:val="16"/>
        </w:rPr>
        <w:t xml:space="preserve">Caso Valle Jaramillo y otros Vs. Colombia. Fondo, Reparaciones y Costas. </w:t>
      </w:r>
      <w:r w:rsidRPr="00C21A2E">
        <w:rPr>
          <w:szCs w:val="16"/>
        </w:rPr>
        <w:t xml:space="preserve">Sentencia de 27 de noviembre de 2008. Serie C No. 192, párr. 155, y </w:t>
      </w:r>
      <w:r w:rsidRPr="00F53CF6">
        <w:rPr>
          <w:bCs/>
          <w:i/>
          <w:szCs w:val="16"/>
        </w:rPr>
        <w:t>Caso Trabajadores de la Hacienda Brasil Verde</w:t>
      </w:r>
      <w:r w:rsidRPr="00C21A2E">
        <w:rPr>
          <w:szCs w:val="16"/>
        </w:rPr>
        <w:t xml:space="preserve">, párr. </w:t>
      </w:r>
      <w:r>
        <w:rPr>
          <w:szCs w:val="16"/>
        </w:rPr>
        <w:t>370</w:t>
      </w:r>
      <w:r w:rsidRPr="00C21A2E">
        <w:rPr>
          <w:szCs w:val="16"/>
        </w:rPr>
        <w:t>.</w:t>
      </w:r>
      <w:r w:rsidRPr="00C21A2E">
        <w:rPr>
          <w:i/>
          <w:szCs w:val="16"/>
        </w:rPr>
        <w:t xml:space="preserve"> </w:t>
      </w:r>
    </w:p>
  </w:footnote>
  <w:footnote w:id="269">
    <w:p w14:paraId="6FF4CFF8" w14:textId="6B353F44" w:rsidR="00122408" w:rsidRPr="00C21A2E" w:rsidRDefault="00122408" w:rsidP="00B50B41">
      <w:pPr>
        <w:pStyle w:val="FootnoteText"/>
        <w:spacing w:after="40"/>
        <w:rPr>
          <w:szCs w:val="16"/>
          <w:lang w:val="es-CO"/>
        </w:rPr>
      </w:pPr>
      <w:r w:rsidRPr="00C21A2E">
        <w:rPr>
          <w:rStyle w:val="FootnoteReference"/>
          <w:sz w:val="16"/>
          <w:szCs w:val="16"/>
        </w:rPr>
        <w:footnoteRef/>
      </w:r>
      <w:r w:rsidRPr="00C21A2E">
        <w:rPr>
          <w:szCs w:val="16"/>
          <w:lang w:val="es-ES"/>
        </w:rPr>
        <w:t xml:space="preserve"> </w:t>
      </w:r>
      <w:r w:rsidRPr="00C21A2E">
        <w:rPr>
          <w:i/>
          <w:szCs w:val="16"/>
          <w:lang w:val="es-ES"/>
        </w:rPr>
        <w:t>Cfr.</w:t>
      </w:r>
      <w:r w:rsidRPr="00C21A2E">
        <w:rPr>
          <w:b/>
          <w:i/>
          <w:szCs w:val="16"/>
          <w:lang w:val="es-ES"/>
        </w:rPr>
        <w:t xml:space="preserve"> </w:t>
      </w:r>
      <w:r w:rsidRPr="00C21A2E">
        <w:rPr>
          <w:rStyle w:val="Strong"/>
          <w:b w:val="0"/>
          <w:i/>
          <w:szCs w:val="16"/>
          <w:lang w:val="es-ES"/>
        </w:rPr>
        <w:t xml:space="preserve">Caso </w:t>
      </w:r>
      <w:proofErr w:type="spellStart"/>
      <w:r w:rsidRPr="00C21A2E">
        <w:rPr>
          <w:rStyle w:val="Strong"/>
          <w:b w:val="0"/>
          <w:i/>
          <w:szCs w:val="16"/>
          <w:lang w:val="es-ES"/>
        </w:rPr>
        <w:t>Anzualdo</w:t>
      </w:r>
      <w:proofErr w:type="spellEnd"/>
      <w:r w:rsidRPr="00C21A2E">
        <w:rPr>
          <w:rStyle w:val="Strong"/>
          <w:b w:val="0"/>
          <w:i/>
          <w:szCs w:val="16"/>
          <w:lang w:val="es-ES"/>
        </w:rPr>
        <w:t xml:space="preserve"> Castro Vs. Perú. Excepción Preliminar, Fondo, Reparaciones y Costas. </w:t>
      </w:r>
      <w:r w:rsidRPr="00C21A2E">
        <w:rPr>
          <w:rStyle w:val="Strong"/>
          <w:b w:val="0"/>
          <w:szCs w:val="16"/>
          <w:lang w:val="es-ES"/>
        </w:rPr>
        <w:t>Sentencia de 22 de septiembre de 2009. Serie C No. 202, párr. 156, y</w:t>
      </w:r>
      <w:r w:rsidRPr="00C21A2E">
        <w:rPr>
          <w:rStyle w:val="Strong"/>
          <w:szCs w:val="16"/>
          <w:lang w:val="es-ES"/>
        </w:rPr>
        <w:t xml:space="preserve"> </w:t>
      </w:r>
      <w:r w:rsidRPr="00C21A2E">
        <w:rPr>
          <w:i/>
          <w:szCs w:val="16"/>
        </w:rPr>
        <w:t xml:space="preserve">Caso </w:t>
      </w:r>
      <w:r>
        <w:rPr>
          <w:i/>
          <w:szCs w:val="16"/>
        </w:rPr>
        <w:t>Andrade Salmón</w:t>
      </w:r>
      <w:r w:rsidRPr="00C21A2E">
        <w:rPr>
          <w:szCs w:val="16"/>
        </w:rPr>
        <w:t xml:space="preserve">, párr. </w:t>
      </w:r>
      <w:r>
        <w:rPr>
          <w:szCs w:val="16"/>
        </w:rPr>
        <w:t>157</w:t>
      </w:r>
      <w:r w:rsidRPr="00C21A2E">
        <w:rPr>
          <w:szCs w:val="16"/>
        </w:rPr>
        <w:t>.</w:t>
      </w:r>
    </w:p>
  </w:footnote>
  <w:footnote w:id="270">
    <w:p w14:paraId="1DDB5774" w14:textId="616473FD"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Respecto de las víctimas, la Corte Interamericana cuenta con información que dos familiares indicados como presuntas víctimas por la Comisión Interamericana fallecieron antes del 10 de diciembre de 1998</w:t>
      </w:r>
      <w:r>
        <w:rPr>
          <w:szCs w:val="16"/>
        </w:rPr>
        <w:t xml:space="preserve"> (</w:t>
      </w:r>
      <w:r w:rsidRPr="00C21A2E">
        <w:rPr>
          <w:szCs w:val="16"/>
        </w:rPr>
        <w:t xml:space="preserve">José </w:t>
      </w:r>
      <w:proofErr w:type="spellStart"/>
      <w:r w:rsidRPr="00C21A2E">
        <w:rPr>
          <w:szCs w:val="16"/>
        </w:rPr>
        <w:t>Rodrigues</w:t>
      </w:r>
      <w:proofErr w:type="spellEnd"/>
      <w:r w:rsidRPr="00C21A2E">
        <w:rPr>
          <w:szCs w:val="16"/>
        </w:rPr>
        <w:t xml:space="preserve"> do </w:t>
      </w:r>
      <w:proofErr w:type="spellStart"/>
      <w:r w:rsidRPr="00F005D0">
        <w:rPr>
          <w:szCs w:val="16"/>
        </w:rPr>
        <w:t>Nascimento</w:t>
      </w:r>
      <w:proofErr w:type="spellEnd"/>
      <w:r w:rsidRPr="00F005D0">
        <w:rPr>
          <w:szCs w:val="16"/>
        </w:rPr>
        <w:t xml:space="preserve"> (padre de Jacques Douglas Melo </w:t>
      </w:r>
      <w:proofErr w:type="spellStart"/>
      <w:r w:rsidRPr="00F005D0">
        <w:rPr>
          <w:szCs w:val="16"/>
        </w:rPr>
        <w:t>Rodrigues</w:t>
      </w:r>
      <w:proofErr w:type="spellEnd"/>
      <w:r w:rsidRPr="00F005D0">
        <w:rPr>
          <w:szCs w:val="16"/>
        </w:rPr>
        <w:t xml:space="preserve">, 1988), y Ronaldo </w:t>
      </w:r>
      <w:proofErr w:type="spellStart"/>
      <w:r w:rsidRPr="00F005D0">
        <w:rPr>
          <w:szCs w:val="16"/>
        </w:rPr>
        <w:t>Inacio</w:t>
      </w:r>
      <w:proofErr w:type="spellEnd"/>
      <w:r w:rsidRPr="00F005D0">
        <w:rPr>
          <w:szCs w:val="16"/>
        </w:rPr>
        <w:t xml:space="preserve"> da Silva (padre de Renato </w:t>
      </w:r>
      <w:proofErr w:type="spellStart"/>
      <w:r w:rsidRPr="00F005D0">
        <w:rPr>
          <w:szCs w:val="16"/>
        </w:rPr>
        <w:t>Inacio</w:t>
      </w:r>
      <w:proofErr w:type="spellEnd"/>
      <w:r w:rsidRPr="00F005D0">
        <w:rPr>
          <w:szCs w:val="16"/>
        </w:rPr>
        <w:t xml:space="preserve"> da Silva, 1994)). Asimismo, la señora </w:t>
      </w:r>
      <w:proofErr w:type="spellStart"/>
      <w:r w:rsidRPr="00F005D0">
        <w:rPr>
          <w:szCs w:val="16"/>
        </w:rPr>
        <w:t>Tereza</w:t>
      </w:r>
      <w:proofErr w:type="spellEnd"/>
      <w:r w:rsidRPr="00F005D0">
        <w:rPr>
          <w:szCs w:val="16"/>
        </w:rPr>
        <w:t xml:space="preserve"> de </w:t>
      </w:r>
      <w:proofErr w:type="spellStart"/>
      <w:r w:rsidRPr="00F005D0">
        <w:rPr>
          <w:szCs w:val="16"/>
        </w:rPr>
        <w:t>Cásssia</w:t>
      </w:r>
      <w:proofErr w:type="spellEnd"/>
      <w:r w:rsidRPr="00F005D0">
        <w:rPr>
          <w:szCs w:val="16"/>
        </w:rPr>
        <w:t xml:space="preserve"> Rosa Genoveva, indicada como presunta víctima por los representantes, no fue identificada como tal en el Informe de Fondo de la Comisión Interamericana. Respecto de estas personas, el Tribunal no hará ninguna declaración de responsabilidad estatal debido a la regla de competencia temporal y de lo decidido en la excepción preliminar de incompetencia </w:t>
      </w:r>
      <w:proofErr w:type="spellStart"/>
      <w:r w:rsidRPr="00F005D0">
        <w:rPr>
          <w:i/>
          <w:szCs w:val="16"/>
        </w:rPr>
        <w:t>ratione</w:t>
      </w:r>
      <w:proofErr w:type="spellEnd"/>
      <w:r w:rsidRPr="00F005D0">
        <w:rPr>
          <w:i/>
          <w:szCs w:val="16"/>
        </w:rPr>
        <w:t xml:space="preserve"> </w:t>
      </w:r>
      <w:proofErr w:type="spellStart"/>
      <w:r w:rsidRPr="00F005D0">
        <w:rPr>
          <w:i/>
          <w:szCs w:val="16"/>
        </w:rPr>
        <w:t>personae</w:t>
      </w:r>
      <w:proofErr w:type="spellEnd"/>
      <w:r w:rsidRPr="00F005D0">
        <w:rPr>
          <w:i/>
          <w:szCs w:val="16"/>
        </w:rPr>
        <w:t xml:space="preserve"> </w:t>
      </w:r>
      <w:r w:rsidRPr="00F005D0">
        <w:rPr>
          <w:szCs w:val="16"/>
        </w:rPr>
        <w:t>(</w:t>
      </w:r>
      <w:r w:rsidRPr="00F005D0">
        <w:rPr>
          <w:i/>
          <w:szCs w:val="16"/>
        </w:rPr>
        <w:t xml:space="preserve">supra </w:t>
      </w:r>
      <w:r w:rsidRPr="00F005D0">
        <w:rPr>
          <w:szCs w:val="16"/>
        </w:rPr>
        <w:t>párr. 40).</w:t>
      </w:r>
      <w:r>
        <w:rPr>
          <w:szCs w:val="16"/>
        </w:rPr>
        <w:t xml:space="preserve"> </w:t>
      </w:r>
      <w:r w:rsidRPr="00C21A2E">
        <w:rPr>
          <w:szCs w:val="16"/>
        </w:rPr>
        <w:t xml:space="preserve">Adicionalmente, la Corte cuenta con información que indica que </w:t>
      </w:r>
      <w:proofErr w:type="spellStart"/>
      <w:r w:rsidRPr="00C21A2E">
        <w:rPr>
          <w:szCs w:val="16"/>
        </w:rPr>
        <w:t>Maria</w:t>
      </w:r>
      <w:proofErr w:type="spellEnd"/>
      <w:r w:rsidRPr="00C21A2E">
        <w:rPr>
          <w:szCs w:val="16"/>
        </w:rPr>
        <w:t xml:space="preserve"> da Gloria </w:t>
      </w:r>
      <w:proofErr w:type="spellStart"/>
      <w:r w:rsidRPr="00C21A2E">
        <w:rPr>
          <w:szCs w:val="16"/>
        </w:rPr>
        <w:t>Mendes</w:t>
      </w:r>
      <w:proofErr w:type="spellEnd"/>
      <w:r w:rsidRPr="00C21A2E">
        <w:rPr>
          <w:szCs w:val="16"/>
        </w:rPr>
        <w:t xml:space="preserve"> (madre de Anderson </w:t>
      </w:r>
      <w:proofErr w:type="spellStart"/>
      <w:r w:rsidRPr="00C21A2E">
        <w:rPr>
          <w:szCs w:val="16"/>
        </w:rPr>
        <w:t>Mendes</w:t>
      </w:r>
      <w:proofErr w:type="spellEnd"/>
      <w:r w:rsidRPr="00C21A2E">
        <w:rPr>
          <w:szCs w:val="16"/>
        </w:rPr>
        <w:t xml:space="preserve">) falleció, aunque del acervo probatorio no se deriva de manera conclusiva su respectiva fecha de deceso. </w:t>
      </w:r>
      <w:r w:rsidRPr="00CA3759">
        <w:rPr>
          <w:szCs w:val="16"/>
        </w:rPr>
        <w:t xml:space="preserve">En relación con esa persona, los representantes indicaron no tener contacto con sus familiares y no tienen conocimiento sobre la fecha de su fallecimiento. Por lo tanto, el Tribunal no tiene información suficiente para considerarla víctima de una violación a la Convención Americana en el presente caso. </w:t>
      </w:r>
      <w:r w:rsidRPr="00C21A2E">
        <w:rPr>
          <w:szCs w:val="16"/>
        </w:rPr>
        <w:t xml:space="preserve">Por otra parte, de conformidad con la prueba remitida por los representantes, la Corte constató que: i) la persona identificada por la Comisión como </w:t>
      </w:r>
      <w:proofErr w:type="spellStart"/>
      <w:r w:rsidRPr="00C21A2E">
        <w:rPr>
          <w:szCs w:val="16"/>
        </w:rPr>
        <w:t>Ofélia</w:t>
      </w:r>
      <w:proofErr w:type="spellEnd"/>
      <w:r w:rsidRPr="00C21A2E">
        <w:rPr>
          <w:szCs w:val="16"/>
        </w:rPr>
        <w:t xml:space="preserve"> Rosa, corresponde a </w:t>
      </w:r>
      <w:proofErr w:type="spellStart"/>
      <w:r w:rsidRPr="00C21A2E">
        <w:rPr>
          <w:szCs w:val="16"/>
        </w:rPr>
        <w:t>Océlia</w:t>
      </w:r>
      <w:proofErr w:type="spellEnd"/>
      <w:r w:rsidRPr="00C21A2E">
        <w:rPr>
          <w:szCs w:val="16"/>
        </w:rPr>
        <w:t xml:space="preserve"> Rosa; ii) la persona identificada por la Comisión como “el hijo de Cosme Rosa Genoveva” corresponde a </w:t>
      </w:r>
      <w:proofErr w:type="spellStart"/>
      <w:r w:rsidRPr="00C21A2E">
        <w:rPr>
          <w:szCs w:val="16"/>
        </w:rPr>
        <w:t>Diogo</w:t>
      </w:r>
      <w:proofErr w:type="spellEnd"/>
      <w:r w:rsidRPr="00C21A2E">
        <w:rPr>
          <w:szCs w:val="16"/>
        </w:rPr>
        <w:t xml:space="preserve"> da Silva Genoveva, iii) la persona identificada por la Comisión como “</w:t>
      </w:r>
      <w:proofErr w:type="spellStart"/>
      <w:r w:rsidRPr="00C21A2E">
        <w:rPr>
          <w:szCs w:val="16"/>
        </w:rPr>
        <w:t>Michele</w:t>
      </w:r>
      <w:proofErr w:type="spellEnd"/>
      <w:r w:rsidRPr="00C21A2E">
        <w:rPr>
          <w:szCs w:val="16"/>
        </w:rPr>
        <w:t>” corresponde a Michelle Mariano dos Santos; iv) la persona identificada por la Comisión como “el hijo de Fabio Ribeiro Castor” corresponde a William Mariano dos Santos.</w:t>
      </w:r>
    </w:p>
  </w:footnote>
  <w:footnote w:id="271">
    <w:p w14:paraId="02B6C873" w14:textId="6EA4044B"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lang w:val="es-ES"/>
        </w:rPr>
        <w:t>Caso Velásquez Rodríguez Vs. Honduras. Excepciones Preliminares</w:t>
      </w:r>
      <w:r w:rsidRPr="00C21A2E">
        <w:rPr>
          <w:szCs w:val="16"/>
          <w:lang w:val="es-ES"/>
        </w:rPr>
        <w:t xml:space="preserve">, párr. 91, y </w:t>
      </w:r>
      <w:r w:rsidRPr="00261801">
        <w:rPr>
          <w:bCs/>
          <w:i/>
          <w:color w:val="000000"/>
          <w:szCs w:val="16"/>
          <w:shd w:val="clear" w:color="auto" w:fill="FFFFFF"/>
        </w:rPr>
        <w:t>Caso Trabajadores de la Hacienda Brasil Verde</w:t>
      </w:r>
      <w:r w:rsidRPr="00C21A2E">
        <w:rPr>
          <w:szCs w:val="16"/>
          <w:lang w:val="es-ES"/>
        </w:rPr>
        <w:t xml:space="preserve">, párr. </w:t>
      </w:r>
      <w:r>
        <w:rPr>
          <w:szCs w:val="16"/>
          <w:lang w:val="es-ES"/>
        </w:rPr>
        <w:t>391</w:t>
      </w:r>
      <w:r w:rsidRPr="00C21A2E">
        <w:rPr>
          <w:szCs w:val="16"/>
          <w:lang w:val="es-ES"/>
        </w:rPr>
        <w:t>.</w:t>
      </w:r>
    </w:p>
  </w:footnote>
  <w:footnote w:id="272">
    <w:p w14:paraId="393485F2" w14:textId="54ED699F"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Cfr. Caso</w:t>
      </w:r>
      <w:r w:rsidRPr="00C21A2E">
        <w:rPr>
          <w:szCs w:val="16"/>
          <w:lang w:val="es-ES"/>
        </w:rPr>
        <w:t xml:space="preserve"> </w:t>
      </w:r>
      <w:r w:rsidRPr="00C21A2E">
        <w:rPr>
          <w:i/>
          <w:szCs w:val="16"/>
          <w:lang w:val="es-ES"/>
        </w:rPr>
        <w:t>López Álvarez Vs. Honduras. Fondo, Reparaciones y Costas</w:t>
      </w:r>
      <w:r w:rsidRPr="00C21A2E">
        <w:rPr>
          <w:szCs w:val="16"/>
          <w:lang w:val="es-ES"/>
        </w:rPr>
        <w:t>. Sentencia de 1 de febrero de 2006. Serie C No. 141, párr. 96, y</w:t>
      </w:r>
      <w:r w:rsidRPr="00C21A2E">
        <w:rPr>
          <w:i/>
          <w:szCs w:val="16"/>
          <w:lang w:val="es-ES"/>
        </w:rPr>
        <w:t xml:space="preserve"> </w:t>
      </w:r>
      <w:r w:rsidRPr="00261801">
        <w:rPr>
          <w:bCs/>
          <w:i/>
          <w:color w:val="000000"/>
          <w:szCs w:val="16"/>
          <w:shd w:val="clear" w:color="auto" w:fill="FFFFFF"/>
        </w:rPr>
        <w:t>Caso Trabajadores de la Hacienda Brasil Verde</w:t>
      </w:r>
      <w:r w:rsidRPr="00C21A2E">
        <w:rPr>
          <w:color w:val="000000"/>
          <w:szCs w:val="16"/>
          <w:lang w:val="es-ES"/>
        </w:rPr>
        <w:t xml:space="preserve">, </w:t>
      </w:r>
      <w:r w:rsidRPr="00C21A2E">
        <w:rPr>
          <w:szCs w:val="16"/>
          <w:lang w:val="es-ES"/>
        </w:rPr>
        <w:t xml:space="preserve">párr. </w:t>
      </w:r>
      <w:r>
        <w:rPr>
          <w:szCs w:val="16"/>
          <w:lang w:val="es-ES"/>
        </w:rPr>
        <w:t>392</w:t>
      </w:r>
      <w:r w:rsidRPr="00C21A2E">
        <w:rPr>
          <w:szCs w:val="16"/>
          <w:lang w:val="es-ES"/>
        </w:rPr>
        <w:t>.</w:t>
      </w:r>
    </w:p>
  </w:footnote>
  <w:footnote w:id="273">
    <w:p w14:paraId="2F03682A" w14:textId="0ECE5D8D"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i/>
          <w:szCs w:val="16"/>
        </w:rPr>
        <w:t xml:space="preserve">Cfr. </w:t>
      </w:r>
      <w:r w:rsidRPr="00C21A2E">
        <w:rPr>
          <w:rFonts w:cs="Verdana"/>
          <w:i/>
          <w:szCs w:val="16"/>
          <w:lang w:bidi="en-US"/>
        </w:rPr>
        <w:t xml:space="preserve">Caso </w:t>
      </w:r>
      <w:proofErr w:type="spellStart"/>
      <w:r w:rsidRPr="00C21A2E">
        <w:rPr>
          <w:rFonts w:cs="Verdana"/>
          <w:i/>
          <w:szCs w:val="16"/>
          <w:lang w:bidi="en-US"/>
        </w:rPr>
        <w:t>Ivcher</w:t>
      </w:r>
      <w:proofErr w:type="spellEnd"/>
      <w:r w:rsidRPr="00C21A2E">
        <w:rPr>
          <w:rFonts w:cs="Verdana"/>
          <w:i/>
          <w:szCs w:val="16"/>
          <w:lang w:bidi="en-US"/>
        </w:rPr>
        <w:t xml:space="preserve"> </w:t>
      </w:r>
      <w:proofErr w:type="spellStart"/>
      <w:r w:rsidRPr="00C21A2E">
        <w:rPr>
          <w:rFonts w:cs="Verdana"/>
          <w:i/>
          <w:szCs w:val="16"/>
          <w:lang w:bidi="en-US"/>
        </w:rPr>
        <w:t>Bronstein</w:t>
      </w:r>
      <w:proofErr w:type="spellEnd"/>
      <w:r w:rsidRPr="00C21A2E">
        <w:rPr>
          <w:rFonts w:cs="Verdana"/>
          <w:i/>
          <w:szCs w:val="16"/>
          <w:lang w:bidi="en-US"/>
        </w:rPr>
        <w:t xml:space="preserve"> Vs. Perú. Fondo, Reparaciones y Costas.</w:t>
      </w:r>
      <w:r w:rsidRPr="00C21A2E">
        <w:rPr>
          <w:rFonts w:cs="Verdana"/>
          <w:szCs w:val="16"/>
          <w:lang w:bidi="en-US"/>
        </w:rPr>
        <w:t xml:space="preserve"> Sentencia de 6 de febrero de 2001. Serie C No. 7, párr. 137, y </w:t>
      </w:r>
      <w:r w:rsidRPr="00261801">
        <w:rPr>
          <w:bCs/>
          <w:i/>
          <w:color w:val="000000"/>
          <w:szCs w:val="16"/>
          <w:shd w:val="clear" w:color="auto" w:fill="FFFFFF"/>
        </w:rPr>
        <w:t>Caso Trabajadores de la Hacienda Brasil Verde</w:t>
      </w:r>
      <w:r w:rsidRPr="00C21A2E">
        <w:rPr>
          <w:color w:val="000000"/>
          <w:szCs w:val="16"/>
        </w:rPr>
        <w:t xml:space="preserve">, </w:t>
      </w:r>
      <w:r w:rsidRPr="00C21A2E">
        <w:rPr>
          <w:szCs w:val="16"/>
        </w:rPr>
        <w:t xml:space="preserve">párr. </w:t>
      </w:r>
      <w:r>
        <w:rPr>
          <w:szCs w:val="16"/>
        </w:rPr>
        <w:t>392</w:t>
      </w:r>
      <w:r w:rsidRPr="00C21A2E">
        <w:rPr>
          <w:szCs w:val="16"/>
        </w:rPr>
        <w:t>.</w:t>
      </w:r>
    </w:p>
  </w:footnote>
  <w:footnote w:id="274">
    <w:p w14:paraId="30BFD62C" w14:textId="09C05C02" w:rsidR="00122408" w:rsidRPr="00C21A2E" w:rsidRDefault="00122408" w:rsidP="00B50B41">
      <w:pPr>
        <w:pStyle w:val="FootnoteText"/>
        <w:spacing w:after="40"/>
        <w:rPr>
          <w:szCs w:val="16"/>
        </w:rPr>
      </w:pPr>
      <w:r w:rsidRPr="00C21A2E">
        <w:rPr>
          <w:rStyle w:val="Refdenotaalpie1"/>
          <w:sz w:val="16"/>
          <w:szCs w:val="16"/>
        </w:rPr>
        <w:footnoteRef/>
      </w:r>
      <w:r w:rsidRPr="00C21A2E">
        <w:rPr>
          <w:szCs w:val="16"/>
        </w:rPr>
        <w:t xml:space="preserve"> </w:t>
      </w:r>
      <w:r w:rsidRPr="00C21A2E">
        <w:rPr>
          <w:i/>
          <w:szCs w:val="16"/>
        </w:rPr>
        <w:t>Cfr. Caso Las Palmeras Vs. Colombia. Reparaciones y Costas.</w:t>
      </w:r>
      <w:r w:rsidRPr="00C21A2E">
        <w:rPr>
          <w:szCs w:val="16"/>
        </w:rPr>
        <w:t xml:space="preserve"> Sentencia de 26 Noviembre de 2002. Serie C No. 96, párr. 58, y </w:t>
      </w:r>
      <w:r w:rsidRPr="00261801">
        <w:rPr>
          <w:bCs/>
          <w:i/>
          <w:color w:val="000000"/>
          <w:szCs w:val="16"/>
          <w:shd w:val="clear" w:color="auto" w:fill="FFFFFF"/>
        </w:rPr>
        <w:t>Caso Trabajadores de la Hacienda Brasil Verde</w:t>
      </w:r>
      <w:r w:rsidRPr="00C21A2E">
        <w:rPr>
          <w:color w:val="000000"/>
          <w:szCs w:val="16"/>
        </w:rPr>
        <w:t xml:space="preserve">, </w:t>
      </w:r>
      <w:r w:rsidRPr="00C21A2E">
        <w:rPr>
          <w:szCs w:val="16"/>
        </w:rPr>
        <w:t xml:space="preserve">párr. </w:t>
      </w:r>
      <w:r>
        <w:rPr>
          <w:szCs w:val="16"/>
        </w:rPr>
        <w:t>392</w:t>
      </w:r>
      <w:r w:rsidRPr="00C21A2E">
        <w:rPr>
          <w:szCs w:val="16"/>
        </w:rPr>
        <w:t>.</w:t>
      </w:r>
    </w:p>
  </w:footnote>
  <w:footnote w:id="275">
    <w:p w14:paraId="4A881154" w14:textId="2D854FC5" w:rsidR="00122408" w:rsidRPr="00C21A2E" w:rsidRDefault="00122408" w:rsidP="00B50B41">
      <w:pPr>
        <w:pStyle w:val="FootnoteText"/>
        <w:spacing w:after="40"/>
        <w:rPr>
          <w:i/>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Cfr. Caso Baena Ricardo y otros Vs. Panamá. Competencia. </w:t>
      </w:r>
      <w:r w:rsidRPr="00C21A2E">
        <w:rPr>
          <w:szCs w:val="16"/>
          <w:lang w:val="es-ES"/>
        </w:rPr>
        <w:t xml:space="preserve">Sentencia de 28 de noviembre de 2003. Serie C No. 104, párr. 73, y </w:t>
      </w:r>
      <w:r w:rsidRPr="00261801">
        <w:rPr>
          <w:bCs/>
          <w:i/>
          <w:color w:val="000000"/>
          <w:szCs w:val="16"/>
          <w:shd w:val="clear" w:color="auto" w:fill="FFFFFF"/>
        </w:rPr>
        <w:t>Caso Trabajadores de la Hacienda Brasil Verde</w:t>
      </w:r>
      <w:r w:rsidRPr="00C21A2E">
        <w:rPr>
          <w:color w:val="000000"/>
          <w:szCs w:val="16"/>
        </w:rPr>
        <w:t xml:space="preserve">, </w:t>
      </w:r>
      <w:r w:rsidRPr="00C21A2E">
        <w:rPr>
          <w:szCs w:val="16"/>
        </w:rPr>
        <w:t xml:space="preserve">párr. </w:t>
      </w:r>
      <w:r>
        <w:rPr>
          <w:szCs w:val="16"/>
        </w:rPr>
        <w:t>392</w:t>
      </w:r>
      <w:r w:rsidRPr="00C21A2E">
        <w:rPr>
          <w:szCs w:val="16"/>
        </w:rPr>
        <w:t>.</w:t>
      </w:r>
    </w:p>
  </w:footnote>
  <w:footnote w:id="276">
    <w:p w14:paraId="610D97F5" w14:textId="166E5A66" w:rsidR="00122408" w:rsidRPr="00C21A2E" w:rsidRDefault="00122408" w:rsidP="00B50B41">
      <w:pPr>
        <w:pStyle w:val="FootnoteText"/>
        <w:spacing w:after="40"/>
        <w:rPr>
          <w:bCs/>
          <w:color w:val="000000"/>
          <w:szCs w:val="16"/>
          <w:shd w:val="clear" w:color="auto" w:fill="FFFFFF"/>
        </w:rPr>
      </w:pPr>
      <w:r w:rsidRPr="00C21A2E">
        <w:rPr>
          <w:rStyle w:val="FootnoteReference"/>
          <w:sz w:val="16"/>
          <w:szCs w:val="16"/>
        </w:rPr>
        <w:footnoteRef/>
      </w:r>
      <w:r w:rsidRPr="00C21A2E">
        <w:rPr>
          <w:szCs w:val="16"/>
        </w:rPr>
        <w:t xml:space="preserve"> </w:t>
      </w:r>
      <w:r w:rsidRPr="00C21A2E">
        <w:rPr>
          <w:i/>
          <w:szCs w:val="16"/>
        </w:rPr>
        <w:t>Cfr. Caso de los “Niños de la Calle” (Villagrán Morales y otros). Fondo</w:t>
      </w:r>
      <w:r>
        <w:rPr>
          <w:szCs w:val="16"/>
        </w:rPr>
        <w:t xml:space="preserve">, párr. 237, y </w:t>
      </w:r>
      <w:r w:rsidRPr="00261801">
        <w:rPr>
          <w:bCs/>
          <w:i/>
          <w:color w:val="000000"/>
          <w:szCs w:val="16"/>
          <w:shd w:val="clear" w:color="auto" w:fill="FFFFFF"/>
        </w:rPr>
        <w:t>Caso Trabajadores de la Hacienda Brasil Verde</w:t>
      </w:r>
      <w:r w:rsidRPr="00C21A2E">
        <w:rPr>
          <w:color w:val="000000"/>
          <w:szCs w:val="16"/>
        </w:rPr>
        <w:t xml:space="preserve">, </w:t>
      </w:r>
      <w:r w:rsidRPr="00C21A2E">
        <w:rPr>
          <w:szCs w:val="16"/>
        </w:rPr>
        <w:t xml:space="preserve">párr. </w:t>
      </w:r>
      <w:r>
        <w:rPr>
          <w:szCs w:val="16"/>
        </w:rPr>
        <w:t>393</w:t>
      </w:r>
      <w:r w:rsidRPr="00C21A2E">
        <w:rPr>
          <w:szCs w:val="16"/>
        </w:rPr>
        <w:t>.</w:t>
      </w:r>
    </w:p>
  </w:footnote>
  <w:footnote w:id="277">
    <w:p w14:paraId="618B870A" w14:textId="335E2A50" w:rsidR="00122408" w:rsidRPr="00C21A2E" w:rsidRDefault="00122408" w:rsidP="00B50B41">
      <w:pPr>
        <w:pStyle w:val="FootnoteText"/>
        <w:spacing w:after="40"/>
        <w:rPr>
          <w:b/>
          <w:bCs/>
          <w:color w:val="000000"/>
          <w:szCs w:val="16"/>
          <w:shd w:val="clear" w:color="auto" w:fill="FFFFFF"/>
        </w:rPr>
      </w:pPr>
      <w:r w:rsidRPr="00C21A2E">
        <w:rPr>
          <w:rStyle w:val="FootnoteReference"/>
          <w:sz w:val="16"/>
          <w:szCs w:val="16"/>
        </w:rPr>
        <w:footnoteRef/>
      </w:r>
      <w:r w:rsidRPr="00C21A2E">
        <w:rPr>
          <w:szCs w:val="16"/>
        </w:rPr>
        <w:t xml:space="preserve"> </w:t>
      </w:r>
      <w:r w:rsidRPr="00C21A2E">
        <w:rPr>
          <w:i/>
          <w:szCs w:val="16"/>
        </w:rPr>
        <w:t>Cfr. Caso Castillo Páez Vs. Perú. Fondo.</w:t>
      </w:r>
      <w:r w:rsidRPr="00C21A2E">
        <w:rPr>
          <w:szCs w:val="16"/>
        </w:rPr>
        <w:t xml:space="preserve"> Sentencia de 3 de noviembre de 1997. Serie C No. 34, párr. 83, y </w:t>
      </w:r>
      <w:r w:rsidRPr="00261801">
        <w:rPr>
          <w:bCs/>
          <w:i/>
          <w:color w:val="000000"/>
          <w:szCs w:val="16"/>
          <w:shd w:val="clear" w:color="auto" w:fill="FFFFFF"/>
        </w:rPr>
        <w:t>Caso Trabajadores de la Hacienda Brasil Verde</w:t>
      </w:r>
      <w:r w:rsidRPr="00C21A2E">
        <w:rPr>
          <w:color w:val="000000"/>
          <w:szCs w:val="16"/>
        </w:rPr>
        <w:t xml:space="preserve">, </w:t>
      </w:r>
      <w:r w:rsidRPr="00C21A2E">
        <w:rPr>
          <w:szCs w:val="16"/>
        </w:rPr>
        <w:t xml:space="preserve">párr. </w:t>
      </w:r>
      <w:r>
        <w:rPr>
          <w:szCs w:val="16"/>
        </w:rPr>
        <w:t>393</w:t>
      </w:r>
      <w:r w:rsidRPr="00C21A2E">
        <w:rPr>
          <w:szCs w:val="16"/>
        </w:rPr>
        <w:t>.</w:t>
      </w:r>
    </w:p>
  </w:footnote>
  <w:footnote w:id="278">
    <w:p w14:paraId="40C88032" w14:textId="443FE7FC"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Cfr. Caso de los “Niños de la Calle” (Villagrán Morales y otros). Fondo</w:t>
      </w:r>
      <w:r w:rsidRPr="00C21A2E">
        <w:rPr>
          <w:szCs w:val="16"/>
          <w:lang w:val="es-ES"/>
        </w:rPr>
        <w:t>, párr. 237, y</w:t>
      </w:r>
      <w:r w:rsidRPr="00C21A2E">
        <w:rPr>
          <w:b/>
          <w:szCs w:val="16"/>
          <w:lang w:val="es-ES"/>
        </w:rPr>
        <w:t xml:space="preserve"> </w:t>
      </w:r>
      <w:r w:rsidRPr="00261801">
        <w:rPr>
          <w:bCs/>
          <w:i/>
          <w:color w:val="000000"/>
          <w:szCs w:val="16"/>
          <w:shd w:val="clear" w:color="auto" w:fill="FFFFFF"/>
        </w:rPr>
        <w:t>Caso Trabajadores de la Hacienda Brasil Verde</w:t>
      </w:r>
      <w:r w:rsidRPr="00C21A2E">
        <w:rPr>
          <w:color w:val="000000"/>
          <w:szCs w:val="16"/>
        </w:rPr>
        <w:t xml:space="preserve">, </w:t>
      </w:r>
      <w:r w:rsidRPr="00C21A2E">
        <w:rPr>
          <w:szCs w:val="16"/>
        </w:rPr>
        <w:t xml:space="preserve">párr. </w:t>
      </w:r>
      <w:r>
        <w:rPr>
          <w:szCs w:val="16"/>
        </w:rPr>
        <w:t>393</w:t>
      </w:r>
      <w:r w:rsidRPr="00C21A2E">
        <w:rPr>
          <w:szCs w:val="16"/>
        </w:rPr>
        <w:t>.</w:t>
      </w:r>
    </w:p>
  </w:footnote>
  <w:footnote w:id="279">
    <w:p w14:paraId="66EAD7C7" w14:textId="020838E7" w:rsidR="00122408" w:rsidRPr="00C21A2E" w:rsidRDefault="00122408" w:rsidP="00B50B41">
      <w:pPr>
        <w:autoSpaceDE w:val="0"/>
        <w:autoSpaceDN w:val="0"/>
        <w:spacing w:after="40"/>
        <w:rPr>
          <w:sz w:val="16"/>
          <w:szCs w:val="16"/>
          <w:lang w:val="es-PR"/>
        </w:rPr>
      </w:pPr>
      <w:r w:rsidRPr="00C21A2E">
        <w:rPr>
          <w:rStyle w:val="FootnoteReference"/>
          <w:sz w:val="16"/>
          <w:szCs w:val="16"/>
        </w:rPr>
        <w:footnoteRef/>
      </w:r>
      <w:r w:rsidRPr="00C21A2E">
        <w:rPr>
          <w:sz w:val="16"/>
          <w:szCs w:val="16"/>
          <w:lang w:val="es-PR"/>
        </w:rPr>
        <w:t xml:space="preserve"> </w:t>
      </w:r>
      <w:r w:rsidRPr="00C21A2E">
        <w:rPr>
          <w:rFonts w:eastAsia="Calibri" w:cs="Verdana"/>
          <w:i/>
          <w:iCs/>
          <w:sz w:val="16"/>
          <w:szCs w:val="16"/>
          <w:lang w:val="es-PR"/>
        </w:rPr>
        <w:t xml:space="preserve">Cfr. Caso Valle Jaramillo y otros, </w:t>
      </w:r>
      <w:r w:rsidRPr="00C21A2E">
        <w:rPr>
          <w:rFonts w:eastAsia="Calibri" w:cs="Verdana"/>
          <w:sz w:val="16"/>
          <w:szCs w:val="16"/>
          <w:lang w:val="es-PR"/>
        </w:rPr>
        <w:t xml:space="preserve">párr. 233, y </w:t>
      </w:r>
      <w:r w:rsidRPr="00261801">
        <w:rPr>
          <w:bCs/>
          <w:i/>
          <w:sz w:val="16"/>
          <w:szCs w:val="16"/>
        </w:rPr>
        <w:t xml:space="preserve">Caso Miembros de la Aldea </w:t>
      </w:r>
      <w:proofErr w:type="spellStart"/>
      <w:r w:rsidRPr="00261801">
        <w:rPr>
          <w:bCs/>
          <w:i/>
          <w:sz w:val="16"/>
          <w:szCs w:val="16"/>
        </w:rPr>
        <w:t>Chichupac</w:t>
      </w:r>
      <w:proofErr w:type="spellEnd"/>
      <w:r w:rsidRPr="00261801">
        <w:rPr>
          <w:bCs/>
          <w:i/>
          <w:sz w:val="16"/>
          <w:szCs w:val="16"/>
        </w:rPr>
        <w:t xml:space="preserve"> y comunidades vecinas del Municipio de Rabinal</w:t>
      </w:r>
      <w:r w:rsidRPr="00C21A2E">
        <w:rPr>
          <w:sz w:val="16"/>
          <w:szCs w:val="16"/>
          <w:lang w:val="es-PR"/>
        </w:rPr>
        <w:t>, párr. 230.</w:t>
      </w:r>
    </w:p>
  </w:footnote>
  <w:footnote w:id="280">
    <w:p w14:paraId="5A64D06C" w14:textId="20D2FC50"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Respecto de las víctimas, se reitera lo indicado anteriormente en la nota </w:t>
      </w:r>
      <w:r>
        <w:rPr>
          <w:szCs w:val="16"/>
        </w:rPr>
        <w:t>267</w:t>
      </w:r>
      <w:r w:rsidRPr="00C21A2E">
        <w:rPr>
          <w:szCs w:val="16"/>
        </w:rPr>
        <w:t xml:space="preserve"> de la Sentencia. </w:t>
      </w:r>
    </w:p>
  </w:footnote>
  <w:footnote w:id="281">
    <w:p w14:paraId="689CA4FC" w14:textId="2B6BC61E"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szCs w:val="16"/>
        </w:rPr>
        <w:t xml:space="preserve">Respecto de las víctimas, se reitera lo indicado anteriormente en la nota </w:t>
      </w:r>
      <w:r>
        <w:rPr>
          <w:szCs w:val="16"/>
        </w:rPr>
        <w:t>270</w:t>
      </w:r>
      <w:r w:rsidRPr="00C21A2E">
        <w:rPr>
          <w:szCs w:val="16"/>
        </w:rPr>
        <w:t xml:space="preserve"> de la Sentencia.</w:t>
      </w:r>
    </w:p>
  </w:footnote>
  <w:footnote w:id="282">
    <w:p w14:paraId="5C724B03" w14:textId="4E562658" w:rsidR="00122408" w:rsidRPr="00261801"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iCs/>
          <w:szCs w:val="16"/>
          <w:lang w:val="es-ES"/>
        </w:rPr>
        <w:t>Caso González y otras (“Campo Algodonero”)</w:t>
      </w:r>
      <w:r>
        <w:rPr>
          <w:szCs w:val="16"/>
          <w:lang w:val="es-ES"/>
        </w:rPr>
        <w:t xml:space="preserve">, párr. 258, y </w:t>
      </w:r>
      <w:r w:rsidRPr="00261801">
        <w:rPr>
          <w:bCs/>
          <w:i/>
          <w:szCs w:val="16"/>
        </w:rPr>
        <w:t>Caso Trabajadores de la Hacienda Brasil Verde</w:t>
      </w:r>
      <w:r>
        <w:rPr>
          <w:bCs/>
          <w:szCs w:val="16"/>
        </w:rPr>
        <w:t>, párr. 320.</w:t>
      </w:r>
    </w:p>
  </w:footnote>
  <w:footnote w:id="283">
    <w:p w14:paraId="27B48869" w14:textId="70FD5F70"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iCs/>
          <w:szCs w:val="16"/>
          <w:lang w:val="es-ES"/>
        </w:rPr>
        <w:t>Caso González y otras (“Campo Algodonero”)</w:t>
      </w:r>
      <w:r w:rsidRPr="00C21A2E">
        <w:rPr>
          <w:iCs/>
          <w:szCs w:val="16"/>
          <w:lang w:val="es-ES"/>
        </w:rPr>
        <w:t xml:space="preserve">, </w:t>
      </w:r>
      <w:r w:rsidRPr="00C21A2E">
        <w:rPr>
          <w:szCs w:val="16"/>
          <w:lang w:val="es-ES"/>
        </w:rPr>
        <w:t xml:space="preserve">párr. 258, y </w:t>
      </w:r>
      <w:r w:rsidRPr="00261801">
        <w:rPr>
          <w:bCs/>
          <w:i/>
          <w:iCs/>
          <w:szCs w:val="16"/>
        </w:rPr>
        <w:t xml:space="preserve">Caso Velásquez </w:t>
      </w:r>
      <w:proofErr w:type="spellStart"/>
      <w:r w:rsidRPr="00261801">
        <w:rPr>
          <w:bCs/>
          <w:i/>
          <w:iCs/>
          <w:szCs w:val="16"/>
        </w:rPr>
        <w:t>Paiz</w:t>
      </w:r>
      <w:proofErr w:type="spellEnd"/>
      <w:r w:rsidRPr="00261801">
        <w:rPr>
          <w:bCs/>
          <w:i/>
          <w:iCs/>
          <w:szCs w:val="16"/>
        </w:rPr>
        <w:t xml:space="preserve"> y otros</w:t>
      </w:r>
      <w:r w:rsidRPr="00C21A2E">
        <w:rPr>
          <w:iCs/>
          <w:szCs w:val="16"/>
          <w:lang w:val="es-ES"/>
        </w:rPr>
        <w:t xml:space="preserve">, </w:t>
      </w:r>
      <w:r w:rsidRPr="00C21A2E">
        <w:rPr>
          <w:szCs w:val="16"/>
          <w:lang w:val="es-ES"/>
        </w:rPr>
        <w:t xml:space="preserve">párr. </w:t>
      </w:r>
      <w:r>
        <w:rPr>
          <w:szCs w:val="16"/>
          <w:lang w:val="es-ES"/>
        </w:rPr>
        <w:t>108</w:t>
      </w:r>
      <w:r w:rsidRPr="00C21A2E">
        <w:rPr>
          <w:szCs w:val="16"/>
          <w:lang w:val="es-ES"/>
        </w:rPr>
        <w:t xml:space="preserve">.  </w:t>
      </w:r>
    </w:p>
  </w:footnote>
  <w:footnote w:id="284">
    <w:p w14:paraId="53E1E136" w14:textId="712215D5"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i/>
          <w:szCs w:val="16"/>
          <w:lang w:val="es-ES"/>
        </w:rPr>
        <w:t xml:space="preserve">Cfr. </w:t>
      </w:r>
      <w:r w:rsidRPr="00C21A2E">
        <w:rPr>
          <w:i/>
          <w:szCs w:val="16"/>
        </w:rPr>
        <w:t xml:space="preserve">Caso Velásquez </w:t>
      </w:r>
      <w:proofErr w:type="spellStart"/>
      <w:r w:rsidRPr="00C21A2E">
        <w:rPr>
          <w:i/>
          <w:szCs w:val="16"/>
        </w:rPr>
        <w:t>Paiz</w:t>
      </w:r>
      <w:proofErr w:type="spellEnd"/>
      <w:r w:rsidRPr="00C21A2E">
        <w:rPr>
          <w:i/>
          <w:szCs w:val="16"/>
        </w:rPr>
        <w:t xml:space="preserve"> y otros</w:t>
      </w:r>
      <w:r w:rsidRPr="00C21A2E">
        <w:rPr>
          <w:szCs w:val="16"/>
        </w:rPr>
        <w:t>, párr. 108</w:t>
      </w:r>
      <w:r>
        <w:rPr>
          <w:szCs w:val="16"/>
        </w:rPr>
        <w:t xml:space="preserve">, y </w:t>
      </w:r>
      <w:r>
        <w:rPr>
          <w:i/>
          <w:szCs w:val="16"/>
        </w:rPr>
        <w:t>Caso I.V.,</w:t>
      </w:r>
      <w:r>
        <w:rPr>
          <w:szCs w:val="16"/>
        </w:rPr>
        <w:t xml:space="preserve"> párr. 295</w:t>
      </w:r>
      <w:r w:rsidRPr="00C21A2E">
        <w:rPr>
          <w:szCs w:val="16"/>
        </w:rPr>
        <w:t>.</w:t>
      </w:r>
    </w:p>
  </w:footnote>
  <w:footnote w:id="285">
    <w:p w14:paraId="1B89AFE2" w14:textId="77777777" w:rsidR="00122408" w:rsidRPr="00C21A2E" w:rsidRDefault="00122408" w:rsidP="00B50B41">
      <w:pPr>
        <w:pStyle w:val="FootnoteText"/>
        <w:spacing w:after="40"/>
        <w:rPr>
          <w:color w:val="000000"/>
          <w:szCs w:val="16"/>
          <w:lang w:val="es-ES"/>
        </w:rPr>
      </w:pPr>
      <w:r w:rsidRPr="00C21A2E">
        <w:rPr>
          <w:rStyle w:val="FootnoteReference"/>
          <w:sz w:val="16"/>
          <w:szCs w:val="16"/>
        </w:rPr>
        <w:footnoteRef/>
      </w:r>
      <w:r w:rsidRPr="00C21A2E">
        <w:rPr>
          <w:szCs w:val="16"/>
          <w:lang w:val="es-ES"/>
        </w:rPr>
        <w:t xml:space="preserve"> Convención Interamericana para Prevenir, Sancionar y Erradicar la Violencia contra la Mujer</w:t>
      </w:r>
      <w:r w:rsidRPr="00C21A2E">
        <w:rPr>
          <w:rFonts w:cs="Tahoma"/>
          <w:color w:val="000000"/>
          <w:szCs w:val="16"/>
          <w:lang w:val="es-ES"/>
        </w:rPr>
        <w:t>, artículo 7: Los Estados Partes condenan todas las formas de violencia contra la mujer y convienen en adoptar, por todos los medios apropiados y sin dilaciones, políticas orientadas a prevenir, sancionar y erradicar dicha violencia y en llevar a cabo lo siguiente:</w:t>
      </w:r>
    </w:p>
    <w:p w14:paraId="0C2D2DB9" w14:textId="77777777" w:rsidR="00122408" w:rsidRPr="00C21A2E" w:rsidRDefault="00122408" w:rsidP="00B50B41">
      <w:pPr>
        <w:pStyle w:val="FootnoteText"/>
        <w:spacing w:after="40"/>
        <w:rPr>
          <w:color w:val="000000"/>
          <w:szCs w:val="16"/>
          <w:lang w:val="es-ES"/>
        </w:rPr>
      </w:pPr>
      <w:r w:rsidRPr="00C21A2E">
        <w:rPr>
          <w:rFonts w:cs="Tahoma"/>
          <w:color w:val="000000"/>
          <w:szCs w:val="16"/>
          <w:lang w:val="es-ES"/>
        </w:rPr>
        <w:t> a. abstenerse de cualquier acción o práctica de violencia contra la mujer y velar por que las autoridades, sus funcionarios, personal y agentes e instituciones se comporten de conformidad con esta obligación;</w:t>
      </w:r>
    </w:p>
    <w:p w14:paraId="3C3FC3A9" w14:textId="77777777" w:rsidR="00122408" w:rsidRPr="00C21A2E" w:rsidRDefault="00122408" w:rsidP="00B50B41">
      <w:pPr>
        <w:pStyle w:val="FootnoteText"/>
        <w:spacing w:after="40"/>
        <w:rPr>
          <w:color w:val="000000"/>
          <w:szCs w:val="16"/>
          <w:lang w:val="es-ES"/>
        </w:rPr>
      </w:pPr>
      <w:r w:rsidRPr="00C21A2E">
        <w:rPr>
          <w:rFonts w:cs="Tahoma"/>
          <w:color w:val="000000"/>
          <w:szCs w:val="16"/>
          <w:lang w:val="es-ES"/>
        </w:rPr>
        <w:t> b. actuar con la debida diligencia para prevenir, investigar y sancionar la violencia contra la mujer;</w:t>
      </w:r>
    </w:p>
    <w:p w14:paraId="7541FFBC" w14:textId="77777777" w:rsidR="00122408" w:rsidRPr="00C21A2E" w:rsidRDefault="00122408" w:rsidP="00B50B41">
      <w:pPr>
        <w:pStyle w:val="FootnoteText"/>
        <w:spacing w:after="40"/>
        <w:rPr>
          <w:color w:val="000000"/>
          <w:szCs w:val="16"/>
          <w:lang w:val="es-ES"/>
        </w:rPr>
      </w:pPr>
      <w:r w:rsidRPr="00C21A2E">
        <w:rPr>
          <w:rFonts w:cs="Tahoma"/>
          <w:color w:val="000000"/>
          <w:szCs w:val="16"/>
          <w:lang w:val="es-ES"/>
        </w:rPr>
        <w:t> 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7FFCCB3A" w14:textId="77777777" w:rsidR="00122408" w:rsidRPr="00C21A2E" w:rsidRDefault="00122408" w:rsidP="00B50B41">
      <w:pPr>
        <w:pStyle w:val="FootnoteText"/>
        <w:spacing w:after="40"/>
        <w:rPr>
          <w:color w:val="000000"/>
          <w:szCs w:val="16"/>
          <w:lang w:val="es-ES"/>
        </w:rPr>
      </w:pPr>
      <w:r w:rsidRPr="00C21A2E">
        <w:rPr>
          <w:rFonts w:cs="Tahoma"/>
          <w:color w:val="000000"/>
          <w:szCs w:val="16"/>
          <w:lang w:val="es-ES"/>
        </w:rPr>
        <w:t> d. adoptar medidas jurídicas para conminar al agresor a abstenerse de hostigar, intimidar, amenazar, dañar o poner en peligro la vida de la mujer de cualquier forma que atente contra su integridad o perjudique su propiedad;</w:t>
      </w:r>
    </w:p>
    <w:p w14:paraId="200D5AB2" w14:textId="77777777" w:rsidR="00122408" w:rsidRPr="00C21A2E" w:rsidRDefault="00122408" w:rsidP="00B50B41">
      <w:pPr>
        <w:pStyle w:val="FootnoteText"/>
        <w:spacing w:after="40"/>
        <w:rPr>
          <w:color w:val="000000"/>
          <w:szCs w:val="16"/>
          <w:lang w:val="es-ES"/>
        </w:rPr>
      </w:pPr>
      <w:r w:rsidRPr="00C21A2E">
        <w:rPr>
          <w:rFonts w:cs="Tahoma"/>
          <w:color w:val="000000"/>
          <w:szCs w:val="16"/>
          <w:lang w:val="es-ES"/>
        </w:rPr>
        <w:t> 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3B5D246C" w14:textId="77777777" w:rsidR="00122408" w:rsidRPr="00C21A2E" w:rsidRDefault="00122408" w:rsidP="00B50B41">
      <w:pPr>
        <w:pStyle w:val="FootnoteText"/>
        <w:spacing w:after="40"/>
        <w:rPr>
          <w:color w:val="000000"/>
          <w:szCs w:val="16"/>
          <w:lang w:val="es-ES"/>
        </w:rPr>
      </w:pPr>
      <w:r w:rsidRPr="00C21A2E">
        <w:rPr>
          <w:rFonts w:cs="Tahoma"/>
          <w:color w:val="000000"/>
          <w:szCs w:val="16"/>
          <w:lang w:val="es-ES"/>
        </w:rPr>
        <w:t> f. establecer procedimientos legales justos y eficaces para la mujer que haya sido sometida a violencia, que incluyan, entre otros, medidas de protección, un juicio oportuno y el acceso efectivo a tales procedimientos;</w:t>
      </w:r>
    </w:p>
    <w:p w14:paraId="7F4B2131" w14:textId="77777777" w:rsidR="00122408" w:rsidRPr="00C21A2E" w:rsidRDefault="00122408" w:rsidP="00B50B41">
      <w:pPr>
        <w:pStyle w:val="FootnoteText"/>
        <w:spacing w:after="40"/>
        <w:rPr>
          <w:color w:val="000000"/>
          <w:szCs w:val="16"/>
          <w:lang w:val="es-ES"/>
        </w:rPr>
      </w:pPr>
      <w:r w:rsidRPr="00C21A2E">
        <w:rPr>
          <w:rFonts w:cs="Tahoma"/>
          <w:color w:val="000000"/>
          <w:szCs w:val="16"/>
          <w:lang w:val="es-ES"/>
        </w:rPr>
        <w:t> g. establecer los mecanismos judiciales y administrativos necesarios para asegurar que la mujer objeto de violencia tenga acceso efectivo a resarcimiento, reparación del daño u otros medios de compensación justos y eficaces, y</w:t>
      </w:r>
    </w:p>
    <w:p w14:paraId="00454C77" w14:textId="77777777" w:rsidR="00122408" w:rsidRPr="00C21A2E" w:rsidRDefault="00122408" w:rsidP="00B50B41">
      <w:pPr>
        <w:pStyle w:val="FootnoteText"/>
        <w:spacing w:after="40"/>
        <w:rPr>
          <w:color w:val="000000"/>
          <w:szCs w:val="16"/>
          <w:lang w:val="es-ES"/>
        </w:rPr>
      </w:pPr>
      <w:r w:rsidRPr="00C21A2E">
        <w:rPr>
          <w:rFonts w:cs="Tahoma"/>
          <w:color w:val="000000"/>
          <w:szCs w:val="16"/>
          <w:lang w:val="es-ES"/>
        </w:rPr>
        <w:t> h. adoptar las disposiciones legislativas o de otra índole que sean necesarias para hacer efectiva esta Convención.</w:t>
      </w:r>
    </w:p>
  </w:footnote>
  <w:footnote w:id="286">
    <w:p w14:paraId="7D9327DA" w14:textId="5B04FDDF" w:rsidR="00122408" w:rsidRPr="006253B7" w:rsidRDefault="00122408" w:rsidP="00B50B41">
      <w:pPr>
        <w:pStyle w:val="FootnoteText"/>
        <w:spacing w:after="40"/>
        <w:rPr>
          <w:b/>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Caso </w:t>
      </w:r>
      <w:r w:rsidRPr="00C21A2E">
        <w:rPr>
          <w:rFonts w:cs="Verdana"/>
          <w:i/>
          <w:szCs w:val="16"/>
        </w:rPr>
        <w:t>Rosendo Cantú y otra</w:t>
      </w:r>
      <w:r w:rsidRPr="00C21A2E">
        <w:rPr>
          <w:rFonts w:cs="Verdana"/>
          <w:szCs w:val="16"/>
        </w:rPr>
        <w:t>, párr. 177.</w:t>
      </w:r>
      <w:r>
        <w:rPr>
          <w:rFonts w:cs="Verdana"/>
          <w:szCs w:val="16"/>
        </w:rPr>
        <w:t xml:space="preserve"> </w:t>
      </w:r>
    </w:p>
  </w:footnote>
  <w:footnote w:id="287">
    <w:p w14:paraId="116CC000" w14:textId="6F7C21C6"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Convención Interamericana para Prevenir, Sancionar y Erradicar la Violencia contra la Mujer</w:t>
      </w:r>
      <w:r>
        <w:rPr>
          <w:szCs w:val="16"/>
          <w:lang w:val="es-ES"/>
        </w:rPr>
        <w:t xml:space="preserve"> (Convención de Belém do Pará)</w:t>
      </w:r>
      <w:r w:rsidRPr="00C21A2E">
        <w:rPr>
          <w:szCs w:val="16"/>
          <w:lang w:val="es-ES"/>
        </w:rPr>
        <w:t>. Preámbulo.</w:t>
      </w:r>
    </w:p>
  </w:footnote>
  <w:footnote w:id="288">
    <w:p w14:paraId="140E6DC9"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Caso J.</w:t>
      </w:r>
      <w:r w:rsidRPr="00C21A2E">
        <w:rPr>
          <w:szCs w:val="16"/>
          <w:lang w:val="es-ES"/>
        </w:rPr>
        <w:t>, párr. 358.</w:t>
      </w:r>
    </w:p>
  </w:footnote>
  <w:footnote w:id="289">
    <w:p w14:paraId="08966AD3" w14:textId="3746E38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071D10">
        <w:rPr>
          <w:i/>
          <w:szCs w:val="16"/>
          <w:lang w:val="es-ES"/>
        </w:rPr>
        <w:t xml:space="preserve">Caso del Penal Miguel Castro </w:t>
      </w:r>
      <w:proofErr w:type="spellStart"/>
      <w:r w:rsidRPr="00071D10">
        <w:rPr>
          <w:i/>
          <w:szCs w:val="16"/>
          <w:lang w:val="es-ES"/>
        </w:rPr>
        <w:t>Castro</w:t>
      </w:r>
      <w:proofErr w:type="spellEnd"/>
      <w:r>
        <w:rPr>
          <w:i/>
          <w:szCs w:val="16"/>
          <w:lang w:val="es-ES"/>
        </w:rPr>
        <w:t xml:space="preserve">, </w:t>
      </w:r>
      <w:r>
        <w:rPr>
          <w:szCs w:val="16"/>
          <w:lang w:val="es-ES"/>
        </w:rPr>
        <w:t>párr. 310, y</w:t>
      </w:r>
      <w:r w:rsidRPr="00071D10">
        <w:rPr>
          <w:i/>
          <w:szCs w:val="16"/>
          <w:lang w:val="es-ES"/>
        </w:rPr>
        <w:t xml:space="preserve"> </w:t>
      </w:r>
      <w:r w:rsidRPr="00C21A2E">
        <w:rPr>
          <w:i/>
          <w:szCs w:val="16"/>
          <w:lang w:val="es-ES"/>
        </w:rPr>
        <w:t>Caso J.</w:t>
      </w:r>
      <w:r w:rsidRPr="00C21A2E">
        <w:rPr>
          <w:szCs w:val="16"/>
          <w:lang w:val="es-ES"/>
        </w:rPr>
        <w:t>, párr. 359.</w:t>
      </w:r>
    </w:p>
  </w:footnote>
  <w:footnote w:id="290">
    <w:p w14:paraId="0D8CD9FA" w14:textId="24BE462C"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Caso </w:t>
      </w:r>
      <w:r w:rsidRPr="00C21A2E">
        <w:rPr>
          <w:i/>
          <w:szCs w:val="16"/>
        </w:rPr>
        <w:t>Fern</w:t>
      </w:r>
      <w:r>
        <w:rPr>
          <w:i/>
          <w:szCs w:val="16"/>
        </w:rPr>
        <w:t>á</w:t>
      </w:r>
      <w:r w:rsidRPr="00C21A2E">
        <w:rPr>
          <w:i/>
          <w:szCs w:val="16"/>
        </w:rPr>
        <w:t>ndez Ortega y otros</w:t>
      </w:r>
      <w:r w:rsidRPr="00C21A2E">
        <w:rPr>
          <w:szCs w:val="16"/>
        </w:rPr>
        <w:t>, párr. 119.</w:t>
      </w:r>
    </w:p>
  </w:footnote>
  <w:footnote w:id="291">
    <w:p w14:paraId="6F92FD92"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Caso J.</w:t>
      </w:r>
      <w:r w:rsidRPr="00C21A2E">
        <w:rPr>
          <w:szCs w:val="16"/>
          <w:lang w:val="es-ES"/>
        </w:rPr>
        <w:t>, párr. 323.</w:t>
      </w:r>
    </w:p>
  </w:footnote>
  <w:footnote w:id="292">
    <w:p w14:paraId="7516BB41" w14:textId="7777777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Caso </w:t>
      </w:r>
      <w:r w:rsidRPr="00C21A2E">
        <w:rPr>
          <w:i/>
          <w:szCs w:val="16"/>
        </w:rPr>
        <w:t>J.</w:t>
      </w:r>
      <w:r w:rsidRPr="00C21A2E">
        <w:rPr>
          <w:szCs w:val="16"/>
          <w:lang w:val="es-ES"/>
        </w:rPr>
        <w:t>, párr. 329.</w:t>
      </w:r>
    </w:p>
  </w:footnote>
  <w:footnote w:id="293">
    <w:p w14:paraId="041A9824" w14:textId="5C91E750" w:rsidR="00122408" w:rsidRPr="00C21A2E" w:rsidRDefault="00122408" w:rsidP="00B50B41">
      <w:pPr>
        <w:pStyle w:val="FootnoteText"/>
        <w:spacing w:after="40"/>
        <w:rPr>
          <w:b/>
          <w:i/>
          <w:szCs w:val="16"/>
          <w:lang w:val="es-ES"/>
        </w:rPr>
      </w:pPr>
      <w:r w:rsidRPr="00C21A2E">
        <w:rPr>
          <w:rStyle w:val="FootnoteReference"/>
          <w:sz w:val="16"/>
          <w:szCs w:val="16"/>
        </w:rPr>
        <w:footnoteRef/>
      </w:r>
      <w:r w:rsidRPr="00C21A2E">
        <w:rPr>
          <w:szCs w:val="16"/>
          <w:lang w:val="es-GT"/>
        </w:rPr>
        <w:t xml:space="preserve"> </w:t>
      </w:r>
      <w:r w:rsidRPr="00C21A2E">
        <w:rPr>
          <w:i/>
          <w:szCs w:val="16"/>
          <w:lang w:val="es-GT"/>
        </w:rPr>
        <w:t xml:space="preserve">Cfr. Caso Loayza Tamayo Vs. Perú. Fondo, </w:t>
      </w:r>
      <w:r w:rsidRPr="00C21A2E">
        <w:rPr>
          <w:szCs w:val="16"/>
          <w:lang w:val="es-GT"/>
        </w:rPr>
        <w:t xml:space="preserve">párr. 57, </w:t>
      </w:r>
      <w:r w:rsidRPr="00C21A2E">
        <w:rPr>
          <w:szCs w:val="16"/>
        </w:rPr>
        <w:t xml:space="preserve">y </w:t>
      </w:r>
      <w:r w:rsidRPr="00C21A2E">
        <w:rPr>
          <w:i/>
          <w:szCs w:val="16"/>
          <w:lang w:val="es-ES"/>
        </w:rPr>
        <w:t xml:space="preserve">Caso </w:t>
      </w:r>
      <w:r w:rsidRPr="00C21A2E">
        <w:rPr>
          <w:i/>
          <w:szCs w:val="16"/>
        </w:rPr>
        <w:t>J.</w:t>
      </w:r>
      <w:r w:rsidRPr="00C21A2E">
        <w:rPr>
          <w:szCs w:val="16"/>
          <w:lang w:val="es-ES"/>
        </w:rPr>
        <w:t>, párr. 362.</w:t>
      </w:r>
    </w:p>
  </w:footnote>
  <w:footnote w:id="294">
    <w:p w14:paraId="0B4B435F" w14:textId="77777777" w:rsidR="00122408" w:rsidRPr="00C21A2E" w:rsidRDefault="00122408" w:rsidP="00B50B41">
      <w:pPr>
        <w:pStyle w:val="FootnoteText"/>
        <w:spacing w:after="40"/>
        <w:rPr>
          <w:rFonts w:cs="Times New Roman"/>
          <w:szCs w:val="16"/>
        </w:rPr>
      </w:pPr>
      <w:r w:rsidRPr="00C21A2E">
        <w:rPr>
          <w:rStyle w:val="FootnoteReference"/>
          <w:sz w:val="16"/>
          <w:szCs w:val="16"/>
        </w:rPr>
        <w:footnoteRef/>
      </w:r>
      <w:r w:rsidRPr="00C21A2E">
        <w:rPr>
          <w:rFonts w:cs="Times New Roman"/>
          <w:szCs w:val="16"/>
          <w:lang w:val="es-ES"/>
        </w:rPr>
        <w:t xml:space="preserve"> </w:t>
      </w:r>
      <w:r w:rsidRPr="00C21A2E">
        <w:rPr>
          <w:rFonts w:cs="Times New Roman"/>
          <w:i/>
          <w:szCs w:val="16"/>
          <w:lang w:val="es-ES"/>
        </w:rPr>
        <w:t xml:space="preserve">Cfr. Caso </w:t>
      </w:r>
      <w:proofErr w:type="spellStart"/>
      <w:r w:rsidRPr="00C21A2E">
        <w:rPr>
          <w:rFonts w:cs="Times New Roman"/>
          <w:i/>
          <w:szCs w:val="16"/>
          <w:lang w:val="es-ES"/>
        </w:rPr>
        <w:t>Ximenes</w:t>
      </w:r>
      <w:proofErr w:type="spellEnd"/>
      <w:r w:rsidRPr="00C21A2E">
        <w:rPr>
          <w:rFonts w:cs="Times New Roman"/>
          <w:i/>
          <w:szCs w:val="16"/>
          <w:lang w:val="es-ES"/>
        </w:rPr>
        <w:t xml:space="preserve"> </w:t>
      </w:r>
      <w:proofErr w:type="spellStart"/>
      <w:r w:rsidRPr="00C21A2E">
        <w:rPr>
          <w:rFonts w:cs="Times New Roman"/>
          <w:i/>
          <w:szCs w:val="16"/>
          <w:lang w:val="es-ES"/>
        </w:rPr>
        <w:t>Lopes</w:t>
      </w:r>
      <w:proofErr w:type="spellEnd"/>
      <w:r w:rsidRPr="00C21A2E">
        <w:rPr>
          <w:rFonts w:cs="Times New Roman"/>
          <w:i/>
          <w:szCs w:val="16"/>
          <w:lang w:val="es-ES"/>
        </w:rPr>
        <w:t xml:space="preserve">, </w:t>
      </w:r>
      <w:r w:rsidRPr="00C21A2E">
        <w:rPr>
          <w:rFonts w:cs="Times New Roman"/>
          <w:szCs w:val="16"/>
          <w:lang w:val="es-ES"/>
        </w:rPr>
        <w:t xml:space="preserve">párr. </w:t>
      </w:r>
      <w:r w:rsidRPr="00C21A2E">
        <w:rPr>
          <w:rFonts w:cs="Times New Roman"/>
          <w:szCs w:val="16"/>
        </w:rPr>
        <w:t xml:space="preserve">127, y </w:t>
      </w:r>
      <w:r w:rsidRPr="00C21A2E">
        <w:rPr>
          <w:i/>
          <w:szCs w:val="16"/>
          <w:lang w:val="es-ES"/>
        </w:rPr>
        <w:t xml:space="preserve">Caso </w:t>
      </w:r>
      <w:r w:rsidRPr="00C21A2E">
        <w:rPr>
          <w:i/>
          <w:szCs w:val="16"/>
        </w:rPr>
        <w:t>J.</w:t>
      </w:r>
      <w:r w:rsidRPr="00C21A2E">
        <w:rPr>
          <w:szCs w:val="16"/>
          <w:lang w:val="es-ES"/>
        </w:rPr>
        <w:t>, párr. 362</w:t>
      </w:r>
      <w:r w:rsidRPr="00C21A2E">
        <w:rPr>
          <w:rFonts w:cs="Times New Roman"/>
          <w:szCs w:val="16"/>
          <w:lang w:val="es-ES"/>
        </w:rPr>
        <w:t>.</w:t>
      </w:r>
    </w:p>
  </w:footnote>
  <w:footnote w:id="295">
    <w:p w14:paraId="61644004" w14:textId="630F8135"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Cfr</w:t>
      </w:r>
      <w:r w:rsidRPr="00C21A2E">
        <w:rPr>
          <w:szCs w:val="16"/>
          <w:lang w:val="es-ES"/>
        </w:rPr>
        <w:t xml:space="preserve">. </w:t>
      </w:r>
      <w:r w:rsidRPr="00C21A2E">
        <w:rPr>
          <w:i/>
          <w:szCs w:val="16"/>
        </w:rPr>
        <w:t>Caso Loayza Tamayo</w:t>
      </w:r>
      <w:r w:rsidRPr="00C21A2E">
        <w:rPr>
          <w:rFonts w:cs="Times New Roman"/>
          <w:i/>
          <w:iCs/>
          <w:szCs w:val="16"/>
          <w:lang w:val="es-ES"/>
        </w:rPr>
        <w:t>. Fondo</w:t>
      </w:r>
      <w:r w:rsidRPr="00C21A2E">
        <w:rPr>
          <w:i/>
          <w:szCs w:val="16"/>
          <w:lang w:val="es-GT"/>
        </w:rPr>
        <w:t xml:space="preserve">, </w:t>
      </w:r>
      <w:r w:rsidRPr="00C21A2E">
        <w:rPr>
          <w:szCs w:val="16"/>
          <w:lang w:val="es-ES"/>
        </w:rPr>
        <w:t xml:space="preserve">párr. 57, </w:t>
      </w:r>
      <w:r w:rsidRPr="00C21A2E">
        <w:rPr>
          <w:szCs w:val="16"/>
        </w:rPr>
        <w:t xml:space="preserve">y </w:t>
      </w:r>
      <w:r w:rsidRPr="00C21A2E">
        <w:rPr>
          <w:i/>
          <w:szCs w:val="16"/>
          <w:lang w:val="es-ES"/>
        </w:rPr>
        <w:t xml:space="preserve">Caso </w:t>
      </w:r>
      <w:r w:rsidRPr="00C21A2E">
        <w:rPr>
          <w:i/>
          <w:szCs w:val="16"/>
        </w:rPr>
        <w:t>J.</w:t>
      </w:r>
      <w:r w:rsidRPr="00C21A2E">
        <w:rPr>
          <w:szCs w:val="16"/>
          <w:lang w:val="es-ES"/>
        </w:rPr>
        <w:t>, párr. 363</w:t>
      </w:r>
      <w:r w:rsidRPr="00C21A2E">
        <w:rPr>
          <w:bCs/>
          <w:szCs w:val="16"/>
        </w:rPr>
        <w:t>.</w:t>
      </w:r>
    </w:p>
  </w:footnote>
  <w:footnote w:id="296">
    <w:p w14:paraId="5DF8D59C" w14:textId="587395C2" w:rsidR="00122408" w:rsidRPr="00EA2ED3" w:rsidRDefault="00122408" w:rsidP="00B50B41">
      <w:pPr>
        <w:pStyle w:val="FootnoteText"/>
        <w:spacing w:after="40"/>
        <w:rPr>
          <w:szCs w:val="16"/>
          <w:lang w:val="es-ES"/>
        </w:rPr>
      </w:pPr>
      <w:r w:rsidRPr="00B8568A">
        <w:rPr>
          <w:rStyle w:val="FootnoteReference"/>
          <w:sz w:val="16"/>
          <w:szCs w:val="16"/>
        </w:rPr>
        <w:footnoteRef/>
      </w:r>
      <w:r w:rsidRPr="00B8568A">
        <w:rPr>
          <w:szCs w:val="16"/>
        </w:rPr>
        <w:t xml:space="preserve"> </w:t>
      </w:r>
      <w:r w:rsidRPr="00B8568A">
        <w:rPr>
          <w:i/>
          <w:szCs w:val="16"/>
          <w:lang w:val="es-ES"/>
        </w:rPr>
        <w:t xml:space="preserve">Cfr. Caso del Penal Castro </w:t>
      </w:r>
      <w:proofErr w:type="spellStart"/>
      <w:r w:rsidRPr="00B8568A">
        <w:rPr>
          <w:i/>
          <w:szCs w:val="16"/>
          <w:lang w:val="es-ES"/>
        </w:rPr>
        <w:t>Castro</w:t>
      </w:r>
      <w:proofErr w:type="spellEnd"/>
      <w:r w:rsidRPr="00B8568A">
        <w:rPr>
          <w:i/>
          <w:szCs w:val="16"/>
          <w:lang w:val="es-ES"/>
        </w:rPr>
        <w:t xml:space="preserve">, </w:t>
      </w:r>
      <w:proofErr w:type="spellStart"/>
      <w:r w:rsidRPr="00B8568A">
        <w:rPr>
          <w:szCs w:val="16"/>
          <w:lang w:val="es-ES"/>
        </w:rPr>
        <w:t>párrs</w:t>
      </w:r>
      <w:proofErr w:type="spellEnd"/>
      <w:r w:rsidRPr="00B8568A">
        <w:rPr>
          <w:szCs w:val="16"/>
          <w:lang w:val="es-ES"/>
        </w:rPr>
        <w:t xml:space="preserve">. 448 a 450, y </w:t>
      </w:r>
      <w:r w:rsidRPr="00B8568A">
        <w:rPr>
          <w:i/>
          <w:szCs w:val="16"/>
          <w:lang w:val="es-ES"/>
        </w:rPr>
        <w:t xml:space="preserve">Caso Velásquez </w:t>
      </w:r>
      <w:proofErr w:type="spellStart"/>
      <w:r w:rsidRPr="00B8568A">
        <w:rPr>
          <w:i/>
          <w:szCs w:val="16"/>
          <w:lang w:val="es-ES"/>
        </w:rPr>
        <w:t>Paiz</w:t>
      </w:r>
      <w:proofErr w:type="spellEnd"/>
      <w:r w:rsidRPr="00B8568A">
        <w:rPr>
          <w:i/>
          <w:szCs w:val="16"/>
          <w:lang w:val="es-ES"/>
        </w:rPr>
        <w:t xml:space="preserve"> y otros</w:t>
      </w:r>
      <w:r w:rsidRPr="00EA2ED3">
        <w:rPr>
          <w:szCs w:val="16"/>
          <w:lang w:val="es-ES"/>
        </w:rPr>
        <w:t xml:space="preserve">, </w:t>
      </w:r>
      <w:r>
        <w:rPr>
          <w:szCs w:val="16"/>
          <w:lang w:val="es-ES"/>
        </w:rPr>
        <w:t>párr.</w:t>
      </w:r>
      <w:r w:rsidRPr="00EA2ED3">
        <w:rPr>
          <w:szCs w:val="16"/>
          <w:lang w:val="es-ES"/>
        </w:rPr>
        <w:t xml:space="preserve"> 147. </w:t>
      </w:r>
    </w:p>
  </w:footnote>
  <w:footnote w:id="297">
    <w:p w14:paraId="2E279AB0" w14:textId="2741CC67" w:rsidR="00122408" w:rsidRPr="00C21A2E" w:rsidRDefault="00122408" w:rsidP="00B50B41">
      <w:pPr>
        <w:spacing w:after="40"/>
        <w:rPr>
          <w:sz w:val="16"/>
          <w:szCs w:val="16"/>
          <w:lang w:val="es-VE"/>
        </w:rPr>
      </w:pPr>
      <w:r w:rsidRPr="00C21A2E">
        <w:rPr>
          <w:rStyle w:val="FootnoteReference"/>
          <w:sz w:val="16"/>
          <w:szCs w:val="16"/>
        </w:rPr>
        <w:footnoteRef/>
      </w:r>
      <w:r w:rsidRPr="00C21A2E">
        <w:rPr>
          <w:sz w:val="16"/>
          <w:szCs w:val="16"/>
          <w:lang w:val="es-VE"/>
        </w:rPr>
        <w:t xml:space="preserve"> </w:t>
      </w:r>
      <w:r w:rsidRPr="00C21A2E">
        <w:rPr>
          <w:i/>
          <w:sz w:val="16"/>
          <w:szCs w:val="16"/>
          <w:lang w:val="es-VE"/>
        </w:rPr>
        <w:t xml:space="preserve">Cfr. </w:t>
      </w:r>
      <w:r w:rsidRPr="00C21A2E">
        <w:rPr>
          <w:bCs/>
          <w:i/>
          <w:sz w:val="16"/>
          <w:szCs w:val="16"/>
          <w:lang w:val="es-VE"/>
        </w:rPr>
        <w:t>Caso Cabrera García y Montiel Flores</w:t>
      </w:r>
      <w:r w:rsidRPr="00C21A2E">
        <w:rPr>
          <w:bCs/>
          <w:sz w:val="16"/>
          <w:szCs w:val="16"/>
          <w:lang w:val="es-VE"/>
        </w:rPr>
        <w:t xml:space="preserve">, párr. 135, y </w:t>
      </w:r>
      <w:r w:rsidRPr="00C21A2E">
        <w:rPr>
          <w:bCs/>
          <w:i/>
          <w:sz w:val="16"/>
          <w:szCs w:val="16"/>
          <w:lang w:val="es-VE"/>
        </w:rPr>
        <w:t xml:space="preserve">Caso Espinoza González, </w:t>
      </w:r>
      <w:r w:rsidRPr="00C21A2E">
        <w:rPr>
          <w:bCs/>
          <w:sz w:val="16"/>
          <w:szCs w:val="16"/>
          <w:lang w:val="es-VE"/>
        </w:rPr>
        <w:t xml:space="preserve">párr. 240. </w:t>
      </w:r>
    </w:p>
  </w:footnote>
  <w:footnote w:id="298">
    <w:p w14:paraId="406623AF" w14:textId="3D119958" w:rsidR="00122408" w:rsidRPr="00C21A2E" w:rsidRDefault="00122408" w:rsidP="00B50B41">
      <w:pPr>
        <w:pStyle w:val="FootnoteText"/>
        <w:tabs>
          <w:tab w:val="left" w:pos="426"/>
          <w:tab w:val="left" w:pos="709"/>
        </w:tabs>
        <w:spacing w:after="40"/>
        <w:rPr>
          <w:b/>
          <w:szCs w:val="16"/>
          <w:lang w:val="es-GT"/>
        </w:rPr>
      </w:pPr>
      <w:r w:rsidRPr="00C21A2E">
        <w:rPr>
          <w:rStyle w:val="FootnoteReference"/>
          <w:sz w:val="16"/>
          <w:szCs w:val="16"/>
        </w:rPr>
        <w:footnoteRef/>
      </w:r>
      <w:r w:rsidRPr="00C21A2E">
        <w:rPr>
          <w:szCs w:val="16"/>
        </w:rPr>
        <w:t xml:space="preserve"> </w:t>
      </w:r>
      <w:r w:rsidRPr="00C21A2E">
        <w:rPr>
          <w:i/>
          <w:szCs w:val="16"/>
          <w:lang w:val="es-VE"/>
        </w:rPr>
        <w:t xml:space="preserve">Cfr. Caso </w:t>
      </w:r>
      <w:r w:rsidRPr="00C21A2E">
        <w:rPr>
          <w:i/>
          <w:szCs w:val="16"/>
        </w:rPr>
        <w:t xml:space="preserve">Fernández Ortega y otros, </w:t>
      </w:r>
      <w:r w:rsidRPr="00C21A2E">
        <w:rPr>
          <w:szCs w:val="16"/>
          <w:lang w:val="es-VE"/>
        </w:rPr>
        <w:t xml:space="preserve">párr. 194, y </w:t>
      </w:r>
      <w:r w:rsidRPr="00C21A2E">
        <w:rPr>
          <w:bCs/>
          <w:i/>
          <w:szCs w:val="16"/>
          <w:lang w:val="es-VE"/>
        </w:rPr>
        <w:t xml:space="preserve">Caso Espinoza González, </w:t>
      </w:r>
      <w:r w:rsidRPr="00C21A2E">
        <w:rPr>
          <w:bCs/>
          <w:szCs w:val="16"/>
          <w:lang w:val="es-VE"/>
        </w:rPr>
        <w:t>párr. 242</w:t>
      </w:r>
      <w:r w:rsidRPr="006D5380">
        <w:rPr>
          <w:szCs w:val="16"/>
          <w:lang w:val="es-VE"/>
        </w:rPr>
        <w:t>.</w:t>
      </w:r>
      <w:r w:rsidRPr="006D5380">
        <w:rPr>
          <w:i/>
          <w:szCs w:val="16"/>
          <w:lang w:val="es-VE"/>
        </w:rPr>
        <w:t xml:space="preserve"> </w:t>
      </w:r>
      <w:r w:rsidRPr="006253B7">
        <w:rPr>
          <w:bCs/>
          <w:i/>
          <w:szCs w:val="16"/>
        </w:rPr>
        <w:t>Manual de Investigación y Documentación Efectiva sobre Tortura, Castigos y Tratamientos Crueles, Inhumanos o Degradantes</w:t>
      </w:r>
      <w:r w:rsidRPr="00B8568A">
        <w:rPr>
          <w:i/>
          <w:szCs w:val="16"/>
        </w:rPr>
        <w:t xml:space="preserve"> (</w:t>
      </w:r>
      <w:r w:rsidRPr="006D5380">
        <w:rPr>
          <w:i/>
          <w:szCs w:val="16"/>
        </w:rPr>
        <w:t>Protocolo de Estambul</w:t>
      </w:r>
      <w:r>
        <w:rPr>
          <w:i/>
          <w:szCs w:val="16"/>
        </w:rPr>
        <w:t>)</w:t>
      </w:r>
      <w:r w:rsidRPr="006D5380">
        <w:rPr>
          <w:szCs w:val="16"/>
        </w:rPr>
        <w:t>, 2001</w:t>
      </w:r>
      <w:r w:rsidRPr="006D5380">
        <w:rPr>
          <w:szCs w:val="16"/>
          <w:lang w:val="es-VE"/>
        </w:rPr>
        <w:t xml:space="preserve">, </w:t>
      </w:r>
      <w:proofErr w:type="spellStart"/>
      <w:r w:rsidRPr="006D5380">
        <w:rPr>
          <w:szCs w:val="16"/>
        </w:rPr>
        <w:t>párrs</w:t>
      </w:r>
      <w:proofErr w:type="spellEnd"/>
      <w:r w:rsidRPr="006D5380">
        <w:rPr>
          <w:szCs w:val="16"/>
        </w:rPr>
        <w:t xml:space="preserve">. 67, 77, 89, 99, 101 a 105, 154, 161 a 163, 170, 171, 224, 225, 260, 269 y 290, y Organización Mundial de la Salud, </w:t>
      </w:r>
      <w:proofErr w:type="spellStart"/>
      <w:r w:rsidRPr="006D5380">
        <w:rPr>
          <w:i/>
          <w:szCs w:val="16"/>
        </w:rPr>
        <w:t>Guidelines</w:t>
      </w:r>
      <w:proofErr w:type="spellEnd"/>
      <w:r w:rsidRPr="006D5380">
        <w:rPr>
          <w:i/>
          <w:szCs w:val="16"/>
        </w:rPr>
        <w:t xml:space="preserve"> </w:t>
      </w:r>
      <w:proofErr w:type="spellStart"/>
      <w:r w:rsidRPr="006D5380">
        <w:rPr>
          <w:i/>
          <w:szCs w:val="16"/>
        </w:rPr>
        <w:t>for</w:t>
      </w:r>
      <w:proofErr w:type="spellEnd"/>
      <w:r w:rsidRPr="006D5380">
        <w:rPr>
          <w:i/>
          <w:szCs w:val="16"/>
        </w:rPr>
        <w:t xml:space="preserve"> </w:t>
      </w:r>
      <w:proofErr w:type="spellStart"/>
      <w:r w:rsidRPr="006D5380">
        <w:rPr>
          <w:i/>
          <w:szCs w:val="16"/>
        </w:rPr>
        <w:t>medico</w:t>
      </w:r>
      <w:proofErr w:type="spellEnd"/>
      <w:r w:rsidRPr="006D5380">
        <w:rPr>
          <w:i/>
          <w:szCs w:val="16"/>
        </w:rPr>
        <w:t xml:space="preserve">-legal </w:t>
      </w:r>
      <w:proofErr w:type="spellStart"/>
      <w:r w:rsidRPr="006D5380">
        <w:rPr>
          <w:i/>
          <w:szCs w:val="16"/>
        </w:rPr>
        <w:t>care</w:t>
      </w:r>
      <w:proofErr w:type="spellEnd"/>
      <w:r w:rsidRPr="006D5380">
        <w:rPr>
          <w:i/>
          <w:szCs w:val="16"/>
        </w:rPr>
        <w:t xml:space="preserve"> </w:t>
      </w:r>
      <w:proofErr w:type="spellStart"/>
      <w:r w:rsidRPr="006D5380">
        <w:rPr>
          <w:i/>
          <w:szCs w:val="16"/>
        </w:rPr>
        <w:t>for</w:t>
      </w:r>
      <w:proofErr w:type="spellEnd"/>
      <w:r w:rsidRPr="006D5380">
        <w:rPr>
          <w:i/>
          <w:szCs w:val="16"/>
        </w:rPr>
        <w:t xml:space="preserve"> </w:t>
      </w:r>
      <w:proofErr w:type="spellStart"/>
      <w:r w:rsidRPr="006D5380">
        <w:rPr>
          <w:i/>
          <w:szCs w:val="16"/>
        </w:rPr>
        <w:t>victims</w:t>
      </w:r>
      <w:proofErr w:type="spellEnd"/>
      <w:r w:rsidRPr="006D5380">
        <w:rPr>
          <w:i/>
          <w:szCs w:val="16"/>
        </w:rPr>
        <w:t xml:space="preserve"> of sexual </w:t>
      </w:r>
      <w:proofErr w:type="spellStart"/>
      <w:r w:rsidRPr="006D5380">
        <w:rPr>
          <w:i/>
          <w:szCs w:val="16"/>
        </w:rPr>
        <w:t>violence</w:t>
      </w:r>
      <w:proofErr w:type="spellEnd"/>
      <w:r w:rsidRPr="006D5380">
        <w:rPr>
          <w:szCs w:val="16"/>
        </w:rPr>
        <w:t xml:space="preserve">, Ginebra, 2003, </w:t>
      </w:r>
      <w:r w:rsidRPr="006D5380">
        <w:rPr>
          <w:i/>
          <w:szCs w:val="16"/>
        </w:rPr>
        <w:t xml:space="preserve">inter </w:t>
      </w:r>
      <w:proofErr w:type="spellStart"/>
      <w:r w:rsidRPr="006D5380">
        <w:rPr>
          <w:i/>
          <w:szCs w:val="16"/>
        </w:rPr>
        <w:t>alia</w:t>
      </w:r>
      <w:proofErr w:type="spellEnd"/>
      <w:r w:rsidRPr="006D5380">
        <w:rPr>
          <w:i/>
          <w:szCs w:val="16"/>
        </w:rPr>
        <w:t>,</w:t>
      </w:r>
      <w:r w:rsidRPr="006D5380">
        <w:rPr>
          <w:szCs w:val="16"/>
        </w:rPr>
        <w:t xml:space="preserve"> págs. 17, 30</w:t>
      </w:r>
      <w:r>
        <w:rPr>
          <w:szCs w:val="16"/>
        </w:rPr>
        <w:t>, 3</w:t>
      </w:r>
      <w:r w:rsidRPr="006D5380">
        <w:rPr>
          <w:szCs w:val="16"/>
        </w:rPr>
        <w:t>1, 34, 39 a 44 y 57 a 74.</w:t>
      </w:r>
    </w:p>
  </w:footnote>
  <w:footnote w:id="299">
    <w:p w14:paraId="2973D0EF" w14:textId="7C951E4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Caso Fernández Ortega</w:t>
      </w:r>
      <w:r>
        <w:rPr>
          <w:i/>
          <w:szCs w:val="16"/>
          <w:lang w:val="es-ES"/>
        </w:rPr>
        <w:t xml:space="preserve"> y otros</w:t>
      </w:r>
      <w:r w:rsidRPr="00C21A2E">
        <w:rPr>
          <w:i/>
          <w:szCs w:val="16"/>
          <w:lang w:val="es-ES"/>
        </w:rPr>
        <w:t xml:space="preserve">, </w:t>
      </w:r>
      <w:r w:rsidRPr="00C21A2E">
        <w:rPr>
          <w:szCs w:val="16"/>
          <w:lang w:val="es-ES"/>
        </w:rPr>
        <w:t xml:space="preserve">párr. </w:t>
      </w:r>
      <w:r>
        <w:rPr>
          <w:szCs w:val="16"/>
          <w:lang w:val="es-ES"/>
        </w:rPr>
        <w:t>251 y 252</w:t>
      </w:r>
      <w:r w:rsidRPr="00C21A2E">
        <w:rPr>
          <w:szCs w:val="16"/>
          <w:lang w:val="es-ES"/>
        </w:rPr>
        <w:t xml:space="preserve">, y </w:t>
      </w:r>
      <w:r w:rsidRPr="00D0033A">
        <w:rPr>
          <w:i/>
          <w:szCs w:val="16"/>
          <w:lang w:val="es-ES"/>
        </w:rPr>
        <w:t>Caso Espinoza Gonzáles</w:t>
      </w:r>
      <w:r>
        <w:rPr>
          <w:szCs w:val="16"/>
          <w:lang w:val="es-ES"/>
        </w:rPr>
        <w:t>, párr. 252.</w:t>
      </w:r>
    </w:p>
  </w:footnote>
  <w:footnote w:id="300">
    <w:p w14:paraId="5B232AED" w14:textId="3C9AE2FC"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lang w:val="es-ES"/>
        </w:rPr>
        <w:t xml:space="preserve"> </w:t>
      </w:r>
      <w:r w:rsidRPr="00C21A2E">
        <w:rPr>
          <w:i/>
          <w:szCs w:val="16"/>
          <w:lang w:val="es-VE"/>
        </w:rPr>
        <w:t xml:space="preserve">Cfr. Caso </w:t>
      </w:r>
      <w:r>
        <w:rPr>
          <w:i/>
          <w:szCs w:val="16"/>
        </w:rPr>
        <w:t>Fernández Ortega y otros</w:t>
      </w:r>
      <w:r w:rsidRPr="00C21A2E">
        <w:rPr>
          <w:i/>
          <w:szCs w:val="16"/>
        </w:rPr>
        <w:t xml:space="preserve">, </w:t>
      </w:r>
      <w:r w:rsidRPr="00C21A2E">
        <w:rPr>
          <w:szCs w:val="16"/>
          <w:lang w:val="es-VE"/>
        </w:rPr>
        <w:t xml:space="preserve">párr. 194, y </w:t>
      </w:r>
      <w:r w:rsidRPr="00C21A2E">
        <w:rPr>
          <w:bCs/>
          <w:i/>
          <w:szCs w:val="16"/>
          <w:lang w:val="es-VE"/>
        </w:rPr>
        <w:t xml:space="preserve">Caso Espinoza González, </w:t>
      </w:r>
      <w:r w:rsidRPr="00C21A2E">
        <w:rPr>
          <w:bCs/>
          <w:szCs w:val="16"/>
          <w:lang w:val="es-VE"/>
        </w:rPr>
        <w:t>párr. 242</w:t>
      </w:r>
      <w:r w:rsidRPr="00C21A2E">
        <w:rPr>
          <w:szCs w:val="16"/>
          <w:lang w:val="es-VE"/>
        </w:rPr>
        <w:t>.</w:t>
      </w:r>
      <w:r w:rsidRPr="00C21A2E">
        <w:rPr>
          <w:szCs w:val="16"/>
        </w:rPr>
        <w:t xml:space="preserve"> </w:t>
      </w:r>
      <w:r w:rsidRPr="00C21A2E">
        <w:rPr>
          <w:rFonts w:eastAsia="Batang"/>
          <w:szCs w:val="16"/>
          <w:lang w:val="es-VE"/>
        </w:rPr>
        <w:t>En este sentido, el Estado se encuentra en la obligación de brindar, con el consentimiento de la víctima, tratamiento a las consecuencias a su salud derivadas de dicha violencia sexual, incluyendo la posibilidad de acceder a tratamientos p</w:t>
      </w:r>
      <w:r w:rsidRPr="006D5380">
        <w:rPr>
          <w:rFonts w:eastAsia="Batang"/>
          <w:szCs w:val="16"/>
          <w:lang w:val="es-VE"/>
        </w:rPr>
        <w:t>rofilácticos y de prevención del embarazo.</w:t>
      </w:r>
      <w:r w:rsidRPr="006D5380">
        <w:rPr>
          <w:rFonts w:eastAsia="Batang"/>
          <w:b/>
          <w:szCs w:val="16"/>
          <w:lang w:val="es-VE"/>
        </w:rPr>
        <w:t xml:space="preserve"> </w:t>
      </w:r>
      <w:r w:rsidRPr="006D5380">
        <w:rPr>
          <w:rFonts w:eastAsia="Batang"/>
          <w:szCs w:val="16"/>
          <w:lang w:val="es-VE"/>
        </w:rPr>
        <w:t xml:space="preserve">Al respecto, ver: </w:t>
      </w:r>
      <w:r w:rsidRPr="006D5380">
        <w:rPr>
          <w:szCs w:val="16"/>
        </w:rPr>
        <w:t xml:space="preserve">Organización Mundial de la Salud, </w:t>
      </w:r>
      <w:proofErr w:type="spellStart"/>
      <w:r w:rsidRPr="006D5380">
        <w:rPr>
          <w:i/>
          <w:szCs w:val="16"/>
        </w:rPr>
        <w:t>Guidelines</w:t>
      </w:r>
      <w:proofErr w:type="spellEnd"/>
      <w:r w:rsidRPr="006D5380">
        <w:rPr>
          <w:i/>
          <w:szCs w:val="16"/>
        </w:rPr>
        <w:t xml:space="preserve"> </w:t>
      </w:r>
      <w:proofErr w:type="spellStart"/>
      <w:r w:rsidRPr="006D5380">
        <w:rPr>
          <w:i/>
          <w:szCs w:val="16"/>
        </w:rPr>
        <w:t>for</w:t>
      </w:r>
      <w:proofErr w:type="spellEnd"/>
      <w:r w:rsidRPr="006D5380">
        <w:rPr>
          <w:i/>
          <w:szCs w:val="16"/>
        </w:rPr>
        <w:t xml:space="preserve"> </w:t>
      </w:r>
      <w:proofErr w:type="spellStart"/>
      <w:r w:rsidRPr="006D5380">
        <w:rPr>
          <w:i/>
          <w:szCs w:val="16"/>
        </w:rPr>
        <w:t>medico</w:t>
      </w:r>
      <w:proofErr w:type="spellEnd"/>
      <w:r w:rsidRPr="006D5380">
        <w:rPr>
          <w:i/>
          <w:szCs w:val="16"/>
        </w:rPr>
        <w:t xml:space="preserve">-legal </w:t>
      </w:r>
      <w:proofErr w:type="spellStart"/>
      <w:r w:rsidRPr="006D5380">
        <w:rPr>
          <w:i/>
          <w:szCs w:val="16"/>
        </w:rPr>
        <w:t>care</w:t>
      </w:r>
      <w:proofErr w:type="spellEnd"/>
      <w:r w:rsidRPr="006D5380">
        <w:rPr>
          <w:i/>
          <w:szCs w:val="16"/>
        </w:rPr>
        <w:t xml:space="preserve"> </w:t>
      </w:r>
      <w:proofErr w:type="spellStart"/>
      <w:r w:rsidRPr="006D5380">
        <w:rPr>
          <w:i/>
          <w:szCs w:val="16"/>
        </w:rPr>
        <w:t>for</w:t>
      </w:r>
      <w:proofErr w:type="spellEnd"/>
      <w:r w:rsidRPr="006D5380">
        <w:rPr>
          <w:i/>
          <w:szCs w:val="16"/>
        </w:rPr>
        <w:t xml:space="preserve"> </w:t>
      </w:r>
      <w:proofErr w:type="spellStart"/>
      <w:r w:rsidRPr="006D5380">
        <w:rPr>
          <w:i/>
          <w:szCs w:val="16"/>
        </w:rPr>
        <w:t>victims</w:t>
      </w:r>
      <w:proofErr w:type="spellEnd"/>
      <w:r w:rsidRPr="006D5380">
        <w:rPr>
          <w:i/>
          <w:szCs w:val="16"/>
        </w:rPr>
        <w:t xml:space="preserve"> of sexual </w:t>
      </w:r>
      <w:proofErr w:type="spellStart"/>
      <w:r w:rsidRPr="006D5380">
        <w:rPr>
          <w:i/>
          <w:szCs w:val="16"/>
        </w:rPr>
        <w:t>violence</w:t>
      </w:r>
      <w:proofErr w:type="spellEnd"/>
      <w:r w:rsidRPr="006D5380">
        <w:rPr>
          <w:szCs w:val="16"/>
        </w:rPr>
        <w:t xml:space="preserve">, Ginebra, 2003, </w:t>
      </w:r>
      <w:r w:rsidRPr="006D5380">
        <w:rPr>
          <w:i/>
          <w:szCs w:val="16"/>
        </w:rPr>
        <w:t xml:space="preserve">inter </w:t>
      </w:r>
      <w:proofErr w:type="spellStart"/>
      <w:r w:rsidRPr="006D5380">
        <w:rPr>
          <w:i/>
          <w:szCs w:val="16"/>
        </w:rPr>
        <w:t>alia</w:t>
      </w:r>
      <w:proofErr w:type="spellEnd"/>
      <w:r w:rsidRPr="006D5380">
        <w:rPr>
          <w:i/>
          <w:szCs w:val="16"/>
        </w:rPr>
        <w:t>,</w:t>
      </w:r>
      <w:r w:rsidRPr="006D5380">
        <w:rPr>
          <w:szCs w:val="16"/>
        </w:rPr>
        <w:t xml:space="preserve"> </w:t>
      </w:r>
      <w:proofErr w:type="spellStart"/>
      <w:r w:rsidRPr="006D5380">
        <w:rPr>
          <w:szCs w:val="16"/>
        </w:rPr>
        <w:t>pág</w:t>
      </w:r>
      <w:proofErr w:type="spellEnd"/>
      <w:r w:rsidRPr="006D5380">
        <w:rPr>
          <w:szCs w:val="16"/>
          <w:lang w:val="es-VE"/>
        </w:rPr>
        <w:t>.</w:t>
      </w:r>
      <w:r w:rsidRPr="006D5380">
        <w:rPr>
          <w:szCs w:val="16"/>
        </w:rPr>
        <w:t xml:space="preserve"> 63</w:t>
      </w:r>
      <w:r w:rsidRPr="006D5380">
        <w:rPr>
          <w:szCs w:val="16"/>
          <w:lang w:val="es-VE"/>
        </w:rPr>
        <w:t>, disponible en: http://whqlibdoc.who.int/publications/2004/924154628X.pdf?ua=1</w:t>
      </w:r>
      <w:r w:rsidRPr="006D5380">
        <w:rPr>
          <w:szCs w:val="16"/>
        </w:rPr>
        <w:t xml:space="preserve">; Ver también: </w:t>
      </w:r>
      <w:r w:rsidRPr="006D5380">
        <w:rPr>
          <w:i/>
          <w:szCs w:val="16"/>
        </w:rPr>
        <w:t>Instrumento de Trabajo y Consulta, Protocolo Interinstitucional de Atención Integral a Víctimas de Violación Sexual</w:t>
      </w:r>
      <w:r>
        <w:rPr>
          <w:i/>
          <w:szCs w:val="16"/>
        </w:rPr>
        <w:t>,</w:t>
      </w:r>
      <w:r w:rsidRPr="006D5380">
        <w:rPr>
          <w:szCs w:val="16"/>
        </w:rPr>
        <w:t xml:space="preserve"> Costa Rica</w:t>
      </w:r>
      <w:r w:rsidRPr="006D5380">
        <w:rPr>
          <w:szCs w:val="16"/>
          <w:lang w:val="es-VE"/>
        </w:rPr>
        <w:t>, disponible en: http://ministeriopublico.poder-judicial.go.cr/biblioteca/protocolos/10.pdf</w:t>
      </w:r>
      <w:r w:rsidRPr="006D5380">
        <w:rPr>
          <w:szCs w:val="16"/>
        </w:rPr>
        <w:t>; Modelo Integrado para la Prevención y Atención de la Violencia Familiar y Sexual, 2010</w:t>
      </w:r>
      <w:r>
        <w:rPr>
          <w:szCs w:val="16"/>
        </w:rPr>
        <w:t xml:space="preserve">, </w:t>
      </w:r>
      <w:r w:rsidRPr="006D5380">
        <w:rPr>
          <w:szCs w:val="16"/>
        </w:rPr>
        <w:t>México</w:t>
      </w:r>
      <w:r w:rsidRPr="006D5380">
        <w:rPr>
          <w:szCs w:val="16"/>
          <w:lang w:val="es-VE"/>
        </w:rPr>
        <w:t>, disponible en: http://www.inm.gob.mx/static/Autorizacion_Protocolos/SSA/ModeloIntregrado_para_Prevencion_Atn_Violencia_familiar_y_se.pdf</w:t>
      </w:r>
      <w:r w:rsidRPr="006D5380">
        <w:rPr>
          <w:szCs w:val="16"/>
        </w:rPr>
        <w:t>; Federación Latinoamericana de Sociedades de Obstetricia y Ginecología, Propuesta de Estándares Regionales para la Elaboración de Protocolos de Atención</w:t>
      </w:r>
      <w:r w:rsidRPr="006D5380">
        <w:rPr>
          <w:szCs w:val="16"/>
          <w:lang w:val="es-VE"/>
        </w:rPr>
        <w:t xml:space="preserve"> Integral</w:t>
      </w:r>
      <w:r w:rsidRPr="006D5380">
        <w:rPr>
          <w:szCs w:val="16"/>
        </w:rPr>
        <w:t xml:space="preserve"> Temprana a Víctimas de Violencia Sexual</w:t>
      </w:r>
      <w:r>
        <w:rPr>
          <w:szCs w:val="16"/>
        </w:rPr>
        <w:t>,</w:t>
      </w:r>
      <w:r w:rsidRPr="006D5380">
        <w:rPr>
          <w:szCs w:val="16"/>
        </w:rPr>
        <w:t xml:space="preserve"> </w:t>
      </w:r>
      <w:r w:rsidRPr="006D5380">
        <w:rPr>
          <w:szCs w:val="16"/>
          <w:lang w:val="es-VE"/>
        </w:rPr>
        <w:t>2011, disponible en: http://www.flasog.org/wp-content/uploads/2014/01/Propuestas-Estandares-Protocolos-Atencion-</w:t>
      </w:r>
      <w:r>
        <w:rPr>
          <w:szCs w:val="16"/>
          <w:lang w:val="es-VE"/>
        </w:rPr>
        <w:t>Víctima</w:t>
      </w:r>
      <w:r w:rsidRPr="006D5380">
        <w:rPr>
          <w:szCs w:val="16"/>
          <w:lang w:val="es-VE"/>
        </w:rPr>
        <w:t>s-Violencia-FLASOG-2011.pdf</w:t>
      </w:r>
      <w:r w:rsidRPr="006D5380">
        <w:rPr>
          <w:szCs w:val="16"/>
        </w:rPr>
        <w:t>; Modelo de Atención Integral en Salud para Víctimas de Violencia Sexual, 2011</w:t>
      </w:r>
      <w:r>
        <w:rPr>
          <w:szCs w:val="16"/>
        </w:rPr>
        <w:t xml:space="preserve">, </w:t>
      </w:r>
      <w:r w:rsidRPr="006D5380">
        <w:rPr>
          <w:szCs w:val="16"/>
        </w:rPr>
        <w:t>Colombia</w:t>
      </w:r>
      <w:r>
        <w:rPr>
          <w:szCs w:val="16"/>
        </w:rPr>
        <w:t>,</w:t>
      </w:r>
      <w:r w:rsidRPr="006D5380">
        <w:rPr>
          <w:szCs w:val="16"/>
          <w:lang w:val="es-VE"/>
        </w:rPr>
        <w:t xml:space="preserve"> disponible en: http://www.minsalud.gov.co/Documentos%20y%20Publicaciones/MODELO%20DE%20ATENCI%C3%93N%20A%20V%C3%8DCTIMAS%20DE%20VIOLENCIA%20SEXUAL.pdf</w:t>
      </w:r>
      <w:r w:rsidRPr="006D5380">
        <w:rPr>
          <w:szCs w:val="16"/>
        </w:rPr>
        <w:t>, y Guía Técnica de Atención Integral de Personas Afectadas por la Violencia basada en Género, 2007</w:t>
      </w:r>
      <w:r>
        <w:rPr>
          <w:szCs w:val="16"/>
        </w:rPr>
        <w:t>,</w:t>
      </w:r>
      <w:r w:rsidRPr="006D5380">
        <w:rPr>
          <w:szCs w:val="16"/>
        </w:rPr>
        <w:t xml:space="preserve"> Perú</w:t>
      </w:r>
      <w:r w:rsidRPr="006D5380">
        <w:rPr>
          <w:szCs w:val="16"/>
          <w:lang w:val="es-VE"/>
        </w:rPr>
        <w:t>, disponible en: http://www.sis.gob.pe/ipresspublicas/normas/pdf/minsa/GUIASPRACTICAS/2007/RM141_2007.pdf</w:t>
      </w:r>
      <w:r w:rsidRPr="00C21A2E">
        <w:rPr>
          <w:szCs w:val="16"/>
        </w:rPr>
        <w:t xml:space="preserve">. </w:t>
      </w:r>
    </w:p>
  </w:footnote>
  <w:footnote w:id="301">
    <w:p w14:paraId="6F32B896" w14:textId="6C1E25AF"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rPr>
        <w:t xml:space="preserve"> </w:t>
      </w:r>
      <w:r w:rsidRPr="00C21A2E">
        <w:rPr>
          <w:i/>
          <w:szCs w:val="16"/>
        </w:rPr>
        <w:t>Cfr.</w:t>
      </w:r>
      <w:r w:rsidRPr="00C21A2E">
        <w:rPr>
          <w:szCs w:val="16"/>
        </w:rPr>
        <w:t xml:space="preserve"> </w:t>
      </w:r>
      <w:r w:rsidRPr="00C21A2E">
        <w:rPr>
          <w:i/>
          <w:szCs w:val="16"/>
        </w:rPr>
        <w:t xml:space="preserve">Caso González y otras (“Campo Algodonero”), </w:t>
      </w:r>
      <w:r w:rsidRPr="00C21A2E">
        <w:rPr>
          <w:szCs w:val="16"/>
        </w:rPr>
        <w:t xml:space="preserve">párr. </w:t>
      </w:r>
      <w:r w:rsidRPr="00C21A2E">
        <w:rPr>
          <w:szCs w:val="16"/>
          <w:lang w:val="es-ES"/>
        </w:rPr>
        <w:t xml:space="preserve">455, y </w:t>
      </w:r>
      <w:r w:rsidRPr="00C21A2E">
        <w:rPr>
          <w:bCs/>
          <w:i/>
          <w:szCs w:val="16"/>
          <w:lang w:val="es-VE"/>
        </w:rPr>
        <w:t xml:space="preserve">Caso Espinoza González, </w:t>
      </w:r>
      <w:r w:rsidRPr="00C21A2E">
        <w:rPr>
          <w:bCs/>
          <w:szCs w:val="16"/>
          <w:lang w:val="es-VE"/>
        </w:rPr>
        <w:t>párr. 242</w:t>
      </w:r>
      <w:r w:rsidRPr="00C21A2E">
        <w:rPr>
          <w:szCs w:val="16"/>
          <w:lang w:val="es-ES"/>
        </w:rPr>
        <w:t>.</w:t>
      </w:r>
    </w:p>
  </w:footnote>
  <w:footnote w:id="302">
    <w:p w14:paraId="07E04151" w14:textId="38F4089A"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 xml:space="preserve">Cfr. Caso del Penal Castro </w:t>
      </w:r>
      <w:proofErr w:type="spellStart"/>
      <w:r w:rsidRPr="00C21A2E">
        <w:rPr>
          <w:i/>
          <w:szCs w:val="16"/>
          <w:lang w:val="es-ES"/>
        </w:rPr>
        <w:t>Castro</w:t>
      </w:r>
      <w:proofErr w:type="spellEnd"/>
      <w:r w:rsidRPr="00C21A2E">
        <w:rPr>
          <w:szCs w:val="16"/>
          <w:lang w:val="es-ES"/>
        </w:rPr>
        <w:t>, párr. 311.</w:t>
      </w:r>
    </w:p>
  </w:footnote>
  <w:footnote w:id="303">
    <w:p w14:paraId="4136666A" w14:textId="77777777"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Artículo 5.  Derecho a la Integridad Personal</w:t>
      </w:r>
    </w:p>
    <w:p w14:paraId="5F03CDDE" w14:textId="5B989426" w:rsidR="00122408" w:rsidRPr="00C21A2E" w:rsidRDefault="00122408" w:rsidP="00B50B41">
      <w:pPr>
        <w:pStyle w:val="FootnoteText"/>
        <w:spacing w:after="40"/>
        <w:rPr>
          <w:szCs w:val="16"/>
          <w:lang w:val="es-ES"/>
        </w:rPr>
      </w:pPr>
      <w:r w:rsidRPr="00C21A2E">
        <w:rPr>
          <w:szCs w:val="16"/>
          <w:lang w:val="es-ES"/>
        </w:rPr>
        <w:t>1. Toda persona tiene derecho a que se respete su integridad física, psíquica y moral.</w:t>
      </w:r>
    </w:p>
    <w:p w14:paraId="2FFDA3ED" w14:textId="07784D1A" w:rsidR="00122408" w:rsidRPr="00C21A2E" w:rsidRDefault="00122408" w:rsidP="00B50B41">
      <w:pPr>
        <w:pStyle w:val="FootnoteText"/>
        <w:spacing w:after="40"/>
        <w:rPr>
          <w:szCs w:val="16"/>
          <w:lang w:val="es-ES"/>
        </w:rPr>
      </w:pPr>
      <w:r w:rsidRPr="00C21A2E">
        <w:rPr>
          <w:szCs w:val="16"/>
          <w:lang w:val="es-ES"/>
        </w:rPr>
        <w:t>2. Nadie debe ser sometido a torturas ni a penas o tratos crueles, inhumanos o degradantes.  Toda persona privada de libertad será tratada con el respeto debido a la dignidad inherente al ser humano.</w:t>
      </w:r>
    </w:p>
    <w:p w14:paraId="3086929D" w14:textId="2D328303" w:rsidR="00122408" w:rsidRPr="00C21A2E" w:rsidRDefault="00122408" w:rsidP="00B50B41">
      <w:pPr>
        <w:pStyle w:val="FootnoteText"/>
        <w:spacing w:after="40"/>
        <w:rPr>
          <w:szCs w:val="16"/>
          <w:lang w:val="es-ES"/>
        </w:rPr>
      </w:pPr>
      <w:r w:rsidRPr="00C21A2E">
        <w:rPr>
          <w:szCs w:val="16"/>
          <w:lang w:val="es-ES"/>
        </w:rPr>
        <w:t>3. La pena no puede trascender de la persona del delincuente.</w:t>
      </w:r>
    </w:p>
    <w:p w14:paraId="35B370DF" w14:textId="05D8D625" w:rsidR="00122408" w:rsidRPr="00C21A2E" w:rsidRDefault="00122408" w:rsidP="00B50B41">
      <w:pPr>
        <w:pStyle w:val="FootnoteText"/>
        <w:spacing w:after="40"/>
        <w:rPr>
          <w:szCs w:val="16"/>
          <w:lang w:val="es-ES"/>
        </w:rPr>
      </w:pPr>
      <w:r w:rsidRPr="00C21A2E">
        <w:rPr>
          <w:szCs w:val="16"/>
          <w:lang w:val="es-ES"/>
        </w:rPr>
        <w:t>4. Los procesados deben estar separados de los condenados, salvo en circunstancias </w:t>
      </w:r>
      <w:r w:rsidRPr="00C21A2E">
        <w:rPr>
          <w:szCs w:val="16"/>
          <w:lang w:val="es-ES"/>
        </w:rPr>
        <w:br/>
        <w:t>excepcionales, y serán sometidos a un tratamiento adecuado a su condición de personas no condenadas.</w:t>
      </w:r>
    </w:p>
    <w:p w14:paraId="3FFDDAB3" w14:textId="6A9C0AED" w:rsidR="00122408" w:rsidRPr="00C21A2E" w:rsidRDefault="00122408" w:rsidP="00B50B41">
      <w:pPr>
        <w:pStyle w:val="FootnoteText"/>
        <w:spacing w:after="40"/>
        <w:rPr>
          <w:szCs w:val="16"/>
          <w:lang w:val="es-ES"/>
        </w:rPr>
      </w:pPr>
      <w:r w:rsidRPr="00C21A2E">
        <w:rPr>
          <w:szCs w:val="16"/>
          <w:lang w:val="es-ES"/>
        </w:rPr>
        <w:t>5. Cuando los menores puedan ser procesados, deben ser separados de los adultos y llevados ante tribunales especializados, con la mayor celeridad posible, para su tratamiento.</w:t>
      </w:r>
    </w:p>
    <w:p w14:paraId="08BBEE01" w14:textId="7F5C1CDB" w:rsidR="00122408" w:rsidRPr="00C21A2E" w:rsidRDefault="00122408" w:rsidP="00B50B41">
      <w:pPr>
        <w:pStyle w:val="FootnoteText"/>
        <w:spacing w:after="40"/>
        <w:rPr>
          <w:szCs w:val="16"/>
          <w:lang w:val="es-ES"/>
        </w:rPr>
      </w:pPr>
      <w:r w:rsidRPr="00C21A2E">
        <w:rPr>
          <w:szCs w:val="16"/>
          <w:lang w:val="es-ES"/>
        </w:rPr>
        <w:t>6. Las penas privativas de la libertad tendrán como finalidad esencial la reforma y la readaptación social de los condenados.</w:t>
      </w:r>
    </w:p>
  </w:footnote>
  <w:footnote w:id="304">
    <w:p w14:paraId="2CA66233" w14:textId="2B405A1C"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 Caso Castillo Páez Vs. Perú. Fondo</w:t>
      </w:r>
      <w:r w:rsidRPr="00C21A2E">
        <w:rPr>
          <w:szCs w:val="16"/>
          <w:lang w:val="es-ES"/>
        </w:rPr>
        <w:t xml:space="preserve">. Sentencia de 3 de noviembre de 1997. Serie C No. 34, Punto Resolutivo Cuarto, y </w:t>
      </w:r>
      <w:r w:rsidRPr="006253B7">
        <w:rPr>
          <w:bCs/>
          <w:i/>
          <w:szCs w:val="16"/>
        </w:rPr>
        <w:t xml:space="preserve">Caso Miembros de la Aldea </w:t>
      </w:r>
      <w:proofErr w:type="spellStart"/>
      <w:r w:rsidRPr="006253B7">
        <w:rPr>
          <w:bCs/>
          <w:i/>
          <w:szCs w:val="16"/>
        </w:rPr>
        <w:t>Chichupac</w:t>
      </w:r>
      <w:proofErr w:type="spellEnd"/>
      <w:r w:rsidRPr="006253B7">
        <w:rPr>
          <w:bCs/>
          <w:i/>
          <w:szCs w:val="16"/>
        </w:rPr>
        <w:t xml:space="preserve"> y comunidades vecinas del Municipio de Rabinal</w:t>
      </w:r>
      <w:r w:rsidRPr="00C21A2E">
        <w:rPr>
          <w:szCs w:val="16"/>
          <w:lang w:val="es-ES"/>
        </w:rPr>
        <w:t xml:space="preserve">, párr. </w:t>
      </w:r>
      <w:r>
        <w:rPr>
          <w:szCs w:val="16"/>
          <w:lang w:val="es-ES"/>
        </w:rPr>
        <w:t>161</w:t>
      </w:r>
      <w:r w:rsidRPr="00C21A2E">
        <w:rPr>
          <w:szCs w:val="16"/>
          <w:lang w:val="es-ES"/>
        </w:rPr>
        <w:t>.</w:t>
      </w:r>
    </w:p>
  </w:footnote>
  <w:footnote w:id="305">
    <w:p w14:paraId="0611FD19" w14:textId="12EE8E12"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szCs w:val="16"/>
          <w:lang w:val="es-ES"/>
        </w:rPr>
        <w:t>Cfr. Caso Blake Vs. Guatemala. Fondo</w:t>
      </w:r>
      <w:r w:rsidRPr="00C21A2E">
        <w:rPr>
          <w:szCs w:val="16"/>
          <w:lang w:val="es-ES"/>
        </w:rPr>
        <w:t xml:space="preserve">. Sentencia de 24 de enero de 1998. Serie C No. 36, párr. 114, y </w:t>
      </w:r>
      <w:r w:rsidRPr="00C21A2E">
        <w:rPr>
          <w:i/>
          <w:szCs w:val="16"/>
          <w:lang w:val="es-ES"/>
        </w:rPr>
        <w:t xml:space="preserve">Caso </w:t>
      </w:r>
      <w:r>
        <w:rPr>
          <w:i/>
          <w:szCs w:val="16"/>
          <w:lang w:val="es-ES"/>
        </w:rPr>
        <w:t xml:space="preserve">Velásquez </w:t>
      </w:r>
      <w:proofErr w:type="spellStart"/>
      <w:r>
        <w:rPr>
          <w:i/>
          <w:szCs w:val="16"/>
          <w:lang w:val="es-ES"/>
        </w:rPr>
        <w:t>Paiz</w:t>
      </w:r>
      <w:proofErr w:type="spellEnd"/>
      <w:r>
        <w:rPr>
          <w:i/>
          <w:szCs w:val="16"/>
          <w:lang w:val="es-ES"/>
        </w:rPr>
        <w:t xml:space="preserve"> y otros</w:t>
      </w:r>
      <w:r w:rsidRPr="00C21A2E">
        <w:rPr>
          <w:szCs w:val="16"/>
          <w:lang w:val="es-ES"/>
        </w:rPr>
        <w:t xml:space="preserve">, párr. </w:t>
      </w:r>
      <w:r>
        <w:rPr>
          <w:szCs w:val="16"/>
          <w:lang w:val="es-ES"/>
        </w:rPr>
        <w:t>209</w:t>
      </w:r>
      <w:r w:rsidRPr="00C21A2E">
        <w:rPr>
          <w:szCs w:val="16"/>
          <w:lang w:val="es-ES"/>
        </w:rPr>
        <w:t>.</w:t>
      </w:r>
    </w:p>
  </w:footnote>
  <w:footnote w:id="306">
    <w:p w14:paraId="7B274EE4" w14:textId="7B9519BE"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Declaración de </w:t>
      </w:r>
      <w:proofErr w:type="spellStart"/>
      <w:r>
        <w:rPr>
          <w:szCs w:val="16"/>
          <w:lang w:val="es-ES"/>
        </w:rPr>
        <w:t>Mônica</w:t>
      </w:r>
      <w:proofErr w:type="spellEnd"/>
      <w:r w:rsidRPr="00C21A2E">
        <w:rPr>
          <w:szCs w:val="16"/>
          <w:lang w:val="es-ES"/>
        </w:rPr>
        <w:t xml:space="preserve"> Santos de Souza </w:t>
      </w:r>
      <w:proofErr w:type="spellStart"/>
      <w:r w:rsidRPr="00C21A2E">
        <w:rPr>
          <w:szCs w:val="16"/>
          <w:lang w:val="es-ES"/>
        </w:rPr>
        <w:t>Rodrigues</w:t>
      </w:r>
      <w:proofErr w:type="spellEnd"/>
      <w:r w:rsidRPr="00C21A2E">
        <w:rPr>
          <w:szCs w:val="16"/>
          <w:lang w:val="es-ES"/>
        </w:rPr>
        <w:t xml:space="preserve"> (expediente de prueba, folio 16613); </w:t>
      </w:r>
      <w:r>
        <w:rPr>
          <w:szCs w:val="16"/>
          <w:lang w:val="es-ES"/>
        </w:rPr>
        <w:t xml:space="preserve">declaración </w:t>
      </w:r>
      <w:r w:rsidRPr="00C21A2E">
        <w:rPr>
          <w:szCs w:val="16"/>
          <w:lang w:val="es-ES"/>
        </w:rPr>
        <w:t xml:space="preserve">de Evelyn Santos de Souza </w:t>
      </w:r>
      <w:proofErr w:type="spellStart"/>
      <w:r w:rsidRPr="00C21A2E">
        <w:rPr>
          <w:szCs w:val="16"/>
          <w:lang w:val="es-ES"/>
        </w:rPr>
        <w:t>Rodrigues</w:t>
      </w:r>
      <w:proofErr w:type="spellEnd"/>
      <w:r w:rsidRPr="00C21A2E">
        <w:rPr>
          <w:szCs w:val="16"/>
          <w:lang w:val="es-ES"/>
        </w:rPr>
        <w:t xml:space="preserve"> (expediente de prueba, folio 16616</w:t>
      </w:r>
      <w:r>
        <w:rPr>
          <w:szCs w:val="16"/>
          <w:lang w:val="es-ES"/>
        </w:rPr>
        <w:t xml:space="preserve">); declaración </w:t>
      </w:r>
      <w:r w:rsidRPr="00C21A2E">
        <w:rPr>
          <w:szCs w:val="16"/>
          <w:lang w:val="es-ES"/>
        </w:rPr>
        <w:t xml:space="preserve">de </w:t>
      </w:r>
      <w:proofErr w:type="spellStart"/>
      <w:r>
        <w:rPr>
          <w:szCs w:val="16"/>
          <w:lang w:val="es-ES"/>
        </w:rPr>
        <w:t>Diogo</w:t>
      </w:r>
      <w:proofErr w:type="spellEnd"/>
      <w:r>
        <w:rPr>
          <w:szCs w:val="16"/>
          <w:lang w:val="es-ES"/>
        </w:rPr>
        <w:t xml:space="preserve"> da Silva Genoveva</w:t>
      </w:r>
      <w:r w:rsidRPr="00C21A2E">
        <w:rPr>
          <w:szCs w:val="16"/>
          <w:lang w:val="es-ES"/>
        </w:rPr>
        <w:t xml:space="preserve"> (expediente de prueba, folio 166</w:t>
      </w:r>
      <w:r>
        <w:rPr>
          <w:szCs w:val="16"/>
          <w:lang w:val="es-ES"/>
        </w:rPr>
        <w:t xml:space="preserve">29); declaración </w:t>
      </w:r>
      <w:r w:rsidRPr="00C21A2E">
        <w:rPr>
          <w:szCs w:val="16"/>
          <w:lang w:val="es-ES"/>
        </w:rPr>
        <w:t>de Michelle Mariano dos Santos (expediente de prueba, folio 16658)</w:t>
      </w:r>
      <w:r>
        <w:rPr>
          <w:szCs w:val="16"/>
          <w:lang w:val="es-ES"/>
        </w:rPr>
        <w:t xml:space="preserve">; declaración </w:t>
      </w:r>
      <w:r w:rsidRPr="00C21A2E">
        <w:rPr>
          <w:szCs w:val="16"/>
          <w:lang w:val="es-ES"/>
        </w:rPr>
        <w:t xml:space="preserve">de </w:t>
      </w:r>
      <w:proofErr w:type="spellStart"/>
      <w:r w:rsidRPr="00C21A2E">
        <w:rPr>
          <w:szCs w:val="16"/>
          <w:lang w:val="es-ES"/>
        </w:rPr>
        <w:t>Maria</w:t>
      </w:r>
      <w:proofErr w:type="spellEnd"/>
      <w:r w:rsidRPr="00C21A2E">
        <w:rPr>
          <w:szCs w:val="16"/>
          <w:lang w:val="es-ES"/>
        </w:rPr>
        <w:t xml:space="preserve"> das </w:t>
      </w:r>
      <w:proofErr w:type="spellStart"/>
      <w:r w:rsidRPr="00C21A2E">
        <w:rPr>
          <w:szCs w:val="16"/>
          <w:lang w:val="es-ES"/>
        </w:rPr>
        <w:t>Graças</w:t>
      </w:r>
      <w:proofErr w:type="spellEnd"/>
      <w:r w:rsidRPr="00C21A2E">
        <w:rPr>
          <w:szCs w:val="16"/>
          <w:lang w:val="es-ES"/>
        </w:rPr>
        <w:t xml:space="preserve"> da Silva (expediente de prueba, folio</w:t>
      </w:r>
      <w:r>
        <w:rPr>
          <w:szCs w:val="16"/>
          <w:lang w:val="es-ES"/>
        </w:rPr>
        <w:t xml:space="preserve">s 16622 y </w:t>
      </w:r>
      <w:r w:rsidRPr="00C21A2E">
        <w:rPr>
          <w:szCs w:val="16"/>
          <w:lang w:val="es-ES"/>
        </w:rPr>
        <w:t>16623</w:t>
      </w:r>
      <w:r>
        <w:rPr>
          <w:szCs w:val="16"/>
          <w:lang w:val="es-ES"/>
        </w:rPr>
        <w:t xml:space="preserve">); declaración </w:t>
      </w:r>
      <w:r w:rsidRPr="00C21A2E">
        <w:rPr>
          <w:szCs w:val="16"/>
          <w:lang w:val="es-ES"/>
        </w:rPr>
        <w:t xml:space="preserve">de </w:t>
      </w:r>
      <w:proofErr w:type="spellStart"/>
      <w:r w:rsidRPr="00C21A2E">
        <w:rPr>
          <w:szCs w:val="16"/>
          <w:lang w:val="es-ES"/>
        </w:rPr>
        <w:t>Geni</w:t>
      </w:r>
      <w:proofErr w:type="spellEnd"/>
      <w:r w:rsidRPr="00C21A2E">
        <w:rPr>
          <w:szCs w:val="16"/>
          <w:lang w:val="es-ES"/>
        </w:rPr>
        <w:t xml:space="preserve"> Pereira </w:t>
      </w:r>
      <w:proofErr w:type="spellStart"/>
      <w:r w:rsidRPr="00C21A2E">
        <w:rPr>
          <w:szCs w:val="16"/>
          <w:lang w:val="es-ES"/>
        </w:rPr>
        <w:t>Dutra</w:t>
      </w:r>
      <w:proofErr w:type="spellEnd"/>
      <w:r w:rsidRPr="00C21A2E">
        <w:rPr>
          <w:szCs w:val="16"/>
          <w:lang w:val="es-ES"/>
        </w:rPr>
        <w:t xml:space="preserve"> (expediente de prueba, folio</w:t>
      </w:r>
      <w:r>
        <w:rPr>
          <w:szCs w:val="16"/>
          <w:lang w:val="es-ES"/>
        </w:rPr>
        <w:t>s</w:t>
      </w:r>
      <w:r w:rsidRPr="00C21A2E">
        <w:rPr>
          <w:szCs w:val="16"/>
          <w:lang w:val="es-ES"/>
        </w:rPr>
        <w:t xml:space="preserve"> 16627</w:t>
      </w:r>
      <w:r>
        <w:rPr>
          <w:szCs w:val="16"/>
          <w:lang w:val="es-ES"/>
        </w:rPr>
        <w:t xml:space="preserve"> y 16628); d</w:t>
      </w:r>
      <w:r w:rsidRPr="00C21A2E">
        <w:rPr>
          <w:szCs w:val="16"/>
          <w:lang w:val="es-ES"/>
        </w:rPr>
        <w:t xml:space="preserve">eclaración de </w:t>
      </w:r>
      <w:r>
        <w:rPr>
          <w:szCs w:val="16"/>
          <w:lang w:val="es-ES"/>
        </w:rPr>
        <w:t>João Alves</w:t>
      </w:r>
      <w:r w:rsidRPr="00C21A2E">
        <w:rPr>
          <w:szCs w:val="16"/>
          <w:lang w:val="es-ES"/>
        </w:rPr>
        <w:t xml:space="preserve"> de </w:t>
      </w:r>
      <w:proofErr w:type="spellStart"/>
      <w:r w:rsidRPr="00C21A2E">
        <w:rPr>
          <w:szCs w:val="16"/>
          <w:lang w:val="es-ES"/>
        </w:rPr>
        <w:t>Moura</w:t>
      </w:r>
      <w:proofErr w:type="spellEnd"/>
      <w:r w:rsidRPr="00C21A2E">
        <w:rPr>
          <w:szCs w:val="16"/>
          <w:lang w:val="es-ES"/>
        </w:rPr>
        <w:t xml:space="preserve"> (expediente de prueba, folio 166</w:t>
      </w:r>
      <w:r>
        <w:rPr>
          <w:szCs w:val="16"/>
          <w:lang w:val="es-ES"/>
        </w:rPr>
        <w:t xml:space="preserve">34 y 16635); declaración </w:t>
      </w:r>
      <w:r w:rsidRPr="00C21A2E">
        <w:rPr>
          <w:szCs w:val="16"/>
          <w:lang w:val="es-ES"/>
        </w:rPr>
        <w:t>de Helena Viana dos Santos (expediente de prueba, folio</w:t>
      </w:r>
      <w:r>
        <w:rPr>
          <w:szCs w:val="16"/>
          <w:lang w:val="es-ES"/>
        </w:rPr>
        <w:t>s 16647,</w:t>
      </w:r>
      <w:r w:rsidRPr="00C21A2E">
        <w:rPr>
          <w:szCs w:val="16"/>
          <w:lang w:val="es-ES"/>
        </w:rPr>
        <w:t xml:space="preserve"> 1664</w:t>
      </w:r>
      <w:r>
        <w:rPr>
          <w:szCs w:val="16"/>
          <w:lang w:val="es-ES"/>
        </w:rPr>
        <w:t xml:space="preserve">8, 16650); declaración </w:t>
      </w:r>
      <w:r w:rsidRPr="00C21A2E">
        <w:rPr>
          <w:szCs w:val="16"/>
          <w:lang w:val="es-ES"/>
        </w:rPr>
        <w:t xml:space="preserve">de Samuel da Silva </w:t>
      </w:r>
      <w:proofErr w:type="spellStart"/>
      <w:r w:rsidRPr="00C21A2E">
        <w:rPr>
          <w:szCs w:val="16"/>
          <w:lang w:val="es-ES"/>
        </w:rPr>
        <w:t>Rodrigues</w:t>
      </w:r>
      <w:proofErr w:type="spellEnd"/>
      <w:r w:rsidRPr="00C21A2E">
        <w:rPr>
          <w:szCs w:val="16"/>
          <w:lang w:val="es-ES"/>
        </w:rPr>
        <w:t xml:space="preserve"> (expediente de prueba, folio 16639</w:t>
      </w:r>
      <w:r>
        <w:rPr>
          <w:szCs w:val="16"/>
          <w:lang w:val="es-ES"/>
        </w:rPr>
        <w:t xml:space="preserve">); declaración </w:t>
      </w:r>
      <w:r w:rsidRPr="00C21A2E">
        <w:rPr>
          <w:szCs w:val="16"/>
          <w:lang w:val="es-ES"/>
        </w:rPr>
        <w:t xml:space="preserve">de </w:t>
      </w:r>
      <w:proofErr w:type="spellStart"/>
      <w:r w:rsidRPr="00C21A2E">
        <w:rPr>
          <w:szCs w:val="16"/>
          <w:lang w:val="es-ES"/>
        </w:rPr>
        <w:t>Robson</w:t>
      </w:r>
      <w:proofErr w:type="spellEnd"/>
      <w:r w:rsidRPr="00C21A2E">
        <w:rPr>
          <w:szCs w:val="16"/>
          <w:lang w:val="es-ES"/>
        </w:rPr>
        <w:t xml:space="preserve"> Genuino dos Santos Jr. (expediente de prueba, folio</w:t>
      </w:r>
      <w:r>
        <w:rPr>
          <w:szCs w:val="16"/>
          <w:lang w:val="es-ES"/>
        </w:rPr>
        <w:t>s</w:t>
      </w:r>
      <w:r w:rsidRPr="00C21A2E">
        <w:rPr>
          <w:szCs w:val="16"/>
          <w:lang w:val="es-ES"/>
        </w:rPr>
        <w:t xml:space="preserve"> 16652</w:t>
      </w:r>
      <w:r>
        <w:rPr>
          <w:szCs w:val="16"/>
          <w:lang w:val="es-ES"/>
        </w:rPr>
        <w:t xml:space="preserve"> y 16654);</w:t>
      </w:r>
      <w:r w:rsidRPr="00C21A2E">
        <w:rPr>
          <w:szCs w:val="16"/>
          <w:lang w:val="es-ES"/>
        </w:rPr>
        <w:t xml:space="preserve"> </w:t>
      </w:r>
      <w:r>
        <w:rPr>
          <w:szCs w:val="16"/>
          <w:lang w:val="es-ES"/>
        </w:rPr>
        <w:t xml:space="preserve">declaración </w:t>
      </w:r>
      <w:r w:rsidRPr="00C21A2E">
        <w:rPr>
          <w:szCs w:val="16"/>
          <w:lang w:val="es-ES"/>
        </w:rPr>
        <w:t xml:space="preserve">de </w:t>
      </w:r>
      <w:proofErr w:type="spellStart"/>
      <w:r w:rsidRPr="00C21A2E">
        <w:rPr>
          <w:szCs w:val="16"/>
          <w:lang w:val="es-ES"/>
        </w:rPr>
        <w:t>Otacilio</w:t>
      </w:r>
      <w:proofErr w:type="spellEnd"/>
      <w:r w:rsidRPr="00C21A2E">
        <w:rPr>
          <w:szCs w:val="16"/>
          <w:lang w:val="es-ES"/>
        </w:rPr>
        <w:t xml:space="preserve"> Costa (expediente de prueba, folio 16621</w:t>
      </w:r>
      <w:r>
        <w:rPr>
          <w:szCs w:val="16"/>
          <w:lang w:val="es-ES"/>
        </w:rPr>
        <w:t xml:space="preserve">); declaración </w:t>
      </w:r>
      <w:r w:rsidRPr="00C21A2E">
        <w:rPr>
          <w:szCs w:val="16"/>
          <w:lang w:val="es-ES"/>
        </w:rPr>
        <w:t xml:space="preserve">de </w:t>
      </w:r>
      <w:proofErr w:type="spellStart"/>
      <w:r w:rsidR="00CC6D82">
        <w:rPr>
          <w:szCs w:val="16"/>
          <w:lang w:val="es-ES"/>
        </w:rPr>
        <w:t>Pricila</w:t>
      </w:r>
      <w:proofErr w:type="spellEnd"/>
      <w:r w:rsidRPr="00C21A2E">
        <w:rPr>
          <w:szCs w:val="16"/>
          <w:lang w:val="es-ES"/>
        </w:rPr>
        <w:t xml:space="preserve"> </w:t>
      </w:r>
      <w:proofErr w:type="spellStart"/>
      <w:r w:rsidRPr="00C21A2E">
        <w:rPr>
          <w:szCs w:val="16"/>
          <w:lang w:val="es-ES"/>
        </w:rPr>
        <w:t>Rodrigues</w:t>
      </w:r>
      <w:proofErr w:type="spellEnd"/>
      <w:r w:rsidRPr="00C21A2E">
        <w:rPr>
          <w:szCs w:val="16"/>
          <w:lang w:val="es-ES"/>
        </w:rPr>
        <w:t xml:space="preserve"> (expediente de prueba, folio 16632</w:t>
      </w:r>
      <w:r>
        <w:rPr>
          <w:szCs w:val="16"/>
          <w:lang w:val="es-ES"/>
        </w:rPr>
        <w:t xml:space="preserve">); declaración </w:t>
      </w:r>
      <w:r w:rsidRPr="00C21A2E">
        <w:rPr>
          <w:szCs w:val="16"/>
          <w:lang w:val="es-ES"/>
        </w:rPr>
        <w:t>de William Mariano dos Santos (expediente de prueba, folio 16636</w:t>
      </w:r>
      <w:r>
        <w:rPr>
          <w:szCs w:val="16"/>
          <w:lang w:val="es-ES"/>
        </w:rPr>
        <w:t>); d</w:t>
      </w:r>
      <w:r w:rsidRPr="00C21A2E">
        <w:rPr>
          <w:szCs w:val="16"/>
          <w:lang w:val="es-ES"/>
        </w:rPr>
        <w:t>eclaración de Joyce Neri da Silva Dantas (expediente de prueba, folio 16626</w:t>
      </w:r>
      <w:r>
        <w:rPr>
          <w:szCs w:val="16"/>
          <w:lang w:val="es-ES"/>
        </w:rPr>
        <w:t>); d</w:t>
      </w:r>
      <w:r w:rsidRPr="00C21A2E">
        <w:rPr>
          <w:szCs w:val="16"/>
          <w:lang w:val="es-ES"/>
        </w:rPr>
        <w:t>eclaración de Bruna Fonseca Costa (expediente de prueba, folio</w:t>
      </w:r>
      <w:r>
        <w:rPr>
          <w:szCs w:val="16"/>
          <w:lang w:val="es-ES"/>
        </w:rPr>
        <w:t>s</w:t>
      </w:r>
      <w:r w:rsidRPr="00C21A2E">
        <w:rPr>
          <w:szCs w:val="16"/>
          <w:lang w:val="es-ES"/>
        </w:rPr>
        <w:t xml:space="preserve"> </w:t>
      </w:r>
      <w:r>
        <w:rPr>
          <w:szCs w:val="16"/>
          <w:lang w:val="es-ES"/>
        </w:rPr>
        <w:t>16606 y 1660</w:t>
      </w:r>
      <w:r w:rsidRPr="00C21A2E">
        <w:rPr>
          <w:szCs w:val="16"/>
          <w:lang w:val="es-ES"/>
        </w:rPr>
        <w:t>7</w:t>
      </w:r>
      <w:r>
        <w:rPr>
          <w:szCs w:val="16"/>
          <w:lang w:val="es-ES"/>
        </w:rPr>
        <w:t>)</w:t>
      </w:r>
      <w:r w:rsidRPr="00C21A2E">
        <w:rPr>
          <w:szCs w:val="16"/>
          <w:lang w:val="es-ES"/>
        </w:rPr>
        <w:t>.</w:t>
      </w:r>
    </w:p>
  </w:footnote>
  <w:footnote w:id="307">
    <w:p w14:paraId="2E0A847B" w14:textId="70FFC129" w:rsidR="00122408" w:rsidRPr="00C21A2E" w:rsidRDefault="00122408" w:rsidP="00B50B41">
      <w:pPr>
        <w:pStyle w:val="FootnoteText"/>
        <w:spacing w:after="40"/>
        <w:rPr>
          <w:szCs w:val="16"/>
          <w:lang w:val="es-ES"/>
        </w:rPr>
      </w:pPr>
      <w:r w:rsidRPr="00C21A2E">
        <w:rPr>
          <w:rStyle w:val="FootnoteReference"/>
          <w:sz w:val="16"/>
          <w:szCs w:val="16"/>
          <w:lang w:val="es-ES"/>
        </w:rPr>
        <w:footnoteRef/>
      </w:r>
      <w:r w:rsidRPr="00C21A2E">
        <w:rPr>
          <w:szCs w:val="16"/>
          <w:lang w:val="es-ES"/>
        </w:rPr>
        <w:t xml:space="preserve"> Declaración de </w:t>
      </w:r>
      <w:proofErr w:type="spellStart"/>
      <w:r w:rsidRPr="00C21A2E">
        <w:rPr>
          <w:szCs w:val="16"/>
          <w:lang w:val="es-ES"/>
        </w:rPr>
        <w:t>Robson</w:t>
      </w:r>
      <w:proofErr w:type="spellEnd"/>
      <w:r w:rsidRPr="00C21A2E">
        <w:rPr>
          <w:szCs w:val="16"/>
          <w:lang w:val="es-ES"/>
        </w:rPr>
        <w:t xml:space="preserve"> Genuino dos Santos Jr. (expediente de prueba, folio 16654</w:t>
      </w:r>
      <w:r>
        <w:rPr>
          <w:szCs w:val="16"/>
          <w:lang w:val="es-ES"/>
        </w:rPr>
        <w:t xml:space="preserve">); declaración </w:t>
      </w:r>
      <w:r w:rsidRPr="00C21A2E">
        <w:rPr>
          <w:szCs w:val="16"/>
          <w:lang w:val="es-ES"/>
        </w:rPr>
        <w:t xml:space="preserve">de João Alves de </w:t>
      </w:r>
      <w:proofErr w:type="spellStart"/>
      <w:r w:rsidRPr="00C21A2E">
        <w:rPr>
          <w:szCs w:val="16"/>
          <w:lang w:val="es-ES"/>
        </w:rPr>
        <w:t>Moura</w:t>
      </w:r>
      <w:proofErr w:type="spellEnd"/>
      <w:r w:rsidRPr="00C21A2E">
        <w:rPr>
          <w:szCs w:val="16"/>
          <w:lang w:val="es-ES"/>
        </w:rPr>
        <w:t xml:space="preserve"> (expediente de prueba, folio 16634</w:t>
      </w:r>
      <w:r>
        <w:rPr>
          <w:szCs w:val="16"/>
          <w:lang w:val="es-ES"/>
        </w:rPr>
        <w:t xml:space="preserve">); declaración </w:t>
      </w:r>
      <w:r w:rsidRPr="00C21A2E">
        <w:rPr>
          <w:szCs w:val="16"/>
          <w:lang w:val="es-ES"/>
        </w:rPr>
        <w:t>de Helena Viana dos Santos (expediente de prueba, folio</w:t>
      </w:r>
      <w:r>
        <w:rPr>
          <w:szCs w:val="16"/>
          <w:lang w:val="es-ES"/>
        </w:rPr>
        <w:t>s</w:t>
      </w:r>
      <w:r w:rsidRPr="00C21A2E">
        <w:rPr>
          <w:szCs w:val="16"/>
          <w:lang w:val="es-ES"/>
        </w:rPr>
        <w:t xml:space="preserve"> </w:t>
      </w:r>
      <w:r>
        <w:rPr>
          <w:szCs w:val="16"/>
          <w:lang w:val="es-ES"/>
        </w:rPr>
        <w:t xml:space="preserve">16647 y </w:t>
      </w:r>
      <w:r w:rsidRPr="00C21A2E">
        <w:rPr>
          <w:szCs w:val="16"/>
          <w:lang w:val="es-ES"/>
        </w:rPr>
        <w:t>16650</w:t>
      </w:r>
      <w:r>
        <w:rPr>
          <w:szCs w:val="16"/>
          <w:lang w:val="es-ES"/>
        </w:rPr>
        <w:t xml:space="preserve">); declaración </w:t>
      </w:r>
      <w:r w:rsidRPr="00C21A2E">
        <w:rPr>
          <w:szCs w:val="16"/>
          <w:lang w:val="es-ES"/>
        </w:rPr>
        <w:t>de Michelle Mariano dos Santos (expediente de prueba, folio 16658</w:t>
      </w:r>
      <w:r>
        <w:rPr>
          <w:szCs w:val="16"/>
          <w:lang w:val="es-ES"/>
        </w:rPr>
        <w:t>)</w:t>
      </w:r>
      <w:r w:rsidRPr="00C21A2E">
        <w:rPr>
          <w:szCs w:val="16"/>
          <w:lang w:val="es-ES"/>
        </w:rPr>
        <w:t>.</w:t>
      </w:r>
    </w:p>
  </w:footnote>
  <w:footnote w:id="308">
    <w:p w14:paraId="1D2A40F1" w14:textId="3F9809F2" w:rsidR="004848B6" w:rsidRPr="004848B6" w:rsidRDefault="004848B6">
      <w:pPr>
        <w:pStyle w:val="FootnoteText"/>
        <w:rPr>
          <w:szCs w:val="16"/>
          <w:lang w:val="pt-BR"/>
        </w:rPr>
      </w:pPr>
      <w:r w:rsidRPr="004848B6">
        <w:rPr>
          <w:rStyle w:val="FootnoteReference"/>
          <w:sz w:val="16"/>
          <w:szCs w:val="16"/>
        </w:rPr>
        <w:footnoteRef/>
      </w:r>
      <w:r w:rsidRPr="004848B6">
        <w:rPr>
          <w:szCs w:val="16"/>
          <w:lang w:val="pt-BR"/>
        </w:rPr>
        <w:t xml:space="preserve"> </w:t>
      </w:r>
      <w:r w:rsidRPr="004848B6">
        <w:rPr>
          <w:szCs w:val="16"/>
          <w:lang w:val="pt-BR"/>
        </w:rPr>
        <w:t>Cirene dos Santos, Edna Ribeiro Raimundo Neves, José Francisco Sobrinho, José Rodrigues do Nascimento, Maria da Gloria Mendes, Maria de Lourdes Genuino, Ronaldo Inacio da Silva, Alcides Ramos, Thiago da Silva, Alberto da Silva, Rosiane dos Santos, Vera Lúcia dos Santos de Miranda, Lucia Helena Neri da Silva, Edson Faria Neves, Mac Laine Faria Neves, Valdenice Fernandes Vieira, Neuza Ribeiro Raymundo, Eliane Elene Fernandes Vieira, Rogério Genuino dos Santos, Jucelena Rocha dos Santos, Norival Pinto Donato, Celia da Cruz Silva, Nilcéia de Oliveira, Diogo Vieira dos Santos, Adriana Vianna dos Santos, Sandro Vianna dos Santos, Alessandra Vianna Vieira, Zeferino Marques de Oliveira, Aline da Silva, Efigenia Margarida Alves, Sergio Rosa Mendes, Sonia Maria Mendes, Francisco José de Souza, Martinha Martino de Souza, Luiz Henrique de Souza, Ronald Marcos de Souza, Eva Maria dos Santos Moura, João Batista de Souza, Josefa Maria de Souza, Waldomiro Genoveva, Océlia Rosa, Rosane da Silva Genoveva, Paulo Cesar da Silva Porto, Daniel Paulino da Silva, Georgina Soares Pinto, Nilton Ramos de Oliveira, Maria da Conceição Sampaio de Oliveira, Vinicius Ramos de Oliveira, Geraldo José da Silva Filho, Georgina Abrantes, Paulo Roberto Felix, Beatriz Fonseca Costa, Dalvaci Melo Rodrigues, Lucas Abreu da Silva, Cecília Cristina do Nascimento Rodrigues, Adriana Melo Rodrigues, Roseleide Rodrigues do Nascimento, Shirley de Almeida, Catia Regina Almeida da Silva, Valdemar da Silveira Dutra, Vera Lucia Jacinto da Silva, Cesar Braga Castor, Vera Lucia Ribeiro Castor, Pedro Marciano dos Reis, Hilda Alves dos Reis y Rosemary Alves dos Reis</w:t>
      </w:r>
      <w:r>
        <w:rPr>
          <w:szCs w:val="16"/>
          <w:lang w:val="pt-BR"/>
        </w:rPr>
        <w:t>.</w:t>
      </w:r>
    </w:p>
  </w:footnote>
  <w:footnote w:id="309">
    <w:p w14:paraId="64891BB4" w14:textId="67EB514A"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El artículo 22.1 de la Convención Americana dispone que: </w:t>
      </w:r>
      <w:r w:rsidRPr="00C21A2E">
        <w:rPr>
          <w:bCs/>
          <w:szCs w:val="16"/>
          <w:lang w:val="es-ES"/>
        </w:rPr>
        <w:t>Derecho de Circulación y de Residencia.</w:t>
      </w:r>
      <w:r w:rsidRPr="00C21A2E">
        <w:rPr>
          <w:szCs w:val="16"/>
          <w:lang w:val="es-ES"/>
        </w:rPr>
        <w:t xml:space="preserve"> 1. Toda persona que se halle legalmente en el territorio de un Estado tiene derecho a circular por el mismo y, a residir en él con sujeción a las disposiciones legales.</w:t>
      </w:r>
    </w:p>
  </w:footnote>
  <w:footnote w:id="310">
    <w:p w14:paraId="7AF8AAFE" w14:textId="77777777" w:rsidR="00122408" w:rsidRPr="00C21A2E" w:rsidRDefault="00122408" w:rsidP="00B50B41">
      <w:pPr>
        <w:pStyle w:val="FootnoteText"/>
        <w:spacing w:after="40"/>
        <w:rPr>
          <w:szCs w:val="16"/>
        </w:rPr>
      </w:pPr>
      <w:r w:rsidRPr="00C21A2E">
        <w:rPr>
          <w:rStyle w:val="FootnoteReference"/>
          <w:rFonts w:eastAsia="Calibri"/>
          <w:sz w:val="16"/>
          <w:szCs w:val="16"/>
        </w:rPr>
        <w:footnoteRef/>
      </w:r>
      <w:r w:rsidRPr="00C21A2E">
        <w:rPr>
          <w:szCs w:val="16"/>
          <w:lang w:val="es-ES"/>
        </w:rPr>
        <w:t xml:space="preserve"> </w:t>
      </w:r>
      <w:r w:rsidRPr="00C21A2E">
        <w:rPr>
          <w:szCs w:val="16"/>
        </w:rPr>
        <w:t>El artículo 63.1 de la Convención Americana establece que: “[c]</w:t>
      </w:r>
      <w:proofErr w:type="spellStart"/>
      <w:r w:rsidRPr="00C21A2E">
        <w:rPr>
          <w:szCs w:val="16"/>
        </w:rPr>
        <w:t>uando</w:t>
      </w:r>
      <w:proofErr w:type="spellEnd"/>
      <w:r w:rsidRPr="00C21A2E">
        <w:rPr>
          <w:szCs w:val="16"/>
        </w:rPr>
        <w:t xml:space="preserve">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11">
    <w:p w14:paraId="30C4D3FA" w14:textId="625F5A9B" w:rsidR="00122408" w:rsidRPr="00C21A2E" w:rsidRDefault="00122408" w:rsidP="00B50B41">
      <w:pPr>
        <w:pStyle w:val="FootnoteText"/>
        <w:spacing w:after="40"/>
        <w:rPr>
          <w:szCs w:val="16"/>
          <w:lang w:val="es-ES"/>
        </w:rPr>
      </w:pPr>
      <w:r w:rsidRPr="00C21A2E">
        <w:rPr>
          <w:rStyle w:val="FootnoteReference"/>
          <w:rFonts w:eastAsia="Calibri"/>
          <w:sz w:val="16"/>
          <w:szCs w:val="16"/>
        </w:rPr>
        <w:footnoteRef/>
      </w:r>
      <w:r w:rsidRPr="00C21A2E">
        <w:rPr>
          <w:szCs w:val="16"/>
          <w:lang w:val="es-ES"/>
        </w:rPr>
        <w:t xml:space="preserve"> </w:t>
      </w:r>
      <w:r w:rsidRPr="00C21A2E">
        <w:rPr>
          <w:i/>
          <w:szCs w:val="16"/>
          <w:lang w:val="es-ES"/>
        </w:rPr>
        <w:t>Cfr. Caso Velásquez Rodríguez Vs. Hondur</w:t>
      </w:r>
      <w:r w:rsidRPr="00C21A2E">
        <w:rPr>
          <w:szCs w:val="16"/>
          <w:lang w:val="es-ES"/>
        </w:rPr>
        <w:t xml:space="preserve">as. </w:t>
      </w:r>
      <w:r w:rsidRPr="00C21A2E">
        <w:rPr>
          <w:i/>
          <w:szCs w:val="16"/>
          <w:lang w:val="es-ES"/>
        </w:rPr>
        <w:t>Reparaciones y Costas</w:t>
      </w:r>
      <w:r w:rsidRPr="00C21A2E">
        <w:rPr>
          <w:szCs w:val="16"/>
          <w:lang w:val="es-ES"/>
        </w:rPr>
        <w:t xml:space="preserve">. Sentencia de 21 de julio de 1989. Serie C No. 7,  párr. 25, y </w:t>
      </w:r>
      <w:r w:rsidRPr="00C21A2E">
        <w:rPr>
          <w:rStyle w:val="Strong"/>
          <w:b w:val="0"/>
          <w:i/>
          <w:color w:val="000000"/>
          <w:szCs w:val="16"/>
          <w:shd w:val="clear" w:color="auto" w:fill="FFFFFF"/>
          <w:lang w:val="es-ES"/>
        </w:rPr>
        <w:t xml:space="preserve">Caso </w:t>
      </w:r>
      <w:r>
        <w:rPr>
          <w:rStyle w:val="Strong"/>
          <w:b w:val="0"/>
          <w:i/>
          <w:color w:val="000000"/>
          <w:szCs w:val="16"/>
          <w:shd w:val="clear" w:color="auto" w:fill="FFFFFF"/>
          <w:lang w:val="es-ES"/>
        </w:rPr>
        <w:t>Andrade Salmón</w:t>
      </w:r>
      <w:r w:rsidRPr="00C21A2E">
        <w:rPr>
          <w:color w:val="000000"/>
          <w:szCs w:val="16"/>
          <w:lang w:val="es-ES"/>
        </w:rPr>
        <w:t xml:space="preserve">, </w:t>
      </w:r>
      <w:r w:rsidRPr="00C21A2E">
        <w:rPr>
          <w:szCs w:val="16"/>
          <w:lang w:val="es-ES"/>
        </w:rPr>
        <w:t xml:space="preserve">párr. </w:t>
      </w:r>
      <w:r>
        <w:rPr>
          <w:szCs w:val="16"/>
          <w:lang w:val="es-ES"/>
        </w:rPr>
        <w:t>188</w:t>
      </w:r>
      <w:r w:rsidRPr="00C21A2E">
        <w:rPr>
          <w:szCs w:val="16"/>
          <w:lang w:val="es-ES"/>
        </w:rPr>
        <w:t>.</w:t>
      </w:r>
    </w:p>
  </w:footnote>
  <w:footnote w:id="312">
    <w:p w14:paraId="0A04E17C" w14:textId="4404FEF0" w:rsidR="00122408" w:rsidRPr="00C21A2E" w:rsidRDefault="00122408" w:rsidP="00B50B41">
      <w:pPr>
        <w:pStyle w:val="FootnoteText"/>
        <w:spacing w:after="40"/>
        <w:rPr>
          <w:szCs w:val="16"/>
          <w:lang w:val="es-ES"/>
        </w:rPr>
      </w:pPr>
      <w:r w:rsidRPr="00C21A2E">
        <w:rPr>
          <w:rStyle w:val="FootnoteReference"/>
          <w:rFonts w:eastAsia="Calibri"/>
          <w:sz w:val="16"/>
          <w:szCs w:val="16"/>
        </w:rPr>
        <w:footnoteRef/>
      </w:r>
      <w:r w:rsidRPr="00C21A2E">
        <w:rPr>
          <w:szCs w:val="16"/>
          <w:lang w:val="es-ES"/>
        </w:rPr>
        <w:t xml:space="preserve"> </w:t>
      </w:r>
      <w:r w:rsidRPr="00C21A2E">
        <w:rPr>
          <w:i/>
          <w:szCs w:val="16"/>
          <w:lang w:val="es-ES"/>
        </w:rPr>
        <w:t>Cfr. Caso Velásquez Rodríguez Vs. Honduras. Reparaciones y Costas</w:t>
      </w:r>
      <w:r w:rsidRPr="00C21A2E">
        <w:rPr>
          <w:szCs w:val="16"/>
          <w:lang w:val="es-ES"/>
        </w:rPr>
        <w:t xml:space="preserve">, párr. 25, y </w:t>
      </w:r>
      <w:r w:rsidRPr="00C21A2E">
        <w:rPr>
          <w:rStyle w:val="Strong"/>
          <w:b w:val="0"/>
          <w:i/>
          <w:color w:val="000000"/>
          <w:szCs w:val="16"/>
          <w:shd w:val="clear" w:color="auto" w:fill="FFFFFF"/>
          <w:lang w:val="es-ES"/>
        </w:rPr>
        <w:t xml:space="preserve">Caso </w:t>
      </w:r>
      <w:r>
        <w:rPr>
          <w:rStyle w:val="Strong"/>
          <w:b w:val="0"/>
          <w:i/>
          <w:color w:val="000000"/>
          <w:szCs w:val="16"/>
          <w:shd w:val="clear" w:color="auto" w:fill="FFFFFF"/>
          <w:lang w:val="es-ES"/>
        </w:rPr>
        <w:t>Andrade Salmón</w:t>
      </w:r>
      <w:r w:rsidRPr="00445B6A">
        <w:rPr>
          <w:color w:val="000000"/>
          <w:szCs w:val="16"/>
          <w:lang w:val="es-ES"/>
        </w:rPr>
        <w:t>,</w:t>
      </w:r>
      <w:r w:rsidRPr="00C21A2E">
        <w:rPr>
          <w:color w:val="000000"/>
          <w:szCs w:val="16"/>
          <w:lang w:val="es-ES"/>
        </w:rPr>
        <w:t xml:space="preserve"> </w:t>
      </w:r>
      <w:r w:rsidRPr="00C21A2E">
        <w:rPr>
          <w:szCs w:val="16"/>
          <w:lang w:val="es-ES"/>
        </w:rPr>
        <w:t xml:space="preserve">párr. </w:t>
      </w:r>
      <w:r>
        <w:rPr>
          <w:szCs w:val="16"/>
          <w:lang w:val="es-ES"/>
        </w:rPr>
        <w:t>188</w:t>
      </w:r>
      <w:r w:rsidRPr="00C21A2E">
        <w:rPr>
          <w:szCs w:val="16"/>
          <w:lang w:val="es-ES"/>
        </w:rPr>
        <w:t>.</w:t>
      </w:r>
    </w:p>
  </w:footnote>
  <w:footnote w:id="313">
    <w:p w14:paraId="784B0658" w14:textId="7EBF7B37" w:rsidR="00122408" w:rsidRPr="00C21A2E" w:rsidRDefault="00122408" w:rsidP="00B50B41">
      <w:pPr>
        <w:tabs>
          <w:tab w:val="left" w:pos="567"/>
        </w:tabs>
        <w:spacing w:after="40"/>
        <w:ind w:right="-90"/>
        <w:rPr>
          <w:sz w:val="16"/>
          <w:szCs w:val="16"/>
        </w:rPr>
      </w:pPr>
      <w:r w:rsidRPr="00C21A2E">
        <w:rPr>
          <w:rStyle w:val="FootnoteReference"/>
          <w:rFonts w:eastAsia="MS Mincho"/>
          <w:sz w:val="16"/>
          <w:szCs w:val="16"/>
        </w:rPr>
        <w:footnoteRef/>
      </w:r>
      <w:r w:rsidRPr="00C21A2E">
        <w:rPr>
          <w:sz w:val="16"/>
          <w:szCs w:val="16"/>
        </w:rPr>
        <w:t xml:space="preserve"> </w:t>
      </w:r>
      <w:r w:rsidRPr="00C21A2E">
        <w:rPr>
          <w:i/>
          <w:iCs/>
          <w:sz w:val="16"/>
          <w:szCs w:val="16"/>
          <w:lang w:val="es-ES"/>
        </w:rPr>
        <w:t xml:space="preserve">Cfr. Caso Velásquez Rodríguez Vs. Honduras. </w:t>
      </w:r>
      <w:r w:rsidRPr="00C21A2E">
        <w:rPr>
          <w:i/>
          <w:iCs/>
          <w:sz w:val="16"/>
          <w:szCs w:val="16"/>
        </w:rPr>
        <w:t xml:space="preserve">Reparaciones y Costas, </w:t>
      </w:r>
      <w:r w:rsidRPr="00C21A2E">
        <w:rPr>
          <w:iCs/>
          <w:sz w:val="16"/>
          <w:szCs w:val="16"/>
          <w:lang w:val="es-ES"/>
        </w:rPr>
        <w:t>párr. 26</w:t>
      </w:r>
      <w:r w:rsidRPr="00C21A2E">
        <w:rPr>
          <w:rFonts w:cs="Calibri"/>
          <w:sz w:val="16"/>
          <w:szCs w:val="16"/>
          <w:lang w:val="es-ES"/>
        </w:rPr>
        <w:t xml:space="preserve">, y </w:t>
      </w:r>
      <w:r w:rsidRPr="00C21A2E">
        <w:rPr>
          <w:rStyle w:val="Strong"/>
          <w:b w:val="0"/>
          <w:i/>
          <w:color w:val="000000"/>
          <w:sz w:val="16"/>
          <w:szCs w:val="16"/>
          <w:shd w:val="clear" w:color="auto" w:fill="FFFFFF"/>
          <w:lang w:val="es-ES"/>
        </w:rPr>
        <w:t xml:space="preserve">Caso </w:t>
      </w:r>
      <w:r>
        <w:rPr>
          <w:rStyle w:val="Strong"/>
          <w:b w:val="0"/>
          <w:i/>
          <w:color w:val="000000"/>
          <w:sz w:val="16"/>
          <w:szCs w:val="16"/>
          <w:shd w:val="clear" w:color="auto" w:fill="FFFFFF"/>
          <w:lang w:val="es-ES"/>
        </w:rPr>
        <w:t>I.V.</w:t>
      </w:r>
      <w:r w:rsidRPr="00C21A2E">
        <w:rPr>
          <w:color w:val="000000"/>
          <w:sz w:val="16"/>
          <w:szCs w:val="16"/>
        </w:rPr>
        <w:t xml:space="preserve">, </w:t>
      </w:r>
      <w:r w:rsidRPr="00C21A2E">
        <w:rPr>
          <w:sz w:val="16"/>
          <w:szCs w:val="16"/>
        </w:rPr>
        <w:t xml:space="preserve">párr. </w:t>
      </w:r>
      <w:r>
        <w:rPr>
          <w:sz w:val="16"/>
          <w:szCs w:val="16"/>
        </w:rPr>
        <w:t>325</w:t>
      </w:r>
      <w:r w:rsidRPr="00C21A2E">
        <w:rPr>
          <w:rFonts w:cs="Calibri"/>
          <w:sz w:val="16"/>
          <w:szCs w:val="16"/>
          <w:lang w:val="es-ES"/>
        </w:rPr>
        <w:t>.</w:t>
      </w:r>
    </w:p>
  </w:footnote>
  <w:footnote w:id="314">
    <w:p w14:paraId="713F55ED" w14:textId="19B8F892" w:rsidR="00122408" w:rsidRPr="00C21A2E" w:rsidRDefault="00122408" w:rsidP="00B50B41">
      <w:pPr>
        <w:pStyle w:val="FootnoteText"/>
        <w:tabs>
          <w:tab w:val="left" w:pos="720"/>
        </w:tabs>
        <w:spacing w:after="40"/>
        <w:ind w:right="-90"/>
        <w:rPr>
          <w:bCs/>
          <w:i/>
          <w:szCs w:val="16"/>
          <w:lang w:val="es-ES"/>
        </w:rPr>
      </w:pPr>
      <w:r w:rsidRPr="00C21A2E">
        <w:rPr>
          <w:rStyle w:val="FootnoteReference"/>
          <w:rFonts w:eastAsia="Calibri"/>
          <w:sz w:val="16"/>
          <w:szCs w:val="16"/>
        </w:rPr>
        <w:footnoteRef/>
      </w:r>
      <w:r w:rsidRPr="00C21A2E">
        <w:rPr>
          <w:i/>
          <w:szCs w:val="16"/>
          <w:lang w:val="es-ES"/>
        </w:rPr>
        <w:t xml:space="preserve"> </w:t>
      </w:r>
      <w:r w:rsidRPr="00C21A2E">
        <w:rPr>
          <w:rFonts w:cs="Calibri"/>
          <w:i/>
          <w:szCs w:val="16"/>
          <w:lang w:val="es-ES"/>
        </w:rPr>
        <w:t xml:space="preserve">Cfr. </w:t>
      </w:r>
      <w:r w:rsidRPr="00C21A2E">
        <w:rPr>
          <w:rFonts w:eastAsia="Calibri" w:cs="Calibri"/>
          <w:i/>
          <w:szCs w:val="16"/>
          <w:lang w:val="es-ES"/>
        </w:rPr>
        <w:t xml:space="preserve">Caso </w:t>
      </w:r>
      <w:proofErr w:type="spellStart"/>
      <w:r w:rsidRPr="00C21A2E">
        <w:rPr>
          <w:rFonts w:eastAsia="Calibri" w:cs="Calibri"/>
          <w:i/>
          <w:szCs w:val="16"/>
          <w:lang w:val="es-ES"/>
        </w:rPr>
        <w:t>Ticona</w:t>
      </w:r>
      <w:proofErr w:type="spellEnd"/>
      <w:r w:rsidRPr="00C21A2E">
        <w:rPr>
          <w:rFonts w:eastAsia="Calibri" w:cs="Calibri"/>
          <w:i/>
          <w:szCs w:val="16"/>
          <w:lang w:val="es-ES"/>
        </w:rPr>
        <w:t xml:space="preserve"> Estrada y otros Vs. Bolivia. </w:t>
      </w:r>
      <w:r w:rsidRPr="00C21A2E">
        <w:rPr>
          <w:rFonts w:eastAsia="Calibri" w:cs="Calibri"/>
          <w:i/>
          <w:szCs w:val="16"/>
        </w:rPr>
        <w:t>Fondo, Reparaciones y Costas</w:t>
      </w:r>
      <w:r w:rsidRPr="00C21A2E">
        <w:rPr>
          <w:rFonts w:eastAsia="Calibri" w:cs="Calibri"/>
          <w:szCs w:val="16"/>
        </w:rPr>
        <w:t>. Sentencia de 27 de noviembre de 2008. Serie C No. 191</w:t>
      </w:r>
      <w:r w:rsidRPr="00C21A2E">
        <w:rPr>
          <w:rFonts w:eastAsia="Calibri" w:cs="Calibri"/>
          <w:szCs w:val="16"/>
          <w:lang w:val="es-ES"/>
        </w:rPr>
        <w:t xml:space="preserve">, párr. 110, y </w:t>
      </w:r>
      <w:r w:rsidRPr="00C21A2E">
        <w:rPr>
          <w:rStyle w:val="Strong"/>
          <w:b w:val="0"/>
          <w:i/>
          <w:color w:val="000000"/>
          <w:szCs w:val="16"/>
          <w:shd w:val="clear" w:color="auto" w:fill="FFFFFF"/>
          <w:lang w:val="es-ES"/>
        </w:rPr>
        <w:t xml:space="preserve">Caso </w:t>
      </w:r>
      <w:r>
        <w:rPr>
          <w:rStyle w:val="Strong"/>
          <w:b w:val="0"/>
          <w:i/>
          <w:color w:val="000000"/>
          <w:szCs w:val="16"/>
          <w:shd w:val="clear" w:color="auto" w:fill="FFFFFF"/>
          <w:lang w:val="es-ES"/>
        </w:rPr>
        <w:t>Andrade Salmón</w:t>
      </w:r>
      <w:r w:rsidRPr="00C21A2E">
        <w:rPr>
          <w:color w:val="000000"/>
          <w:szCs w:val="16"/>
          <w:lang w:val="es-ES"/>
        </w:rPr>
        <w:t xml:space="preserve">, </w:t>
      </w:r>
      <w:r w:rsidRPr="00C21A2E">
        <w:rPr>
          <w:szCs w:val="16"/>
          <w:lang w:val="es-ES"/>
        </w:rPr>
        <w:t xml:space="preserve">párr. </w:t>
      </w:r>
      <w:r>
        <w:rPr>
          <w:szCs w:val="16"/>
          <w:lang w:val="es-ES"/>
        </w:rPr>
        <w:t>188</w:t>
      </w:r>
      <w:r w:rsidRPr="00C21A2E">
        <w:rPr>
          <w:szCs w:val="16"/>
          <w:lang w:val="es-ES"/>
        </w:rPr>
        <w:t>.</w:t>
      </w:r>
    </w:p>
  </w:footnote>
  <w:footnote w:id="315">
    <w:p w14:paraId="25D05DF5" w14:textId="32F44FB4" w:rsidR="00122408" w:rsidRPr="00C21A2E" w:rsidRDefault="00122408" w:rsidP="00B50B41">
      <w:pPr>
        <w:pStyle w:val="FootnoteText"/>
        <w:tabs>
          <w:tab w:val="left" w:pos="720"/>
        </w:tabs>
        <w:spacing w:after="40"/>
        <w:ind w:right="-90"/>
        <w:rPr>
          <w:szCs w:val="16"/>
          <w:lang w:val="es-ES"/>
        </w:rPr>
      </w:pPr>
      <w:r w:rsidRPr="00C21A2E">
        <w:rPr>
          <w:rStyle w:val="FootnoteReference"/>
          <w:rFonts w:eastAsia="Calibri"/>
          <w:sz w:val="16"/>
          <w:szCs w:val="16"/>
        </w:rPr>
        <w:footnoteRef/>
      </w:r>
      <w:r w:rsidRPr="00C21A2E">
        <w:rPr>
          <w:szCs w:val="16"/>
          <w:lang w:val="es-ES"/>
        </w:rPr>
        <w:t xml:space="preserve"> </w:t>
      </w:r>
      <w:r w:rsidRPr="00C21A2E">
        <w:rPr>
          <w:i/>
          <w:iCs/>
          <w:szCs w:val="16"/>
          <w:lang w:val="es-ES"/>
        </w:rPr>
        <w:t xml:space="preserve">Cfr. </w:t>
      </w:r>
      <w:r w:rsidRPr="00C21A2E">
        <w:rPr>
          <w:rFonts w:cs="Calibri"/>
          <w:i/>
          <w:szCs w:val="16"/>
          <w:lang w:val="es-ES"/>
        </w:rPr>
        <w:t>Caso Velásquez Rodríguez Vs. Honduras. Reparaciones y Costas</w:t>
      </w:r>
      <w:r w:rsidRPr="00C21A2E">
        <w:rPr>
          <w:rFonts w:cs="Calibri"/>
          <w:szCs w:val="16"/>
          <w:lang w:val="es-ES"/>
        </w:rPr>
        <w:t xml:space="preserve">, </w:t>
      </w:r>
      <w:proofErr w:type="spellStart"/>
      <w:r w:rsidRPr="00C21A2E">
        <w:rPr>
          <w:rFonts w:cs="Calibri"/>
          <w:szCs w:val="16"/>
          <w:lang w:val="es-ES"/>
        </w:rPr>
        <w:t>párrs</w:t>
      </w:r>
      <w:proofErr w:type="spellEnd"/>
      <w:r w:rsidRPr="00C21A2E">
        <w:rPr>
          <w:rFonts w:cs="Calibri"/>
          <w:szCs w:val="16"/>
          <w:lang w:val="es-ES"/>
        </w:rPr>
        <w:t>. 25 a 27</w:t>
      </w:r>
      <w:r w:rsidRPr="00C21A2E">
        <w:rPr>
          <w:iCs/>
          <w:szCs w:val="16"/>
          <w:lang w:val="es-ES"/>
        </w:rPr>
        <w:t xml:space="preserve">, </w:t>
      </w:r>
      <w:r w:rsidRPr="00C21A2E">
        <w:rPr>
          <w:rFonts w:eastAsia="Calibri" w:cs="Calibri"/>
          <w:szCs w:val="16"/>
          <w:lang w:val="es-ES"/>
        </w:rPr>
        <w:t xml:space="preserve">y </w:t>
      </w:r>
      <w:r w:rsidRPr="00C21A2E">
        <w:rPr>
          <w:rStyle w:val="Strong"/>
          <w:b w:val="0"/>
          <w:i/>
          <w:color w:val="000000"/>
          <w:szCs w:val="16"/>
          <w:shd w:val="clear" w:color="auto" w:fill="FFFFFF"/>
          <w:lang w:val="es-ES"/>
        </w:rPr>
        <w:t xml:space="preserve">Caso </w:t>
      </w:r>
      <w:r>
        <w:rPr>
          <w:rStyle w:val="Strong"/>
          <w:b w:val="0"/>
          <w:i/>
          <w:color w:val="000000"/>
          <w:szCs w:val="16"/>
          <w:shd w:val="clear" w:color="auto" w:fill="FFFFFF"/>
          <w:lang w:val="es-ES"/>
        </w:rPr>
        <w:t>I.V.</w:t>
      </w:r>
      <w:r w:rsidRPr="00445B6A">
        <w:rPr>
          <w:color w:val="000000"/>
          <w:szCs w:val="16"/>
          <w:lang w:val="es-ES"/>
        </w:rPr>
        <w:t>,</w:t>
      </w:r>
      <w:r w:rsidRPr="00C21A2E">
        <w:rPr>
          <w:color w:val="000000"/>
          <w:szCs w:val="16"/>
          <w:lang w:val="es-ES"/>
        </w:rPr>
        <w:t xml:space="preserve"> </w:t>
      </w:r>
      <w:r w:rsidRPr="00C21A2E">
        <w:rPr>
          <w:szCs w:val="16"/>
          <w:lang w:val="es-ES"/>
        </w:rPr>
        <w:t xml:space="preserve">párr. </w:t>
      </w:r>
      <w:r>
        <w:rPr>
          <w:szCs w:val="16"/>
          <w:lang w:val="es-ES"/>
        </w:rPr>
        <w:t>327</w:t>
      </w:r>
      <w:r w:rsidRPr="00C21A2E">
        <w:rPr>
          <w:iCs/>
          <w:szCs w:val="16"/>
          <w:lang w:val="es-ES"/>
        </w:rPr>
        <w:t>.</w:t>
      </w:r>
    </w:p>
  </w:footnote>
  <w:footnote w:id="316">
    <w:p w14:paraId="45B15965" w14:textId="50AF0179" w:rsidR="00122408" w:rsidRPr="00C21A2E" w:rsidRDefault="00122408" w:rsidP="00B50B41">
      <w:pPr>
        <w:pStyle w:val="FootnoteText"/>
        <w:spacing w:after="40"/>
        <w:rPr>
          <w:szCs w:val="16"/>
        </w:rPr>
      </w:pPr>
      <w:r w:rsidRPr="00C21A2E">
        <w:rPr>
          <w:rStyle w:val="FootnoteReference"/>
          <w:rFonts w:eastAsia="Calibri"/>
          <w:sz w:val="16"/>
          <w:szCs w:val="16"/>
        </w:rPr>
        <w:footnoteRef/>
      </w:r>
      <w:r w:rsidRPr="00C21A2E">
        <w:rPr>
          <w:i/>
          <w:szCs w:val="16"/>
        </w:rPr>
        <w:t xml:space="preserve"> Cfr. Caso de la Masacre de la Rochela Vs. Colombia. Fondo, Reparaciones y Costas. </w:t>
      </w:r>
      <w:r w:rsidRPr="00C21A2E">
        <w:rPr>
          <w:szCs w:val="16"/>
        </w:rPr>
        <w:t xml:space="preserve">Sentencia de 11 de mayo de 2007. Serie C No. 163, párr. 233, y </w:t>
      </w:r>
      <w:r w:rsidRPr="00C21A2E">
        <w:rPr>
          <w:rStyle w:val="Strong"/>
          <w:b w:val="0"/>
          <w:i/>
          <w:color w:val="000000"/>
          <w:szCs w:val="16"/>
          <w:shd w:val="clear" w:color="auto" w:fill="FFFFFF"/>
          <w:lang w:val="es-ES"/>
        </w:rPr>
        <w:t xml:space="preserve">Caso </w:t>
      </w:r>
      <w:r>
        <w:rPr>
          <w:rStyle w:val="Strong"/>
          <w:b w:val="0"/>
          <w:i/>
          <w:color w:val="000000"/>
          <w:szCs w:val="16"/>
          <w:shd w:val="clear" w:color="auto" w:fill="FFFFFF"/>
          <w:lang w:val="es-ES"/>
        </w:rPr>
        <w:t>Andrade Salmón</w:t>
      </w:r>
      <w:r w:rsidRPr="00C21A2E">
        <w:rPr>
          <w:color w:val="000000"/>
          <w:szCs w:val="16"/>
          <w:lang w:val="es-ES"/>
        </w:rPr>
        <w:t xml:space="preserve">, </w:t>
      </w:r>
      <w:r w:rsidRPr="00C21A2E">
        <w:rPr>
          <w:szCs w:val="16"/>
          <w:lang w:val="es-ES"/>
        </w:rPr>
        <w:t xml:space="preserve">párr. </w:t>
      </w:r>
      <w:r>
        <w:rPr>
          <w:szCs w:val="16"/>
          <w:lang w:val="es-ES"/>
        </w:rPr>
        <w:t>190</w:t>
      </w:r>
      <w:r w:rsidRPr="00C21A2E">
        <w:rPr>
          <w:szCs w:val="16"/>
          <w:lang w:val="es-ES"/>
        </w:rPr>
        <w:t>.</w:t>
      </w:r>
    </w:p>
  </w:footnote>
  <w:footnote w:id="317">
    <w:p w14:paraId="3FBF45EB" w14:textId="0CD68AAB"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Caso García Prieto y otros Vs. El Salvador, </w:t>
      </w:r>
      <w:r w:rsidRPr="00C21A2E">
        <w:rPr>
          <w:rFonts w:eastAsia="Verdana" w:cs="Verdana"/>
          <w:szCs w:val="16"/>
          <w:lang w:val="es-ES"/>
        </w:rPr>
        <w:t xml:space="preserve">párr. 112, y </w:t>
      </w:r>
      <w:r w:rsidRPr="00445B6A">
        <w:rPr>
          <w:rFonts w:eastAsia="Verdana" w:cs="Verdana"/>
          <w:bCs/>
          <w:i/>
          <w:szCs w:val="16"/>
        </w:rPr>
        <w:t xml:space="preserve">Caso Miembros de la Aldea </w:t>
      </w:r>
      <w:proofErr w:type="spellStart"/>
      <w:r w:rsidRPr="00445B6A">
        <w:rPr>
          <w:rFonts w:eastAsia="Verdana" w:cs="Verdana"/>
          <w:bCs/>
          <w:i/>
          <w:szCs w:val="16"/>
        </w:rPr>
        <w:t>Chichupac</w:t>
      </w:r>
      <w:proofErr w:type="spellEnd"/>
      <w:r w:rsidRPr="00445B6A">
        <w:rPr>
          <w:rFonts w:eastAsia="Verdana" w:cs="Verdana"/>
          <w:bCs/>
          <w:i/>
          <w:szCs w:val="16"/>
        </w:rPr>
        <w:t xml:space="preserve"> y comunidades vecinas del Municipio de Rabinal</w:t>
      </w:r>
      <w:r w:rsidRPr="00C21A2E">
        <w:rPr>
          <w:rFonts w:eastAsia="Verdana" w:cs="Verdana"/>
          <w:szCs w:val="16"/>
          <w:lang w:val="es-ES"/>
        </w:rPr>
        <w:t xml:space="preserve">, párr. </w:t>
      </w:r>
      <w:r>
        <w:rPr>
          <w:rFonts w:eastAsia="Verdana" w:cs="Verdana"/>
          <w:szCs w:val="16"/>
          <w:lang w:val="es-ES"/>
        </w:rPr>
        <w:t>212</w:t>
      </w:r>
      <w:r w:rsidRPr="00C21A2E">
        <w:rPr>
          <w:rFonts w:eastAsia="Verdana" w:cs="Verdana"/>
          <w:szCs w:val="16"/>
          <w:lang w:val="es-ES"/>
        </w:rPr>
        <w:t>.</w:t>
      </w:r>
    </w:p>
  </w:footnote>
  <w:footnote w:id="318">
    <w:p w14:paraId="27EA1420" w14:textId="7BB6A4FF"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Caso Del Caracazo Vs. Venezuela. Reparaciones y Costas. </w:t>
      </w:r>
      <w:r w:rsidRPr="00C21A2E">
        <w:rPr>
          <w:rFonts w:eastAsia="Verdana" w:cs="Verdana"/>
          <w:szCs w:val="16"/>
          <w:lang w:val="es-ES"/>
        </w:rPr>
        <w:t xml:space="preserve">Sentencia de 29 de agosto de 2002. Serie C No. 95, párr. 118, y </w:t>
      </w:r>
      <w:r w:rsidRPr="00445B6A">
        <w:rPr>
          <w:rFonts w:eastAsia="Verdana" w:cs="Verdana"/>
          <w:bCs/>
          <w:i/>
          <w:szCs w:val="16"/>
        </w:rPr>
        <w:t xml:space="preserve">Caso Miembros de la Aldea </w:t>
      </w:r>
      <w:proofErr w:type="spellStart"/>
      <w:r w:rsidRPr="00445B6A">
        <w:rPr>
          <w:rFonts w:eastAsia="Verdana" w:cs="Verdana"/>
          <w:bCs/>
          <w:i/>
          <w:szCs w:val="16"/>
        </w:rPr>
        <w:t>Chichupac</w:t>
      </w:r>
      <w:proofErr w:type="spellEnd"/>
      <w:r w:rsidRPr="00445B6A">
        <w:rPr>
          <w:rFonts w:eastAsia="Verdana" w:cs="Verdana"/>
          <w:bCs/>
          <w:i/>
          <w:szCs w:val="16"/>
        </w:rPr>
        <w:t xml:space="preserve"> y comunidades vecinas del Municipio de Rabinal</w:t>
      </w:r>
      <w:r w:rsidRPr="00C21A2E">
        <w:rPr>
          <w:rFonts w:eastAsia="Verdana" w:cs="Verdana"/>
          <w:szCs w:val="16"/>
          <w:lang w:val="es-ES"/>
        </w:rPr>
        <w:t xml:space="preserve">, párr. </w:t>
      </w:r>
      <w:r>
        <w:rPr>
          <w:rFonts w:eastAsia="Verdana" w:cs="Verdana"/>
          <w:szCs w:val="16"/>
          <w:lang w:val="es-ES"/>
        </w:rPr>
        <w:t>286</w:t>
      </w:r>
      <w:r w:rsidRPr="00C21A2E">
        <w:rPr>
          <w:rFonts w:eastAsia="Verdana" w:cs="Verdana"/>
          <w:szCs w:val="16"/>
          <w:lang w:val="es-ES"/>
        </w:rPr>
        <w:t>.</w:t>
      </w:r>
    </w:p>
  </w:footnote>
  <w:footnote w:id="319">
    <w:p w14:paraId="5A12DB9A" w14:textId="4F1A9986"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rFonts w:eastAsia="Verdana" w:cs="Verdana"/>
          <w:i/>
          <w:szCs w:val="16"/>
          <w:lang w:val="es-ES"/>
        </w:rPr>
        <w:t xml:space="preserve">Cfr. Caso Barrios Altos Vs. Perú. Fondo. </w:t>
      </w:r>
      <w:r w:rsidRPr="00C21A2E">
        <w:rPr>
          <w:rFonts w:eastAsia="Verdana" w:cs="Verdana"/>
          <w:szCs w:val="16"/>
          <w:lang w:val="es-ES"/>
        </w:rPr>
        <w:t xml:space="preserve">Sentencia de 14 de marzo de 2001. Serie C No. 75, párr. 41, y </w:t>
      </w:r>
      <w:r w:rsidRPr="00445B6A">
        <w:rPr>
          <w:rFonts w:eastAsia="Verdana" w:cs="Verdana"/>
          <w:bCs/>
          <w:i/>
          <w:szCs w:val="16"/>
        </w:rPr>
        <w:t xml:space="preserve">Caso Miembros de la Aldea </w:t>
      </w:r>
      <w:proofErr w:type="spellStart"/>
      <w:r w:rsidRPr="00445B6A">
        <w:rPr>
          <w:rFonts w:eastAsia="Verdana" w:cs="Verdana"/>
          <w:bCs/>
          <w:i/>
          <w:szCs w:val="16"/>
        </w:rPr>
        <w:t>Chichupac</w:t>
      </w:r>
      <w:proofErr w:type="spellEnd"/>
      <w:r w:rsidRPr="00445B6A">
        <w:rPr>
          <w:rFonts w:eastAsia="Verdana" w:cs="Verdana"/>
          <w:bCs/>
          <w:i/>
          <w:szCs w:val="16"/>
        </w:rPr>
        <w:t xml:space="preserve"> y comunidades vecinas del Municipio de Rabinal</w:t>
      </w:r>
      <w:r w:rsidRPr="00C21A2E">
        <w:rPr>
          <w:rFonts w:eastAsia="Verdana" w:cs="Verdana"/>
          <w:szCs w:val="16"/>
          <w:lang w:val="es-ES"/>
        </w:rPr>
        <w:t xml:space="preserve">, párr. </w:t>
      </w:r>
      <w:r>
        <w:rPr>
          <w:rFonts w:eastAsia="Verdana" w:cs="Verdana"/>
          <w:szCs w:val="16"/>
          <w:lang w:val="es-ES"/>
        </w:rPr>
        <w:t>285</w:t>
      </w:r>
      <w:r w:rsidRPr="00C21A2E">
        <w:rPr>
          <w:rFonts w:eastAsia="Verdana" w:cs="Verdana"/>
          <w:szCs w:val="16"/>
          <w:lang w:val="es-ES"/>
        </w:rPr>
        <w:t>.</w:t>
      </w:r>
    </w:p>
  </w:footnote>
  <w:footnote w:id="320">
    <w:p w14:paraId="207F83D4" w14:textId="62BFD906" w:rsidR="00122408" w:rsidRPr="00C21A2E" w:rsidRDefault="00122408" w:rsidP="00B50B41">
      <w:pPr>
        <w:tabs>
          <w:tab w:val="left" w:pos="567"/>
        </w:tabs>
        <w:autoSpaceDE w:val="0"/>
        <w:autoSpaceDN w:val="0"/>
        <w:spacing w:after="40"/>
        <w:rPr>
          <w:iCs/>
          <w:sz w:val="16"/>
          <w:szCs w:val="16"/>
          <w:lang w:val="es-ES"/>
        </w:rPr>
      </w:pPr>
      <w:r w:rsidRPr="00C21A2E">
        <w:rPr>
          <w:rStyle w:val="FootnoteReference"/>
          <w:sz w:val="16"/>
          <w:szCs w:val="16"/>
        </w:rPr>
        <w:footnoteRef/>
      </w:r>
      <w:r>
        <w:rPr>
          <w:i/>
          <w:sz w:val="16"/>
          <w:szCs w:val="16"/>
          <w:lang w:val="es-ES"/>
        </w:rPr>
        <w:t xml:space="preserve"> </w:t>
      </w:r>
      <w:r w:rsidRPr="00C21A2E">
        <w:rPr>
          <w:i/>
          <w:sz w:val="16"/>
          <w:szCs w:val="16"/>
          <w:lang w:val="es-ES"/>
        </w:rPr>
        <w:t>Cfr.</w:t>
      </w:r>
      <w:r w:rsidRPr="00C21A2E">
        <w:rPr>
          <w:sz w:val="16"/>
          <w:szCs w:val="16"/>
          <w:lang w:val="es-PR"/>
        </w:rPr>
        <w:t xml:space="preserve"> </w:t>
      </w:r>
      <w:r w:rsidRPr="00C21A2E">
        <w:rPr>
          <w:i/>
          <w:sz w:val="16"/>
          <w:szCs w:val="16"/>
          <w:lang w:val="es-ES"/>
        </w:rPr>
        <w:t xml:space="preserve">Caso González y otras (“Campo Algodonero”), </w:t>
      </w:r>
      <w:r w:rsidRPr="00C21A2E">
        <w:rPr>
          <w:sz w:val="16"/>
          <w:szCs w:val="16"/>
          <w:lang w:val="es-ES"/>
        </w:rPr>
        <w:t>párr. 455</w:t>
      </w:r>
      <w:r w:rsidRPr="00C21A2E">
        <w:rPr>
          <w:i/>
          <w:sz w:val="16"/>
          <w:szCs w:val="16"/>
          <w:lang w:val="es-ES"/>
        </w:rPr>
        <w:t xml:space="preserve">, </w:t>
      </w:r>
      <w:r w:rsidRPr="00C21A2E">
        <w:rPr>
          <w:sz w:val="16"/>
          <w:szCs w:val="16"/>
          <w:lang w:val="es-ES"/>
        </w:rPr>
        <w:t>y</w:t>
      </w:r>
      <w:r w:rsidRPr="00C21A2E">
        <w:rPr>
          <w:i/>
          <w:sz w:val="16"/>
          <w:szCs w:val="16"/>
          <w:lang w:val="es-ES"/>
        </w:rPr>
        <w:t xml:space="preserve"> Caso </w:t>
      </w:r>
      <w:r>
        <w:rPr>
          <w:i/>
          <w:sz w:val="16"/>
          <w:szCs w:val="16"/>
          <w:lang w:val="es-ES"/>
        </w:rPr>
        <w:t>I.V.</w:t>
      </w:r>
      <w:r w:rsidRPr="00C21A2E">
        <w:rPr>
          <w:i/>
          <w:sz w:val="16"/>
          <w:szCs w:val="16"/>
          <w:lang w:val="es-ES"/>
        </w:rPr>
        <w:t xml:space="preserve">, </w:t>
      </w:r>
      <w:r w:rsidRPr="00C21A2E">
        <w:rPr>
          <w:sz w:val="16"/>
          <w:szCs w:val="16"/>
          <w:lang w:val="es-ES"/>
        </w:rPr>
        <w:t xml:space="preserve">párr. </w:t>
      </w:r>
      <w:r>
        <w:rPr>
          <w:sz w:val="16"/>
          <w:szCs w:val="16"/>
          <w:lang w:val="es-ES"/>
        </w:rPr>
        <w:t>326</w:t>
      </w:r>
      <w:r w:rsidRPr="00C21A2E">
        <w:rPr>
          <w:sz w:val="16"/>
          <w:szCs w:val="16"/>
          <w:lang w:val="es-ES"/>
        </w:rPr>
        <w:t>.</w:t>
      </w:r>
    </w:p>
  </w:footnote>
  <w:footnote w:id="321">
    <w:p w14:paraId="56F13089" w14:textId="4C065162" w:rsidR="00122408" w:rsidRPr="00C21A2E" w:rsidRDefault="00122408" w:rsidP="00B50B41">
      <w:pPr>
        <w:pStyle w:val="FootnoteText"/>
        <w:spacing w:after="40"/>
        <w:rPr>
          <w:b/>
          <w:szCs w:val="16"/>
          <w:lang w:val="es-ES"/>
        </w:rPr>
      </w:pPr>
      <w:r w:rsidRPr="00C21A2E">
        <w:rPr>
          <w:rStyle w:val="FootnoteReference"/>
          <w:sz w:val="16"/>
          <w:szCs w:val="16"/>
        </w:rPr>
        <w:footnoteRef/>
      </w:r>
      <w:r w:rsidRPr="00C21A2E">
        <w:rPr>
          <w:b/>
          <w:szCs w:val="16"/>
          <w:lang w:val="es-ES"/>
        </w:rPr>
        <w:t xml:space="preserve"> </w:t>
      </w:r>
      <w:r w:rsidRPr="00C21A2E">
        <w:rPr>
          <w:rStyle w:val="Strong"/>
          <w:b w:val="0"/>
          <w:i/>
          <w:color w:val="000000"/>
          <w:szCs w:val="16"/>
          <w:shd w:val="clear" w:color="auto" w:fill="FFFFFF"/>
          <w:lang w:val="es-ES"/>
        </w:rPr>
        <w:t>Caso Espinoza Gonzáles Vs. Perú. Excepciones Preliminares, Fondo, Reparaciones y Costas</w:t>
      </w:r>
      <w:r w:rsidRPr="00C21A2E">
        <w:rPr>
          <w:rStyle w:val="Strong"/>
          <w:b w:val="0"/>
          <w:color w:val="000000"/>
          <w:szCs w:val="16"/>
          <w:shd w:val="clear" w:color="auto" w:fill="FFFFFF"/>
          <w:lang w:val="es-ES"/>
        </w:rPr>
        <w:t>. Sentencia de 20 de noviembre de 2014. Serie C No. 289, párr. 309</w:t>
      </w:r>
      <w:r>
        <w:rPr>
          <w:rStyle w:val="Strong"/>
          <w:b w:val="0"/>
          <w:color w:val="000000"/>
          <w:szCs w:val="16"/>
          <w:shd w:val="clear" w:color="auto" w:fill="FFFFFF"/>
          <w:lang w:val="es-ES"/>
        </w:rPr>
        <w:t xml:space="preserve">, y </w:t>
      </w:r>
      <w:r w:rsidRPr="00445B6A">
        <w:rPr>
          <w:rFonts w:eastAsia="Verdana" w:cs="Verdana"/>
          <w:bCs/>
          <w:i/>
          <w:szCs w:val="16"/>
        </w:rPr>
        <w:t xml:space="preserve">Caso Miembros de la Aldea </w:t>
      </w:r>
      <w:proofErr w:type="spellStart"/>
      <w:r w:rsidRPr="00445B6A">
        <w:rPr>
          <w:rFonts w:eastAsia="Verdana" w:cs="Verdana"/>
          <w:bCs/>
          <w:i/>
          <w:szCs w:val="16"/>
        </w:rPr>
        <w:t>Chichupac</w:t>
      </w:r>
      <w:proofErr w:type="spellEnd"/>
      <w:r w:rsidRPr="00445B6A">
        <w:rPr>
          <w:rFonts w:eastAsia="Verdana" w:cs="Verdana"/>
          <w:bCs/>
          <w:i/>
          <w:szCs w:val="16"/>
        </w:rPr>
        <w:t xml:space="preserve"> y comunidades vecinas del Municipio de Rabinal</w:t>
      </w:r>
      <w:r w:rsidRPr="00C21A2E">
        <w:rPr>
          <w:rFonts w:eastAsia="Verdana" w:cs="Verdana"/>
          <w:szCs w:val="16"/>
          <w:lang w:val="es-ES"/>
        </w:rPr>
        <w:t xml:space="preserve">, párr. </w:t>
      </w:r>
      <w:r>
        <w:rPr>
          <w:rFonts w:eastAsia="Verdana" w:cs="Verdana"/>
          <w:szCs w:val="16"/>
          <w:lang w:val="es-ES"/>
        </w:rPr>
        <w:t>285</w:t>
      </w:r>
      <w:r w:rsidRPr="00C21A2E">
        <w:rPr>
          <w:rFonts w:eastAsia="Verdana" w:cs="Verdana"/>
          <w:szCs w:val="16"/>
          <w:lang w:val="es-ES"/>
        </w:rPr>
        <w:t>.</w:t>
      </w:r>
    </w:p>
  </w:footnote>
  <w:footnote w:id="322">
    <w:p w14:paraId="7DDFCD69" w14:textId="39D0A7A4"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iCs/>
          <w:szCs w:val="16"/>
          <w:lang w:val="es-PR"/>
        </w:rPr>
        <w:t>Cfr.</w:t>
      </w:r>
      <w:r w:rsidRPr="00C21A2E">
        <w:rPr>
          <w:i/>
          <w:iCs/>
          <w:szCs w:val="16"/>
          <w:lang w:val="es-GT"/>
        </w:rPr>
        <w:t xml:space="preserve"> Caso Cantoral Benavides Vs. Perú</w:t>
      </w:r>
      <w:r w:rsidRPr="00C21A2E">
        <w:rPr>
          <w:szCs w:val="16"/>
          <w:lang w:val="es-GT"/>
        </w:rPr>
        <w:t xml:space="preserve">. </w:t>
      </w:r>
      <w:r w:rsidRPr="00C21A2E">
        <w:rPr>
          <w:i/>
          <w:iCs/>
          <w:szCs w:val="16"/>
          <w:lang w:val="es-GT"/>
        </w:rPr>
        <w:t>Reparaciones y Costas</w:t>
      </w:r>
      <w:r w:rsidRPr="00C21A2E">
        <w:rPr>
          <w:szCs w:val="16"/>
          <w:lang w:val="es-GT"/>
        </w:rPr>
        <w:t>. Sentencia de 3 de diciembre de 2001. Serie C No. 88, párr. 51,</w:t>
      </w:r>
      <w:r w:rsidRPr="00C21A2E">
        <w:rPr>
          <w:i/>
          <w:iCs/>
          <w:szCs w:val="16"/>
          <w:lang w:val="es-GT"/>
        </w:rPr>
        <w:t xml:space="preserve"> </w:t>
      </w:r>
      <w:r w:rsidRPr="00C21A2E">
        <w:rPr>
          <w:szCs w:val="16"/>
          <w:lang w:val="es-GT"/>
        </w:rPr>
        <w:t xml:space="preserve">y </w:t>
      </w:r>
      <w:r w:rsidRPr="00C21A2E">
        <w:rPr>
          <w:i/>
          <w:iCs/>
          <w:szCs w:val="16"/>
          <w:lang w:val="es-GT"/>
        </w:rPr>
        <w:t xml:space="preserve">Caso </w:t>
      </w:r>
      <w:r>
        <w:rPr>
          <w:i/>
          <w:iCs/>
          <w:szCs w:val="16"/>
          <w:lang w:val="es-GT"/>
        </w:rPr>
        <w:t xml:space="preserve">I.V., </w:t>
      </w:r>
      <w:r w:rsidRPr="00C21A2E">
        <w:rPr>
          <w:szCs w:val="16"/>
          <w:lang w:val="es-CO"/>
        </w:rPr>
        <w:t xml:space="preserve">párr. </w:t>
      </w:r>
      <w:r>
        <w:rPr>
          <w:szCs w:val="16"/>
          <w:lang w:val="es-CO"/>
        </w:rPr>
        <w:t>332</w:t>
      </w:r>
      <w:r w:rsidRPr="00C21A2E">
        <w:rPr>
          <w:szCs w:val="16"/>
          <w:lang w:val="es-CO"/>
        </w:rPr>
        <w:t>.</w:t>
      </w:r>
    </w:p>
  </w:footnote>
  <w:footnote w:id="323">
    <w:p w14:paraId="0DD82697" w14:textId="1BD2AE67"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Cfr. Caso Neira Alegría y otros Vs. Perú. Reparaciones y Costas</w:t>
      </w:r>
      <w:r w:rsidRPr="00C21A2E">
        <w:rPr>
          <w:szCs w:val="16"/>
          <w:lang w:val="es-ES"/>
        </w:rPr>
        <w:t xml:space="preserve">. Sentencia de 19 de septiembre de 1996. Serie C No. 29, párr. 56, y </w:t>
      </w:r>
      <w:r w:rsidRPr="00C21A2E">
        <w:rPr>
          <w:i/>
          <w:szCs w:val="16"/>
          <w:lang w:val="es-ES"/>
        </w:rPr>
        <w:t>Caso</w:t>
      </w:r>
      <w:r w:rsidRPr="00C21A2E">
        <w:rPr>
          <w:szCs w:val="16"/>
          <w:lang w:val="es-ES"/>
        </w:rPr>
        <w:t xml:space="preserve"> </w:t>
      </w:r>
      <w:r>
        <w:rPr>
          <w:i/>
          <w:szCs w:val="16"/>
          <w:lang w:val="es-ES"/>
        </w:rPr>
        <w:t>Andrade Salmón</w:t>
      </w:r>
      <w:r w:rsidRPr="00C21A2E">
        <w:rPr>
          <w:szCs w:val="16"/>
          <w:lang w:val="es-ES"/>
        </w:rPr>
        <w:t xml:space="preserve">, </w:t>
      </w:r>
      <w:r>
        <w:rPr>
          <w:szCs w:val="16"/>
          <w:lang w:val="es-CL"/>
        </w:rPr>
        <w:t>punto resolutivo 7</w:t>
      </w:r>
      <w:r w:rsidRPr="00C21A2E">
        <w:rPr>
          <w:szCs w:val="16"/>
          <w:lang w:val="es-CL"/>
        </w:rPr>
        <w:t>.</w:t>
      </w:r>
    </w:p>
  </w:footnote>
  <w:footnote w:id="324">
    <w:p w14:paraId="384D22A2" w14:textId="5140DB6C" w:rsidR="00122408" w:rsidRPr="00C21A2E"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sidRPr="00C21A2E">
        <w:rPr>
          <w:i/>
          <w:szCs w:val="16"/>
          <w:lang w:val="es-ES"/>
        </w:rPr>
        <w:t>Cfr. Caso de los “Niños de la Calle” (Villagrán Morales y otros) Vs. Guatemala. Reparaciones y Costas</w:t>
      </w:r>
      <w:r w:rsidRPr="00C21A2E">
        <w:rPr>
          <w:szCs w:val="16"/>
          <w:lang w:val="es-ES"/>
        </w:rPr>
        <w:t xml:space="preserve">. Sentencia de 26 de mayo de 2001. Serie C No. 77, párr. 84, y </w:t>
      </w:r>
      <w:r w:rsidRPr="00C21A2E">
        <w:rPr>
          <w:i/>
          <w:szCs w:val="16"/>
          <w:lang w:val="es-ES"/>
        </w:rPr>
        <w:t>Caso</w:t>
      </w:r>
      <w:r w:rsidRPr="00C21A2E">
        <w:rPr>
          <w:szCs w:val="16"/>
          <w:lang w:val="es-ES"/>
        </w:rPr>
        <w:t xml:space="preserve"> </w:t>
      </w:r>
      <w:proofErr w:type="spellStart"/>
      <w:r w:rsidRPr="00654E74">
        <w:rPr>
          <w:i/>
          <w:szCs w:val="16"/>
          <w:lang w:val="es-ES"/>
        </w:rPr>
        <w:t>Yarce</w:t>
      </w:r>
      <w:proofErr w:type="spellEnd"/>
      <w:r w:rsidRPr="00654E74">
        <w:rPr>
          <w:i/>
          <w:szCs w:val="16"/>
          <w:lang w:val="es-ES"/>
        </w:rPr>
        <w:t xml:space="preserve"> y otras</w:t>
      </w:r>
      <w:r w:rsidRPr="00C21A2E">
        <w:rPr>
          <w:szCs w:val="16"/>
          <w:lang w:val="es-ES"/>
        </w:rPr>
        <w:t xml:space="preserve">, </w:t>
      </w:r>
      <w:r w:rsidRPr="00C21A2E">
        <w:rPr>
          <w:szCs w:val="16"/>
          <w:lang w:val="es-CL"/>
        </w:rPr>
        <w:t xml:space="preserve">párr. </w:t>
      </w:r>
      <w:r>
        <w:rPr>
          <w:szCs w:val="16"/>
          <w:lang w:val="es-CL"/>
        </w:rPr>
        <w:t>336</w:t>
      </w:r>
      <w:r w:rsidRPr="00C21A2E">
        <w:rPr>
          <w:szCs w:val="16"/>
          <w:lang w:val="es-CL"/>
        </w:rPr>
        <w:t>.</w:t>
      </w:r>
      <w:r w:rsidRPr="00C21A2E">
        <w:rPr>
          <w:szCs w:val="16"/>
          <w:lang w:val="es-ES"/>
        </w:rPr>
        <w:t xml:space="preserve"> </w:t>
      </w:r>
    </w:p>
  </w:footnote>
  <w:footnote w:id="325">
    <w:p w14:paraId="0236680A" w14:textId="28D61B7E" w:rsidR="00122408" w:rsidRPr="00C21A2E" w:rsidRDefault="00122408" w:rsidP="00B50B41">
      <w:pPr>
        <w:pStyle w:val="FootnoteText"/>
        <w:tabs>
          <w:tab w:val="left" w:pos="720"/>
        </w:tabs>
        <w:spacing w:after="40"/>
        <w:rPr>
          <w:szCs w:val="16"/>
          <w:lang w:val="es-ES"/>
        </w:rPr>
      </w:pPr>
      <w:r w:rsidRPr="00C21A2E">
        <w:rPr>
          <w:rStyle w:val="FootnoteReference"/>
          <w:sz w:val="16"/>
          <w:szCs w:val="16"/>
          <w:lang w:val="es-ES"/>
        </w:rPr>
        <w:footnoteRef/>
      </w:r>
      <w:r w:rsidRPr="00C21A2E">
        <w:rPr>
          <w:szCs w:val="16"/>
          <w:lang w:val="es-ES"/>
        </w:rPr>
        <w:t xml:space="preserve"> </w:t>
      </w:r>
      <w:r w:rsidRPr="00C21A2E">
        <w:rPr>
          <w:i/>
          <w:iCs/>
          <w:szCs w:val="16"/>
          <w:lang w:val="es-ES"/>
        </w:rPr>
        <w:t xml:space="preserve">Cfr. </w:t>
      </w:r>
      <w:r w:rsidRPr="00C21A2E">
        <w:rPr>
          <w:bCs/>
          <w:i/>
          <w:szCs w:val="16"/>
          <w:lang w:val="es-ES"/>
        </w:rPr>
        <w:t xml:space="preserve">Caso Cantoral Benavides Vs. Perú. </w:t>
      </w:r>
      <w:r w:rsidRPr="00C21A2E">
        <w:rPr>
          <w:i/>
          <w:szCs w:val="16"/>
          <w:lang w:val="es-ES"/>
        </w:rPr>
        <w:t>Reparaciones y Costas</w:t>
      </w:r>
      <w:r w:rsidRPr="00C21A2E">
        <w:rPr>
          <w:szCs w:val="16"/>
          <w:lang w:val="es-ES"/>
        </w:rPr>
        <w:t>. Sentencia de 3 de diciembre de 2001. Serie C No. 88</w:t>
      </w:r>
      <w:r w:rsidRPr="00C21A2E">
        <w:rPr>
          <w:i/>
          <w:szCs w:val="16"/>
          <w:lang w:val="es-ES"/>
        </w:rPr>
        <w:t xml:space="preserve">, </w:t>
      </w:r>
      <w:r w:rsidRPr="00C21A2E">
        <w:rPr>
          <w:szCs w:val="16"/>
          <w:lang w:val="es-ES"/>
        </w:rPr>
        <w:t>párr. 79, y</w:t>
      </w:r>
      <w:r w:rsidRPr="00C21A2E">
        <w:rPr>
          <w:rFonts w:cs="Verdana"/>
          <w:bCs/>
          <w:szCs w:val="16"/>
          <w:lang w:val="es-ES"/>
        </w:rPr>
        <w:t xml:space="preserve"> </w:t>
      </w:r>
      <w:r w:rsidRPr="00C21A2E">
        <w:rPr>
          <w:bCs/>
          <w:i/>
          <w:color w:val="000000"/>
          <w:szCs w:val="16"/>
          <w:lang w:val="es-ES"/>
        </w:rPr>
        <w:t xml:space="preserve">Caso </w:t>
      </w:r>
      <w:r>
        <w:rPr>
          <w:bCs/>
          <w:i/>
          <w:color w:val="000000"/>
          <w:szCs w:val="16"/>
          <w:lang w:val="es-ES"/>
        </w:rPr>
        <w:t>I.V.</w:t>
      </w:r>
      <w:r w:rsidRPr="00C21A2E">
        <w:rPr>
          <w:bCs/>
          <w:i/>
          <w:color w:val="000000"/>
          <w:szCs w:val="16"/>
          <w:lang w:val="es-ES"/>
        </w:rPr>
        <w:t xml:space="preserve">, </w:t>
      </w:r>
      <w:r w:rsidRPr="00C21A2E">
        <w:rPr>
          <w:color w:val="000000"/>
          <w:szCs w:val="16"/>
          <w:lang w:val="es-ES"/>
        </w:rPr>
        <w:t xml:space="preserve">párr. </w:t>
      </w:r>
      <w:r>
        <w:rPr>
          <w:color w:val="000000"/>
          <w:szCs w:val="16"/>
          <w:lang w:val="es-ES"/>
        </w:rPr>
        <w:t>334</w:t>
      </w:r>
      <w:r w:rsidRPr="00C21A2E">
        <w:rPr>
          <w:szCs w:val="16"/>
          <w:lang w:val="es-ES"/>
        </w:rPr>
        <w:t>.</w:t>
      </w:r>
    </w:p>
  </w:footnote>
  <w:footnote w:id="326">
    <w:p w14:paraId="7C41EA2C"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Código Penal Brasileño (Ley No. 2.848/40); el Código de Proceso Penal (Ley No. 3.689/41); la Ley No. 12.720/13 que dispone sobre el crimen de extermino de seres humanos; la Ley 12.030/2009 que dispone sobre las pericias criminales; la Ley No. 12.850/2013 que visa combatir el crimen organizado dentro y fuera de las instituciones públicas; la Ley No. 4.898/65 que inhibe el abuso de poder de autoridades públicas; la Ley No. 11.343/06 que trata de la represión del tráfico de drogas; la Ley No. 11.473/2007 que dispone sobre la cooperación federativa en el ámbito de la seguridad pública; el Proyecto de Ley No. 4.471/2012 que busca fortalecer mecanismos para una correcta investigación de hechos y punición de agentes policiales involucrados en casos de uso indebido de fuerza letal.</w:t>
      </w:r>
    </w:p>
  </w:footnote>
  <w:footnote w:id="327">
    <w:p w14:paraId="07C19014"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La competencia del Ministerio Publico está definida en el artículo 129, incisos VI, VII y VIII de la Constitución Federal Brasileña, en la Ley Complementar No. 75/1993 y en las Resoluciones No. 13/06 y No. 23/06 editadas por el Consejo Nacional del Ministerio Publico (CNMP).</w:t>
      </w:r>
    </w:p>
  </w:footnote>
  <w:footnote w:id="328">
    <w:p w14:paraId="27C0FDA6"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La competencia del Consejo Nacional del Ministerio Publico (CNMP) está definida en el Artículo 130-A parágrafo segundo de la Constitución Federal Brasileña y de la Resolución No. 20/2007 que reglamenta el artículo 9 de la Ley Complementar 75/93 e el artículo 80 de la Ley No. 8.625/93.</w:t>
      </w:r>
    </w:p>
  </w:footnote>
  <w:footnote w:id="329">
    <w:p w14:paraId="31CF8D7E" w14:textId="77777777" w:rsidR="00122408" w:rsidRPr="00C21A2E" w:rsidRDefault="00122408" w:rsidP="00B50B41">
      <w:pPr>
        <w:pStyle w:val="FootnoteText"/>
        <w:spacing w:after="40"/>
        <w:rPr>
          <w:szCs w:val="16"/>
        </w:rPr>
      </w:pPr>
      <w:r w:rsidRPr="00C21A2E">
        <w:rPr>
          <w:rStyle w:val="FootnoteReference"/>
          <w:color w:val="000000" w:themeColor="text1"/>
          <w:sz w:val="16"/>
          <w:szCs w:val="16"/>
        </w:rPr>
        <w:footnoteRef/>
      </w:r>
      <w:r w:rsidRPr="00C21A2E">
        <w:rPr>
          <w:color w:val="000000" w:themeColor="text1"/>
          <w:szCs w:val="16"/>
        </w:rPr>
        <w:t xml:space="preserve"> </w:t>
      </w:r>
      <w:r w:rsidRPr="00C21A2E">
        <w:rPr>
          <w:rFonts w:cs="Arial"/>
          <w:iCs/>
          <w:color w:val="000000" w:themeColor="text1"/>
          <w:szCs w:val="16"/>
          <w:lang w:val="es-CL"/>
        </w:rPr>
        <w:t xml:space="preserve">El artículo 125 parágrafo 4º de la Constitución Federal y la Ley 9.299/1996 que determinan la responsabilidad de la justicia común en juzgar crímenes dolosos contra a vida practicados por militares contra civiles; la Resolución </w:t>
      </w:r>
      <w:r w:rsidRPr="00C21A2E">
        <w:rPr>
          <w:color w:val="000000" w:themeColor="text1"/>
          <w:szCs w:val="16"/>
        </w:rPr>
        <w:t>No. 08/2012 del Consejo Nacional de Derechos Humanos que determina la secuencia de actos que debe proceder la investigación policial ante un homicidio decurrente de intervención policial; el Proyecto de Ley 790/201582 que versa sobre la reparación de danos a víctimas de disparo de armas de fuego en conflictos policial; y la Resolución No. 159/15 de la Asamblea Legislativa del Estado de Rio de Janeiro que creo la Comisión Parlamentar de Investigación (CPI) para investigar casos de homicidio decurrentes de intervención policial.</w:t>
      </w:r>
    </w:p>
  </w:footnote>
  <w:footnote w:id="330">
    <w:p w14:paraId="0273D97E"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Instructivo No. 02/2010 de la Secretaria de Derechos Humanos de la Presidencia de la Republica y Ministerio de Justicia; la Directriz 11, objetivo estratégico III del Programa Nacional de Derechos Humanos – PNDH-3. </w:t>
      </w:r>
    </w:p>
  </w:footnote>
  <w:footnote w:id="331">
    <w:p w14:paraId="316B6B86"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Artículos 93 y 96 de la Constitución Federal Brasileña;  artículos 134-138 y 265 del Código de Proceso Civil; y artículo 21, 45, 114, 117, 118 de la Ley Complementar No. 35/1979</w:t>
      </w:r>
    </w:p>
  </w:footnote>
  <w:footnote w:id="332">
    <w:p w14:paraId="0108C8BB"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Ley 3168/1999 que creó el </w:t>
      </w:r>
      <w:proofErr w:type="spellStart"/>
      <w:r w:rsidRPr="00C21A2E">
        <w:rPr>
          <w:rFonts w:cs="Arial"/>
          <w:i/>
          <w:iCs/>
          <w:color w:val="000000" w:themeColor="text1"/>
          <w:szCs w:val="16"/>
          <w:lang w:val="es-CL"/>
        </w:rPr>
        <w:t>Ouvidoria</w:t>
      </w:r>
      <w:proofErr w:type="spellEnd"/>
      <w:r w:rsidRPr="00C21A2E">
        <w:rPr>
          <w:rFonts w:cs="Arial"/>
          <w:iCs/>
          <w:color w:val="000000" w:themeColor="text1"/>
          <w:szCs w:val="16"/>
          <w:lang w:val="es-CL"/>
        </w:rPr>
        <w:t xml:space="preserve"> y la Ley 3.403/2000 que creó la </w:t>
      </w:r>
      <w:proofErr w:type="spellStart"/>
      <w:r w:rsidRPr="00C21A2E">
        <w:rPr>
          <w:rFonts w:cs="Arial"/>
          <w:i/>
          <w:iCs/>
          <w:color w:val="000000" w:themeColor="text1"/>
          <w:szCs w:val="16"/>
          <w:lang w:val="es-CL"/>
        </w:rPr>
        <w:t>Corregedoria</w:t>
      </w:r>
      <w:proofErr w:type="spellEnd"/>
      <w:r w:rsidRPr="00C21A2E">
        <w:rPr>
          <w:rFonts w:cs="Arial"/>
          <w:iCs/>
          <w:color w:val="000000" w:themeColor="text1"/>
          <w:szCs w:val="16"/>
          <w:lang w:val="es-CL"/>
        </w:rPr>
        <w:t xml:space="preserve"> General Unificada, ambos en el Estado de Rio de Janeiro.</w:t>
      </w:r>
    </w:p>
  </w:footnote>
  <w:footnote w:id="333">
    <w:p w14:paraId="49095845"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Ley 9.807/1999, reglamentada por el Decreto 3.578/2000. </w:t>
      </w:r>
    </w:p>
  </w:footnote>
  <w:footnote w:id="334">
    <w:p w14:paraId="068C1A99"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Resolución No. 177/1996 del Consejo de Justicia Federal; Resolución No. 441/2005 del Consejo de Justicia Federal; Resolución No. 46/2007 del Consejo Nacional de Justicia; Resolución No. 6598/2008 del Consejo Nacional de Justicia; Resolución No. 121/2010 del Consejo Nacional de Justicia; Resolución No. 100318/1996 del Consejo de Justicia Federal; Resolución No. 00318/2014 del Consejo de Justicia Federal.</w:t>
      </w:r>
    </w:p>
  </w:footnote>
  <w:footnote w:id="335">
    <w:p w14:paraId="47E5221E" w14:textId="7777777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sidRPr="00C21A2E">
        <w:rPr>
          <w:color w:val="000000" w:themeColor="text1"/>
          <w:szCs w:val="16"/>
        </w:rPr>
        <w:t xml:space="preserve"> Instructivo Interministerial No. 4226/2010; Decreto No. 7037/2009 que aprobó el Programa Nacional de Derechos Humanos; la Ley 12986/2014 que creó el Consejo Nacional de Derechos Humanos; y los Proyectos de ley No. 6500/2013; 370/2011; 179/2003; 300/2013.</w:t>
      </w:r>
    </w:p>
  </w:footnote>
  <w:footnote w:id="336">
    <w:p w14:paraId="3C5ABE21" w14:textId="42C7F347" w:rsidR="00122408" w:rsidRPr="00C21A2E" w:rsidRDefault="00122408" w:rsidP="00B50B41">
      <w:pPr>
        <w:pStyle w:val="FootnoteText"/>
        <w:spacing w:after="40"/>
        <w:rPr>
          <w:color w:val="000000" w:themeColor="text1"/>
          <w:szCs w:val="16"/>
        </w:rPr>
      </w:pPr>
      <w:r w:rsidRPr="00C21A2E">
        <w:rPr>
          <w:rStyle w:val="FootnoteReference"/>
          <w:color w:val="000000" w:themeColor="text1"/>
          <w:sz w:val="16"/>
          <w:szCs w:val="16"/>
        </w:rPr>
        <w:footnoteRef/>
      </w:r>
      <w:r>
        <w:rPr>
          <w:color w:val="000000" w:themeColor="text1"/>
          <w:szCs w:val="16"/>
        </w:rPr>
        <w:t xml:space="preserve"> Ley 12.681/2012, que crea el Sistema Nacional de Información y Seguridad Pública, Carcelaria y de Drogas (SINESP).</w:t>
      </w:r>
    </w:p>
  </w:footnote>
  <w:footnote w:id="337">
    <w:p w14:paraId="003CBAAE" w14:textId="77777777" w:rsidR="00122408" w:rsidRPr="00C21A2E" w:rsidRDefault="00122408" w:rsidP="00B50B41">
      <w:pPr>
        <w:pStyle w:val="FootnoteText"/>
        <w:spacing w:after="40"/>
        <w:rPr>
          <w:szCs w:val="16"/>
        </w:rPr>
      </w:pPr>
      <w:r w:rsidRPr="00C21A2E">
        <w:rPr>
          <w:rStyle w:val="FootnoteReference"/>
          <w:color w:val="000000" w:themeColor="text1"/>
          <w:sz w:val="16"/>
          <w:szCs w:val="16"/>
        </w:rPr>
        <w:footnoteRef/>
      </w:r>
      <w:r w:rsidRPr="00C21A2E">
        <w:rPr>
          <w:color w:val="000000" w:themeColor="text1"/>
          <w:szCs w:val="16"/>
        </w:rPr>
        <w:t xml:space="preserve"> Decreto No. 7.958/2013 que establece directrices para la atención a víctimas de violencia sexual por los profesionales de seguridad pública y salud; la Ley No. 12.845/2013 que dispone sobre la atención a personas víctimas de violencia sexual; el Decreto No. 8086/2013 que crea el Programa Mujer: Vivir sin violencia; el Instructivo No. 485/2014 que trata de la organización de la red de salud para atender víctimas de violencia sexual; y la Ley Estadual (Rio de Janeiro) No. 7.448/2016 que crea el subtítulo feminicidio en las actas policiales en el estado y adopta otras providencias correlacionadas.</w:t>
      </w:r>
    </w:p>
  </w:footnote>
  <w:footnote w:id="338">
    <w:p w14:paraId="34D24BA6" w14:textId="16BF3F38" w:rsidR="00122408" w:rsidRPr="00162147" w:rsidRDefault="00122408" w:rsidP="00B50B41">
      <w:pPr>
        <w:pStyle w:val="FootnoteText"/>
        <w:spacing w:after="40"/>
        <w:rPr>
          <w:szCs w:val="16"/>
          <w:lang w:val="es-ES"/>
        </w:rPr>
      </w:pPr>
      <w:r w:rsidRPr="00C21A2E">
        <w:rPr>
          <w:rStyle w:val="FootnoteReference"/>
          <w:sz w:val="16"/>
          <w:szCs w:val="16"/>
        </w:rPr>
        <w:footnoteRef/>
      </w:r>
      <w:r w:rsidRPr="00C21A2E">
        <w:rPr>
          <w:szCs w:val="16"/>
          <w:lang w:val="es-ES"/>
        </w:rPr>
        <w:t xml:space="preserve"> </w:t>
      </w:r>
      <w:r>
        <w:rPr>
          <w:szCs w:val="16"/>
          <w:lang w:val="es-ES"/>
        </w:rPr>
        <w:t xml:space="preserve">Entre otros, </w:t>
      </w:r>
      <w:r>
        <w:rPr>
          <w:i/>
          <w:szCs w:val="16"/>
          <w:lang w:val="es-ES"/>
        </w:rPr>
        <w:t xml:space="preserve">cfr. </w:t>
      </w:r>
      <w:r w:rsidRPr="00162147">
        <w:rPr>
          <w:bCs/>
          <w:i/>
          <w:szCs w:val="16"/>
          <w:lang w:val="es-ES"/>
        </w:rPr>
        <w:t xml:space="preserve">Caso Masacre de </w:t>
      </w:r>
      <w:r>
        <w:rPr>
          <w:bCs/>
          <w:i/>
          <w:szCs w:val="16"/>
          <w:lang w:val="es-ES"/>
        </w:rPr>
        <w:t>L</w:t>
      </w:r>
      <w:r w:rsidRPr="00162147">
        <w:rPr>
          <w:bCs/>
          <w:i/>
          <w:szCs w:val="16"/>
          <w:lang w:val="es-ES"/>
        </w:rPr>
        <w:t xml:space="preserve">a Rochela </w:t>
      </w:r>
      <w:r w:rsidRPr="00162147">
        <w:rPr>
          <w:bCs/>
          <w:i/>
          <w:iCs/>
          <w:szCs w:val="16"/>
          <w:lang w:val="es-ES"/>
        </w:rPr>
        <w:t xml:space="preserve">Vs. </w:t>
      </w:r>
      <w:r w:rsidRPr="00162147">
        <w:rPr>
          <w:bCs/>
          <w:i/>
          <w:szCs w:val="16"/>
          <w:lang w:val="es-ES"/>
        </w:rPr>
        <w:t xml:space="preserve">Colombia. Fondo, Reparaciones y Costas. </w:t>
      </w:r>
      <w:r w:rsidRPr="00162147">
        <w:rPr>
          <w:bCs/>
          <w:szCs w:val="16"/>
          <w:lang w:val="es-ES"/>
        </w:rPr>
        <w:t xml:space="preserve">Sentencia de 11 de </w:t>
      </w:r>
      <w:r>
        <w:rPr>
          <w:bCs/>
          <w:szCs w:val="16"/>
          <w:lang w:val="es-ES"/>
        </w:rPr>
        <w:t>m</w:t>
      </w:r>
      <w:r w:rsidRPr="00162147">
        <w:rPr>
          <w:bCs/>
          <w:szCs w:val="16"/>
          <w:lang w:val="es-ES"/>
        </w:rPr>
        <w:t>ayo de 2007. Serie C No. 163, pá</w:t>
      </w:r>
      <w:r>
        <w:rPr>
          <w:bCs/>
          <w:szCs w:val="16"/>
          <w:lang w:val="es-ES"/>
        </w:rPr>
        <w:t>rr.</w:t>
      </w:r>
      <w:r w:rsidRPr="00162147">
        <w:rPr>
          <w:bCs/>
          <w:szCs w:val="16"/>
          <w:lang w:val="es-ES"/>
        </w:rPr>
        <w:t xml:space="preserve"> 195</w:t>
      </w:r>
      <w:r>
        <w:rPr>
          <w:bCs/>
          <w:szCs w:val="16"/>
          <w:lang w:val="es-ES"/>
        </w:rPr>
        <w:t xml:space="preserve">, y </w:t>
      </w:r>
      <w:r w:rsidRPr="00D46EE2">
        <w:rPr>
          <w:bCs/>
          <w:i/>
          <w:iCs/>
          <w:szCs w:val="16"/>
        </w:rPr>
        <w:t>Caso Omar Humberto Maldonado Vargas y otros</w:t>
      </w:r>
      <w:r w:rsidRPr="00162147">
        <w:rPr>
          <w:iCs/>
          <w:szCs w:val="16"/>
          <w:lang w:val="es-ES"/>
        </w:rPr>
        <w:t xml:space="preserve">, </w:t>
      </w:r>
      <w:r w:rsidRPr="00162147">
        <w:rPr>
          <w:szCs w:val="16"/>
          <w:lang w:val="es-ES"/>
        </w:rPr>
        <w:t>párr</w:t>
      </w:r>
      <w:r>
        <w:rPr>
          <w:szCs w:val="16"/>
          <w:lang w:val="es-ES"/>
        </w:rPr>
        <w:t>.</w:t>
      </w:r>
      <w:r w:rsidRPr="00162147">
        <w:rPr>
          <w:iCs/>
          <w:szCs w:val="16"/>
          <w:lang w:val="es-ES"/>
        </w:rPr>
        <w:t xml:space="preserve"> </w:t>
      </w:r>
      <w:r>
        <w:rPr>
          <w:iCs/>
          <w:szCs w:val="16"/>
          <w:lang w:val="es-ES"/>
        </w:rPr>
        <w:t>110.</w:t>
      </w:r>
    </w:p>
  </w:footnote>
  <w:footnote w:id="339">
    <w:p w14:paraId="02AD001E" w14:textId="612147A3" w:rsidR="00122408" w:rsidRPr="006253B7" w:rsidRDefault="00122408" w:rsidP="00B50B41">
      <w:pPr>
        <w:pStyle w:val="FootnoteText"/>
        <w:spacing w:after="40"/>
        <w:rPr>
          <w:b/>
          <w:szCs w:val="16"/>
        </w:rPr>
      </w:pPr>
      <w:r w:rsidRPr="00C21A2E">
        <w:rPr>
          <w:rStyle w:val="FootnoteReference"/>
          <w:sz w:val="16"/>
          <w:szCs w:val="16"/>
        </w:rPr>
        <w:footnoteRef/>
      </w:r>
      <w:r w:rsidRPr="00C21A2E">
        <w:rPr>
          <w:szCs w:val="16"/>
        </w:rPr>
        <w:t xml:space="preserve"> En el ámbito de algunos estados, el cambio de expresión ya fue adoptado, por ejemplo en el Estado de Rio de Janeiro por medio del Instructivo de la Policía Civil No. 617/2003.</w:t>
      </w:r>
      <w:r>
        <w:rPr>
          <w:szCs w:val="16"/>
        </w:rPr>
        <w:t xml:space="preserve"> </w:t>
      </w:r>
    </w:p>
  </w:footnote>
  <w:footnote w:id="340">
    <w:p w14:paraId="69CE10DF" w14:textId="743A45D5" w:rsidR="00122408" w:rsidRPr="00C21A2E" w:rsidRDefault="00122408" w:rsidP="00B50B41">
      <w:pPr>
        <w:pStyle w:val="FootnoteText"/>
        <w:spacing w:after="40"/>
        <w:rPr>
          <w:szCs w:val="16"/>
          <w:lang w:val="es-CL"/>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6253B7">
        <w:rPr>
          <w:i/>
          <w:szCs w:val="16"/>
          <w:lang w:val="es-ES"/>
        </w:rPr>
        <w:t>Caso de los “Niños de la Calle” (Villagrán Morales y otros)</w:t>
      </w:r>
      <w:r w:rsidRPr="00C21A2E">
        <w:rPr>
          <w:szCs w:val="16"/>
          <w:lang w:val="es-ES"/>
        </w:rPr>
        <w:t xml:space="preserve">, párr. 84, y </w:t>
      </w:r>
      <w:r w:rsidRPr="006253B7">
        <w:rPr>
          <w:bCs/>
          <w:i/>
          <w:szCs w:val="16"/>
        </w:rPr>
        <w:t>Caso Andrade Salmón Vs. Bolivia. Fondo, Reparaciones y Costas</w:t>
      </w:r>
      <w:r w:rsidRPr="006253B7">
        <w:rPr>
          <w:bCs/>
          <w:szCs w:val="16"/>
        </w:rPr>
        <w:t>. Sentencia de 1 de diciembre de 2016. Serie C No. 330</w:t>
      </w:r>
      <w:r w:rsidRPr="00C21A2E">
        <w:rPr>
          <w:szCs w:val="16"/>
          <w:lang w:val="es-ES"/>
        </w:rPr>
        <w:t xml:space="preserve">, párr. </w:t>
      </w:r>
      <w:r>
        <w:rPr>
          <w:szCs w:val="16"/>
          <w:lang w:val="es-ES"/>
        </w:rPr>
        <w:t>207</w:t>
      </w:r>
      <w:r w:rsidRPr="00C21A2E">
        <w:rPr>
          <w:szCs w:val="16"/>
          <w:lang w:val="es-ES"/>
        </w:rPr>
        <w:t>.</w:t>
      </w:r>
    </w:p>
  </w:footnote>
  <w:footnote w:id="341">
    <w:p w14:paraId="216A23FD" w14:textId="1BC1830B" w:rsidR="00122408" w:rsidRPr="00C21A2E" w:rsidRDefault="00122408" w:rsidP="00B50B41">
      <w:pPr>
        <w:pStyle w:val="FootnoteText"/>
        <w:spacing w:after="40"/>
        <w:rPr>
          <w:szCs w:val="16"/>
          <w:lang w:val="es-CL"/>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6253B7">
        <w:rPr>
          <w:i/>
          <w:szCs w:val="16"/>
          <w:lang w:val="es-ES"/>
        </w:rPr>
        <w:t>Caso Cantoral Benavides Vs. Perú. Reparaciones y Costas</w:t>
      </w:r>
      <w:r w:rsidRPr="00C21A2E">
        <w:rPr>
          <w:szCs w:val="16"/>
          <w:lang w:val="es-ES"/>
        </w:rPr>
        <w:t>.</w:t>
      </w:r>
      <w:r>
        <w:rPr>
          <w:szCs w:val="16"/>
          <w:lang w:val="es-ES"/>
        </w:rPr>
        <w:t xml:space="preserve"> </w:t>
      </w:r>
      <w:r w:rsidRPr="006253B7">
        <w:rPr>
          <w:bCs/>
          <w:szCs w:val="16"/>
        </w:rPr>
        <w:t>Sentencia de 3 de diciembre de 2001. Serie C No. 88</w:t>
      </w:r>
      <w:r>
        <w:rPr>
          <w:szCs w:val="16"/>
          <w:lang w:val="es-ES"/>
        </w:rPr>
        <w:t>,</w:t>
      </w:r>
      <w:r w:rsidRPr="00C21A2E">
        <w:rPr>
          <w:szCs w:val="16"/>
          <w:lang w:val="es-ES"/>
        </w:rPr>
        <w:t xml:space="preserve"> párr. 53, y </w:t>
      </w:r>
      <w:r w:rsidRPr="00D5681C">
        <w:rPr>
          <w:bCs/>
          <w:i/>
          <w:szCs w:val="16"/>
        </w:rPr>
        <w:t>Caso Andrade Salmón</w:t>
      </w:r>
      <w:r w:rsidRPr="00C21A2E">
        <w:rPr>
          <w:szCs w:val="16"/>
          <w:lang w:val="es-ES"/>
        </w:rPr>
        <w:t xml:space="preserve">, párr. </w:t>
      </w:r>
      <w:r>
        <w:rPr>
          <w:szCs w:val="16"/>
          <w:lang w:val="es-ES"/>
        </w:rPr>
        <w:t>207</w:t>
      </w:r>
      <w:r w:rsidRPr="00C21A2E">
        <w:rPr>
          <w:szCs w:val="16"/>
          <w:lang w:val="es-ES"/>
        </w:rPr>
        <w:t>.</w:t>
      </w:r>
    </w:p>
  </w:footnote>
  <w:footnote w:id="342">
    <w:p w14:paraId="033AA632" w14:textId="79C15AA1" w:rsidR="00122408" w:rsidRPr="00C21A2E" w:rsidRDefault="00122408" w:rsidP="00B50B41">
      <w:pPr>
        <w:pStyle w:val="FootnoteText"/>
        <w:spacing w:after="40"/>
        <w:rPr>
          <w:szCs w:val="16"/>
          <w:lang w:val="es-CL"/>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6253B7">
        <w:rPr>
          <w:i/>
          <w:szCs w:val="16"/>
          <w:lang w:val="es-ES"/>
        </w:rPr>
        <w:t xml:space="preserve">Caso Garrido y </w:t>
      </w:r>
      <w:proofErr w:type="spellStart"/>
      <w:r w:rsidRPr="006253B7">
        <w:rPr>
          <w:i/>
          <w:szCs w:val="16"/>
          <w:lang w:val="es-ES"/>
        </w:rPr>
        <w:t>Baigorria</w:t>
      </w:r>
      <w:proofErr w:type="spellEnd"/>
      <w:r w:rsidRPr="006253B7">
        <w:rPr>
          <w:i/>
          <w:szCs w:val="16"/>
          <w:lang w:val="es-ES"/>
        </w:rPr>
        <w:t xml:space="preserve"> Vs. Argentina. Reparaciones y Costas</w:t>
      </w:r>
      <w:r w:rsidRPr="00C21A2E">
        <w:rPr>
          <w:szCs w:val="16"/>
          <w:lang w:val="es-ES"/>
        </w:rPr>
        <w:t xml:space="preserve">. Sentencia de 27 de agosto de 1998. Serie C No. 39, párr. 82, </w:t>
      </w:r>
      <w:r w:rsidRPr="00D5681C">
        <w:rPr>
          <w:bCs/>
          <w:i/>
          <w:szCs w:val="16"/>
        </w:rPr>
        <w:t>Caso Andrade Salmón</w:t>
      </w:r>
      <w:r w:rsidRPr="00C21A2E">
        <w:rPr>
          <w:szCs w:val="16"/>
          <w:lang w:val="es-ES"/>
        </w:rPr>
        <w:t xml:space="preserve">, párr. </w:t>
      </w:r>
      <w:r>
        <w:rPr>
          <w:szCs w:val="16"/>
          <w:lang w:val="es-ES"/>
        </w:rPr>
        <w:t>210.</w:t>
      </w:r>
    </w:p>
  </w:footnote>
  <w:footnote w:id="343">
    <w:p w14:paraId="7C067572" w14:textId="47C7C506" w:rsidR="00122408" w:rsidRPr="00C21A2E" w:rsidRDefault="00122408" w:rsidP="00B50B41">
      <w:pPr>
        <w:pStyle w:val="FootnoteText"/>
        <w:spacing w:after="40"/>
        <w:rPr>
          <w:szCs w:val="16"/>
          <w:lang w:val="es-CL"/>
        </w:rPr>
      </w:pPr>
      <w:r w:rsidRPr="00C21A2E">
        <w:rPr>
          <w:rStyle w:val="FootnoteReference"/>
          <w:sz w:val="16"/>
          <w:szCs w:val="16"/>
        </w:rPr>
        <w:footnoteRef/>
      </w:r>
      <w:r w:rsidRPr="00C21A2E">
        <w:rPr>
          <w:szCs w:val="16"/>
          <w:lang w:val="es-ES"/>
        </w:rPr>
        <w:t xml:space="preserve"> </w:t>
      </w:r>
      <w:r w:rsidRPr="00C21A2E">
        <w:rPr>
          <w:i/>
          <w:szCs w:val="16"/>
          <w:lang w:val="es-ES"/>
        </w:rPr>
        <w:t xml:space="preserve">Cfr. </w:t>
      </w:r>
      <w:r w:rsidRPr="006253B7">
        <w:rPr>
          <w:i/>
          <w:szCs w:val="16"/>
          <w:lang w:val="es-ES"/>
        </w:rPr>
        <w:t>Caso Chaparro Álvarez y Lapo Íñiguez. Vs. Ecuador. Excepciones Preliminares, Fondo, Reparaciones y Costas</w:t>
      </w:r>
      <w:r w:rsidRPr="00C21A2E">
        <w:rPr>
          <w:szCs w:val="16"/>
          <w:lang w:val="es-ES"/>
        </w:rPr>
        <w:t>. Sentencia de 21 de noviembre de 2007. Serie C No. 170, párr. 27</w:t>
      </w:r>
      <w:r>
        <w:rPr>
          <w:szCs w:val="16"/>
          <w:lang w:val="es-ES"/>
        </w:rPr>
        <w:t>7</w:t>
      </w:r>
      <w:r w:rsidRPr="00C21A2E">
        <w:rPr>
          <w:szCs w:val="16"/>
          <w:lang w:val="es-ES"/>
        </w:rPr>
        <w:t xml:space="preserve">, y </w:t>
      </w:r>
      <w:r w:rsidRPr="00D5681C">
        <w:rPr>
          <w:bCs/>
          <w:i/>
          <w:szCs w:val="16"/>
        </w:rPr>
        <w:t>Caso Andrade Salmón</w:t>
      </w:r>
      <w:r w:rsidRPr="00C21A2E">
        <w:rPr>
          <w:szCs w:val="16"/>
        </w:rPr>
        <w:t xml:space="preserve">, párr. </w:t>
      </w:r>
      <w:r>
        <w:rPr>
          <w:szCs w:val="16"/>
        </w:rPr>
        <w:t>211</w:t>
      </w:r>
      <w:r w:rsidRPr="00C21A2E">
        <w:rPr>
          <w:szCs w:val="16"/>
        </w:rPr>
        <w:t>.</w:t>
      </w:r>
    </w:p>
  </w:footnote>
  <w:footnote w:id="344">
    <w:p w14:paraId="1ED499D8" w14:textId="31099E77" w:rsidR="00122408" w:rsidRPr="00C21A2E" w:rsidRDefault="00122408" w:rsidP="00B50B41">
      <w:pPr>
        <w:pStyle w:val="FootnoteText"/>
        <w:spacing w:after="40"/>
        <w:rPr>
          <w:szCs w:val="16"/>
        </w:rPr>
      </w:pPr>
      <w:r w:rsidRPr="00C21A2E">
        <w:rPr>
          <w:rStyle w:val="FootnoteReference"/>
          <w:sz w:val="16"/>
          <w:szCs w:val="16"/>
        </w:rPr>
        <w:footnoteRef/>
      </w:r>
      <w:r w:rsidRPr="00C21A2E">
        <w:rPr>
          <w:szCs w:val="16"/>
        </w:rPr>
        <w:t xml:space="preserve"> </w:t>
      </w:r>
      <w:r w:rsidRPr="00C21A2E">
        <w:rPr>
          <w:i/>
          <w:szCs w:val="16"/>
        </w:rPr>
        <w:t xml:space="preserve">Cfr. </w:t>
      </w:r>
      <w:r w:rsidRPr="006253B7">
        <w:rPr>
          <w:bCs/>
          <w:i/>
          <w:szCs w:val="16"/>
        </w:rPr>
        <w:t xml:space="preserve">Caso Comunidad Indígena </w:t>
      </w:r>
      <w:proofErr w:type="spellStart"/>
      <w:r w:rsidRPr="006253B7">
        <w:rPr>
          <w:bCs/>
          <w:i/>
          <w:szCs w:val="16"/>
        </w:rPr>
        <w:t>Xákmok</w:t>
      </w:r>
      <w:proofErr w:type="spellEnd"/>
      <w:r w:rsidRPr="006253B7">
        <w:rPr>
          <w:bCs/>
          <w:i/>
          <w:szCs w:val="16"/>
        </w:rPr>
        <w:t xml:space="preserve"> </w:t>
      </w:r>
      <w:proofErr w:type="spellStart"/>
      <w:r w:rsidRPr="006253B7">
        <w:rPr>
          <w:bCs/>
          <w:i/>
          <w:szCs w:val="16"/>
        </w:rPr>
        <w:t>Kásek</w:t>
      </w:r>
      <w:proofErr w:type="spellEnd"/>
      <w:r w:rsidRPr="006253B7">
        <w:rPr>
          <w:bCs/>
          <w:i/>
          <w:szCs w:val="16"/>
        </w:rPr>
        <w:t xml:space="preserve"> Vs. Paraguay. Fondo, Reparaciones y Costas. </w:t>
      </w:r>
      <w:r w:rsidRPr="006253B7">
        <w:rPr>
          <w:bCs/>
          <w:szCs w:val="16"/>
        </w:rPr>
        <w:t>Sentencia de 24 de agosto de 2010. Serie C No. 214</w:t>
      </w:r>
      <w:r w:rsidRPr="00C21A2E">
        <w:rPr>
          <w:szCs w:val="16"/>
        </w:rPr>
        <w:t xml:space="preserve">, párr. </w:t>
      </w:r>
      <w:r>
        <w:rPr>
          <w:szCs w:val="16"/>
        </w:rPr>
        <w:t>331</w:t>
      </w:r>
      <w:r w:rsidRPr="00C21A2E">
        <w:rPr>
          <w:szCs w:val="16"/>
        </w:rPr>
        <w:t xml:space="preserve"> y </w:t>
      </w:r>
      <w:r>
        <w:rPr>
          <w:rStyle w:val="Strong"/>
          <w:b w:val="0"/>
          <w:i/>
          <w:color w:val="000000"/>
          <w:szCs w:val="16"/>
          <w:shd w:val="clear" w:color="auto" w:fill="FFFFFF"/>
        </w:rPr>
        <w:t>Caso Andrade Salmón</w:t>
      </w:r>
      <w:r w:rsidRPr="00C21A2E">
        <w:rPr>
          <w:szCs w:val="16"/>
        </w:rPr>
        <w:t>, párr. 2</w:t>
      </w:r>
      <w:r>
        <w:rPr>
          <w:szCs w:val="16"/>
        </w:rPr>
        <w:t>13</w:t>
      </w:r>
      <w:r w:rsidRPr="00C21A2E">
        <w:rPr>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FF4409"/>
    <w:multiLevelType w:val="hybridMultilevel"/>
    <w:tmpl w:val="DE40D166"/>
    <w:lvl w:ilvl="0" w:tplc="FFFFFFFF">
      <w:start w:val="1"/>
      <w:numFmt w:val="ideographDigital"/>
      <w:lvlText w:val=""/>
      <w:lvlJc w:val="left"/>
    </w:lvl>
    <w:lvl w:ilvl="1" w:tplc="FFFFFFFF">
      <w:numFmt w:val="decimal"/>
      <w:lvlText w:val=""/>
      <w:lvlJc w:val="left"/>
    </w:lvl>
    <w:lvl w:ilvl="2" w:tplc="EE12F116">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45813"/>
    <w:multiLevelType w:val="hybridMultilevel"/>
    <w:tmpl w:val="8DB9FE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AF0E4D"/>
    <w:multiLevelType w:val="hybridMultilevel"/>
    <w:tmpl w:val="1E2AA1EE"/>
    <w:lvl w:ilvl="0" w:tplc="D498805A">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C7258F"/>
    <w:multiLevelType w:val="hybridMultilevel"/>
    <w:tmpl w:val="9F5E409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CF06A8"/>
    <w:multiLevelType w:val="hybridMultilevel"/>
    <w:tmpl w:val="E5EE7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2523A"/>
    <w:multiLevelType w:val="multilevel"/>
    <w:tmpl w:val="97ECBD28"/>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6">
    <w:nsid w:val="111C7FCC"/>
    <w:multiLevelType w:val="hybridMultilevel"/>
    <w:tmpl w:val="3CCCEC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0D3134"/>
    <w:multiLevelType w:val="hybridMultilevel"/>
    <w:tmpl w:val="29224D6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F360E70"/>
    <w:multiLevelType w:val="hybridMultilevel"/>
    <w:tmpl w:val="05F49FEE"/>
    <w:lvl w:ilvl="0" w:tplc="56DCAC92">
      <w:start w:val="1"/>
      <w:numFmt w:val="lowerLetter"/>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7133B4"/>
    <w:multiLevelType w:val="hybridMultilevel"/>
    <w:tmpl w:val="B548124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nsid w:val="25D10397"/>
    <w:multiLevelType w:val="hybridMultilevel"/>
    <w:tmpl w:val="09A6A3BA"/>
    <w:lvl w:ilvl="0" w:tplc="BBBEE70C">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6B93A05"/>
    <w:multiLevelType w:val="multilevel"/>
    <w:tmpl w:val="1ADA69D0"/>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2">
    <w:nsid w:val="271502E6"/>
    <w:multiLevelType w:val="hybridMultilevel"/>
    <w:tmpl w:val="1188E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767F3"/>
    <w:multiLevelType w:val="hybridMultilevel"/>
    <w:tmpl w:val="C45809BC"/>
    <w:lvl w:ilvl="0" w:tplc="EE1A0456">
      <w:start w:val="1"/>
      <w:numFmt w:val="decimal"/>
      <w:pStyle w:val="Estilo5"/>
      <w:lvlText w:val="%1."/>
      <w:lvlJc w:val="left"/>
      <w:pPr>
        <w:ind w:left="450" w:hanging="360"/>
      </w:pPr>
      <w:rPr>
        <w:rFonts w:ascii="Verdana" w:hAnsi="Verdana" w:hint="default"/>
        <w:b w:val="0"/>
        <w:i w:val="0"/>
        <w:strike w:val="0"/>
        <w:dstrike w:val="0"/>
        <w:color w:val="auto"/>
        <w:sz w:val="20"/>
        <w:szCs w:val="20"/>
        <w:u w:val="none"/>
        <w:effect w:val="none"/>
        <w:lang w:val="es-MX"/>
      </w:rPr>
    </w:lvl>
    <w:lvl w:ilvl="1" w:tplc="3CA86E32">
      <w:start w:val="1"/>
      <w:numFmt w:val="lowerLetter"/>
      <w:lvlText w:val="%2)"/>
      <w:lvlJc w:val="left"/>
      <w:pPr>
        <w:ind w:left="1620" w:hanging="360"/>
      </w:pPr>
      <w:rPr>
        <w:rFonts w:ascii="Verdana" w:hAnsi="Verdana" w:cs="Times New Roman" w:hint="default"/>
        <w:b w:val="0"/>
        <w:i w:val="0"/>
        <w:caps w:val="0"/>
        <w:strike w:val="0"/>
        <w:dstrike w:val="0"/>
        <w:vanish w:val="0"/>
        <w:webHidden w:val="0"/>
        <w:color w:val="auto"/>
        <w:sz w:val="20"/>
        <w:u w:val="none"/>
        <w:effect w:val="none"/>
        <w:vertAlign w:val="baseline"/>
        <w:specVanish w:val="0"/>
      </w:rPr>
    </w:lvl>
    <w:lvl w:ilvl="2" w:tplc="3F20288C">
      <w:start w:val="1"/>
      <w:numFmt w:val="lowerRoman"/>
      <w:lvlText w:val="%3."/>
      <w:lvlJc w:val="right"/>
      <w:pPr>
        <w:ind w:left="2160" w:hanging="180"/>
      </w:pPr>
      <w:rPr>
        <w:b w:val="0"/>
      </w:rPr>
    </w:lvl>
    <w:lvl w:ilvl="3" w:tplc="140A000F">
      <w:start w:val="1"/>
      <w:numFmt w:val="decimal"/>
      <w:lvlText w:val="%4."/>
      <w:lvlJc w:val="left"/>
      <w:pPr>
        <w:ind w:left="2880" w:hanging="360"/>
      </w:pPr>
    </w:lvl>
    <w:lvl w:ilvl="4" w:tplc="606ED164">
      <w:start w:val="1"/>
      <w:numFmt w:val="lowerLetter"/>
      <w:pStyle w:val="Estilo3"/>
      <w:lvlText w:val="%5)"/>
      <w:lvlJc w:val="left"/>
      <w:pPr>
        <w:ind w:left="3600" w:hanging="360"/>
      </w:pPr>
      <w:rPr>
        <w:b w:val="0"/>
        <w:i w:val="0"/>
      </w:rPr>
    </w:lvl>
    <w:lvl w:ilvl="5" w:tplc="726C26BC">
      <w:start w:val="1"/>
      <w:numFmt w:val="lowerRoman"/>
      <w:pStyle w:val="Estilo8"/>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nsid w:val="36145BDF"/>
    <w:multiLevelType w:val="hybridMultilevel"/>
    <w:tmpl w:val="8886ECA2"/>
    <w:lvl w:ilvl="0" w:tplc="C41C0E5C">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AR"/>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5">
    <w:nsid w:val="38472CE8"/>
    <w:multiLevelType w:val="hybridMultilevel"/>
    <w:tmpl w:val="ECF643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FA320BD"/>
    <w:multiLevelType w:val="hybridMultilevel"/>
    <w:tmpl w:val="0AFEEDE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76741"/>
    <w:multiLevelType w:val="hybridMultilevel"/>
    <w:tmpl w:val="D9588A98"/>
    <w:lvl w:ilvl="0" w:tplc="84B44DC0">
      <w:start w:val="1"/>
      <w:numFmt w:val="lowerLetter"/>
      <w:lvlText w:val="%1)"/>
      <w:lvlJc w:val="left"/>
      <w:pPr>
        <w:ind w:left="720" w:hanging="360"/>
      </w:pPr>
      <w:rPr>
        <w:b w:val="0"/>
        <w:i w:val="0"/>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F6C20"/>
    <w:multiLevelType w:val="hybridMultilevel"/>
    <w:tmpl w:val="C3E6C12A"/>
    <w:lvl w:ilvl="0" w:tplc="14240F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3E06E32"/>
    <w:multiLevelType w:val="hybridMultilevel"/>
    <w:tmpl w:val="178EEAA6"/>
    <w:lvl w:ilvl="0" w:tplc="47AABC80">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2">
    <w:nsid w:val="5DD86B66"/>
    <w:multiLevelType w:val="hybridMultilevel"/>
    <w:tmpl w:val="6D7A7F2E"/>
    <w:lvl w:ilvl="0" w:tplc="FA0A065E">
      <w:start w:val="1"/>
      <w:numFmt w:val="lowerRoman"/>
      <w:lvlText w:val="%1)"/>
      <w:lvlJc w:val="left"/>
      <w:pPr>
        <w:ind w:left="1854" w:hanging="720"/>
      </w:pPr>
    </w:lvl>
    <w:lvl w:ilvl="1" w:tplc="140A0019">
      <w:start w:val="1"/>
      <w:numFmt w:val="lowerLetter"/>
      <w:lvlText w:val="%2."/>
      <w:lvlJc w:val="left"/>
      <w:pPr>
        <w:ind w:left="2214" w:hanging="360"/>
      </w:pPr>
    </w:lvl>
    <w:lvl w:ilvl="2" w:tplc="D498805A">
      <w:start w:val="1"/>
      <w:numFmt w:val="upperLetter"/>
      <w:lvlText w:val="%3."/>
      <w:lvlJc w:val="left"/>
      <w:pPr>
        <w:ind w:left="0" w:firstLine="0"/>
      </w:pPr>
      <w:rPr>
        <w:rFonts w:hint="default"/>
      </w:rPr>
    </w:lvl>
    <w:lvl w:ilvl="3" w:tplc="140A000F">
      <w:start w:val="1"/>
      <w:numFmt w:val="decimal"/>
      <w:lvlText w:val="%4."/>
      <w:lvlJc w:val="left"/>
      <w:pPr>
        <w:ind w:left="3654" w:hanging="360"/>
      </w:pPr>
    </w:lvl>
    <w:lvl w:ilvl="4" w:tplc="140A0019">
      <w:start w:val="1"/>
      <w:numFmt w:val="lowerLetter"/>
      <w:lvlText w:val="%5."/>
      <w:lvlJc w:val="left"/>
      <w:pPr>
        <w:ind w:left="4374" w:hanging="360"/>
      </w:pPr>
    </w:lvl>
    <w:lvl w:ilvl="5" w:tplc="140A001B">
      <w:start w:val="1"/>
      <w:numFmt w:val="lowerRoman"/>
      <w:lvlText w:val="%6."/>
      <w:lvlJc w:val="right"/>
      <w:pPr>
        <w:ind w:left="5094" w:hanging="180"/>
      </w:pPr>
    </w:lvl>
    <w:lvl w:ilvl="6" w:tplc="140A000F">
      <w:start w:val="1"/>
      <w:numFmt w:val="decimal"/>
      <w:lvlText w:val="%7."/>
      <w:lvlJc w:val="left"/>
      <w:pPr>
        <w:ind w:left="5814" w:hanging="360"/>
      </w:pPr>
    </w:lvl>
    <w:lvl w:ilvl="7" w:tplc="140A0019">
      <w:start w:val="1"/>
      <w:numFmt w:val="lowerLetter"/>
      <w:lvlText w:val="%8."/>
      <w:lvlJc w:val="left"/>
      <w:pPr>
        <w:ind w:left="6534" w:hanging="360"/>
      </w:pPr>
    </w:lvl>
    <w:lvl w:ilvl="8" w:tplc="140A001B">
      <w:start w:val="1"/>
      <w:numFmt w:val="lowerRoman"/>
      <w:lvlText w:val="%9."/>
      <w:lvlJc w:val="right"/>
      <w:pPr>
        <w:ind w:left="7254" w:hanging="180"/>
      </w:pPr>
    </w:lvl>
  </w:abstractNum>
  <w:abstractNum w:abstractNumId="23">
    <w:nsid w:val="5F422753"/>
    <w:multiLevelType w:val="hybridMultilevel"/>
    <w:tmpl w:val="653038C2"/>
    <w:lvl w:ilvl="0" w:tplc="67B85738">
      <w:start w:val="508"/>
      <w:numFmt w:val="decimal"/>
      <w:lvlText w:val="%1."/>
      <w:lvlJc w:val="left"/>
      <w:pPr>
        <w:ind w:left="828" w:hanging="468"/>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602661AB"/>
    <w:multiLevelType w:val="hybridMultilevel"/>
    <w:tmpl w:val="4FF6E148"/>
    <w:lvl w:ilvl="0" w:tplc="37ECA10E">
      <w:start w:val="1"/>
      <w:numFmt w:val="upperLetter"/>
      <w:pStyle w:val="Heading7"/>
      <w:lvlText w:val="%1."/>
      <w:lvlJc w:val="left"/>
      <w:pPr>
        <w:ind w:left="360" w:hanging="360"/>
      </w:pPr>
      <w:rPr>
        <w:b/>
        <w:i/>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5">
    <w:nsid w:val="756E5617"/>
    <w:multiLevelType w:val="hybridMultilevel"/>
    <w:tmpl w:val="2F5A1B7E"/>
    <w:lvl w:ilvl="0" w:tplc="71729FA6">
      <w:start w:val="3"/>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940040"/>
    <w:multiLevelType w:val="hybridMultilevel"/>
    <w:tmpl w:val="010A3A8A"/>
    <w:lvl w:ilvl="0" w:tplc="52D664F8">
      <w:start w:val="1"/>
      <w:numFmt w:val="decimal"/>
      <w:lvlText w:val="%1."/>
      <w:lvlJc w:val="left"/>
      <w:pPr>
        <w:ind w:left="0" w:firstLine="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66F60DA"/>
    <w:multiLevelType w:val="hybridMultilevel"/>
    <w:tmpl w:val="20745E40"/>
    <w:lvl w:ilvl="0" w:tplc="5A3895D2">
      <w:start w:val="6"/>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6753A80"/>
    <w:multiLevelType w:val="hybridMultilevel"/>
    <w:tmpl w:val="BC78FF58"/>
    <w:lvl w:ilvl="0" w:tplc="726880C0">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
      </w:rPr>
    </w:lvl>
    <w:lvl w:ilvl="1" w:tplc="2C0A0019">
      <w:start w:val="1"/>
      <w:numFmt w:val="lowerLetter"/>
      <w:lvlText w:val="%2."/>
      <w:lvlJc w:val="left"/>
      <w:pPr>
        <w:ind w:left="1353" w:hanging="360"/>
      </w:pPr>
      <w:rPr>
        <w:lang w:val="es-CR"/>
      </w:rPr>
    </w:lvl>
    <w:lvl w:ilvl="2" w:tplc="40823306">
      <w:start w:val="1"/>
      <w:numFmt w:val="lowerRoman"/>
      <w:lvlText w:val="%3."/>
      <w:lvlJc w:val="right"/>
      <w:pPr>
        <w:ind w:left="2018" w:hanging="180"/>
      </w:pPr>
      <w:rPr>
        <w:b w:val="0"/>
        <w:i w:val="0"/>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29">
    <w:nsid w:val="78510EC4"/>
    <w:multiLevelType w:val="hybridMultilevel"/>
    <w:tmpl w:val="D24C6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E64D32"/>
    <w:multiLevelType w:val="hybridMultilevel"/>
    <w:tmpl w:val="932C9542"/>
    <w:lvl w:ilvl="0" w:tplc="866C632A">
      <w:start w:val="1"/>
      <w:numFmt w:val="decimal"/>
      <w:pStyle w:val="Estilo1"/>
      <w:lvlText w:val="%1."/>
      <w:lvlJc w:val="left"/>
      <w:pPr>
        <w:tabs>
          <w:tab w:val="num" w:pos="30034"/>
        </w:tabs>
      </w:pPr>
      <w:rPr>
        <w:rFonts w:ascii="Verdana" w:eastAsia="Times New Roman" w:hAnsi="Verdana" w:cs="Times New Roman" w:hint="default"/>
        <w:b w:val="0"/>
        <w:i w:val="0"/>
        <w:strike w:val="0"/>
        <w:color w:val="auto"/>
        <w:sz w:val="20"/>
        <w:lang w:val="es-CR"/>
      </w:rPr>
    </w:lvl>
    <w:lvl w:ilvl="1" w:tplc="140A0019">
      <w:start w:val="1"/>
      <w:numFmt w:val="lowerLetter"/>
      <w:pStyle w:val="Estilo2"/>
      <w:lvlText w:val="%2)"/>
      <w:lvlJc w:val="left"/>
      <w:pPr>
        <w:tabs>
          <w:tab w:val="num" w:pos="4767"/>
        </w:tabs>
        <w:ind w:left="4767" w:hanging="360"/>
      </w:pPr>
      <w:rPr>
        <w:rFonts w:cs="Times New Roman" w:hint="default"/>
        <w:b w:val="0"/>
        <w:i w:val="0"/>
        <w:sz w:val="16"/>
        <w:szCs w:val="16"/>
      </w:rPr>
    </w:lvl>
    <w:lvl w:ilvl="2" w:tplc="140A001B">
      <w:start w:val="1"/>
      <w:numFmt w:val="lowerRoman"/>
      <w:lvlText w:val="%3."/>
      <w:lvlJc w:val="right"/>
      <w:pPr>
        <w:tabs>
          <w:tab w:val="num" w:pos="890"/>
        </w:tabs>
        <w:ind w:left="890" w:hanging="180"/>
      </w:pPr>
      <w:rPr>
        <w:rFonts w:cs="Times New Roman"/>
        <w:i/>
      </w:rPr>
    </w:lvl>
    <w:lvl w:ilvl="3" w:tplc="140A000F">
      <w:start w:val="1"/>
      <w:numFmt w:val="decimal"/>
      <w:lvlText w:val="%4."/>
      <w:lvlJc w:val="left"/>
      <w:pPr>
        <w:tabs>
          <w:tab w:val="num" w:pos="6567"/>
        </w:tabs>
        <w:ind w:left="6567" w:hanging="360"/>
      </w:pPr>
      <w:rPr>
        <w:rFonts w:cs="Times New Roman"/>
      </w:rPr>
    </w:lvl>
    <w:lvl w:ilvl="4" w:tplc="140A0019">
      <w:start w:val="1"/>
      <w:numFmt w:val="lowerLetter"/>
      <w:lvlText w:val="%5."/>
      <w:lvlJc w:val="left"/>
      <w:pPr>
        <w:tabs>
          <w:tab w:val="num" w:pos="7287"/>
        </w:tabs>
        <w:ind w:left="7287" w:hanging="360"/>
      </w:pPr>
      <w:rPr>
        <w:rFonts w:cs="Times New Roman"/>
      </w:rPr>
    </w:lvl>
    <w:lvl w:ilvl="5" w:tplc="140A001B">
      <w:start w:val="1"/>
      <w:numFmt w:val="lowerRoman"/>
      <w:lvlText w:val="%6."/>
      <w:lvlJc w:val="right"/>
      <w:pPr>
        <w:tabs>
          <w:tab w:val="num" w:pos="8007"/>
        </w:tabs>
        <w:ind w:left="8007" w:hanging="180"/>
      </w:pPr>
      <w:rPr>
        <w:rFonts w:cs="Times New Roman"/>
      </w:rPr>
    </w:lvl>
    <w:lvl w:ilvl="6" w:tplc="140A000F">
      <w:start w:val="1"/>
      <w:numFmt w:val="decimal"/>
      <w:lvlText w:val="%7."/>
      <w:lvlJc w:val="left"/>
      <w:pPr>
        <w:tabs>
          <w:tab w:val="num" w:pos="8727"/>
        </w:tabs>
        <w:ind w:left="8727" w:hanging="360"/>
      </w:pPr>
      <w:rPr>
        <w:rFonts w:cs="Times New Roman"/>
      </w:rPr>
    </w:lvl>
    <w:lvl w:ilvl="7" w:tplc="140A0019">
      <w:start w:val="1"/>
      <w:numFmt w:val="lowerLetter"/>
      <w:lvlText w:val="%8."/>
      <w:lvlJc w:val="left"/>
      <w:pPr>
        <w:tabs>
          <w:tab w:val="num" w:pos="9447"/>
        </w:tabs>
        <w:ind w:left="9447" w:hanging="360"/>
      </w:pPr>
      <w:rPr>
        <w:rFonts w:cs="Times New Roman"/>
      </w:rPr>
    </w:lvl>
    <w:lvl w:ilvl="8" w:tplc="140A001B">
      <w:start w:val="1"/>
      <w:numFmt w:val="lowerRoman"/>
      <w:lvlText w:val="%9."/>
      <w:lvlJc w:val="right"/>
      <w:pPr>
        <w:tabs>
          <w:tab w:val="num" w:pos="10167"/>
        </w:tabs>
        <w:ind w:left="10167" w:hanging="180"/>
      </w:pPr>
      <w:rPr>
        <w:rFonts w:cs="Times New Roman"/>
      </w:rPr>
    </w:lvl>
  </w:abstractNum>
  <w:num w:numId="1">
    <w:abstractNumId w:val="2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3"/>
  </w:num>
  <w:num w:numId="8">
    <w:abstractNumId w:val="16"/>
  </w:num>
  <w:num w:numId="9">
    <w:abstractNumId w:val="6"/>
  </w:num>
  <w:num w:numId="10">
    <w:abstractNumId w:val="26"/>
  </w:num>
  <w:num w:numId="11">
    <w:abstractNumId w:val="19"/>
  </w:num>
  <w:num w:numId="12">
    <w:abstractNumId w:val="5"/>
  </w:num>
  <w:num w:numId="13">
    <w:abstractNumId w:val="11"/>
  </w:num>
  <w:num w:numId="14">
    <w:abstractNumId w:val="12"/>
  </w:num>
  <w:num w:numId="15">
    <w:abstractNumId w:val="4"/>
  </w:num>
  <w:num w:numId="16">
    <w:abstractNumId w:val="9"/>
  </w:num>
  <w:num w:numId="17">
    <w:abstractNumId w:val="27"/>
  </w:num>
  <w:num w:numId="18">
    <w:abstractNumId w:val="17"/>
  </w:num>
  <w:num w:numId="19">
    <w:abstractNumId w:val="1"/>
  </w:num>
  <w:num w:numId="20">
    <w:abstractNumId w:val="0"/>
  </w:num>
  <w:num w:numId="21">
    <w:abstractNumId w:val="2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8"/>
  </w:num>
  <w:num w:numId="27">
    <w:abstractNumId w:val="22"/>
  </w:num>
  <w:num w:numId="28">
    <w:abstractNumId w:val="22"/>
    <w:lvlOverride w:ilvl="0">
      <w:startOverride w:val="1"/>
    </w:lvlOverride>
    <w:lvlOverride w:ilvl="1">
      <w:startOverride w:val="1"/>
    </w:lvlOverride>
    <w:lvlOverride w:ilvl="2">
      <w:startOverride w:val="1"/>
    </w:lvlOverride>
  </w:num>
  <w:num w:numId="29">
    <w:abstractNumId w:val="22"/>
    <w:lvlOverride w:ilvl="0">
      <w:startOverride w:val="1"/>
    </w:lvlOverride>
    <w:lvlOverride w:ilvl="1">
      <w:startOverride w:val="1"/>
    </w:lvlOverride>
    <w:lvlOverride w:ilvl="2">
      <w:startOverride w:val="1"/>
    </w:lvlOverride>
  </w:num>
  <w:num w:numId="30">
    <w:abstractNumId w:val="20"/>
  </w:num>
  <w:num w:numId="31">
    <w:abstractNumId w:val="20"/>
    <w:lvlOverride w:ilvl="0">
      <w:startOverride w:val="1"/>
    </w:lvlOverride>
  </w:num>
  <w:num w:numId="32">
    <w:abstractNumId w:val="2"/>
  </w:num>
  <w:num w:numId="33">
    <w:abstractNumId w:val="15"/>
  </w:num>
  <w:num w:numId="34">
    <w:abstractNumId w:val="30"/>
  </w:num>
  <w:num w:numId="35">
    <w:abstractNumId w:val="29"/>
  </w:num>
  <w:num w:numId="3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AA"/>
    <w:rsid w:val="000028CD"/>
    <w:rsid w:val="00003114"/>
    <w:rsid w:val="00004E8B"/>
    <w:rsid w:val="000118FE"/>
    <w:rsid w:val="00011D6C"/>
    <w:rsid w:val="000126EC"/>
    <w:rsid w:val="00013B8B"/>
    <w:rsid w:val="00021FD2"/>
    <w:rsid w:val="00022E22"/>
    <w:rsid w:val="000312D9"/>
    <w:rsid w:val="000357B7"/>
    <w:rsid w:val="000358D6"/>
    <w:rsid w:val="00035C82"/>
    <w:rsid w:val="00040B1C"/>
    <w:rsid w:val="00040B8F"/>
    <w:rsid w:val="00045135"/>
    <w:rsid w:val="00046309"/>
    <w:rsid w:val="0004716D"/>
    <w:rsid w:val="00053864"/>
    <w:rsid w:val="000549FD"/>
    <w:rsid w:val="000553F4"/>
    <w:rsid w:val="00057F7B"/>
    <w:rsid w:val="00062461"/>
    <w:rsid w:val="00064EE6"/>
    <w:rsid w:val="00070499"/>
    <w:rsid w:val="00071D10"/>
    <w:rsid w:val="00072FA3"/>
    <w:rsid w:val="0007776B"/>
    <w:rsid w:val="00083021"/>
    <w:rsid w:val="00083EC6"/>
    <w:rsid w:val="00092661"/>
    <w:rsid w:val="00095913"/>
    <w:rsid w:val="000A23CE"/>
    <w:rsid w:val="000A614E"/>
    <w:rsid w:val="000C21B8"/>
    <w:rsid w:val="000C2BB5"/>
    <w:rsid w:val="000C3012"/>
    <w:rsid w:val="000C46C8"/>
    <w:rsid w:val="000C4C76"/>
    <w:rsid w:val="000C6064"/>
    <w:rsid w:val="000D265B"/>
    <w:rsid w:val="000D3BEC"/>
    <w:rsid w:val="000D4B70"/>
    <w:rsid w:val="000D5705"/>
    <w:rsid w:val="000E0542"/>
    <w:rsid w:val="000E1B81"/>
    <w:rsid w:val="000E1DE8"/>
    <w:rsid w:val="000E5EA9"/>
    <w:rsid w:val="000E63D4"/>
    <w:rsid w:val="000E69E2"/>
    <w:rsid w:val="000E6E29"/>
    <w:rsid w:val="000F04AC"/>
    <w:rsid w:val="000F09EC"/>
    <w:rsid w:val="000F64BC"/>
    <w:rsid w:val="001033A2"/>
    <w:rsid w:val="00104007"/>
    <w:rsid w:val="001047A7"/>
    <w:rsid w:val="00106DB0"/>
    <w:rsid w:val="00107733"/>
    <w:rsid w:val="00110391"/>
    <w:rsid w:val="00122408"/>
    <w:rsid w:val="0012349F"/>
    <w:rsid w:val="00123780"/>
    <w:rsid w:val="00123B0E"/>
    <w:rsid w:val="00124430"/>
    <w:rsid w:val="001245D4"/>
    <w:rsid w:val="0014182F"/>
    <w:rsid w:val="0014789B"/>
    <w:rsid w:val="001523D3"/>
    <w:rsid w:val="00152D12"/>
    <w:rsid w:val="00154027"/>
    <w:rsid w:val="00155F68"/>
    <w:rsid w:val="0015653E"/>
    <w:rsid w:val="00160220"/>
    <w:rsid w:val="00162147"/>
    <w:rsid w:val="00163984"/>
    <w:rsid w:val="0017090E"/>
    <w:rsid w:val="00174EEC"/>
    <w:rsid w:val="0018153D"/>
    <w:rsid w:val="00196411"/>
    <w:rsid w:val="001A1220"/>
    <w:rsid w:val="001B093C"/>
    <w:rsid w:val="001B4C76"/>
    <w:rsid w:val="001B5F2F"/>
    <w:rsid w:val="001B5F5C"/>
    <w:rsid w:val="001B7548"/>
    <w:rsid w:val="001B78F9"/>
    <w:rsid w:val="001C2861"/>
    <w:rsid w:val="001C4FDD"/>
    <w:rsid w:val="001C6D3A"/>
    <w:rsid w:val="001D0369"/>
    <w:rsid w:val="001D387A"/>
    <w:rsid w:val="001D770C"/>
    <w:rsid w:val="001E114C"/>
    <w:rsid w:val="001E32A4"/>
    <w:rsid w:val="001E4575"/>
    <w:rsid w:val="001F30E9"/>
    <w:rsid w:val="001F4F35"/>
    <w:rsid w:val="001F560A"/>
    <w:rsid w:val="001F5AF8"/>
    <w:rsid w:val="001F6921"/>
    <w:rsid w:val="00204E37"/>
    <w:rsid w:val="002119A5"/>
    <w:rsid w:val="002122D3"/>
    <w:rsid w:val="00217669"/>
    <w:rsid w:val="00221564"/>
    <w:rsid w:val="00225C87"/>
    <w:rsid w:val="002315C2"/>
    <w:rsid w:val="00232925"/>
    <w:rsid w:val="00232B6F"/>
    <w:rsid w:val="00235A33"/>
    <w:rsid w:val="002372A0"/>
    <w:rsid w:val="0023766A"/>
    <w:rsid w:val="002401F6"/>
    <w:rsid w:val="00241F71"/>
    <w:rsid w:val="00243161"/>
    <w:rsid w:val="00244C7E"/>
    <w:rsid w:val="002515A4"/>
    <w:rsid w:val="00253C66"/>
    <w:rsid w:val="00255BFD"/>
    <w:rsid w:val="00255FEA"/>
    <w:rsid w:val="00257B16"/>
    <w:rsid w:val="00261801"/>
    <w:rsid w:val="00261ABB"/>
    <w:rsid w:val="00274545"/>
    <w:rsid w:val="00280EBA"/>
    <w:rsid w:val="00281DC6"/>
    <w:rsid w:val="0028439F"/>
    <w:rsid w:val="002931F8"/>
    <w:rsid w:val="002946DE"/>
    <w:rsid w:val="00295172"/>
    <w:rsid w:val="00295431"/>
    <w:rsid w:val="00296D6A"/>
    <w:rsid w:val="002A031A"/>
    <w:rsid w:val="002A119C"/>
    <w:rsid w:val="002A41DE"/>
    <w:rsid w:val="002A556F"/>
    <w:rsid w:val="002A6DEE"/>
    <w:rsid w:val="002B020B"/>
    <w:rsid w:val="002B2CD2"/>
    <w:rsid w:val="002B4DD8"/>
    <w:rsid w:val="002C1CC2"/>
    <w:rsid w:val="002C2BF4"/>
    <w:rsid w:val="002C3A9F"/>
    <w:rsid w:val="002C3CF9"/>
    <w:rsid w:val="002C766F"/>
    <w:rsid w:val="002D1979"/>
    <w:rsid w:val="002D5DE5"/>
    <w:rsid w:val="002D6578"/>
    <w:rsid w:val="002D676F"/>
    <w:rsid w:val="002E2979"/>
    <w:rsid w:val="002E29FA"/>
    <w:rsid w:val="002E39FD"/>
    <w:rsid w:val="002E5091"/>
    <w:rsid w:val="002F3C39"/>
    <w:rsid w:val="002F51EC"/>
    <w:rsid w:val="002F605F"/>
    <w:rsid w:val="002F64F2"/>
    <w:rsid w:val="002F6F80"/>
    <w:rsid w:val="00300752"/>
    <w:rsid w:val="00300A5D"/>
    <w:rsid w:val="00301575"/>
    <w:rsid w:val="00303133"/>
    <w:rsid w:val="003145DE"/>
    <w:rsid w:val="0031746C"/>
    <w:rsid w:val="00317A79"/>
    <w:rsid w:val="00322265"/>
    <w:rsid w:val="00324A03"/>
    <w:rsid w:val="003269F9"/>
    <w:rsid w:val="00326CA8"/>
    <w:rsid w:val="00330925"/>
    <w:rsid w:val="00330D7B"/>
    <w:rsid w:val="00332CF1"/>
    <w:rsid w:val="00335787"/>
    <w:rsid w:val="00336042"/>
    <w:rsid w:val="0034286B"/>
    <w:rsid w:val="00343E65"/>
    <w:rsid w:val="00344363"/>
    <w:rsid w:val="003473F2"/>
    <w:rsid w:val="003501C7"/>
    <w:rsid w:val="00350D41"/>
    <w:rsid w:val="00363987"/>
    <w:rsid w:val="0036464D"/>
    <w:rsid w:val="003648C9"/>
    <w:rsid w:val="00373110"/>
    <w:rsid w:val="0037339C"/>
    <w:rsid w:val="00373886"/>
    <w:rsid w:val="003803E8"/>
    <w:rsid w:val="003860F4"/>
    <w:rsid w:val="00387937"/>
    <w:rsid w:val="003957EE"/>
    <w:rsid w:val="003A0836"/>
    <w:rsid w:val="003A2A21"/>
    <w:rsid w:val="003A4F56"/>
    <w:rsid w:val="003A6273"/>
    <w:rsid w:val="003B2326"/>
    <w:rsid w:val="003B46A2"/>
    <w:rsid w:val="003B70B6"/>
    <w:rsid w:val="003C0CFC"/>
    <w:rsid w:val="003C2415"/>
    <w:rsid w:val="003C3E1E"/>
    <w:rsid w:val="003C45F8"/>
    <w:rsid w:val="003D3BB3"/>
    <w:rsid w:val="003D3D8D"/>
    <w:rsid w:val="003D6A7B"/>
    <w:rsid w:val="003D7C9D"/>
    <w:rsid w:val="003E25B3"/>
    <w:rsid w:val="003E3D88"/>
    <w:rsid w:val="003E51F9"/>
    <w:rsid w:val="003E7471"/>
    <w:rsid w:val="003E7EA4"/>
    <w:rsid w:val="003F0E5F"/>
    <w:rsid w:val="003F7ACF"/>
    <w:rsid w:val="00400668"/>
    <w:rsid w:val="00400B73"/>
    <w:rsid w:val="00402EE5"/>
    <w:rsid w:val="0040631E"/>
    <w:rsid w:val="00406E6F"/>
    <w:rsid w:val="00415635"/>
    <w:rsid w:val="00416D05"/>
    <w:rsid w:val="004228FF"/>
    <w:rsid w:val="0042360D"/>
    <w:rsid w:val="00426E86"/>
    <w:rsid w:val="00430041"/>
    <w:rsid w:val="00431F77"/>
    <w:rsid w:val="00433973"/>
    <w:rsid w:val="00433FA0"/>
    <w:rsid w:val="00434DCC"/>
    <w:rsid w:val="00435743"/>
    <w:rsid w:val="004360A1"/>
    <w:rsid w:val="00437606"/>
    <w:rsid w:val="004406AD"/>
    <w:rsid w:val="004422AF"/>
    <w:rsid w:val="004451DF"/>
    <w:rsid w:val="00445685"/>
    <w:rsid w:val="00445B6A"/>
    <w:rsid w:val="0046046A"/>
    <w:rsid w:val="00461279"/>
    <w:rsid w:val="0046132F"/>
    <w:rsid w:val="004649C4"/>
    <w:rsid w:val="0046548D"/>
    <w:rsid w:val="004750A2"/>
    <w:rsid w:val="00481143"/>
    <w:rsid w:val="00481DBC"/>
    <w:rsid w:val="004848B6"/>
    <w:rsid w:val="004922B0"/>
    <w:rsid w:val="004928C6"/>
    <w:rsid w:val="00493177"/>
    <w:rsid w:val="00497767"/>
    <w:rsid w:val="004A0851"/>
    <w:rsid w:val="004A1156"/>
    <w:rsid w:val="004A3644"/>
    <w:rsid w:val="004A78DA"/>
    <w:rsid w:val="004B00EF"/>
    <w:rsid w:val="004B2F16"/>
    <w:rsid w:val="004B524C"/>
    <w:rsid w:val="004B55EF"/>
    <w:rsid w:val="004C3DA6"/>
    <w:rsid w:val="004C7D94"/>
    <w:rsid w:val="004D259A"/>
    <w:rsid w:val="004D3675"/>
    <w:rsid w:val="004E0386"/>
    <w:rsid w:val="004E129F"/>
    <w:rsid w:val="004E1D92"/>
    <w:rsid w:val="004E24CF"/>
    <w:rsid w:val="004E2D03"/>
    <w:rsid w:val="004E4224"/>
    <w:rsid w:val="004F4C84"/>
    <w:rsid w:val="004F56DE"/>
    <w:rsid w:val="004F74BD"/>
    <w:rsid w:val="005012DC"/>
    <w:rsid w:val="00501478"/>
    <w:rsid w:val="00504095"/>
    <w:rsid w:val="0050610F"/>
    <w:rsid w:val="005069AC"/>
    <w:rsid w:val="00510932"/>
    <w:rsid w:val="005132CA"/>
    <w:rsid w:val="00514FAB"/>
    <w:rsid w:val="005166F9"/>
    <w:rsid w:val="0052111F"/>
    <w:rsid w:val="0052127E"/>
    <w:rsid w:val="005242CF"/>
    <w:rsid w:val="00524BD2"/>
    <w:rsid w:val="00526275"/>
    <w:rsid w:val="0052679B"/>
    <w:rsid w:val="005269B7"/>
    <w:rsid w:val="0052743F"/>
    <w:rsid w:val="00533951"/>
    <w:rsid w:val="00535186"/>
    <w:rsid w:val="0053574B"/>
    <w:rsid w:val="00535D2A"/>
    <w:rsid w:val="005375B6"/>
    <w:rsid w:val="0054244F"/>
    <w:rsid w:val="00547D83"/>
    <w:rsid w:val="00550706"/>
    <w:rsid w:val="005514A5"/>
    <w:rsid w:val="0055460E"/>
    <w:rsid w:val="00554FA9"/>
    <w:rsid w:val="0056135B"/>
    <w:rsid w:val="00564B87"/>
    <w:rsid w:val="00566511"/>
    <w:rsid w:val="00566529"/>
    <w:rsid w:val="00567F2F"/>
    <w:rsid w:val="005706A9"/>
    <w:rsid w:val="005715B4"/>
    <w:rsid w:val="00575A5D"/>
    <w:rsid w:val="0057641A"/>
    <w:rsid w:val="00582327"/>
    <w:rsid w:val="005833E9"/>
    <w:rsid w:val="00586648"/>
    <w:rsid w:val="005866C5"/>
    <w:rsid w:val="005901C2"/>
    <w:rsid w:val="00590925"/>
    <w:rsid w:val="0059333B"/>
    <w:rsid w:val="00595ABC"/>
    <w:rsid w:val="005A3B3A"/>
    <w:rsid w:val="005A6484"/>
    <w:rsid w:val="005A79CB"/>
    <w:rsid w:val="005B4B6B"/>
    <w:rsid w:val="005B56C4"/>
    <w:rsid w:val="005B670E"/>
    <w:rsid w:val="005B698A"/>
    <w:rsid w:val="005C006C"/>
    <w:rsid w:val="005C6CF5"/>
    <w:rsid w:val="005D1062"/>
    <w:rsid w:val="005D5DA0"/>
    <w:rsid w:val="005D5DA8"/>
    <w:rsid w:val="005E2F74"/>
    <w:rsid w:val="005E722B"/>
    <w:rsid w:val="005F06B6"/>
    <w:rsid w:val="005F2B2C"/>
    <w:rsid w:val="005F5301"/>
    <w:rsid w:val="005F5EB6"/>
    <w:rsid w:val="005F69F4"/>
    <w:rsid w:val="006023C2"/>
    <w:rsid w:val="00603D7E"/>
    <w:rsid w:val="00605737"/>
    <w:rsid w:val="00611E74"/>
    <w:rsid w:val="00612002"/>
    <w:rsid w:val="006128B1"/>
    <w:rsid w:val="006142DF"/>
    <w:rsid w:val="00614962"/>
    <w:rsid w:val="00622315"/>
    <w:rsid w:val="00622D65"/>
    <w:rsid w:val="006253B7"/>
    <w:rsid w:val="00627F94"/>
    <w:rsid w:val="00630FEC"/>
    <w:rsid w:val="00636741"/>
    <w:rsid w:val="00636783"/>
    <w:rsid w:val="006469BC"/>
    <w:rsid w:val="006520C5"/>
    <w:rsid w:val="0065427A"/>
    <w:rsid w:val="00654E74"/>
    <w:rsid w:val="00656409"/>
    <w:rsid w:val="006568F8"/>
    <w:rsid w:val="00664FD8"/>
    <w:rsid w:val="00665570"/>
    <w:rsid w:val="006664D0"/>
    <w:rsid w:val="00671DD3"/>
    <w:rsid w:val="00672BF2"/>
    <w:rsid w:val="00681E80"/>
    <w:rsid w:val="00687656"/>
    <w:rsid w:val="0069032E"/>
    <w:rsid w:val="006929E2"/>
    <w:rsid w:val="006938BF"/>
    <w:rsid w:val="00693C1A"/>
    <w:rsid w:val="0069482F"/>
    <w:rsid w:val="00696029"/>
    <w:rsid w:val="00697024"/>
    <w:rsid w:val="00697685"/>
    <w:rsid w:val="006A17D7"/>
    <w:rsid w:val="006A63B1"/>
    <w:rsid w:val="006A7578"/>
    <w:rsid w:val="006B24EB"/>
    <w:rsid w:val="006B5F0E"/>
    <w:rsid w:val="006B603C"/>
    <w:rsid w:val="006C31F8"/>
    <w:rsid w:val="006C3472"/>
    <w:rsid w:val="006C3DC8"/>
    <w:rsid w:val="006C5160"/>
    <w:rsid w:val="006C5840"/>
    <w:rsid w:val="006C7083"/>
    <w:rsid w:val="006C798D"/>
    <w:rsid w:val="006D31C7"/>
    <w:rsid w:val="006D5380"/>
    <w:rsid w:val="006D6323"/>
    <w:rsid w:val="006E07F0"/>
    <w:rsid w:val="006E25E5"/>
    <w:rsid w:val="006E329C"/>
    <w:rsid w:val="006E4425"/>
    <w:rsid w:val="006E5F88"/>
    <w:rsid w:val="006E64A5"/>
    <w:rsid w:val="006F725F"/>
    <w:rsid w:val="00701376"/>
    <w:rsid w:val="0070282F"/>
    <w:rsid w:val="007067A4"/>
    <w:rsid w:val="00706D7C"/>
    <w:rsid w:val="00707370"/>
    <w:rsid w:val="0070791F"/>
    <w:rsid w:val="00710504"/>
    <w:rsid w:val="00710747"/>
    <w:rsid w:val="00711564"/>
    <w:rsid w:val="00712953"/>
    <w:rsid w:val="007217DB"/>
    <w:rsid w:val="0072586A"/>
    <w:rsid w:val="0073167D"/>
    <w:rsid w:val="00732480"/>
    <w:rsid w:val="00732F7C"/>
    <w:rsid w:val="00733B48"/>
    <w:rsid w:val="0073448C"/>
    <w:rsid w:val="007360AD"/>
    <w:rsid w:val="007401D8"/>
    <w:rsid w:val="00741B36"/>
    <w:rsid w:val="00753082"/>
    <w:rsid w:val="00760A9F"/>
    <w:rsid w:val="007670EC"/>
    <w:rsid w:val="007745B2"/>
    <w:rsid w:val="0077532A"/>
    <w:rsid w:val="007779D8"/>
    <w:rsid w:val="00783020"/>
    <w:rsid w:val="00784298"/>
    <w:rsid w:val="007858F0"/>
    <w:rsid w:val="0078609C"/>
    <w:rsid w:val="00790363"/>
    <w:rsid w:val="00791A76"/>
    <w:rsid w:val="007936EC"/>
    <w:rsid w:val="0079447B"/>
    <w:rsid w:val="00794625"/>
    <w:rsid w:val="00794AA5"/>
    <w:rsid w:val="00795674"/>
    <w:rsid w:val="00795FA3"/>
    <w:rsid w:val="007A14C1"/>
    <w:rsid w:val="007A1FB3"/>
    <w:rsid w:val="007A65D2"/>
    <w:rsid w:val="007B28AA"/>
    <w:rsid w:val="007C0684"/>
    <w:rsid w:val="007C0A75"/>
    <w:rsid w:val="007C1DF3"/>
    <w:rsid w:val="007C27C7"/>
    <w:rsid w:val="007C6059"/>
    <w:rsid w:val="007C6319"/>
    <w:rsid w:val="007D114A"/>
    <w:rsid w:val="007E1235"/>
    <w:rsid w:val="007E1488"/>
    <w:rsid w:val="007E20B6"/>
    <w:rsid w:val="007E3D07"/>
    <w:rsid w:val="007E454A"/>
    <w:rsid w:val="007F0C73"/>
    <w:rsid w:val="007F1355"/>
    <w:rsid w:val="007F32E8"/>
    <w:rsid w:val="007F4351"/>
    <w:rsid w:val="007F48E7"/>
    <w:rsid w:val="007F5CC9"/>
    <w:rsid w:val="008007CB"/>
    <w:rsid w:val="00800B1E"/>
    <w:rsid w:val="008011EA"/>
    <w:rsid w:val="00801245"/>
    <w:rsid w:val="008028A2"/>
    <w:rsid w:val="0080595B"/>
    <w:rsid w:val="008074E9"/>
    <w:rsid w:val="00813235"/>
    <w:rsid w:val="00816353"/>
    <w:rsid w:val="00821F8D"/>
    <w:rsid w:val="00822D9E"/>
    <w:rsid w:val="00825804"/>
    <w:rsid w:val="00827993"/>
    <w:rsid w:val="00836806"/>
    <w:rsid w:val="008407FF"/>
    <w:rsid w:val="0084197D"/>
    <w:rsid w:val="00843095"/>
    <w:rsid w:val="008456DF"/>
    <w:rsid w:val="00856D47"/>
    <w:rsid w:val="00857662"/>
    <w:rsid w:val="008624DE"/>
    <w:rsid w:val="00862F45"/>
    <w:rsid w:val="00864F28"/>
    <w:rsid w:val="00865678"/>
    <w:rsid w:val="00865E9F"/>
    <w:rsid w:val="008705A8"/>
    <w:rsid w:val="00872CDF"/>
    <w:rsid w:val="00874E4C"/>
    <w:rsid w:val="008754A1"/>
    <w:rsid w:val="00880556"/>
    <w:rsid w:val="00882229"/>
    <w:rsid w:val="00882D81"/>
    <w:rsid w:val="00883A84"/>
    <w:rsid w:val="00892153"/>
    <w:rsid w:val="00893175"/>
    <w:rsid w:val="00893BF4"/>
    <w:rsid w:val="00895810"/>
    <w:rsid w:val="008974BE"/>
    <w:rsid w:val="00897861"/>
    <w:rsid w:val="00897DF5"/>
    <w:rsid w:val="00897E90"/>
    <w:rsid w:val="008A0F0B"/>
    <w:rsid w:val="008A11AD"/>
    <w:rsid w:val="008A1F93"/>
    <w:rsid w:val="008A3878"/>
    <w:rsid w:val="008A4B42"/>
    <w:rsid w:val="008A6546"/>
    <w:rsid w:val="008A70EE"/>
    <w:rsid w:val="008C030B"/>
    <w:rsid w:val="008C0680"/>
    <w:rsid w:val="008C505D"/>
    <w:rsid w:val="008C65BB"/>
    <w:rsid w:val="008C78FD"/>
    <w:rsid w:val="008D15E6"/>
    <w:rsid w:val="008D1D4B"/>
    <w:rsid w:val="008D43C3"/>
    <w:rsid w:val="008D6766"/>
    <w:rsid w:val="008E003D"/>
    <w:rsid w:val="008E4345"/>
    <w:rsid w:val="008E54DE"/>
    <w:rsid w:val="008E7B66"/>
    <w:rsid w:val="008F4142"/>
    <w:rsid w:val="008F5BC0"/>
    <w:rsid w:val="00903B3D"/>
    <w:rsid w:val="00904BF1"/>
    <w:rsid w:val="00904E90"/>
    <w:rsid w:val="00904F03"/>
    <w:rsid w:val="00911DF1"/>
    <w:rsid w:val="009153DB"/>
    <w:rsid w:val="00916198"/>
    <w:rsid w:val="00920D4D"/>
    <w:rsid w:val="009265D5"/>
    <w:rsid w:val="00926CE3"/>
    <w:rsid w:val="00930B49"/>
    <w:rsid w:val="00935C31"/>
    <w:rsid w:val="00936FD6"/>
    <w:rsid w:val="00945191"/>
    <w:rsid w:val="009460A4"/>
    <w:rsid w:val="009512CC"/>
    <w:rsid w:val="00952AB5"/>
    <w:rsid w:val="00955470"/>
    <w:rsid w:val="00956DAC"/>
    <w:rsid w:val="009576D4"/>
    <w:rsid w:val="00964275"/>
    <w:rsid w:val="00967B80"/>
    <w:rsid w:val="00977AB2"/>
    <w:rsid w:val="00984C26"/>
    <w:rsid w:val="00990169"/>
    <w:rsid w:val="0099307C"/>
    <w:rsid w:val="00993B31"/>
    <w:rsid w:val="00996066"/>
    <w:rsid w:val="00996576"/>
    <w:rsid w:val="00996B7B"/>
    <w:rsid w:val="0099788E"/>
    <w:rsid w:val="009A16FC"/>
    <w:rsid w:val="009A1819"/>
    <w:rsid w:val="009B1A8F"/>
    <w:rsid w:val="009B214D"/>
    <w:rsid w:val="009B3397"/>
    <w:rsid w:val="009B3E97"/>
    <w:rsid w:val="009B4557"/>
    <w:rsid w:val="009B7973"/>
    <w:rsid w:val="009C6B18"/>
    <w:rsid w:val="009D0036"/>
    <w:rsid w:val="009D2288"/>
    <w:rsid w:val="009E1F63"/>
    <w:rsid w:val="009E2C1B"/>
    <w:rsid w:val="009E2E7A"/>
    <w:rsid w:val="009E372D"/>
    <w:rsid w:val="009E5D2D"/>
    <w:rsid w:val="009E717B"/>
    <w:rsid w:val="009F0107"/>
    <w:rsid w:val="009F7674"/>
    <w:rsid w:val="009F7E2A"/>
    <w:rsid w:val="00A016C5"/>
    <w:rsid w:val="00A021FC"/>
    <w:rsid w:val="00A04BC6"/>
    <w:rsid w:val="00A0661C"/>
    <w:rsid w:val="00A07966"/>
    <w:rsid w:val="00A07E4C"/>
    <w:rsid w:val="00A167A4"/>
    <w:rsid w:val="00A2246E"/>
    <w:rsid w:val="00A22903"/>
    <w:rsid w:val="00A22B15"/>
    <w:rsid w:val="00A24BAD"/>
    <w:rsid w:val="00A25EE5"/>
    <w:rsid w:val="00A4067C"/>
    <w:rsid w:val="00A41610"/>
    <w:rsid w:val="00A42D70"/>
    <w:rsid w:val="00A42E90"/>
    <w:rsid w:val="00A43EBB"/>
    <w:rsid w:val="00A4434E"/>
    <w:rsid w:val="00A44383"/>
    <w:rsid w:val="00A47932"/>
    <w:rsid w:val="00A47B6D"/>
    <w:rsid w:val="00A51023"/>
    <w:rsid w:val="00A534E2"/>
    <w:rsid w:val="00A53F54"/>
    <w:rsid w:val="00A5437C"/>
    <w:rsid w:val="00A55A0E"/>
    <w:rsid w:val="00A56700"/>
    <w:rsid w:val="00A5673C"/>
    <w:rsid w:val="00A6049D"/>
    <w:rsid w:val="00A62044"/>
    <w:rsid w:val="00A6687D"/>
    <w:rsid w:val="00A669C1"/>
    <w:rsid w:val="00A7011F"/>
    <w:rsid w:val="00A70CF5"/>
    <w:rsid w:val="00A755B1"/>
    <w:rsid w:val="00A84BF4"/>
    <w:rsid w:val="00A852A9"/>
    <w:rsid w:val="00A8537F"/>
    <w:rsid w:val="00A90B2F"/>
    <w:rsid w:val="00A92C21"/>
    <w:rsid w:val="00A934BE"/>
    <w:rsid w:val="00A9644B"/>
    <w:rsid w:val="00AA183B"/>
    <w:rsid w:val="00AA2405"/>
    <w:rsid w:val="00AA399A"/>
    <w:rsid w:val="00AB2AF9"/>
    <w:rsid w:val="00AB4C64"/>
    <w:rsid w:val="00AB642D"/>
    <w:rsid w:val="00AC19A7"/>
    <w:rsid w:val="00AC3127"/>
    <w:rsid w:val="00AC4689"/>
    <w:rsid w:val="00AC5BAB"/>
    <w:rsid w:val="00AC6E15"/>
    <w:rsid w:val="00AC6FB2"/>
    <w:rsid w:val="00AD0E5A"/>
    <w:rsid w:val="00AE0FE6"/>
    <w:rsid w:val="00AE1775"/>
    <w:rsid w:val="00AF231F"/>
    <w:rsid w:val="00AF2C8D"/>
    <w:rsid w:val="00AF377E"/>
    <w:rsid w:val="00AF3A45"/>
    <w:rsid w:val="00AF6F87"/>
    <w:rsid w:val="00AF7D92"/>
    <w:rsid w:val="00B01542"/>
    <w:rsid w:val="00B02C7A"/>
    <w:rsid w:val="00B03374"/>
    <w:rsid w:val="00B0437C"/>
    <w:rsid w:val="00B04763"/>
    <w:rsid w:val="00B04E8F"/>
    <w:rsid w:val="00B1098D"/>
    <w:rsid w:val="00B13EF0"/>
    <w:rsid w:val="00B14C55"/>
    <w:rsid w:val="00B1594F"/>
    <w:rsid w:val="00B1622E"/>
    <w:rsid w:val="00B17395"/>
    <w:rsid w:val="00B17954"/>
    <w:rsid w:val="00B21CA7"/>
    <w:rsid w:val="00B23FA3"/>
    <w:rsid w:val="00B25C1F"/>
    <w:rsid w:val="00B27419"/>
    <w:rsid w:val="00B30C7A"/>
    <w:rsid w:val="00B31C78"/>
    <w:rsid w:val="00B31FF4"/>
    <w:rsid w:val="00B32612"/>
    <w:rsid w:val="00B40635"/>
    <w:rsid w:val="00B41D66"/>
    <w:rsid w:val="00B43911"/>
    <w:rsid w:val="00B43B79"/>
    <w:rsid w:val="00B46463"/>
    <w:rsid w:val="00B50B41"/>
    <w:rsid w:val="00B514DA"/>
    <w:rsid w:val="00B51E7D"/>
    <w:rsid w:val="00B52FEE"/>
    <w:rsid w:val="00B530AA"/>
    <w:rsid w:val="00B542DF"/>
    <w:rsid w:val="00B61675"/>
    <w:rsid w:val="00B62157"/>
    <w:rsid w:val="00B644F1"/>
    <w:rsid w:val="00B65896"/>
    <w:rsid w:val="00B67941"/>
    <w:rsid w:val="00B72ABD"/>
    <w:rsid w:val="00B811D7"/>
    <w:rsid w:val="00B8568A"/>
    <w:rsid w:val="00B90E9C"/>
    <w:rsid w:val="00B94F81"/>
    <w:rsid w:val="00B973BC"/>
    <w:rsid w:val="00BA2568"/>
    <w:rsid w:val="00BA4F30"/>
    <w:rsid w:val="00BA6DF9"/>
    <w:rsid w:val="00BB1670"/>
    <w:rsid w:val="00BB6CBF"/>
    <w:rsid w:val="00BC31D2"/>
    <w:rsid w:val="00BC4777"/>
    <w:rsid w:val="00BC50E2"/>
    <w:rsid w:val="00BC7A09"/>
    <w:rsid w:val="00BD08BC"/>
    <w:rsid w:val="00BD0FA2"/>
    <w:rsid w:val="00BD3CD0"/>
    <w:rsid w:val="00BD734D"/>
    <w:rsid w:val="00BE36F3"/>
    <w:rsid w:val="00BE3C12"/>
    <w:rsid w:val="00BE4492"/>
    <w:rsid w:val="00BE458F"/>
    <w:rsid w:val="00BF170E"/>
    <w:rsid w:val="00C11590"/>
    <w:rsid w:val="00C13ACA"/>
    <w:rsid w:val="00C14826"/>
    <w:rsid w:val="00C14A90"/>
    <w:rsid w:val="00C170F8"/>
    <w:rsid w:val="00C17DB0"/>
    <w:rsid w:val="00C2030E"/>
    <w:rsid w:val="00C21A2E"/>
    <w:rsid w:val="00C2400E"/>
    <w:rsid w:val="00C2496F"/>
    <w:rsid w:val="00C25D1E"/>
    <w:rsid w:val="00C27B3D"/>
    <w:rsid w:val="00C27E5A"/>
    <w:rsid w:val="00C304C3"/>
    <w:rsid w:val="00C32BF3"/>
    <w:rsid w:val="00C32FBB"/>
    <w:rsid w:val="00C3333C"/>
    <w:rsid w:val="00C461D3"/>
    <w:rsid w:val="00C6284A"/>
    <w:rsid w:val="00C63796"/>
    <w:rsid w:val="00C6651D"/>
    <w:rsid w:val="00C66564"/>
    <w:rsid w:val="00C66F34"/>
    <w:rsid w:val="00C67345"/>
    <w:rsid w:val="00C67ED3"/>
    <w:rsid w:val="00C719E7"/>
    <w:rsid w:val="00C7213B"/>
    <w:rsid w:val="00C7255C"/>
    <w:rsid w:val="00C761F2"/>
    <w:rsid w:val="00C8088D"/>
    <w:rsid w:val="00C81885"/>
    <w:rsid w:val="00C81D9F"/>
    <w:rsid w:val="00C81E7D"/>
    <w:rsid w:val="00C83C40"/>
    <w:rsid w:val="00C866A9"/>
    <w:rsid w:val="00C86D28"/>
    <w:rsid w:val="00C9096D"/>
    <w:rsid w:val="00C90C4F"/>
    <w:rsid w:val="00C930DA"/>
    <w:rsid w:val="00CA3759"/>
    <w:rsid w:val="00CA66EF"/>
    <w:rsid w:val="00CB0375"/>
    <w:rsid w:val="00CB1B80"/>
    <w:rsid w:val="00CB3214"/>
    <w:rsid w:val="00CC36D9"/>
    <w:rsid w:val="00CC3FFE"/>
    <w:rsid w:val="00CC42FA"/>
    <w:rsid w:val="00CC5042"/>
    <w:rsid w:val="00CC54E0"/>
    <w:rsid w:val="00CC6D82"/>
    <w:rsid w:val="00CD2C2B"/>
    <w:rsid w:val="00CD3771"/>
    <w:rsid w:val="00CD6D15"/>
    <w:rsid w:val="00CD71D6"/>
    <w:rsid w:val="00CE18D4"/>
    <w:rsid w:val="00CE1ED9"/>
    <w:rsid w:val="00CE2A7D"/>
    <w:rsid w:val="00CE7EDE"/>
    <w:rsid w:val="00CF03B8"/>
    <w:rsid w:val="00CF05FB"/>
    <w:rsid w:val="00CF0C59"/>
    <w:rsid w:val="00CF7863"/>
    <w:rsid w:val="00D0033A"/>
    <w:rsid w:val="00D078FE"/>
    <w:rsid w:val="00D07E38"/>
    <w:rsid w:val="00D11760"/>
    <w:rsid w:val="00D1722B"/>
    <w:rsid w:val="00D21865"/>
    <w:rsid w:val="00D24674"/>
    <w:rsid w:val="00D263DB"/>
    <w:rsid w:val="00D3511A"/>
    <w:rsid w:val="00D44637"/>
    <w:rsid w:val="00D44A97"/>
    <w:rsid w:val="00D46158"/>
    <w:rsid w:val="00D46EE2"/>
    <w:rsid w:val="00D50ACB"/>
    <w:rsid w:val="00D52347"/>
    <w:rsid w:val="00D52447"/>
    <w:rsid w:val="00D54562"/>
    <w:rsid w:val="00D57923"/>
    <w:rsid w:val="00D60116"/>
    <w:rsid w:val="00D60741"/>
    <w:rsid w:val="00D64CC0"/>
    <w:rsid w:val="00D6542A"/>
    <w:rsid w:val="00D6683A"/>
    <w:rsid w:val="00D66CF1"/>
    <w:rsid w:val="00D67D98"/>
    <w:rsid w:val="00D67FE8"/>
    <w:rsid w:val="00D727EB"/>
    <w:rsid w:val="00D7510F"/>
    <w:rsid w:val="00D802E6"/>
    <w:rsid w:val="00D824D4"/>
    <w:rsid w:val="00D82F5C"/>
    <w:rsid w:val="00D85390"/>
    <w:rsid w:val="00D87B2D"/>
    <w:rsid w:val="00D92CEE"/>
    <w:rsid w:val="00D9399E"/>
    <w:rsid w:val="00D9438A"/>
    <w:rsid w:val="00D96758"/>
    <w:rsid w:val="00DA09A9"/>
    <w:rsid w:val="00DA0F87"/>
    <w:rsid w:val="00DA1FD9"/>
    <w:rsid w:val="00DA3C2D"/>
    <w:rsid w:val="00DA5625"/>
    <w:rsid w:val="00DA7828"/>
    <w:rsid w:val="00DB28AA"/>
    <w:rsid w:val="00DB29DF"/>
    <w:rsid w:val="00DB4054"/>
    <w:rsid w:val="00DB6024"/>
    <w:rsid w:val="00DB65C2"/>
    <w:rsid w:val="00DC06E7"/>
    <w:rsid w:val="00DC0F27"/>
    <w:rsid w:val="00DD25D5"/>
    <w:rsid w:val="00DD6497"/>
    <w:rsid w:val="00DE3BA1"/>
    <w:rsid w:val="00DE440B"/>
    <w:rsid w:val="00DE706D"/>
    <w:rsid w:val="00DF0234"/>
    <w:rsid w:val="00DF45AD"/>
    <w:rsid w:val="00E02D2C"/>
    <w:rsid w:val="00E04421"/>
    <w:rsid w:val="00E12DAB"/>
    <w:rsid w:val="00E13E59"/>
    <w:rsid w:val="00E21E3D"/>
    <w:rsid w:val="00E2279E"/>
    <w:rsid w:val="00E24822"/>
    <w:rsid w:val="00E27722"/>
    <w:rsid w:val="00E27E1B"/>
    <w:rsid w:val="00E33FD7"/>
    <w:rsid w:val="00E37D88"/>
    <w:rsid w:val="00E40935"/>
    <w:rsid w:val="00E41E41"/>
    <w:rsid w:val="00E42A8D"/>
    <w:rsid w:val="00E448E5"/>
    <w:rsid w:val="00E45E3B"/>
    <w:rsid w:val="00E46859"/>
    <w:rsid w:val="00E53B49"/>
    <w:rsid w:val="00E55A20"/>
    <w:rsid w:val="00E561B4"/>
    <w:rsid w:val="00E60C5E"/>
    <w:rsid w:val="00E61000"/>
    <w:rsid w:val="00E6106F"/>
    <w:rsid w:val="00E641DE"/>
    <w:rsid w:val="00E6425B"/>
    <w:rsid w:val="00E66377"/>
    <w:rsid w:val="00E66982"/>
    <w:rsid w:val="00E70936"/>
    <w:rsid w:val="00E731AC"/>
    <w:rsid w:val="00E735EE"/>
    <w:rsid w:val="00E75789"/>
    <w:rsid w:val="00E757B3"/>
    <w:rsid w:val="00E773AE"/>
    <w:rsid w:val="00E81D30"/>
    <w:rsid w:val="00E82FBC"/>
    <w:rsid w:val="00E84E8F"/>
    <w:rsid w:val="00E85366"/>
    <w:rsid w:val="00E855A4"/>
    <w:rsid w:val="00E929A9"/>
    <w:rsid w:val="00E92EF6"/>
    <w:rsid w:val="00E94C69"/>
    <w:rsid w:val="00E952A5"/>
    <w:rsid w:val="00EA2ED3"/>
    <w:rsid w:val="00EA37A4"/>
    <w:rsid w:val="00EA6684"/>
    <w:rsid w:val="00EB1959"/>
    <w:rsid w:val="00EB6FCA"/>
    <w:rsid w:val="00EC07C7"/>
    <w:rsid w:val="00EC4849"/>
    <w:rsid w:val="00EC76CE"/>
    <w:rsid w:val="00ED14ED"/>
    <w:rsid w:val="00ED1EDA"/>
    <w:rsid w:val="00ED3229"/>
    <w:rsid w:val="00ED34BA"/>
    <w:rsid w:val="00ED4564"/>
    <w:rsid w:val="00ED498A"/>
    <w:rsid w:val="00EE139F"/>
    <w:rsid w:val="00EE2CB5"/>
    <w:rsid w:val="00EE3213"/>
    <w:rsid w:val="00EE549A"/>
    <w:rsid w:val="00EE6707"/>
    <w:rsid w:val="00EF6B88"/>
    <w:rsid w:val="00EF6FD3"/>
    <w:rsid w:val="00F005D0"/>
    <w:rsid w:val="00F00A09"/>
    <w:rsid w:val="00F1229B"/>
    <w:rsid w:val="00F147C5"/>
    <w:rsid w:val="00F1688D"/>
    <w:rsid w:val="00F17667"/>
    <w:rsid w:val="00F21D92"/>
    <w:rsid w:val="00F256EC"/>
    <w:rsid w:val="00F26B0D"/>
    <w:rsid w:val="00F275F9"/>
    <w:rsid w:val="00F31439"/>
    <w:rsid w:val="00F32DA7"/>
    <w:rsid w:val="00F33515"/>
    <w:rsid w:val="00F34443"/>
    <w:rsid w:val="00F3478A"/>
    <w:rsid w:val="00F35B7E"/>
    <w:rsid w:val="00F413E5"/>
    <w:rsid w:val="00F43DC4"/>
    <w:rsid w:val="00F4470E"/>
    <w:rsid w:val="00F45EA6"/>
    <w:rsid w:val="00F50AEC"/>
    <w:rsid w:val="00F53CF6"/>
    <w:rsid w:val="00F57788"/>
    <w:rsid w:val="00F6662C"/>
    <w:rsid w:val="00F7091B"/>
    <w:rsid w:val="00F70B98"/>
    <w:rsid w:val="00F73DB3"/>
    <w:rsid w:val="00F75FC9"/>
    <w:rsid w:val="00F7608A"/>
    <w:rsid w:val="00F876B4"/>
    <w:rsid w:val="00F91D84"/>
    <w:rsid w:val="00F94410"/>
    <w:rsid w:val="00F97C49"/>
    <w:rsid w:val="00F97D9B"/>
    <w:rsid w:val="00FA0BC9"/>
    <w:rsid w:val="00FA11BB"/>
    <w:rsid w:val="00FA1F5B"/>
    <w:rsid w:val="00FA30C4"/>
    <w:rsid w:val="00FA3EB7"/>
    <w:rsid w:val="00FB0FA1"/>
    <w:rsid w:val="00FB3CE8"/>
    <w:rsid w:val="00FB7C7F"/>
    <w:rsid w:val="00FC00B8"/>
    <w:rsid w:val="00FC00B9"/>
    <w:rsid w:val="00FC044A"/>
    <w:rsid w:val="00FC0CC2"/>
    <w:rsid w:val="00FC0F3D"/>
    <w:rsid w:val="00FC1F73"/>
    <w:rsid w:val="00FC2E67"/>
    <w:rsid w:val="00FC2F5F"/>
    <w:rsid w:val="00FD0254"/>
    <w:rsid w:val="00FD28EF"/>
    <w:rsid w:val="00FD443C"/>
    <w:rsid w:val="00FD673E"/>
    <w:rsid w:val="00FD7D13"/>
    <w:rsid w:val="00FE1320"/>
    <w:rsid w:val="00FE29EA"/>
    <w:rsid w:val="00FF1F9A"/>
    <w:rsid w:val="00FF348F"/>
    <w:rsid w:val="00FF5852"/>
    <w:rsid w:val="00FF5B4D"/>
    <w:rsid w:val="00FF607E"/>
    <w:rsid w:val="00FF6A7A"/>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2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EE"/>
    <w:pPr>
      <w:spacing w:after="0" w:line="240" w:lineRule="auto"/>
      <w:jc w:val="both"/>
    </w:pPr>
    <w:rPr>
      <w:rFonts w:ascii="Verdana" w:hAnsi="Verdana"/>
      <w:sz w:val="20"/>
    </w:rPr>
  </w:style>
  <w:style w:type="paragraph" w:styleId="Heading1">
    <w:name w:val="heading 1"/>
    <w:aliases w:val="Título Verdana"/>
    <w:basedOn w:val="Normal"/>
    <w:next w:val="Normal"/>
    <w:link w:val="Heading1Char"/>
    <w:uiPriority w:val="9"/>
    <w:qFormat/>
    <w:rsid w:val="005166F9"/>
    <w:pPr>
      <w:keepNext/>
      <w:outlineLvl w:val="0"/>
    </w:pPr>
    <w:rPr>
      <w:rFonts w:eastAsia="Batang" w:cs="Times"/>
      <w:b/>
      <w:noProof/>
      <w:szCs w:val="20"/>
      <w:lang w:val="es-ES" w:eastAsia="es-ES"/>
    </w:rPr>
  </w:style>
  <w:style w:type="paragraph" w:styleId="Heading2">
    <w:name w:val="heading 2"/>
    <w:basedOn w:val="Normal"/>
    <w:next w:val="Normal"/>
    <w:link w:val="Heading2Char"/>
    <w:uiPriority w:val="9"/>
    <w:unhideWhenUsed/>
    <w:qFormat/>
    <w:rsid w:val="005166F9"/>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n-US" w:eastAsia="zh-CN"/>
    </w:rPr>
  </w:style>
  <w:style w:type="paragraph" w:styleId="Heading3">
    <w:name w:val="heading 3"/>
    <w:basedOn w:val="Normal"/>
    <w:next w:val="Normal"/>
    <w:link w:val="Heading3Char"/>
    <w:uiPriority w:val="9"/>
    <w:qFormat/>
    <w:rsid w:val="005166F9"/>
    <w:pPr>
      <w:ind w:left="709"/>
      <w:outlineLvl w:val="2"/>
    </w:pPr>
    <w:rPr>
      <w:rFonts w:eastAsia="Batang" w:cs="Times"/>
      <w:b/>
      <w:i/>
      <w:szCs w:val="24"/>
      <w:lang w:val="es-MX"/>
    </w:rPr>
  </w:style>
  <w:style w:type="paragraph" w:styleId="Heading4">
    <w:name w:val="heading 4"/>
    <w:basedOn w:val="Normal"/>
    <w:next w:val="Normal"/>
    <w:link w:val="Heading4Char"/>
    <w:uiPriority w:val="9"/>
    <w:unhideWhenUsed/>
    <w:qFormat/>
    <w:rsid w:val="00B811D7"/>
    <w:pPr>
      <w:keepNext/>
      <w:contextualSpacing/>
      <w:outlineLvl w:val="3"/>
    </w:pPr>
    <w:rPr>
      <w:rFonts w:cs="Verdana"/>
      <w:b/>
      <w:i/>
      <w:szCs w:val="20"/>
    </w:rPr>
  </w:style>
  <w:style w:type="paragraph" w:styleId="Heading5">
    <w:name w:val="heading 5"/>
    <w:basedOn w:val="Normal"/>
    <w:next w:val="Normal"/>
    <w:link w:val="Heading5Char"/>
    <w:uiPriority w:val="9"/>
    <w:semiHidden/>
    <w:unhideWhenUsed/>
    <w:qFormat/>
    <w:rsid w:val="00B811D7"/>
    <w:pPr>
      <w:keepNext/>
      <w:keepLines/>
      <w:tabs>
        <w:tab w:val="center" w:pos="4419"/>
        <w:tab w:val="right" w:pos="8838"/>
      </w:tabs>
      <w:spacing w:before="200"/>
      <w:jc w:val="left"/>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qFormat/>
    <w:rsid w:val="00B811D7"/>
    <w:pPr>
      <w:keepNext w:val="0"/>
      <w:keepLines w:val="0"/>
      <w:tabs>
        <w:tab w:val="clear" w:pos="4419"/>
        <w:tab w:val="clear" w:pos="8838"/>
        <w:tab w:val="num" w:pos="3600"/>
      </w:tabs>
      <w:spacing w:before="0"/>
      <w:ind w:left="3600" w:hanging="360"/>
      <w:outlineLvl w:val="5"/>
    </w:pPr>
    <w:rPr>
      <w:rFonts w:ascii="Verdana" w:eastAsia="Times New Roman" w:hAnsi="Verdana" w:cs="Times New Roman"/>
      <w:color w:val="auto"/>
      <w:spacing w:val="-2"/>
      <w:szCs w:val="20"/>
      <w:lang w:val="es-MX" w:eastAsia="es-CR"/>
    </w:rPr>
  </w:style>
  <w:style w:type="paragraph" w:styleId="Heading7">
    <w:name w:val="heading 7"/>
    <w:basedOn w:val="Normal"/>
    <w:next w:val="Normal"/>
    <w:link w:val="Heading7Char"/>
    <w:uiPriority w:val="9"/>
    <w:unhideWhenUsed/>
    <w:qFormat/>
    <w:rsid w:val="00C25D1E"/>
    <w:pPr>
      <w:keepNext/>
      <w:keepLines/>
      <w:numPr>
        <w:numId w:val="4"/>
      </w:numPr>
      <w:outlineLvl w:val="6"/>
    </w:pPr>
    <w:rPr>
      <w:rFonts w:eastAsia="Batang" w:cs="Times New Roman"/>
      <w:b/>
      <w:bCs/>
      <w:i/>
      <w:noProof/>
      <w:szCs w:val="20"/>
      <w:lang w:val="es-MX" w:eastAsia="es-ES"/>
    </w:rPr>
  </w:style>
  <w:style w:type="paragraph" w:styleId="Heading8">
    <w:name w:val="heading 8"/>
    <w:basedOn w:val="Normal"/>
    <w:next w:val="Normal"/>
    <w:link w:val="Heading8Char"/>
    <w:uiPriority w:val="9"/>
    <w:unhideWhenUsed/>
    <w:qFormat/>
    <w:rsid w:val="00B811D7"/>
    <w:pPr>
      <w:keepNext/>
      <w:contextualSpacing/>
      <w:jc w:val="left"/>
      <w:outlineLvl w:val="7"/>
    </w:pPr>
    <w:rPr>
      <w:rFonts w:eastAsia="Batang" w:cs="Times"/>
      <w:i/>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FootnoteTextChar"/>
    <w:unhideWhenUsed/>
    <w:qFormat/>
    <w:rsid w:val="00A62044"/>
    <w:rPr>
      <w:sz w:val="16"/>
      <w:szCs w:val="20"/>
    </w:rPr>
  </w:style>
  <w:style w:type="character" w:customStyle="1" w:styleId="FootnoteTextChar">
    <w:name w:val="Footnote Text Char"/>
    <w:aliases w:val="2. Footnote Text Char,Footnote Tesina Char,Footnote Text Char Char Char Char Char Char,Footnote Text Char Char Char Char Char1,Footnote reference Char,FA Fu Char,Footnote Text Char Char Char Char1,Footnote Text Cha Char,Ca Char,C Char"/>
    <w:basedOn w:val="DefaultParagraphFont"/>
    <w:link w:val="FootnoteText"/>
    <w:rsid w:val="00A62044"/>
    <w:rPr>
      <w:rFonts w:ascii="Verdana" w:hAnsi="Verdana"/>
      <w:sz w:val="16"/>
      <w:szCs w:val="20"/>
    </w:rPr>
  </w:style>
  <w:style w:type="character" w:styleId="Hyperlink">
    <w:name w:val="Hyperlink"/>
    <w:basedOn w:val="DefaultParagraphFont"/>
    <w:uiPriority w:val="99"/>
    <w:unhideWhenUsed/>
    <w:rsid w:val="00DB28AA"/>
    <w:rPr>
      <w:color w:val="0000FF" w:themeColor="hyperlink"/>
      <w:u w:val="single"/>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unhideWhenUsed/>
    <w:qFormat/>
    <w:rsid w:val="000C6064"/>
    <w:rPr>
      <w:rFonts w:ascii="Verdana" w:hAnsi="Verdana" w:cs="Times New Roman"/>
      <w:sz w:val="20"/>
      <w:szCs w:val="20"/>
      <w:vertAlign w:val="superscript"/>
    </w:rPr>
  </w:style>
  <w:style w:type="character" w:styleId="Strong">
    <w:name w:val="Strong"/>
    <w:basedOn w:val="DefaultParagraphFont"/>
    <w:uiPriority w:val="22"/>
    <w:qFormat/>
    <w:rsid w:val="00DB28AA"/>
    <w:rPr>
      <w:b/>
      <w:bCs/>
    </w:rPr>
  </w:style>
  <w:style w:type="paragraph" w:styleId="ListParagraph">
    <w:name w:val="List Paragraph"/>
    <w:aliases w:val="Párrafo de lista1,Footnote,List Paragraph2,List Paragraph1,Colorful List - Accent 11,Lista vistosa - Énfasis 11"/>
    <w:basedOn w:val="Normal"/>
    <w:link w:val="ListParagraphChar"/>
    <w:uiPriority w:val="34"/>
    <w:qFormat/>
    <w:rsid w:val="00D50ACB"/>
    <w:pPr>
      <w:ind w:left="720"/>
      <w:contextualSpacing/>
    </w:pPr>
  </w:style>
  <w:style w:type="paragraph" w:styleId="TOC1">
    <w:name w:val="toc 1"/>
    <w:basedOn w:val="Normal"/>
    <w:next w:val="Normal"/>
    <w:autoRedefine/>
    <w:uiPriority w:val="39"/>
    <w:unhideWhenUsed/>
    <w:qFormat/>
    <w:rsid w:val="00547D83"/>
    <w:pPr>
      <w:keepNext/>
      <w:keepLines/>
      <w:tabs>
        <w:tab w:val="right" w:leader="dot" w:pos="9394"/>
      </w:tabs>
      <w:snapToGrid w:val="0"/>
      <w:jc w:val="center"/>
      <w:outlineLvl w:val="0"/>
    </w:pPr>
    <w:rPr>
      <w:rFonts w:eastAsia="Times New Roman" w:cs="Verdana"/>
      <w:b/>
      <w:bCs/>
      <w:caps/>
      <w:noProof/>
      <w:szCs w:val="20"/>
      <w:lang w:eastAsia="es-ES"/>
    </w:rPr>
  </w:style>
  <w:style w:type="character" w:styleId="FollowedHyperlink">
    <w:name w:val="FollowedHyperlink"/>
    <w:basedOn w:val="DefaultParagraphFont"/>
    <w:uiPriority w:val="99"/>
    <w:semiHidden/>
    <w:unhideWhenUsed/>
    <w:rsid w:val="005269B7"/>
    <w:rPr>
      <w:color w:val="800080" w:themeColor="followedHyperlink"/>
      <w:u w:val="single"/>
    </w:rPr>
  </w:style>
  <w:style w:type="paragraph" w:styleId="BalloonText">
    <w:name w:val="Balloon Text"/>
    <w:basedOn w:val="Normal"/>
    <w:link w:val="BalloonTextChar"/>
    <w:uiPriority w:val="99"/>
    <w:semiHidden/>
    <w:unhideWhenUsed/>
    <w:rsid w:val="00C66F34"/>
    <w:rPr>
      <w:rFonts w:ascii="Tahoma" w:hAnsi="Tahoma" w:cs="Tahoma"/>
      <w:sz w:val="16"/>
      <w:szCs w:val="16"/>
    </w:rPr>
  </w:style>
  <w:style w:type="character" w:customStyle="1" w:styleId="BalloonTextChar">
    <w:name w:val="Balloon Text Char"/>
    <w:basedOn w:val="DefaultParagraphFont"/>
    <w:link w:val="BalloonText"/>
    <w:uiPriority w:val="99"/>
    <w:semiHidden/>
    <w:rsid w:val="00C66F34"/>
    <w:rPr>
      <w:rFonts w:ascii="Tahoma" w:hAnsi="Tahoma" w:cs="Tahoma"/>
      <w:sz w:val="16"/>
      <w:szCs w:val="16"/>
    </w:rPr>
  </w:style>
  <w:style w:type="character" w:styleId="CommentReference">
    <w:name w:val="annotation reference"/>
    <w:basedOn w:val="DefaultParagraphFont"/>
    <w:uiPriority w:val="99"/>
    <w:unhideWhenUsed/>
    <w:rsid w:val="00232925"/>
    <w:rPr>
      <w:sz w:val="16"/>
      <w:szCs w:val="16"/>
    </w:rPr>
  </w:style>
  <w:style w:type="paragraph" w:styleId="CommentText">
    <w:name w:val="annotation text"/>
    <w:basedOn w:val="Normal"/>
    <w:link w:val="CommentTextChar"/>
    <w:uiPriority w:val="99"/>
    <w:unhideWhenUsed/>
    <w:rsid w:val="00232925"/>
    <w:rPr>
      <w:szCs w:val="20"/>
    </w:rPr>
  </w:style>
  <w:style w:type="character" w:customStyle="1" w:styleId="CommentTextChar">
    <w:name w:val="Comment Text Char"/>
    <w:basedOn w:val="DefaultParagraphFont"/>
    <w:link w:val="CommentText"/>
    <w:uiPriority w:val="99"/>
    <w:rsid w:val="00232925"/>
    <w:rPr>
      <w:sz w:val="20"/>
      <w:szCs w:val="20"/>
    </w:rPr>
  </w:style>
  <w:style w:type="paragraph" w:styleId="CommentSubject">
    <w:name w:val="annotation subject"/>
    <w:basedOn w:val="CommentText"/>
    <w:next w:val="CommentText"/>
    <w:link w:val="CommentSubjectChar"/>
    <w:uiPriority w:val="99"/>
    <w:unhideWhenUsed/>
    <w:rsid w:val="00232925"/>
    <w:rPr>
      <w:b/>
      <w:bCs/>
    </w:rPr>
  </w:style>
  <w:style w:type="character" w:customStyle="1" w:styleId="CommentSubjectChar">
    <w:name w:val="Comment Subject Char"/>
    <w:basedOn w:val="CommentTextChar"/>
    <w:link w:val="CommentSubject"/>
    <w:uiPriority w:val="99"/>
    <w:rsid w:val="00232925"/>
    <w:rPr>
      <w:b/>
      <w:bCs/>
      <w:sz w:val="20"/>
      <w:szCs w:val="20"/>
    </w:rPr>
  </w:style>
  <w:style w:type="paragraph" w:styleId="BodyText">
    <w:name w:val="Body Text"/>
    <w:basedOn w:val="Normal"/>
    <w:link w:val="BodyTextChar"/>
    <w:uiPriority w:val="99"/>
    <w:unhideWhenUsed/>
    <w:rsid w:val="00A62044"/>
    <w:pPr>
      <w:tabs>
        <w:tab w:val="right" w:pos="0"/>
        <w:tab w:val="left" w:pos="567"/>
      </w:tabs>
    </w:pPr>
    <w:rPr>
      <w:sz w:val="16"/>
      <w:szCs w:val="16"/>
      <w:lang w:val="es-ES"/>
    </w:rPr>
  </w:style>
  <w:style w:type="character" w:customStyle="1" w:styleId="BodyTextChar">
    <w:name w:val="Body Text Char"/>
    <w:basedOn w:val="DefaultParagraphFont"/>
    <w:link w:val="BodyText"/>
    <w:uiPriority w:val="99"/>
    <w:rsid w:val="00A62044"/>
    <w:rPr>
      <w:rFonts w:ascii="Verdana" w:hAnsi="Verdana"/>
      <w:sz w:val="16"/>
      <w:szCs w:val="16"/>
      <w:lang w:val="es-ES"/>
    </w:rPr>
  </w:style>
  <w:style w:type="character" w:styleId="LineNumber">
    <w:name w:val="line number"/>
    <w:basedOn w:val="DefaultParagraphFont"/>
    <w:uiPriority w:val="99"/>
    <w:semiHidden/>
    <w:unhideWhenUsed/>
    <w:rsid w:val="002A6DEE"/>
  </w:style>
  <w:style w:type="paragraph" w:styleId="Header">
    <w:name w:val="header"/>
    <w:basedOn w:val="Normal"/>
    <w:link w:val="HeaderChar"/>
    <w:uiPriority w:val="99"/>
    <w:unhideWhenUsed/>
    <w:rsid w:val="002A6DEE"/>
    <w:pPr>
      <w:tabs>
        <w:tab w:val="center" w:pos="4513"/>
        <w:tab w:val="right" w:pos="9026"/>
      </w:tabs>
    </w:pPr>
  </w:style>
  <w:style w:type="character" w:customStyle="1" w:styleId="HeaderChar">
    <w:name w:val="Header Char"/>
    <w:basedOn w:val="DefaultParagraphFont"/>
    <w:link w:val="Header"/>
    <w:uiPriority w:val="99"/>
    <w:rsid w:val="002A6DEE"/>
  </w:style>
  <w:style w:type="paragraph" w:styleId="Footer">
    <w:name w:val="footer"/>
    <w:basedOn w:val="Normal"/>
    <w:link w:val="FooterChar"/>
    <w:uiPriority w:val="99"/>
    <w:unhideWhenUsed/>
    <w:rsid w:val="002A6DEE"/>
    <w:pPr>
      <w:tabs>
        <w:tab w:val="center" w:pos="4513"/>
        <w:tab w:val="right" w:pos="9026"/>
      </w:tabs>
    </w:pPr>
  </w:style>
  <w:style w:type="character" w:customStyle="1" w:styleId="FooterChar">
    <w:name w:val="Footer Char"/>
    <w:basedOn w:val="DefaultParagraphFont"/>
    <w:link w:val="Footer"/>
    <w:uiPriority w:val="99"/>
    <w:rsid w:val="002A6DEE"/>
  </w:style>
  <w:style w:type="paragraph" w:customStyle="1" w:styleId="Default">
    <w:name w:val="Default"/>
    <w:rsid w:val="00FC00B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Título Verdana Char"/>
    <w:basedOn w:val="DefaultParagraphFont"/>
    <w:link w:val="Heading1"/>
    <w:uiPriority w:val="9"/>
    <w:rsid w:val="005166F9"/>
    <w:rPr>
      <w:rFonts w:ascii="Verdana" w:eastAsia="Batang" w:hAnsi="Verdana" w:cs="Times"/>
      <w:b/>
      <w:noProof/>
      <w:sz w:val="20"/>
      <w:szCs w:val="20"/>
      <w:lang w:val="es-ES" w:eastAsia="es-ES"/>
    </w:rPr>
  </w:style>
  <w:style w:type="character" w:customStyle="1" w:styleId="Heading2Char">
    <w:name w:val="Heading 2 Char"/>
    <w:basedOn w:val="DefaultParagraphFont"/>
    <w:link w:val="Heading2"/>
    <w:uiPriority w:val="9"/>
    <w:rsid w:val="005166F9"/>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
    <w:rsid w:val="005166F9"/>
    <w:rPr>
      <w:rFonts w:ascii="Verdana" w:eastAsia="Batang" w:hAnsi="Verdana" w:cs="Times"/>
      <w:b/>
      <w:i/>
      <w:sz w:val="20"/>
      <w:szCs w:val="24"/>
      <w:lang w:val="es-MX"/>
    </w:rPr>
  </w:style>
  <w:style w:type="character" w:customStyle="1" w:styleId="ListParagraphChar">
    <w:name w:val="List Paragraph Char"/>
    <w:aliases w:val="Párrafo de lista1 Char,Footnote Char,List Paragraph2 Char,List Paragraph1 Char,Colorful List - Accent 11 Char,Lista vistosa - Énfasis 11 Char"/>
    <w:basedOn w:val="DefaultParagraphFont"/>
    <w:link w:val="ListParagraph"/>
    <w:uiPriority w:val="34"/>
    <w:locked/>
    <w:rsid w:val="005166F9"/>
    <w:rPr>
      <w:rFonts w:ascii="Verdana" w:hAnsi="Verdana"/>
      <w:sz w:val="20"/>
    </w:rPr>
  </w:style>
  <w:style w:type="character" w:customStyle="1" w:styleId="apple-style-span">
    <w:name w:val="apple-style-span"/>
    <w:basedOn w:val="DefaultParagraphFont"/>
    <w:rsid w:val="005166F9"/>
  </w:style>
  <w:style w:type="paragraph" w:customStyle="1" w:styleId="Footnotes">
    <w:name w:val="**. Footnotes"/>
    <w:basedOn w:val="FootnoteText"/>
    <w:link w:val="FootnotesChar"/>
    <w:autoRedefine/>
    <w:qFormat/>
    <w:rsid w:val="005166F9"/>
    <w:pPr>
      <w:spacing w:after="40"/>
    </w:pPr>
    <w:rPr>
      <w:rFonts w:eastAsia="Times New Roman" w:cs="Times New Roman"/>
      <w:bCs/>
      <w:iCs/>
      <w:szCs w:val="16"/>
      <w:lang w:val="pt-BR" w:eastAsia="x-none"/>
    </w:rPr>
  </w:style>
  <w:style w:type="character" w:customStyle="1" w:styleId="FootnotesChar">
    <w:name w:val="**. Footnotes Char"/>
    <w:link w:val="Footnotes"/>
    <w:rsid w:val="005166F9"/>
    <w:rPr>
      <w:rFonts w:ascii="Verdana" w:eastAsia="Times New Roman" w:hAnsi="Verdana" w:cs="Times New Roman"/>
      <w:bCs/>
      <w:iCs/>
      <w:sz w:val="16"/>
      <w:szCs w:val="16"/>
      <w:lang w:val="pt-BR" w:eastAsia="x-none"/>
    </w:rPr>
  </w:style>
  <w:style w:type="character" w:customStyle="1" w:styleId="apple-converted-space">
    <w:name w:val="apple-converted-space"/>
    <w:basedOn w:val="DefaultParagraphFont"/>
    <w:rsid w:val="005166F9"/>
  </w:style>
  <w:style w:type="paragraph" w:styleId="NormalWeb">
    <w:name w:val="Normal (Web)"/>
    <w:basedOn w:val="Normal"/>
    <w:uiPriority w:val="99"/>
    <w:unhideWhenUsed/>
    <w:rsid w:val="005166F9"/>
    <w:pPr>
      <w:spacing w:before="100" w:beforeAutospacing="1" w:after="100" w:afterAutospacing="1"/>
      <w:jc w:val="left"/>
    </w:pPr>
    <w:rPr>
      <w:rFonts w:ascii="Times New Roman" w:eastAsia="Times New Roman" w:hAnsi="Times New Roman" w:cs="Times New Roman"/>
      <w:sz w:val="24"/>
      <w:szCs w:val="24"/>
      <w:lang w:val="en-US" w:eastAsia="zh-CN"/>
    </w:rPr>
  </w:style>
  <w:style w:type="paragraph" w:styleId="TOC3">
    <w:name w:val="toc 3"/>
    <w:basedOn w:val="Normal"/>
    <w:next w:val="Normal"/>
    <w:autoRedefine/>
    <w:uiPriority w:val="39"/>
    <w:unhideWhenUsed/>
    <w:qFormat/>
    <w:rsid w:val="00E53B49"/>
    <w:pPr>
      <w:spacing w:after="100"/>
      <w:ind w:left="400"/>
    </w:pPr>
  </w:style>
  <w:style w:type="paragraph" w:styleId="TOC2">
    <w:name w:val="toc 2"/>
    <w:basedOn w:val="Normal"/>
    <w:next w:val="Normal"/>
    <w:autoRedefine/>
    <w:uiPriority w:val="39"/>
    <w:unhideWhenUsed/>
    <w:qFormat/>
    <w:rsid w:val="00123780"/>
    <w:pPr>
      <w:ind w:right="51"/>
      <w:outlineLvl w:val="0"/>
    </w:pPr>
    <w:rPr>
      <w:rFonts w:cs="Verdana Bold"/>
      <w:b/>
      <w:bCs/>
      <w:i/>
      <w:noProof/>
      <w:szCs w:val="20"/>
      <w:lang w:val="es-ES" w:eastAsia="es-ES"/>
    </w:rPr>
  </w:style>
  <w:style w:type="paragraph" w:styleId="TOCHeading">
    <w:name w:val="TOC Heading"/>
    <w:basedOn w:val="Heading1"/>
    <w:next w:val="Normal"/>
    <w:uiPriority w:val="39"/>
    <w:unhideWhenUsed/>
    <w:qFormat/>
    <w:rsid w:val="000358D6"/>
    <w:pPr>
      <w:keepLines/>
      <w:spacing w:before="480" w:line="276" w:lineRule="auto"/>
      <w:jc w:val="left"/>
      <w:outlineLvl w:val="9"/>
    </w:pPr>
    <w:rPr>
      <w:rFonts w:asciiTheme="majorHAnsi" w:eastAsiaTheme="majorEastAsia" w:hAnsiTheme="majorHAnsi" w:cstheme="majorBidi"/>
      <w:bCs/>
      <w:noProof w:val="0"/>
      <w:color w:val="365F91" w:themeColor="accent1" w:themeShade="BF"/>
      <w:sz w:val="28"/>
      <w:szCs w:val="28"/>
      <w:lang w:val="en-US" w:eastAsia="ja-JP"/>
    </w:rPr>
  </w:style>
  <w:style w:type="character" w:styleId="Emphasis">
    <w:name w:val="Emphasis"/>
    <w:basedOn w:val="DefaultParagraphFont"/>
    <w:uiPriority w:val="20"/>
    <w:qFormat/>
    <w:rsid w:val="007A14C1"/>
    <w:rPr>
      <w:i/>
      <w:iCs/>
    </w:rPr>
  </w:style>
  <w:style w:type="character" w:customStyle="1" w:styleId="Heading4Char">
    <w:name w:val="Heading 4 Char"/>
    <w:basedOn w:val="DefaultParagraphFont"/>
    <w:link w:val="Heading4"/>
    <w:uiPriority w:val="9"/>
    <w:rsid w:val="00B811D7"/>
    <w:rPr>
      <w:rFonts w:ascii="Verdana" w:hAnsi="Verdana" w:cs="Verdana"/>
      <w:b/>
      <w:i/>
      <w:sz w:val="20"/>
      <w:szCs w:val="20"/>
    </w:rPr>
  </w:style>
  <w:style w:type="character" w:customStyle="1" w:styleId="Heading5Char">
    <w:name w:val="Heading 5 Char"/>
    <w:basedOn w:val="DefaultParagraphFont"/>
    <w:link w:val="Heading5"/>
    <w:uiPriority w:val="9"/>
    <w:semiHidden/>
    <w:rsid w:val="00B811D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B811D7"/>
    <w:rPr>
      <w:rFonts w:ascii="Verdana" w:eastAsia="Times New Roman" w:hAnsi="Verdana" w:cs="Times New Roman"/>
      <w:spacing w:val="-2"/>
      <w:sz w:val="20"/>
      <w:szCs w:val="20"/>
      <w:lang w:val="es-MX" w:eastAsia="es-CR"/>
    </w:rPr>
  </w:style>
  <w:style w:type="character" w:customStyle="1" w:styleId="Heading8Char">
    <w:name w:val="Heading 8 Char"/>
    <w:basedOn w:val="DefaultParagraphFont"/>
    <w:link w:val="Heading8"/>
    <w:uiPriority w:val="9"/>
    <w:rsid w:val="00B811D7"/>
    <w:rPr>
      <w:rFonts w:ascii="Verdana" w:eastAsia="Batang" w:hAnsi="Verdana" w:cs="Times"/>
      <w:i/>
      <w:sz w:val="20"/>
      <w:szCs w:val="24"/>
      <w:lang w:val="es-MX"/>
    </w:rPr>
  </w:style>
  <w:style w:type="character" w:customStyle="1" w:styleId="Refdenotaalpie1">
    <w:name w:val="Ref. de nota al pie1"/>
    <w:rsid w:val="00B811D7"/>
    <w:rPr>
      <w:sz w:val="20"/>
      <w:vertAlign w:val="superscript"/>
    </w:rPr>
  </w:style>
  <w:style w:type="paragraph" w:styleId="HTMLPreformatted">
    <w:name w:val="HTML Preformatted"/>
    <w:basedOn w:val="Normal"/>
    <w:link w:val="HTMLPreformattedChar"/>
    <w:uiPriority w:val="99"/>
    <w:unhideWhenUsed/>
    <w:rsid w:val="00B811D7"/>
    <w:rPr>
      <w:rFonts w:ascii="Consolas" w:eastAsia="Calibri" w:hAnsi="Consolas" w:cs="Consolas"/>
      <w:szCs w:val="20"/>
      <w:lang w:val="es-ES_tradnl" w:eastAsia="es-ES"/>
    </w:rPr>
  </w:style>
  <w:style w:type="character" w:customStyle="1" w:styleId="HTMLPreformattedChar">
    <w:name w:val="HTML Preformatted Char"/>
    <w:basedOn w:val="DefaultParagraphFont"/>
    <w:link w:val="HTMLPreformatted"/>
    <w:uiPriority w:val="99"/>
    <w:rsid w:val="00B811D7"/>
    <w:rPr>
      <w:rFonts w:ascii="Consolas" w:eastAsia="Calibri" w:hAnsi="Consolas" w:cs="Consolas"/>
      <w:sz w:val="20"/>
      <w:szCs w:val="20"/>
      <w:lang w:val="es-ES_tradnl" w:eastAsia="es-ES"/>
    </w:rPr>
  </w:style>
  <w:style w:type="character" w:styleId="SubtleEmphasis">
    <w:name w:val="Subtle Emphasis"/>
    <w:aliases w:val="subtitulo segundo"/>
    <w:basedOn w:val="BalloonTextChar"/>
    <w:uiPriority w:val="19"/>
    <w:qFormat/>
    <w:rsid w:val="00B811D7"/>
    <w:rPr>
      <w:rFonts w:ascii="Verdana Bold" w:hAnsi="Verdana Bold" w:cs="Tahoma"/>
      <w:b/>
      <w:i w:val="0"/>
      <w:iCs/>
      <w:color w:val="auto"/>
      <w:sz w:val="20"/>
      <w:szCs w:val="16"/>
      <w:lang w:val="es-ES_tradnl"/>
    </w:rPr>
  </w:style>
  <w:style w:type="paragraph" w:customStyle="1" w:styleId="NormalNumbered">
    <w:name w:val="Normal Numbered"/>
    <w:basedOn w:val="Normal"/>
    <w:qFormat/>
    <w:rsid w:val="00E46859"/>
    <w:pPr>
      <w:numPr>
        <w:numId w:val="8"/>
      </w:numPr>
      <w:ind w:left="0" w:firstLine="0"/>
    </w:pPr>
    <w:rPr>
      <w:rFonts w:eastAsia="Times New Roman" w:cs="Times New Roman"/>
      <w:szCs w:val="20"/>
      <w:lang w:val="x-none" w:eastAsia="x-none"/>
    </w:rPr>
  </w:style>
  <w:style w:type="paragraph" w:customStyle="1" w:styleId="Estilo4">
    <w:name w:val="Estilo4"/>
    <w:basedOn w:val="ListParagraph"/>
    <w:qFormat/>
    <w:rsid w:val="00B14C55"/>
    <w:pPr>
      <w:numPr>
        <w:ilvl w:val="1"/>
        <w:numId w:val="11"/>
      </w:numPr>
      <w:spacing w:after="120"/>
      <w:ind w:left="0" w:firstLine="357"/>
      <w:contextualSpacing w:val="0"/>
    </w:pPr>
    <w:rPr>
      <w:rFonts w:eastAsia="Times New Roman" w:cs="Times New Roman"/>
      <w:spacing w:val="-2"/>
      <w:szCs w:val="20"/>
    </w:rPr>
  </w:style>
  <w:style w:type="paragraph" w:customStyle="1" w:styleId="Prrafodelista2">
    <w:name w:val="Párrafo de lista2"/>
    <w:basedOn w:val="Normal"/>
    <w:uiPriority w:val="99"/>
    <w:rsid w:val="00FC0F3D"/>
    <w:pPr>
      <w:ind w:left="720"/>
      <w:jc w:val="left"/>
    </w:pPr>
    <w:rPr>
      <w:rFonts w:eastAsia="MS Mincho" w:cs="Times New Roman"/>
      <w:szCs w:val="20"/>
      <w:lang w:val="es-ES_tradnl" w:bidi="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DefaultParagraphFont"/>
    <w:locked/>
    <w:rsid w:val="00FC0F3D"/>
    <w:rPr>
      <w:rFonts w:ascii="Times" w:hAnsi="Times" w:cs="Times"/>
      <w:lang w:eastAsia="x-none"/>
    </w:rPr>
  </w:style>
  <w:style w:type="paragraph" w:customStyle="1" w:styleId="Estilo3">
    <w:name w:val="Estilo3"/>
    <w:basedOn w:val="Normal"/>
    <w:rsid w:val="00FC0F3D"/>
    <w:pPr>
      <w:numPr>
        <w:ilvl w:val="4"/>
        <w:numId w:val="23"/>
      </w:numPr>
      <w:spacing w:after="120" w:line="216" w:lineRule="auto"/>
      <w:ind w:left="720" w:right="17" w:firstLine="0"/>
    </w:pPr>
    <w:rPr>
      <w:rFonts w:cs="Times New Roman"/>
      <w:spacing w:val="-2"/>
      <w:szCs w:val="20"/>
      <w:lang w:val="en-US" w:eastAsia="x-none"/>
    </w:rPr>
  </w:style>
  <w:style w:type="character" w:customStyle="1" w:styleId="Estilo5Car">
    <w:name w:val="Estilo5 Car"/>
    <w:basedOn w:val="DefaultParagraphFont"/>
    <w:link w:val="Estilo5"/>
    <w:locked/>
    <w:rsid w:val="00FC0F3D"/>
    <w:rPr>
      <w:rFonts w:ascii="Verdana" w:hAnsi="Verdana"/>
      <w:spacing w:val="-2"/>
      <w:lang w:eastAsia="x-none"/>
    </w:rPr>
  </w:style>
  <w:style w:type="paragraph" w:customStyle="1" w:styleId="Estilo5">
    <w:name w:val="Estilo5"/>
    <w:basedOn w:val="Normal"/>
    <w:link w:val="Estilo5Car"/>
    <w:rsid w:val="00FC0F3D"/>
    <w:pPr>
      <w:numPr>
        <w:numId w:val="23"/>
      </w:numPr>
      <w:spacing w:after="120" w:line="216" w:lineRule="auto"/>
      <w:ind w:left="0" w:right="18" w:firstLine="0"/>
    </w:pPr>
    <w:rPr>
      <w:spacing w:val="-2"/>
      <w:sz w:val="22"/>
      <w:lang w:eastAsia="x-none"/>
    </w:rPr>
  </w:style>
  <w:style w:type="paragraph" w:customStyle="1" w:styleId="Estilo8">
    <w:name w:val="Estilo8"/>
    <w:basedOn w:val="Normal"/>
    <w:rsid w:val="00FC0F3D"/>
    <w:pPr>
      <w:numPr>
        <w:ilvl w:val="5"/>
        <w:numId w:val="23"/>
      </w:numPr>
      <w:spacing w:after="120" w:line="216" w:lineRule="auto"/>
      <w:ind w:left="1080" w:right="17" w:hanging="358"/>
    </w:pPr>
    <w:rPr>
      <w:rFonts w:cs="Times New Roman"/>
      <w:spacing w:val="-2"/>
      <w:szCs w:val="20"/>
      <w:lang w:val="en-US" w:eastAsia="x-none"/>
    </w:rPr>
  </w:style>
  <w:style w:type="paragraph" w:styleId="BodyTextIndent">
    <w:name w:val="Body Text Indent"/>
    <w:basedOn w:val="Normal"/>
    <w:link w:val="BodyTextIndentChar"/>
    <w:rsid w:val="00FC0F3D"/>
    <w:pPr>
      <w:ind w:left="360"/>
    </w:pPr>
    <w:rPr>
      <w:rFonts w:ascii="Garamond" w:eastAsia="Times New Roman" w:hAnsi="Garamond" w:cs="Times New Roman"/>
      <w:sz w:val="24"/>
      <w:szCs w:val="20"/>
      <w:lang w:val="en-US"/>
    </w:rPr>
  </w:style>
  <w:style w:type="character" w:customStyle="1" w:styleId="BodyTextIndentChar">
    <w:name w:val="Body Text Indent Char"/>
    <w:basedOn w:val="DefaultParagraphFont"/>
    <w:link w:val="BodyTextIndent"/>
    <w:rsid w:val="00FC0F3D"/>
    <w:rPr>
      <w:rFonts w:ascii="Garamond" w:eastAsia="Times New Roman" w:hAnsi="Garamond" w:cs="Times New Roman"/>
      <w:sz w:val="24"/>
      <w:szCs w:val="20"/>
      <w:lang w:val="en-US"/>
    </w:rPr>
  </w:style>
  <w:style w:type="character" w:customStyle="1" w:styleId="Heading7Char">
    <w:name w:val="Heading 7 Char"/>
    <w:basedOn w:val="DefaultParagraphFont"/>
    <w:link w:val="Heading7"/>
    <w:uiPriority w:val="9"/>
    <w:rsid w:val="00C25D1E"/>
    <w:rPr>
      <w:rFonts w:ascii="Verdana" w:eastAsia="Batang" w:hAnsi="Verdana" w:cs="Times New Roman"/>
      <w:b/>
      <w:bCs/>
      <w:i/>
      <w:noProof/>
      <w:sz w:val="20"/>
      <w:szCs w:val="20"/>
      <w:lang w:val="es-MX" w:eastAsia="es-ES"/>
    </w:rPr>
  </w:style>
  <w:style w:type="paragraph" w:styleId="TOC4">
    <w:name w:val="toc 4"/>
    <w:basedOn w:val="Normal"/>
    <w:next w:val="Normal"/>
    <w:autoRedefine/>
    <w:uiPriority w:val="39"/>
    <w:unhideWhenUsed/>
    <w:rsid w:val="00BC31D2"/>
    <w:pPr>
      <w:spacing w:after="100" w:line="276" w:lineRule="auto"/>
      <w:ind w:left="660"/>
      <w:jc w:val="left"/>
    </w:pPr>
    <w:rPr>
      <w:rFonts w:asciiTheme="minorHAnsi" w:eastAsiaTheme="minorEastAsia" w:hAnsiTheme="minorHAnsi"/>
      <w:sz w:val="22"/>
      <w:lang w:val="es-ES" w:eastAsia="es-ES"/>
    </w:rPr>
  </w:style>
  <w:style w:type="paragraph" w:styleId="TOC5">
    <w:name w:val="toc 5"/>
    <w:basedOn w:val="Normal"/>
    <w:next w:val="Normal"/>
    <w:autoRedefine/>
    <w:uiPriority w:val="39"/>
    <w:unhideWhenUsed/>
    <w:rsid w:val="00BC31D2"/>
    <w:pPr>
      <w:spacing w:after="100" w:line="276" w:lineRule="auto"/>
      <w:ind w:left="880"/>
      <w:jc w:val="left"/>
    </w:pPr>
    <w:rPr>
      <w:rFonts w:asciiTheme="minorHAnsi" w:eastAsiaTheme="minorEastAsia" w:hAnsiTheme="minorHAnsi"/>
      <w:sz w:val="22"/>
      <w:lang w:val="es-ES" w:eastAsia="es-ES"/>
    </w:rPr>
  </w:style>
  <w:style w:type="paragraph" w:styleId="TOC6">
    <w:name w:val="toc 6"/>
    <w:basedOn w:val="Normal"/>
    <w:next w:val="Normal"/>
    <w:autoRedefine/>
    <w:uiPriority w:val="39"/>
    <w:unhideWhenUsed/>
    <w:rsid w:val="00BC31D2"/>
    <w:pPr>
      <w:spacing w:after="100" w:line="276" w:lineRule="auto"/>
      <w:ind w:left="1100"/>
      <w:jc w:val="left"/>
    </w:pPr>
    <w:rPr>
      <w:rFonts w:asciiTheme="minorHAnsi" w:eastAsiaTheme="minorEastAsia" w:hAnsiTheme="minorHAnsi"/>
      <w:sz w:val="22"/>
      <w:lang w:val="es-ES" w:eastAsia="es-ES"/>
    </w:rPr>
  </w:style>
  <w:style w:type="paragraph" w:styleId="TOC7">
    <w:name w:val="toc 7"/>
    <w:basedOn w:val="Normal"/>
    <w:next w:val="Normal"/>
    <w:autoRedefine/>
    <w:uiPriority w:val="39"/>
    <w:unhideWhenUsed/>
    <w:rsid w:val="00BC31D2"/>
    <w:pPr>
      <w:spacing w:after="100" w:line="276" w:lineRule="auto"/>
      <w:ind w:left="1320"/>
      <w:jc w:val="left"/>
    </w:pPr>
    <w:rPr>
      <w:rFonts w:asciiTheme="minorHAnsi" w:eastAsiaTheme="minorEastAsia" w:hAnsiTheme="minorHAnsi"/>
      <w:sz w:val="22"/>
      <w:lang w:val="es-ES" w:eastAsia="es-ES"/>
    </w:rPr>
  </w:style>
  <w:style w:type="paragraph" w:styleId="TOC8">
    <w:name w:val="toc 8"/>
    <w:basedOn w:val="Normal"/>
    <w:next w:val="Normal"/>
    <w:autoRedefine/>
    <w:uiPriority w:val="39"/>
    <w:unhideWhenUsed/>
    <w:rsid w:val="00BC31D2"/>
    <w:pPr>
      <w:spacing w:after="100" w:line="276" w:lineRule="auto"/>
      <w:ind w:left="1540"/>
      <w:jc w:val="left"/>
    </w:pPr>
    <w:rPr>
      <w:rFonts w:asciiTheme="minorHAnsi" w:eastAsiaTheme="minorEastAsia" w:hAnsiTheme="minorHAnsi"/>
      <w:sz w:val="22"/>
      <w:lang w:val="es-ES" w:eastAsia="es-ES"/>
    </w:rPr>
  </w:style>
  <w:style w:type="paragraph" w:styleId="TOC9">
    <w:name w:val="toc 9"/>
    <w:basedOn w:val="Normal"/>
    <w:next w:val="Normal"/>
    <w:autoRedefine/>
    <w:uiPriority w:val="39"/>
    <w:unhideWhenUsed/>
    <w:rsid w:val="00BC31D2"/>
    <w:pPr>
      <w:spacing w:after="100" w:line="276" w:lineRule="auto"/>
      <w:ind w:left="1760"/>
      <w:jc w:val="left"/>
    </w:pPr>
    <w:rPr>
      <w:rFonts w:asciiTheme="minorHAnsi" w:eastAsiaTheme="minorEastAsia" w:hAnsiTheme="minorHAnsi"/>
      <w:sz w:val="22"/>
      <w:lang w:val="es-ES" w:eastAsia="es-ES"/>
    </w:rPr>
  </w:style>
  <w:style w:type="paragraph" w:styleId="BodyText2">
    <w:name w:val="Body Text 2"/>
    <w:basedOn w:val="Normal"/>
    <w:link w:val="BodyText2Char"/>
    <w:uiPriority w:val="99"/>
    <w:unhideWhenUsed/>
    <w:rsid w:val="002C766F"/>
    <w:pPr>
      <w:contextualSpacing/>
    </w:pPr>
    <w:rPr>
      <w:b/>
      <w:i/>
      <w:szCs w:val="20"/>
    </w:rPr>
  </w:style>
  <w:style w:type="character" w:customStyle="1" w:styleId="BodyText2Char">
    <w:name w:val="Body Text 2 Char"/>
    <w:basedOn w:val="DefaultParagraphFont"/>
    <w:link w:val="BodyText2"/>
    <w:uiPriority w:val="99"/>
    <w:rsid w:val="002C766F"/>
    <w:rPr>
      <w:rFonts w:ascii="Verdana" w:hAnsi="Verdana"/>
      <w:b/>
      <w:i/>
      <w:sz w:val="20"/>
      <w:szCs w:val="20"/>
    </w:rPr>
  </w:style>
  <w:style w:type="paragraph" w:customStyle="1" w:styleId="Estilo1">
    <w:name w:val="Estilo1"/>
    <w:basedOn w:val="Normal"/>
    <w:link w:val="Estilo1Char"/>
    <w:qFormat/>
    <w:rsid w:val="00DE3BA1"/>
    <w:pPr>
      <w:numPr>
        <w:numId w:val="34"/>
      </w:numPr>
      <w:tabs>
        <w:tab w:val="left" w:pos="567"/>
        <w:tab w:val="left" w:pos="1134"/>
      </w:tabs>
      <w:spacing w:after="120"/>
    </w:pPr>
    <w:rPr>
      <w:rFonts w:eastAsia="Calibri" w:cs="Times New Roman"/>
      <w:szCs w:val="20"/>
      <w:lang w:val="es-ES"/>
    </w:rPr>
  </w:style>
  <w:style w:type="character" w:customStyle="1" w:styleId="Estilo1Char">
    <w:name w:val="Estilo1 Char"/>
    <w:link w:val="Estilo1"/>
    <w:rsid w:val="00DE3BA1"/>
    <w:rPr>
      <w:rFonts w:ascii="Verdana" w:eastAsia="Calibri" w:hAnsi="Verdana" w:cs="Times New Roman"/>
      <w:sz w:val="20"/>
      <w:szCs w:val="20"/>
      <w:lang w:val="es-ES"/>
    </w:rPr>
  </w:style>
  <w:style w:type="paragraph" w:customStyle="1" w:styleId="Estilo2">
    <w:name w:val="Estilo2"/>
    <w:basedOn w:val="Normal"/>
    <w:qFormat/>
    <w:rsid w:val="00DE3BA1"/>
    <w:pPr>
      <w:numPr>
        <w:ilvl w:val="1"/>
        <w:numId w:val="34"/>
      </w:numPr>
      <w:tabs>
        <w:tab w:val="left" w:pos="567"/>
        <w:tab w:val="left" w:pos="1134"/>
      </w:tabs>
      <w:spacing w:after="120"/>
    </w:pPr>
    <w:rPr>
      <w:rFonts w:eastAsia="Calibri" w:cs="Times New Roman"/>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DE3BA1"/>
    <w:rPr>
      <w:rFonts w:cs="Times New Roman"/>
      <w:szCs w:val="20"/>
      <w:vertAlign w:val="superscript"/>
    </w:rPr>
  </w:style>
  <w:style w:type="paragraph" w:styleId="Revision">
    <w:name w:val="Revision"/>
    <w:hidden/>
    <w:uiPriority w:val="99"/>
    <w:semiHidden/>
    <w:rsid w:val="00CA66EF"/>
    <w:pPr>
      <w:spacing w:after="0" w:line="240" w:lineRule="auto"/>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EE"/>
    <w:pPr>
      <w:spacing w:after="0" w:line="240" w:lineRule="auto"/>
      <w:jc w:val="both"/>
    </w:pPr>
    <w:rPr>
      <w:rFonts w:ascii="Verdana" w:hAnsi="Verdana"/>
      <w:sz w:val="20"/>
    </w:rPr>
  </w:style>
  <w:style w:type="paragraph" w:styleId="Heading1">
    <w:name w:val="heading 1"/>
    <w:aliases w:val="Título Verdana"/>
    <w:basedOn w:val="Normal"/>
    <w:next w:val="Normal"/>
    <w:link w:val="Heading1Char"/>
    <w:uiPriority w:val="9"/>
    <w:qFormat/>
    <w:rsid w:val="005166F9"/>
    <w:pPr>
      <w:keepNext/>
      <w:outlineLvl w:val="0"/>
    </w:pPr>
    <w:rPr>
      <w:rFonts w:eastAsia="Batang" w:cs="Times"/>
      <w:b/>
      <w:noProof/>
      <w:szCs w:val="20"/>
      <w:lang w:val="es-ES" w:eastAsia="es-ES"/>
    </w:rPr>
  </w:style>
  <w:style w:type="paragraph" w:styleId="Heading2">
    <w:name w:val="heading 2"/>
    <w:basedOn w:val="Normal"/>
    <w:next w:val="Normal"/>
    <w:link w:val="Heading2Char"/>
    <w:uiPriority w:val="9"/>
    <w:unhideWhenUsed/>
    <w:qFormat/>
    <w:rsid w:val="005166F9"/>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n-US" w:eastAsia="zh-CN"/>
    </w:rPr>
  </w:style>
  <w:style w:type="paragraph" w:styleId="Heading3">
    <w:name w:val="heading 3"/>
    <w:basedOn w:val="Normal"/>
    <w:next w:val="Normal"/>
    <w:link w:val="Heading3Char"/>
    <w:uiPriority w:val="9"/>
    <w:qFormat/>
    <w:rsid w:val="005166F9"/>
    <w:pPr>
      <w:ind w:left="709"/>
      <w:outlineLvl w:val="2"/>
    </w:pPr>
    <w:rPr>
      <w:rFonts w:eastAsia="Batang" w:cs="Times"/>
      <w:b/>
      <w:i/>
      <w:szCs w:val="24"/>
      <w:lang w:val="es-MX"/>
    </w:rPr>
  </w:style>
  <w:style w:type="paragraph" w:styleId="Heading4">
    <w:name w:val="heading 4"/>
    <w:basedOn w:val="Normal"/>
    <w:next w:val="Normal"/>
    <w:link w:val="Heading4Char"/>
    <w:uiPriority w:val="9"/>
    <w:unhideWhenUsed/>
    <w:qFormat/>
    <w:rsid w:val="00B811D7"/>
    <w:pPr>
      <w:keepNext/>
      <w:contextualSpacing/>
      <w:outlineLvl w:val="3"/>
    </w:pPr>
    <w:rPr>
      <w:rFonts w:cs="Verdana"/>
      <w:b/>
      <w:i/>
      <w:szCs w:val="20"/>
    </w:rPr>
  </w:style>
  <w:style w:type="paragraph" w:styleId="Heading5">
    <w:name w:val="heading 5"/>
    <w:basedOn w:val="Normal"/>
    <w:next w:val="Normal"/>
    <w:link w:val="Heading5Char"/>
    <w:uiPriority w:val="9"/>
    <w:semiHidden/>
    <w:unhideWhenUsed/>
    <w:qFormat/>
    <w:rsid w:val="00B811D7"/>
    <w:pPr>
      <w:keepNext/>
      <w:keepLines/>
      <w:tabs>
        <w:tab w:val="center" w:pos="4419"/>
        <w:tab w:val="right" w:pos="8838"/>
      </w:tabs>
      <w:spacing w:before="200"/>
      <w:jc w:val="left"/>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qFormat/>
    <w:rsid w:val="00B811D7"/>
    <w:pPr>
      <w:keepNext w:val="0"/>
      <w:keepLines w:val="0"/>
      <w:tabs>
        <w:tab w:val="clear" w:pos="4419"/>
        <w:tab w:val="clear" w:pos="8838"/>
        <w:tab w:val="num" w:pos="3600"/>
      </w:tabs>
      <w:spacing w:before="0"/>
      <w:ind w:left="3600" w:hanging="360"/>
      <w:outlineLvl w:val="5"/>
    </w:pPr>
    <w:rPr>
      <w:rFonts w:ascii="Verdana" w:eastAsia="Times New Roman" w:hAnsi="Verdana" w:cs="Times New Roman"/>
      <w:color w:val="auto"/>
      <w:spacing w:val="-2"/>
      <w:szCs w:val="20"/>
      <w:lang w:val="es-MX" w:eastAsia="es-CR"/>
    </w:rPr>
  </w:style>
  <w:style w:type="paragraph" w:styleId="Heading7">
    <w:name w:val="heading 7"/>
    <w:basedOn w:val="Normal"/>
    <w:next w:val="Normal"/>
    <w:link w:val="Heading7Char"/>
    <w:uiPriority w:val="9"/>
    <w:unhideWhenUsed/>
    <w:qFormat/>
    <w:rsid w:val="00C25D1E"/>
    <w:pPr>
      <w:keepNext/>
      <w:keepLines/>
      <w:numPr>
        <w:numId w:val="4"/>
      </w:numPr>
      <w:outlineLvl w:val="6"/>
    </w:pPr>
    <w:rPr>
      <w:rFonts w:eastAsia="Batang" w:cs="Times New Roman"/>
      <w:b/>
      <w:bCs/>
      <w:i/>
      <w:noProof/>
      <w:szCs w:val="20"/>
      <w:lang w:val="es-MX" w:eastAsia="es-ES"/>
    </w:rPr>
  </w:style>
  <w:style w:type="paragraph" w:styleId="Heading8">
    <w:name w:val="heading 8"/>
    <w:basedOn w:val="Normal"/>
    <w:next w:val="Normal"/>
    <w:link w:val="Heading8Char"/>
    <w:uiPriority w:val="9"/>
    <w:unhideWhenUsed/>
    <w:qFormat/>
    <w:rsid w:val="00B811D7"/>
    <w:pPr>
      <w:keepNext/>
      <w:contextualSpacing/>
      <w:jc w:val="left"/>
      <w:outlineLvl w:val="7"/>
    </w:pPr>
    <w:rPr>
      <w:rFonts w:eastAsia="Batang" w:cs="Times"/>
      <w:i/>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FootnoteTextChar"/>
    <w:unhideWhenUsed/>
    <w:qFormat/>
    <w:rsid w:val="00A62044"/>
    <w:rPr>
      <w:sz w:val="16"/>
      <w:szCs w:val="20"/>
    </w:rPr>
  </w:style>
  <w:style w:type="character" w:customStyle="1" w:styleId="FootnoteTextChar">
    <w:name w:val="Footnote Text Char"/>
    <w:aliases w:val="2. Footnote Text Char,Footnote Tesina Char,Footnote Text Char Char Char Char Char Char,Footnote Text Char Char Char Char Char1,Footnote reference Char,FA Fu Char,Footnote Text Char Char Char Char1,Footnote Text Cha Char,Ca Char,C Char"/>
    <w:basedOn w:val="DefaultParagraphFont"/>
    <w:link w:val="FootnoteText"/>
    <w:rsid w:val="00A62044"/>
    <w:rPr>
      <w:rFonts w:ascii="Verdana" w:hAnsi="Verdana"/>
      <w:sz w:val="16"/>
      <w:szCs w:val="20"/>
    </w:rPr>
  </w:style>
  <w:style w:type="character" w:styleId="Hyperlink">
    <w:name w:val="Hyperlink"/>
    <w:basedOn w:val="DefaultParagraphFont"/>
    <w:uiPriority w:val="99"/>
    <w:unhideWhenUsed/>
    <w:rsid w:val="00DB28AA"/>
    <w:rPr>
      <w:color w:val="0000FF" w:themeColor="hyperlink"/>
      <w:u w:val="single"/>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unhideWhenUsed/>
    <w:qFormat/>
    <w:rsid w:val="000C6064"/>
    <w:rPr>
      <w:rFonts w:ascii="Verdana" w:hAnsi="Verdana" w:cs="Times New Roman"/>
      <w:sz w:val="20"/>
      <w:szCs w:val="20"/>
      <w:vertAlign w:val="superscript"/>
    </w:rPr>
  </w:style>
  <w:style w:type="character" w:styleId="Strong">
    <w:name w:val="Strong"/>
    <w:basedOn w:val="DefaultParagraphFont"/>
    <w:uiPriority w:val="22"/>
    <w:qFormat/>
    <w:rsid w:val="00DB28AA"/>
    <w:rPr>
      <w:b/>
      <w:bCs/>
    </w:rPr>
  </w:style>
  <w:style w:type="paragraph" w:styleId="ListParagraph">
    <w:name w:val="List Paragraph"/>
    <w:aliases w:val="Párrafo de lista1,Footnote,List Paragraph2,List Paragraph1,Colorful List - Accent 11,Lista vistosa - Énfasis 11"/>
    <w:basedOn w:val="Normal"/>
    <w:link w:val="ListParagraphChar"/>
    <w:uiPriority w:val="34"/>
    <w:qFormat/>
    <w:rsid w:val="00D50ACB"/>
    <w:pPr>
      <w:ind w:left="720"/>
      <w:contextualSpacing/>
    </w:pPr>
  </w:style>
  <w:style w:type="paragraph" w:styleId="TOC1">
    <w:name w:val="toc 1"/>
    <w:basedOn w:val="Normal"/>
    <w:next w:val="Normal"/>
    <w:autoRedefine/>
    <w:uiPriority w:val="39"/>
    <w:unhideWhenUsed/>
    <w:qFormat/>
    <w:rsid w:val="00547D83"/>
    <w:pPr>
      <w:keepNext/>
      <w:keepLines/>
      <w:tabs>
        <w:tab w:val="right" w:leader="dot" w:pos="9394"/>
      </w:tabs>
      <w:snapToGrid w:val="0"/>
      <w:jc w:val="center"/>
      <w:outlineLvl w:val="0"/>
    </w:pPr>
    <w:rPr>
      <w:rFonts w:eastAsia="Times New Roman" w:cs="Verdana"/>
      <w:b/>
      <w:bCs/>
      <w:caps/>
      <w:noProof/>
      <w:szCs w:val="20"/>
      <w:lang w:eastAsia="es-ES"/>
    </w:rPr>
  </w:style>
  <w:style w:type="character" w:styleId="FollowedHyperlink">
    <w:name w:val="FollowedHyperlink"/>
    <w:basedOn w:val="DefaultParagraphFont"/>
    <w:uiPriority w:val="99"/>
    <w:semiHidden/>
    <w:unhideWhenUsed/>
    <w:rsid w:val="005269B7"/>
    <w:rPr>
      <w:color w:val="800080" w:themeColor="followedHyperlink"/>
      <w:u w:val="single"/>
    </w:rPr>
  </w:style>
  <w:style w:type="paragraph" w:styleId="BalloonText">
    <w:name w:val="Balloon Text"/>
    <w:basedOn w:val="Normal"/>
    <w:link w:val="BalloonTextChar"/>
    <w:uiPriority w:val="99"/>
    <w:semiHidden/>
    <w:unhideWhenUsed/>
    <w:rsid w:val="00C66F34"/>
    <w:rPr>
      <w:rFonts w:ascii="Tahoma" w:hAnsi="Tahoma" w:cs="Tahoma"/>
      <w:sz w:val="16"/>
      <w:szCs w:val="16"/>
    </w:rPr>
  </w:style>
  <w:style w:type="character" w:customStyle="1" w:styleId="BalloonTextChar">
    <w:name w:val="Balloon Text Char"/>
    <w:basedOn w:val="DefaultParagraphFont"/>
    <w:link w:val="BalloonText"/>
    <w:uiPriority w:val="99"/>
    <w:semiHidden/>
    <w:rsid w:val="00C66F34"/>
    <w:rPr>
      <w:rFonts w:ascii="Tahoma" w:hAnsi="Tahoma" w:cs="Tahoma"/>
      <w:sz w:val="16"/>
      <w:szCs w:val="16"/>
    </w:rPr>
  </w:style>
  <w:style w:type="character" w:styleId="CommentReference">
    <w:name w:val="annotation reference"/>
    <w:basedOn w:val="DefaultParagraphFont"/>
    <w:uiPriority w:val="99"/>
    <w:unhideWhenUsed/>
    <w:rsid w:val="00232925"/>
    <w:rPr>
      <w:sz w:val="16"/>
      <w:szCs w:val="16"/>
    </w:rPr>
  </w:style>
  <w:style w:type="paragraph" w:styleId="CommentText">
    <w:name w:val="annotation text"/>
    <w:basedOn w:val="Normal"/>
    <w:link w:val="CommentTextChar"/>
    <w:uiPriority w:val="99"/>
    <w:unhideWhenUsed/>
    <w:rsid w:val="00232925"/>
    <w:rPr>
      <w:szCs w:val="20"/>
    </w:rPr>
  </w:style>
  <w:style w:type="character" w:customStyle="1" w:styleId="CommentTextChar">
    <w:name w:val="Comment Text Char"/>
    <w:basedOn w:val="DefaultParagraphFont"/>
    <w:link w:val="CommentText"/>
    <w:uiPriority w:val="99"/>
    <w:rsid w:val="00232925"/>
    <w:rPr>
      <w:sz w:val="20"/>
      <w:szCs w:val="20"/>
    </w:rPr>
  </w:style>
  <w:style w:type="paragraph" w:styleId="CommentSubject">
    <w:name w:val="annotation subject"/>
    <w:basedOn w:val="CommentText"/>
    <w:next w:val="CommentText"/>
    <w:link w:val="CommentSubjectChar"/>
    <w:uiPriority w:val="99"/>
    <w:unhideWhenUsed/>
    <w:rsid w:val="00232925"/>
    <w:rPr>
      <w:b/>
      <w:bCs/>
    </w:rPr>
  </w:style>
  <w:style w:type="character" w:customStyle="1" w:styleId="CommentSubjectChar">
    <w:name w:val="Comment Subject Char"/>
    <w:basedOn w:val="CommentTextChar"/>
    <w:link w:val="CommentSubject"/>
    <w:uiPriority w:val="99"/>
    <w:rsid w:val="00232925"/>
    <w:rPr>
      <w:b/>
      <w:bCs/>
      <w:sz w:val="20"/>
      <w:szCs w:val="20"/>
    </w:rPr>
  </w:style>
  <w:style w:type="paragraph" w:styleId="BodyText">
    <w:name w:val="Body Text"/>
    <w:basedOn w:val="Normal"/>
    <w:link w:val="BodyTextChar"/>
    <w:uiPriority w:val="99"/>
    <w:unhideWhenUsed/>
    <w:rsid w:val="00A62044"/>
    <w:pPr>
      <w:tabs>
        <w:tab w:val="right" w:pos="0"/>
        <w:tab w:val="left" w:pos="567"/>
      </w:tabs>
    </w:pPr>
    <w:rPr>
      <w:sz w:val="16"/>
      <w:szCs w:val="16"/>
      <w:lang w:val="es-ES"/>
    </w:rPr>
  </w:style>
  <w:style w:type="character" w:customStyle="1" w:styleId="BodyTextChar">
    <w:name w:val="Body Text Char"/>
    <w:basedOn w:val="DefaultParagraphFont"/>
    <w:link w:val="BodyText"/>
    <w:uiPriority w:val="99"/>
    <w:rsid w:val="00A62044"/>
    <w:rPr>
      <w:rFonts w:ascii="Verdana" w:hAnsi="Verdana"/>
      <w:sz w:val="16"/>
      <w:szCs w:val="16"/>
      <w:lang w:val="es-ES"/>
    </w:rPr>
  </w:style>
  <w:style w:type="character" w:styleId="LineNumber">
    <w:name w:val="line number"/>
    <w:basedOn w:val="DefaultParagraphFont"/>
    <w:uiPriority w:val="99"/>
    <w:semiHidden/>
    <w:unhideWhenUsed/>
    <w:rsid w:val="002A6DEE"/>
  </w:style>
  <w:style w:type="paragraph" w:styleId="Header">
    <w:name w:val="header"/>
    <w:basedOn w:val="Normal"/>
    <w:link w:val="HeaderChar"/>
    <w:uiPriority w:val="99"/>
    <w:unhideWhenUsed/>
    <w:rsid w:val="002A6DEE"/>
    <w:pPr>
      <w:tabs>
        <w:tab w:val="center" w:pos="4513"/>
        <w:tab w:val="right" w:pos="9026"/>
      </w:tabs>
    </w:pPr>
  </w:style>
  <w:style w:type="character" w:customStyle="1" w:styleId="HeaderChar">
    <w:name w:val="Header Char"/>
    <w:basedOn w:val="DefaultParagraphFont"/>
    <w:link w:val="Header"/>
    <w:uiPriority w:val="99"/>
    <w:rsid w:val="002A6DEE"/>
  </w:style>
  <w:style w:type="paragraph" w:styleId="Footer">
    <w:name w:val="footer"/>
    <w:basedOn w:val="Normal"/>
    <w:link w:val="FooterChar"/>
    <w:uiPriority w:val="99"/>
    <w:unhideWhenUsed/>
    <w:rsid w:val="002A6DEE"/>
    <w:pPr>
      <w:tabs>
        <w:tab w:val="center" w:pos="4513"/>
        <w:tab w:val="right" w:pos="9026"/>
      </w:tabs>
    </w:pPr>
  </w:style>
  <w:style w:type="character" w:customStyle="1" w:styleId="FooterChar">
    <w:name w:val="Footer Char"/>
    <w:basedOn w:val="DefaultParagraphFont"/>
    <w:link w:val="Footer"/>
    <w:uiPriority w:val="99"/>
    <w:rsid w:val="002A6DEE"/>
  </w:style>
  <w:style w:type="paragraph" w:customStyle="1" w:styleId="Default">
    <w:name w:val="Default"/>
    <w:rsid w:val="00FC00B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Título Verdana Char"/>
    <w:basedOn w:val="DefaultParagraphFont"/>
    <w:link w:val="Heading1"/>
    <w:uiPriority w:val="9"/>
    <w:rsid w:val="005166F9"/>
    <w:rPr>
      <w:rFonts w:ascii="Verdana" w:eastAsia="Batang" w:hAnsi="Verdana" w:cs="Times"/>
      <w:b/>
      <w:noProof/>
      <w:sz w:val="20"/>
      <w:szCs w:val="20"/>
      <w:lang w:val="es-ES" w:eastAsia="es-ES"/>
    </w:rPr>
  </w:style>
  <w:style w:type="character" w:customStyle="1" w:styleId="Heading2Char">
    <w:name w:val="Heading 2 Char"/>
    <w:basedOn w:val="DefaultParagraphFont"/>
    <w:link w:val="Heading2"/>
    <w:uiPriority w:val="9"/>
    <w:rsid w:val="005166F9"/>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
    <w:rsid w:val="005166F9"/>
    <w:rPr>
      <w:rFonts w:ascii="Verdana" w:eastAsia="Batang" w:hAnsi="Verdana" w:cs="Times"/>
      <w:b/>
      <w:i/>
      <w:sz w:val="20"/>
      <w:szCs w:val="24"/>
      <w:lang w:val="es-MX"/>
    </w:rPr>
  </w:style>
  <w:style w:type="character" w:customStyle="1" w:styleId="ListParagraphChar">
    <w:name w:val="List Paragraph Char"/>
    <w:aliases w:val="Párrafo de lista1 Char,Footnote Char,List Paragraph2 Char,List Paragraph1 Char,Colorful List - Accent 11 Char,Lista vistosa - Énfasis 11 Char"/>
    <w:basedOn w:val="DefaultParagraphFont"/>
    <w:link w:val="ListParagraph"/>
    <w:uiPriority w:val="34"/>
    <w:locked/>
    <w:rsid w:val="005166F9"/>
    <w:rPr>
      <w:rFonts w:ascii="Verdana" w:hAnsi="Verdana"/>
      <w:sz w:val="20"/>
    </w:rPr>
  </w:style>
  <w:style w:type="character" w:customStyle="1" w:styleId="apple-style-span">
    <w:name w:val="apple-style-span"/>
    <w:basedOn w:val="DefaultParagraphFont"/>
    <w:rsid w:val="005166F9"/>
  </w:style>
  <w:style w:type="paragraph" w:customStyle="1" w:styleId="Footnotes">
    <w:name w:val="**. Footnotes"/>
    <w:basedOn w:val="FootnoteText"/>
    <w:link w:val="FootnotesChar"/>
    <w:autoRedefine/>
    <w:qFormat/>
    <w:rsid w:val="005166F9"/>
    <w:pPr>
      <w:spacing w:after="40"/>
    </w:pPr>
    <w:rPr>
      <w:rFonts w:eastAsia="Times New Roman" w:cs="Times New Roman"/>
      <w:bCs/>
      <w:iCs/>
      <w:szCs w:val="16"/>
      <w:lang w:val="pt-BR" w:eastAsia="x-none"/>
    </w:rPr>
  </w:style>
  <w:style w:type="character" w:customStyle="1" w:styleId="FootnotesChar">
    <w:name w:val="**. Footnotes Char"/>
    <w:link w:val="Footnotes"/>
    <w:rsid w:val="005166F9"/>
    <w:rPr>
      <w:rFonts w:ascii="Verdana" w:eastAsia="Times New Roman" w:hAnsi="Verdana" w:cs="Times New Roman"/>
      <w:bCs/>
      <w:iCs/>
      <w:sz w:val="16"/>
      <w:szCs w:val="16"/>
      <w:lang w:val="pt-BR" w:eastAsia="x-none"/>
    </w:rPr>
  </w:style>
  <w:style w:type="character" w:customStyle="1" w:styleId="apple-converted-space">
    <w:name w:val="apple-converted-space"/>
    <w:basedOn w:val="DefaultParagraphFont"/>
    <w:rsid w:val="005166F9"/>
  </w:style>
  <w:style w:type="paragraph" w:styleId="NormalWeb">
    <w:name w:val="Normal (Web)"/>
    <w:basedOn w:val="Normal"/>
    <w:uiPriority w:val="99"/>
    <w:unhideWhenUsed/>
    <w:rsid w:val="005166F9"/>
    <w:pPr>
      <w:spacing w:before="100" w:beforeAutospacing="1" w:after="100" w:afterAutospacing="1"/>
      <w:jc w:val="left"/>
    </w:pPr>
    <w:rPr>
      <w:rFonts w:ascii="Times New Roman" w:eastAsia="Times New Roman" w:hAnsi="Times New Roman" w:cs="Times New Roman"/>
      <w:sz w:val="24"/>
      <w:szCs w:val="24"/>
      <w:lang w:val="en-US" w:eastAsia="zh-CN"/>
    </w:rPr>
  </w:style>
  <w:style w:type="paragraph" w:styleId="TOC3">
    <w:name w:val="toc 3"/>
    <w:basedOn w:val="Normal"/>
    <w:next w:val="Normal"/>
    <w:autoRedefine/>
    <w:uiPriority w:val="39"/>
    <w:unhideWhenUsed/>
    <w:qFormat/>
    <w:rsid w:val="00E53B49"/>
    <w:pPr>
      <w:spacing w:after="100"/>
      <w:ind w:left="400"/>
    </w:pPr>
  </w:style>
  <w:style w:type="paragraph" w:styleId="TOC2">
    <w:name w:val="toc 2"/>
    <w:basedOn w:val="Normal"/>
    <w:next w:val="Normal"/>
    <w:autoRedefine/>
    <w:uiPriority w:val="39"/>
    <w:unhideWhenUsed/>
    <w:qFormat/>
    <w:rsid w:val="00123780"/>
    <w:pPr>
      <w:ind w:right="51"/>
      <w:outlineLvl w:val="0"/>
    </w:pPr>
    <w:rPr>
      <w:rFonts w:cs="Verdana Bold"/>
      <w:b/>
      <w:bCs/>
      <w:i/>
      <w:noProof/>
      <w:szCs w:val="20"/>
      <w:lang w:val="es-ES" w:eastAsia="es-ES"/>
    </w:rPr>
  </w:style>
  <w:style w:type="paragraph" w:styleId="TOCHeading">
    <w:name w:val="TOC Heading"/>
    <w:basedOn w:val="Heading1"/>
    <w:next w:val="Normal"/>
    <w:uiPriority w:val="39"/>
    <w:unhideWhenUsed/>
    <w:qFormat/>
    <w:rsid w:val="000358D6"/>
    <w:pPr>
      <w:keepLines/>
      <w:spacing w:before="480" w:line="276" w:lineRule="auto"/>
      <w:jc w:val="left"/>
      <w:outlineLvl w:val="9"/>
    </w:pPr>
    <w:rPr>
      <w:rFonts w:asciiTheme="majorHAnsi" w:eastAsiaTheme="majorEastAsia" w:hAnsiTheme="majorHAnsi" w:cstheme="majorBidi"/>
      <w:bCs/>
      <w:noProof w:val="0"/>
      <w:color w:val="365F91" w:themeColor="accent1" w:themeShade="BF"/>
      <w:sz w:val="28"/>
      <w:szCs w:val="28"/>
      <w:lang w:val="en-US" w:eastAsia="ja-JP"/>
    </w:rPr>
  </w:style>
  <w:style w:type="character" w:styleId="Emphasis">
    <w:name w:val="Emphasis"/>
    <w:basedOn w:val="DefaultParagraphFont"/>
    <w:uiPriority w:val="20"/>
    <w:qFormat/>
    <w:rsid w:val="007A14C1"/>
    <w:rPr>
      <w:i/>
      <w:iCs/>
    </w:rPr>
  </w:style>
  <w:style w:type="character" w:customStyle="1" w:styleId="Heading4Char">
    <w:name w:val="Heading 4 Char"/>
    <w:basedOn w:val="DefaultParagraphFont"/>
    <w:link w:val="Heading4"/>
    <w:uiPriority w:val="9"/>
    <w:rsid w:val="00B811D7"/>
    <w:rPr>
      <w:rFonts w:ascii="Verdana" w:hAnsi="Verdana" w:cs="Verdana"/>
      <w:b/>
      <w:i/>
      <w:sz w:val="20"/>
      <w:szCs w:val="20"/>
    </w:rPr>
  </w:style>
  <w:style w:type="character" w:customStyle="1" w:styleId="Heading5Char">
    <w:name w:val="Heading 5 Char"/>
    <w:basedOn w:val="DefaultParagraphFont"/>
    <w:link w:val="Heading5"/>
    <w:uiPriority w:val="9"/>
    <w:semiHidden/>
    <w:rsid w:val="00B811D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B811D7"/>
    <w:rPr>
      <w:rFonts w:ascii="Verdana" w:eastAsia="Times New Roman" w:hAnsi="Verdana" w:cs="Times New Roman"/>
      <w:spacing w:val="-2"/>
      <w:sz w:val="20"/>
      <w:szCs w:val="20"/>
      <w:lang w:val="es-MX" w:eastAsia="es-CR"/>
    </w:rPr>
  </w:style>
  <w:style w:type="character" w:customStyle="1" w:styleId="Heading8Char">
    <w:name w:val="Heading 8 Char"/>
    <w:basedOn w:val="DefaultParagraphFont"/>
    <w:link w:val="Heading8"/>
    <w:uiPriority w:val="9"/>
    <w:rsid w:val="00B811D7"/>
    <w:rPr>
      <w:rFonts w:ascii="Verdana" w:eastAsia="Batang" w:hAnsi="Verdana" w:cs="Times"/>
      <w:i/>
      <w:sz w:val="20"/>
      <w:szCs w:val="24"/>
      <w:lang w:val="es-MX"/>
    </w:rPr>
  </w:style>
  <w:style w:type="character" w:customStyle="1" w:styleId="Refdenotaalpie1">
    <w:name w:val="Ref. de nota al pie1"/>
    <w:rsid w:val="00B811D7"/>
    <w:rPr>
      <w:sz w:val="20"/>
      <w:vertAlign w:val="superscript"/>
    </w:rPr>
  </w:style>
  <w:style w:type="paragraph" w:styleId="HTMLPreformatted">
    <w:name w:val="HTML Preformatted"/>
    <w:basedOn w:val="Normal"/>
    <w:link w:val="HTMLPreformattedChar"/>
    <w:uiPriority w:val="99"/>
    <w:unhideWhenUsed/>
    <w:rsid w:val="00B811D7"/>
    <w:rPr>
      <w:rFonts w:ascii="Consolas" w:eastAsia="Calibri" w:hAnsi="Consolas" w:cs="Consolas"/>
      <w:szCs w:val="20"/>
      <w:lang w:val="es-ES_tradnl" w:eastAsia="es-ES"/>
    </w:rPr>
  </w:style>
  <w:style w:type="character" w:customStyle="1" w:styleId="HTMLPreformattedChar">
    <w:name w:val="HTML Preformatted Char"/>
    <w:basedOn w:val="DefaultParagraphFont"/>
    <w:link w:val="HTMLPreformatted"/>
    <w:uiPriority w:val="99"/>
    <w:rsid w:val="00B811D7"/>
    <w:rPr>
      <w:rFonts w:ascii="Consolas" w:eastAsia="Calibri" w:hAnsi="Consolas" w:cs="Consolas"/>
      <w:sz w:val="20"/>
      <w:szCs w:val="20"/>
      <w:lang w:val="es-ES_tradnl" w:eastAsia="es-ES"/>
    </w:rPr>
  </w:style>
  <w:style w:type="character" w:styleId="SubtleEmphasis">
    <w:name w:val="Subtle Emphasis"/>
    <w:aliases w:val="subtitulo segundo"/>
    <w:basedOn w:val="BalloonTextChar"/>
    <w:uiPriority w:val="19"/>
    <w:qFormat/>
    <w:rsid w:val="00B811D7"/>
    <w:rPr>
      <w:rFonts w:ascii="Verdana Bold" w:hAnsi="Verdana Bold" w:cs="Tahoma"/>
      <w:b/>
      <w:i w:val="0"/>
      <w:iCs/>
      <w:color w:val="auto"/>
      <w:sz w:val="20"/>
      <w:szCs w:val="16"/>
      <w:lang w:val="es-ES_tradnl"/>
    </w:rPr>
  </w:style>
  <w:style w:type="paragraph" w:customStyle="1" w:styleId="NormalNumbered">
    <w:name w:val="Normal Numbered"/>
    <w:basedOn w:val="Normal"/>
    <w:qFormat/>
    <w:rsid w:val="00E46859"/>
    <w:pPr>
      <w:numPr>
        <w:numId w:val="8"/>
      </w:numPr>
      <w:ind w:left="0" w:firstLine="0"/>
    </w:pPr>
    <w:rPr>
      <w:rFonts w:eastAsia="Times New Roman" w:cs="Times New Roman"/>
      <w:szCs w:val="20"/>
      <w:lang w:val="x-none" w:eastAsia="x-none"/>
    </w:rPr>
  </w:style>
  <w:style w:type="paragraph" w:customStyle="1" w:styleId="Estilo4">
    <w:name w:val="Estilo4"/>
    <w:basedOn w:val="ListParagraph"/>
    <w:qFormat/>
    <w:rsid w:val="00B14C55"/>
    <w:pPr>
      <w:numPr>
        <w:ilvl w:val="1"/>
        <w:numId w:val="11"/>
      </w:numPr>
      <w:spacing w:after="120"/>
      <w:ind w:left="0" w:firstLine="357"/>
      <w:contextualSpacing w:val="0"/>
    </w:pPr>
    <w:rPr>
      <w:rFonts w:eastAsia="Times New Roman" w:cs="Times New Roman"/>
      <w:spacing w:val="-2"/>
      <w:szCs w:val="20"/>
    </w:rPr>
  </w:style>
  <w:style w:type="paragraph" w:customStyle="1" w:styleId="Prrafodelista2">
    <w:name w:val="Párrafo de lista2"/>
    <w:basedOn w:val="Normal"/>
    <w:uiPriority w:val="99"/>
    <w:rsid w:val="00FC0F3D"/>
    <w:pPr>
      <w:ind w:left="720"/>
      <w:jc w:val="left"/>
    </w:pPr>
    <w:rPr>
      <w:rFonts w:eastAsia="MS Mincho" w:cs="Times New Roman"/>
      <w:szCs w:val="20"/>
      <w:lang w:val="es-ES_tradnl" w:bidi="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DefaultParagraphFont"/>
    <w:locked/>
    <w:rsid w:val="00FC0F3D"/>
    <w:rPr>
      <w:rFonts w:ascii="Times" w:hAnsi="Times" w:cs="Times"/>
      <w:lang w:eastAsia="x-none"/>
    </w:rPr>
  </w:style>
  <w:style w:type="paragraph" w:customStyle="1" w:styleId="Estilo3">
    <w:name w:val="Estilo3"/>
    <w:basedOn w:val="Normal"/>
    <w:rsid w:val="00FC0F3D"/>
    <w:pPr>
      <w:numPr>
        <w:ilvl w:val="4"/>
        <w:numId w:val="23"/>
      </w:numPr>
      <w:spacing w:after="120" w:line="216" w:lineRule="auto"/>
      <w:ind w:left="720" w:right="17" w:firstLine="0"/>
    </w:pPr>
    <w:rPr>
      <w:rFonts w:cs="Times New Roman"/>
      <w:spacing w:val="-2"/>
      <w:szCs w:val="20"/>
      <w:lang w:val="en-US" w:eastAsia="x-none"/>
    </w:rPr>
  </w:style>
  <w:style w:type="character" w:customStyle="1" w:styleId="Estilo5Car">
    <w:name w:val="Estilo5 Car"/>
    <w:basedOn w:val="DefaultParagraphFont"/>
    <w:link w:val="Estilo5"/>
    <w:locked/>
    <w:rsid w:val="00FC0F3D"/>
    <w:rPr>
      <w:rFonts w:ascii="Verdana" w:hAnsi="Verdana"/>
      <w:spacing w:val="-2"/>
      <w:lang w:eastAsia="x-none"/>
    </w:rPr>
  </w:style>
  <w:style w:type="paragraph" w:customStyle="1" w:styleId="Estilo5">
    <w:name w:val="Estilo5"/>
    <w:basedOn w:val="Normal"/>
    <w:link w:val="Estilo5Car"/>
    <w:rsid w:val="00FC0F3D"/>
    <w:pPr>
      <w:numPr>
        <w:numId w:val="23"/>
      </w:numPr>
      <w:spacing w:after="120" w:line="216" w:lineRule="auto"/>
      <w:ind w:left="0" w:right="18" w:firstLine="0"/>
    </w:pPr>
    <w:rPr>
      <w:spacing w:val="-2"/>
      <w:sz w:val="22"/>
      <w:lang w:eastAsia="x-none"/>
    </w:rPr>
  </w:style>
  <w:style w:type="paragraph" w:customStyle="1" w:styleId="Estilo8">
    <w:name w:val="Estilo8"/>
    <w:basedOn w:val="Normal"/>
    <w:rsid w:val="00FC0F3D"/>
    <w:pPr>
      <w:numPr>
        <w:ilvl w:val="5"/>
        <w:numId w:val="23"/>
      </w:numPr>
      <w:spacing w:after="120" w:line="216" w:lineRule="auto"/>
      <w:ind w:left="1080" w:right="17" w:hanging="358"/>
    </w:pPr>
    <w:rPr>
      <w:rFonts w:cs="Times New Roman"/>
      <w:spacing w:val="-2"/>
      <w:szCs w:val="20"/>
      <w:lang w:val="en-US" w:eastAsia="x-none"/>
    </w:rPr>
  </w:style>
  <w:style w:type="paragraph" w:styleId="BodyTextIndent">
    <w:name w:val="Body Text Indent"/>
    <w:basedOn w:val="Normal"/>
    <w:link w:val="BodyTextIndentChar"/>
    <w:rsid w:val="00FC0F3D"/>
    <w:pPr>
      <w:ind w:left="360"/>
    </w:pPr>
    <w:rPr>
      <w:rFonts w:ascii="Garamond" w:eastAsia="Times New Roman" w:hAnsi="Garamond" w:cs="Times New Roman"/>
      <w:sz w:val="24"/>
      <w:szCs w:val="20"/>
      <w:lang w:val="en-US"/>
    </w:rPr>
  </w:style>
  <w:style w:type="character" w:customStyle="1" w:styleId="BodyTextIndentChar">
    <w:name w:val="Body Text Indent Char"/>
    <w:basedOn w:val="DefaultParagraphFont"/>
    <w:link w:val="BodyTextIndent"/>
    <w:rsid w:val="00FC0F3D"/>
    <w:rPr>
      <w:rFonts w:ascii="Garamond" w:eastAsia="Times New Roman" w:hAnsi="Garamond" w:cs="Times New Roman"/>
      <w:sz w:val="24"/>
      <w:szCs w:val="20"/>
      <w:lang w:val="en-US"/>
    </w:rPr>
  </w:style>
  <w:style w:type="character" w:customStyle="1" w:styleId="Heading7Char">
    <w:name w:val="Heading 7 Char"/>
    <w:basedOn w:val="DefaultParagraphFont"/>
    <w:link w:val="Heading7"/>
    <w:uiPriority w:val="9"/>
    <w:rsid w:val="00C25D1E"/>
    <w:rPr>
      <w:rFonts w:ascii="Verdana" w:eastAsia="Batang" w:hAnsi="Verdana" w:cs="Times New Roman"/>
      <w:b/>
      <w:bCs/>
      <w:i/>
      <w:noProof/>
      <w:sz w:val="20"/>
      <w:szCs w:val="20"/>
      <w:lang w:val="es-MX" w:eastAsia="es-ES"/>
    </w:rPr>
  </w:style>
  <w:style w:type="paragraph" w:styleId="TOC4">
    <w:name w:val="toc 4"/>
    <w:basedOn w:val="Normal"/>
    <w:next w:val="Normal"/>
    <w:autoRedefine/>
    <w:uiPriority w:val="39"/>
    <w:unhideWhenUsed/>
    <w:rsid w:val="00BC31D2"/>
    <w:pPr>
      <w:spacing w:after="100" w:line="276" w:lineRule="auto"/>
      <w:ind w:left="660"/>
      <w:jc w:val="left"/>
    </w:pPr>
    <w:rPr>
      <w:rFonts w:asciiTheme="minorHAnsi" w:eastAsiaTheme="minorEastAsia" w:hAnsiTheme="minorHAnsi"/>
      <w:sz w:val="22"/>
      <w:lang w:val="es-ES" w:eastAsia="es-ES"/>
    </w:rPr>
  </w:style>
  <w:style w:type="paragraph" w:styleId="TOC5">
    <w:name w:val="toc 5"/>
    <w:basedOn w:val="Normal"/>
    <w:next w:val="Normal"/>
    <w:autoRedefine/>
    <w:uiPriority w:val="39"/>
    <w:unhideWhenUsed/>
    <w:rsid w:val="00BC31D2"/>
    <w:pPr>
      <w:spacing w:after="100" w:line="276" w:lineRule="auto"/>
      <w:ind w:left="880"/>
      <w:jc w:val="left"/>
    </w:pPr>
    <w:rPr>
      <w:rFonts w:asciiTheme="minorHAnsi" w:eastAsiaTheme="minorEastAsia" w:hAnsiTheme="minorHAnsi"/>
      <w:sz w:val="22"/>
      <w:lang w:val="es-ES" w:eastAsia="es-ES"/>
    </w:rPr>
  </w:style>
  <w:style w:type="paragraph" w:styleId="TOC6">
    <w:name w:val="toc 6"/>
    <w:basedOn w:val="Normal"/>
    <w:next w:val="Normal"/>
    <w:autoRedefine/>
    <w:uiPriority w:val="39"/>
    <w:unhideWhenUsed/>
    <w:rsid w:val="00BC31D2"/>
    <w:pPr>
      <w:spacing w:after="100" w:line="276" w:lineRule="auto"/>
      <w:ind w:left="1100"/>
      <w:jc w:val="left"/>
    </w:pPr>
    <w:rPr>
      <w:rFonts w:asciiTheme="minorHAnsi" w:eastAsiaTheme="minorEastAsia" w:hAnsiTheme="minorHAnsi"/>
      <w:sz w:val="22"/>
      <w:lang w:val="es-ES" w:eastAsia="es-ES"/>
    </w:rPr>
  </w:style>
  <w:style w:type="paragraph" w:styleId="TOC7">
    <w:name w:val="toc 7"/>
    <w:basedOn w:val="Normal"/>
    <w:next w:val="Normal"/>
    <w:autoRedefine/>
    <w:uiPriority w:val="39"/>
    <w:unhideWhenUsed/>
    <w:rsid w:val="00BC31D2"/>
    <w:pPr>
      <w:spacing w:after="100" w:line="276" w:lineRule="auto"/>
      <w:ind w:left="1320"/>
      <w:jc w:val="left"/>
    </w:pPr>
    <w:rPr>
      <w:rFonts w:asciiTheme="minorHAnsi" w:eastAsiaTheme="minorEastAsia" w:hAnsiTheme="minorHAnsi"/>
      <w:sz w:val="22"/>
      <w:lang w:val="es-ES" w:eastAsia="es-ES"/>
    </w:rPr>
  </w:style>
  <w:style w:type="paragraph" w:styleId="TOC8">
    <w:name w:val="toc 8"/>
    <w:basedOn w:val="Normal"/>
    <w:next w:val="Normal"/>
    <w:autoRedefine/>
    <w:uiPriority w:val="39"/>
    <w:unhideWhenUsed/>
    <w:rsid w:val="00BC31D2"/>
    <w:pPr>
      <w:spacing w:after="100" w:line="276" w:lineRule="auto"/>
      <w:ind w:left="1540"/>
      <w:jc w:val="left"/>
    </w:pPr>
    <w:rPr>
      <w:rFonts w:asciiTheme="minorHAnsi" w:eastAsiaTheme="minorEastAsia" w:hAnsiTheme="minorHAnsi"/>
      <w:sz w:val="22"/>
      <w:lang w:val="es-ES" w:eastAsia="es-ES"/>
    </w:rPr>
  </w:style>
  <w:style w:type="paragraph" w:styleId="TOC9">
    <w:name w:val="toc 9"/>
    <w:basedOn w:val="Normal"/>
    <w:next w:val="Normal"/>
    <w:autoRedefine/>
    <w:uiPriority w:val="39"/>
    <w:unhideWhenUsed/>
    <w:rsid w:val="00BC31D2"/>
    <w:pPr>
      <w:spacing w:after="100" w:line="276" w:lineRule="auto"/>
      <w:ind w:left="1760"/>
      <w:jc w:val="left"/>
    </w:pPr>
    <w:rPr>
      <w:rFonts w:asciiTheme="minorHAnsi" w:eastAsiaTheme="minorEastAsia" w:hAnsiTheme="minorHAnsi"/>
      <w:sz w:val="22"/>
      <w:lang w:val="es-ES" w:eastAsia="es-ES"/>
    </w:rPr>
  </w:style>
  <w:style w:type="paragraph" w:styleId="BodyText2">
    <w:name w:val="Body Text 2"/>
    <w:basedOn w:val="Normal"/>
    <w:link w:val="BodyText2Char"/>
    <w:uiPriority w:val="99"/>
    <w:unhideWhenUsed/>
    <w:rsid w:val="002C766F"/>
    <w:pPr>
      <w:contextualSpacing/>
    </w:pPr>
    <w:rPr>
      <w:b/>
      <w:i/>
      <w:szCs w:val="20"/>
    </w:rPr>
  </w:style>
  <w:style w:type="character" w:customStyle="1" w:styleId="BodyText2Char">
    <w:name w:val="Body Text 2 Char"/>
    <w:basedOn w:val="DefaultParagraphFont"/>
    <w:link w:val="BodyText2"/>
    <w:uiPriority w:val="99"/>
    <w:rsid w:val="002C766F"/>
    <w:rPr>
      <w:rFonts w:ascii="Verdana" w:hAnsi="Verdana"/>
      <w:b/>
      <w:i/>
      <w:sz w:val="20"/>
      <w:szCs w:val="20"/>
    </w:rPr>
  </w:style>
  <w:style w:type="paragraph" w:customStyle="1" w:styleId="Estilo1">
    <w:name w:val="Estilo1"/>
    <w:basedOn w:val="Normal"/>
    <w:link w:val="Estilo1Char"/>
    <w:qFormat/>
    <w:rsid w:val="00DE3BA1"/>
    <w:pPr>
      <w:numPr>
        <w:numId w:val="34"/>
      </w:numPr>
      <w:tabs>
        <w:tab w:val="left" w:pos="567"/>
        <w:tab w:val="left" w:pos="1134"/>
      </w:tabs>
      <w:spacing w:after="120"/>
    </w:pPr>
    <w:rPr>
      <w:rFonts w:eastAsia="Calibri" w:cs="Times New Roman"/>
      <w:szCs w:val="20"/>
      <w:lang w:val="es-ES"/>
    </w:rPr>
  </w:style>
  <w:style w:type="character" w:customStyle="1" w:styleId="Estilo1Char">
    <w:name w:val="Estilo1 Char"/>
    <w:link w:val="Estilo1"/>
    <w:rsid w:val="00DE3BA1"/>
    <w:rPr>
      <w:rFonts w:ascii="Verdana" w:eastAsia="Calibri" w:hAnsi="Verdana" w:cs="Times New Roman"/>
      <w:sz w:val="20"/>
      <w:szCs w:val="20"/>
      <w:lang w:val="es-ES"/>
    </w:rPr>
  </w:style>
  <w:style w:type="paragraph" w:customStyle="1" w:styleId="Estilo2">
    <w:name w:val="Estilo2"/>
    <w:basedOn w:val="Normal"/>
    <w:qFormat/>
    <w:rsid w:val="00DE3BA1"/>
    <w:pPr>
      <w:numPr>
        <w:ilvl w:val="1"/>
        <w:numId w:val="34"/>
      </w:numPr>
      <w:tabs>
        <w:tab w:val="left" w:pos="567"/>
        <w:tab w:val="left" w:pos="1134"/>
      </w:tabs>
      <w:spacing w:after="120"/>
    </w:pPr>
    <w:rPr>
      <w:rFonts w:eastAsia="Calibri" w:cs="Times New Roman"/>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DE3BA1"/>
    <w:rPr>
      <w:rFonts w:cs="Times New Roman"/>
      <w:szCs w:val="20"/>
      <w:vertAlign w:val="superscript"/>
    </w:rPr>
  </w:style>
  <w:style w:type="paragraph" w:styleId="Revision">
    <w:name w:val="Revision"/>
    <w:hidden/>
    <w:uiPriority w:val="99"/>
    <w:semiHidden/>
    <w:rsid w:val="00CA66EF"/>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5214">
      <w:bodyDiv w:val="1"/>
      <w:marLeft w:val="0"/>
      <w:marRight w:val="0"/>
      <w:marTop w:val="0"/>
      <w:marBottom w:val="0"/>
      <w:divBdr>
        <w:top w:val="none" w:sz="0" w:space="0" w:color="auto"/>
        <w:left w:val="none" w:sz="0" w:space="0" w:color="auto"/>
        <w:bottom w:val="none" w:sz="0" w:space="0" w:color="auto"/>
        <w:right w:val="none" w:sz="0" w:space="0" w:color="auto"/>
      </w:divBdr>
    </w:div>
    <w:div w:id="1185940421">
      <w:bodyDiv w:val="1"/>
      <w:marLeft w:val="0"/>
      <w:marRight w:val="0"/>
      <w:marTop w:val="0"/>
      <w:marBottom w:val="0"/>
      <w:divBdr>
        <w:top w:val="none" w:sz="0" w:space="0" w:color="auto"/>
        <w:left w:val="none" w:sz="0" w:space="0" w:color="auto"/>
        <w:bottom w:val="none" w:sz="0" w:space="0" w:color="auto"/>
        <w:right w:val="none" w:sz="0" w:space="0" w:color="auto"/>
      </w:divBdr>
    </w:div>
    <w:div w:id="1240290828">
      <w:bodyDiv w:val="1"/>
      <w:marLeft w:val="0"/>
      <w:marRight w:val="0"/>
      <w:marTop w:val="0"/>
      <w:marBottom w:val="0"/>
      <w:divBdr>
        <w:top w:val="none" w:sz="0" w:space="0" w:color="auto"/>
        <w:left w:val="none" w:sz="0" w:space="0" w:color="auto"/>
        <w:bottom w:val="none" w:sz="0" w:space="0" w:color="auto"/>
        <w:right w:val="none" w:sz="0" w:space="0" w:color="auto"/>
      </w:divBdr>
    </w:div>
    <w:div w:id="17395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asuntos/genoveva_16_09_16.pdf" TargetMode="External"/><Relationship Id="rId2" Type="http://schemas.openxmlformats.org/officeDocument/2006/relationships/hyperlink" Target="http://www.corteidh.or.cr/docs/asuntos/genoveva_04_08_16.pdf" TargetMode="External"/><Relationship Id="rId1" Type="http://schemas.openxmlformats.org/officeDocument/2006/relationships/hyperlink" Target="http://www.corteidh.or.cr/docs/asuntos/cosme_fv_15.pdf" TargetMode="External"/><Relationship Id="rId5" Type="http://schemas.openxmlformats.org/officeDocument/2006/relationships/hyperlink" Target="http://www.oas.org/juridico/spanish/firmas/b-32.html" TargetMode="External"/><Relationship Id="rId4" Type="http://schemas.openxmlformats.org/officeDocument/2006/relationships/hyperlink" Target="http://www.corteidh.or.cr/docs/asuntos/genoveva_10_10_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B0BF-D5C3-4C08-9926-B4BE8B13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42129</Words>
  <Characters>225815</Characters>
  <Application>Microsoft Office Word</Application>
  <DocSecurity>0</DocSecurity>
  <Lines>3961</Lines>
  <Paragraphs>681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267263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Patricia Calderon</cp:lastModifiedBy>
  <cp:revision>3</cp:revision>
  <cp:lastPrinted>2017-03-14T20:55:00Z</cp:lastPrinted>
  <dcterms:created xsi:type="dcterms:W3CDTF">2017-05-12T21:03:00Z</dcterms:created>
  <dcterms:modified xsi:type="dcterms:W3CDTF">2017-05-12T21:36:00Z</dcterms:modified>
</cp:coreProperties>
</file>