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0B83F" w14:textId="28C9FBED" w:rsidR="00673536" w:rsidRPr="009D5EA7" w:rsidRDefault="00673536" w:rsidP="006B7AA1">
      <w:pPr>
        <w:pStyle w:val="Footnotes"/>
        <w:rPr>
          <w:lang w:val="es-ES_tradnl"/>
        </w:rPr>
      </w:pPr>
      <w:bookmarkStart w:id="0" w:name="_Toc358579010"/>
      <w:bookmarkStart w:id="1" w:name="_Toc370486187"/>
      <w:bookmarkStart w:id="2" w:name="_GoBack"/>
      <w:bookmarkEnd w:id="2"/>
    </w:p>
    <w:p w14:paraId="6B6916A9" w14:textId="77777777" w:rsidR="007B3B4E" w:rsidRPr="009D5EA7" w:rsidRDefault="007B3B4E" w:rsidP="007B3B4E">
      <w:pPr>
        <w:spacing w:after="0" w:line="240" w:lineRule="auto"/>
        <w:rPr>
          <w:rFonts w:ascii="Verdana" w:hAnsi="Verdana"/>
          <w:b/>
          <w:sz w:val="20"/>
          <w:szCs w:val="20"/>
          <w:lang w:val="es-ES_tradnl"/>
        </w:rPr>
      </w:pPr>
    </w:p>
    <w:p w14:paraId="39974010" w14:textId="77777777" w:rsidR="007B3B4E" w:rsidRPr="009D5EA7" w:rsidRDefault="007B3B4E" w:rsidP="007B3B4E">
      <w:pPr>
        <w:spacing w:after="0" w:line="240" w:lineRule="auto"/>
        <w:rPr>
          <w:rFonts w:ascii="Verdana" w:hAnsi="Verdana"/>
          <w:b/>
          <w:sz w:val="20"/>
          <w:szCs w:val="20"/>
          <w:lang w:val="es-ES_tradnl"/>
        </w:rPr>
      </w:pPr>
    </w:p>
    <w:p w14:paraId="7A818A96" w14:textId="77777777" w:rsidR="007B3B4E" w:rsidRPr="009D5EA7" w:rsidRDefault="007B3B4E" w:rsidP="007B3B4E">
      <w:pPr>
        <w:spacing w:after="0" w:line="240" w:lineRule="auto"/>
        <w:rPr>
          <w:rFonts w:ascii="Verdana" w:hAnsi="Verdana"/>
          <w:b/>
          <w:sz w:val="20"/>
          <w:szCs w:val="20"/>
          <w:lang w:val="es-ES_tradnl"/>
        </w:rPr>
      </w:pPr>
    </w:p>
    <w:p w14:paraId="56AEA875" w14:textId="77777777" w:rsidR="007B3B4E" w:rsidRPr="009D5EA7" w:rsidRDefault="007B3B4E" w:rsidP="007B3B4E">
      <w:pPr>
        <w:spacing w:after="0" w:line="240" w:lineRule="auto"/>
        <w:rPr>
          <w:rFonts w:ascii="Verdana" w:hAnsi="Verdana"/>
          <w:b/>
          <w:sz w:val="20"/>
          <w:szCs w:val="20"/>
          <w:lang w:val="es-ES_tradnl"/>
        </w:rPr>
      </w:pPr>
    </w:p>
    <w:p w14:paraId="05817609" w14:textId="77777777" w:rsidR="007B3B4E" w:rsidRPr="009D5EA7" w:rsidRDefault="007B3B4E" w:rsidP="007B3B4E">
      <w:pPr>
        <w:spacing w:after="0" w:line="240" w:lineRule="auto"/>
        <w:rPr>
          <w:rFonts w:ascii="Verdana" w:hAnsi="Verdana"/>
          <w:b/>
          <w:sz w:val="20"/>
          <w:szCs w:val="20"/>
          <w:lang w:val="es-ES_tradnl"/>
        </w:rPr>
      </w:pPr>
    </w:p>
    <w:p w14:paraId="5299EF77" w14:textId="77777777" w:rsidR="007B3B4E" w:rsidRPr="009D5EA7" w:rsidRDefault="007B3B4E" w:rsidP="007B3B4E">
      <w:pPr>
        <w:spacing w:after="0" w:line="240" w:lineRule="auto"/>
        <w:rPr>
          <w:rFonts w:ascii="Verdana" w:hAnsi="Verdana"/>
          <w:b/>
          <w:sz w:val="20"/>
          <w:szCs w:val="20"/>
          <w:lang w:val="es-ES_tradnl"/>
        </w:rPr>
      </w:pPr>
    </w:p>
    <w:p w14:paraId="76848AE8" w14:textId="77777777" w:rsidR="007B3B4E" w:rsidRPr="009D5EA7" w:rsidRDefault="007B3B4E" w:rsidP="007B3B4E">
      <w:pPr>
        <w:spacing w:after="0" w:line="240" w:lineRule="auto"/>
        <w:rPr>
          <w:rFonts w:ascii="Verdana" w:hAnsi="Verdana"/>
          <w:b/>
          <w:sz w:val="20"/>
          <w:szCs w:val="20"/>
          <w:lang w:val="es-ES_tradnl"/>
        </w:rPr>
      </w:pPr>
    </w:p>
    <w:p w14:paraId="55D1EEF3" w14:textId="77777777" w:rsidR="007B3B4E" w:rsidRPr="009D5EA7" w:rsidRDefault="007B3B4E" w:rsidP="007B3B4E">
      <w:pPr>
        <w:spacing w:after="0" w:line="240" w:lineRule="auto"/>
        <w:rPr>
          <w:rFonts w:ascii="Verdana" w:hAnsi="Verdana"/>
          <w:b/>
          <w:sz w:val="20"/>
          <w:szCs w:val="20"/>
          <w:lang w:val="es-ES_tradnl"/>
        </w:rPr>
      </w:pPr>
    </w:p>
    <w:p w14:paraId="71C8C61A" w14:textId="77777777" w:rsidR="007B3B4E" w:rsidRPr="009D5EA7" w:rsidRDefault="007B3B4E" w:rsidP="007B3B4E">
      <w:pPr>
        <w:spacing w:after="0" w:line="240" w:lineRule="auto"/>
        <w:rPr>
          <w:rFonts w:ascii="Verdana" w:hAnsi="Verdana"/>
          <w:b/>
          <w:sz w:val="20"/>
          <w:szCs w:val="20"/>
          <w:lang w:val="es-ES_tradnl"/>
        </w:rPr>
      </w:pPr>
    </w:p>
    <w:p w14:paraId="3E64CDE1" w14:textId="77777777" w:rsidR="007B3B4E" w:rsidRPr="009D5EA7" w:rsidRDefault="007B3B4E" w:rsidP="007B3B4E">
      <w:pPr>
        <w:spacing w:after="0" w:line="240" w:lineRule="auto"/>
        <w:rPr>
          <w:rFonts w:ascii="Verdana" w:hAnsi="Verdana"/>
          <w:b/>
          <w:sz w:val="20"/>
          <w:szCs w:val="20"/>
          <w:lang w:val="es-ES_tradnl"/>
        </w:rPr>
      </w:pPr>
    </w:p>
    <w:p w14:paraId="3C3B0316" w14:textId="77777777" w:rsidR="007B3B4E" w:rsidRPr="009D5EA7" w:rsidRDefault="007B3B4E" w:rsidP="007B3B4E">
      <w:pPr>
        <w:pStyle w:val="Ttulo"/>
        <w:numPr>
          <w:ilvl w:val="0"/>
          <w:numId w:val="0"/>
        </w:numPr>
        <w:ind w:right="-138"/>
        <w:jc w:val="center"/>
        <w:rPr>
          <w:rFonts w:eastAsia="MS Mincho"/>
        </w:rPr>
      </w:pPr>
      <w:r w:rsidRPr="009D5EA7">
        <w:rPr>
          <w:rFonts w:eastAsia="MS Mincho"/>
        </w:rPr>
        <w:t>CORTE INTERAMERICANA DE DERECHOS HUMANOS</w:t>
      </w:r>
    </w:p>
    <w:p w14:paraId="3EF22E5F" w14:textId="77777777" w:rsidR="007B3B4E" w:rsidRPr="009D5EA7" w:rsidRDefault="007B3B4E" w:rsidP="007B3B4E">
      <w:pPr>
        <w:spacing w:after="0" w:line="240" w:lineRule="auto"/>
        <w:jc w:val="center"/>
        <w:rPr>
          <w:rFonts w:ascii="Verdana" w:hAnsi="Verdana"/>
          <w:b/>
          <w:sz w:val="20"/>
          <w:szCs w:val="20"/>
          <w:lang w:val="es-ES_tradnl"/>
        </w:rPr>
      </w:pPr>
    </w:p>
    <w:p w14:paraId="6BE9C202" w14:textId="77777777" w:rsidR="007B3B4E" w:rsidRPr="009D5EA7" w:rsidRDefault="007B3B4E" w:rsidP="0064464E">
      <w:pPr>
        <w:spacing w:after="0" w:line="240" w:lineRule="auto"/>
        <w:jc w:val="center"/>
        <w:rPr>
          <w:rFonts w:ascii="Verdana" w:hAnsi="Verdana"/>
          <w:b/>
          <w:sz w:val="20"/>
          <w:szCs w:val="20"/>
          <w:lang w:val="es-ES_tradnl"/>
        </w:rPr>
      </w:pPr>
    </w:p>
    <w:p w14:paraId="73755CA0" w14:textId="6D6D171F" w:rsidR="007B3B4E" w:rsidRPr="009D5EA7" w:rsidRDefault="008969F1" w:rsidP="00D64068">
      <w:pPr>
        <w:autoSpaceDE w:val="0"/>
        <w:autoSpaceDN w:val="0"/>
        <w:adjustRightInd w:val="0"/>
        <w:spacing w:after="0" w:line="240" w:lineRule="auto"/>
        <w:jc w:val="center"/>
        <w:rPr>
          <w:rFonts w:ascii="Verdana" w:eastAsia="MS Mincho" w:hAnsi="Verdana" w:cs="Times New Roman"/>
          <w:b/>
          <w:i/>
          <w:sz w:val="20"/>
          <w:szCs w:val="20"/>
          <w:lang w:val="es-ES_tradnl" w:eastAsia="es-ES" w:bidi="en-US"/>
        </w:rPr>
      </w:pPr>
      <w:r>
        <w:rPr>
          <w:rFonts w:ascii="Verdana" w:eastAsia="MS Mincho" w:hAnsi="Verdana" w:cs="Times New Roman"/>
          <w:b/>
          <w:i/>
          <w:sz w:val="20"/>
          <w:szCs w:val="20"/>
          <w:lang w:val="es-ES_tradnl" w:eastAsia="es-ES" w:bidi="en-US"/>
        </w:rPr>
        <w:t xml:space="preserve">CASO </w:t>
      </w:r>
      <w:r w:rsidR="001E7190" w:rsidRPr="009D5EA7">
        <w:rPr>
          <w:rFonts w:ascii="Verdana" w:eastAsia="MS Mincho" w:hAnsi="Verdana" w:cs="Times New Roman"/>
          <w:b/>
          <w:i/>
          <w:sz w:val="20"/>
          <w:szCs w:val="20"/>
          <w:lang w:val="es-ES_tradnl" w:eastAsia="es-ES" w:bidi="en-US"/>
        </w:rPr>
        <w:t>ACOSTA Y OTROS VS</w:t>
      </w:r>
      <w:r w:rsidR="0064464E" w:rsidRPr="009D5EA7">
        <w:rPr>
          <w:rFonts w:ascii="Verdana" w:eastAsia="MS Mincho" w:hAnsi="Verdana" w:cs="Times New Roman"/>
          <w:b/>
          <w:i/>
          <w:sz w:val="20"/>
          <w:szCs w:val="20"/>
          <w:lang w:val="es-ES_tradnl" w:eastAsia="es-ES" w:bidi="en-US"/>
        </w:rPr>
        <w:t>. NICARAGUA</w:t>
      </w:r>
    </w:p>
    <w:p w14:paraId="786F4D60" w14:textId="77777777" w:rsidR="007B3B4E" w:rsidRPr="009D5EA7" w:rsidRDefault="007B3B4E" w:rsidP="007B3B4E">
      <w:pPr>
        <w:pStyle w:val="Ttulo"/>
        <w:numPr>
          <w:ilvl w:val="0"/>
          <w:numId w:val="0"/>
        </w:numPr>
        <w:ind w:right="-138"/>
        <w:jc w:val="center"/>
        <w:rPr>
          <w:rFonts w:eastAsia="MS Mincho"/>
        </w:rPr>
      </w:pPr>
    </w:p>
    <w:p w14:paraId="7FDCB74A" w14:textId="77777777" w:rsidR="00700BEF" w:rsidRPr="009D5EA7" w:rsidRDefault="00700BEF" w:rsidP="00700BEF">
      <w:pPr>
        <w:pStyle w:val="Ttulo"/>
        <w:numPr>
          <w:ilvl w:val="0"/>
          <w:numId w:val="0"/>
        </w:numPr>
        <w:ind w:right="-138"/>
        <w:jc w:val="center"/>
        <w:rPr>
          <w:rFonts w:eastAsia="MS Mincho"/>
        </w:rPr>
      </w:pPr>
    </w:p>
    <w:p w14:paraId="5170807A" w14:textId="4A7EBC45" w:rsidR="00700BEF" w:rsidRPr="009D5EA7" w:rsidRDefault="00700BEF" w:rsidP="00700BEF">
      <w:pPr>
        <w:pStyle w:val="Ttulo"/>
        <w:numPr>
          <w:ilvl w:val="0"/>
          <w:numId w:val="0"/>
        </w:numPr>
        <w:ind w:right="-138"/>
        <w:jc w:val="center"/>
        <w:rPr>
          <w:rFonts w:eastAsia="MS Mincho"/>
        </w:rPr>
      </w:pPr>
      <w:r w:rsidRPr="009D5EA7">
        <w:rPr>
          <w:rFonts w:eastAsia="MS Mincho"/>
        </w:rPr>
        <w:t xml:space="preserve">SENTENCIA DE </w:t>
      </w:r>
      <w:r w:rsidR="002C1FA6" w:rsidRPr="009D5EA7">
        <w:rPr>
          <w:rFonts w:eastAsia="MS Mincho"/>
        </w:rPr>
        <w:t>2</w:t>
      </w:r>
      <w:r w:rsidR="002911F8" w:rsidRPr="009D5EA7">
        <w:rPr>
          <w:rFonts w:eastAsia="MS Mincho"/>
        </w:rPr>
        <w:t>5</w:t>
      </w:r>
      <w:r w:rsidRPr="009D5EA7">
        <w:rPr>
          <w:rFonts w:eastAsia="MS Mincho"/>
        </w:rPr>
        <w:t xml:space="preserve"> DE MARZO DE 2017</w:t>
      </w:r>
    </w:p>
    <w:p w14:paraId="3261837B" w14:textId="574DAA6B" w:rsidR="007B3B4E" w:rsidRPr="009D5EA7" w:rsidRDefault="007B3B4E" w:rsidP="007B3B4E">
      <w:pPr>
        <w:pStyle w:val="Ttulo"/>
        <w:numPr>
          <w:ilvl w:val="0"/>
          <w:numId w:val="0"/>
        </w:numPr>
        <w:ind w:right="-138"/>
        <w:jc w:val="center"/>
        <w:rPr>
          <w:rFonts w:eastAsia="MS Mincho"/>
        </w:rPr>
      </w:pPr>
      <w:r w:rsidRPr="009D5EA7">
        <w:rPr>
          <w:rFonts w:eastAsia="MS Mincho"/>
        </w:rPr>
        <w:t>(</w:t>
      </w:r>
      <w:r w:rsidR="00700BEF" w:rsidRPr="009D5EA7">
        <w:rPr>
          <w:rFonts w:eastAsia="MS Mincho"/>
        </w:rPr>
        <w:t xml:space="preserve">Excepciones preliminares, </w:t>
      </w:r>
      <w:r w:rsidRPr="009D5EA7">
        <w:rPr>
          <w:rFonts w:eastAsia="MS Mincho"/>
        </w:rPr>
        <w:t>Fondo, Reparaciones y Costas)</w:t>
      </w:r>
    </w:p>
    <w:p w14:paraId="61FDCDEA" w14:textId="77777777" w:rsidR="007B3B4E" w:rsidRPr="009D5EA7" w:rsidRDefault="007B3B4E" w:rsidP="007B3B4E">
      <w:pPr>
        <w:pStyle w:val="Ttulo"/>
        <w:numPr>
          <w:ilvl w:val="0"/>
          <w:numId w:val="0"/>
        </w:numPr>
        <w:ind w:left="-502" w:right="-138"/>
        <w:rPr>
          <w:rFonts w:eastAsia="MS Mincho"/>
        </w:rPr>
      </w:pPr>
    </w:p>
    <w:p w14:paraId="60D167BE" w14:textId="77777777" w:rsidR="007B3B4E" w:rsidRPr="009D5EA7" w:rsidRDefault="007B3B4E" w:rsidP="007B3B4E">
      <w:pPr>
        <w:spacing w:after="0" w:line="240" w:lineRule="auto"/>
        <w:jc w:val="both"/>
        <w:rPr>
          <w:rFonts w:ascii="Verdana" w:hAnsi="Verdana"/>
          <w:b/>
          <w:i/>
          <w:sz w:val="20"/>
          <w:szCs w:val="20"/>
          <w:lang w:val="es-ES_tradnl"/>
        </w:rPr>
      </w:pPr>
    </w:p>
    <w:p w14:paraId="5C85C6C7" w14:textId="77777777" w:rsidR="007B3B4E" w:rsidRPr="009D5EA7" w:rsidRDefault="007B3B4E" w:rsidP="007B3B4E">
      <w:pPr>
        <w:spacing w:after="0" w:line="240" w:lineRule="auto"/>
        <w:jc w:val="both"/>
        <w:rPr>
          <w:rFonts w:ascii="Verdana" w:hAnsi="Verdana"/>
          <w:b/>
          <w:i/>
          <w:sz w:val="20"/>
          <w:szCs w:val="20"/>
          <w:lang w:val="es-ES_tradnl"/>
        </w:rPr>
      </w:pPr>
    </w:p>
    <w:p w14:paraId="1327A992" w14:textId="552F690C" w:rsidR="007B3B4E" w:rsidRPr="009D5EA7" w:rsidRDefault="007B3B4E" w:rsidP="0064464E">
      <w:pPr>
        <w:autoSpaceDE w:val="0"/>
        <w:autoSpaceDN w:val="0"/>
        <w:adjustRightInd w:val="0"/>
        <w:spacing w:after="0" w:line="240" w:lineRule="auto"/>
        <w:rPr>
          <w:rFonts w:ascii="Verdana" w:hAnsi="Verdana"/>
          <w:sz w:val="20"/>
          <w:szCs w:val="20"/>
          <w:lang w:val="es-ES_tradnl"/>
        </w:rPr>
      </w:pPr>
      <w:r w:rsidRPr="009D5EA7">
        <w:rPr>
          <w:rFonts w:ascii="Verdana" w:hAnsi="Verdana"/>
          <w:sz w:val="20"/>
          <w:szCs w:val="20"/>
          <w:lang w:val="es-ES_tradnl"/>
        </w:rPr>
        <w:t xml:space="preserve">En el caso </w:t>
      </w:r>
      <w:r w:rsidR="00700BEF" w:rsidRPr="009D5EA7">
        <w:rPr>
          <w:rFonts w:ascii="Verdana" w:hAnsi="Verdana"/>
          <w:i/>
          <w:sz w:val="20"/>
          <w:szCs w:val="20"/>
          <w:lang w:val="es-ES_tradnl"/>
        </w:rPr>
        <w:t>Acosta y otros</w:t>
      </w:r>
      <w:r w:rsidR="0064464E" w:rsidRPr="009D5EA7">
        <w:rPr>
          <w:rFonts w:ascii="Verdana" w:hAnsi="Verdana"/>
          <w:sz w:val="20"/>
          <w:szCs w:val="20"/>
          <w:lang w:val="es-ES_tradnl"/>
        </w:rPr>
        <w:t xml:space="preserve">, </w:t>
      </w:r>
    </w:p>
    <w:p w14:paraId="73A10161" w14:textId="77777777" w:rsidR="007B3B4E" w:rsidRPr="009D5EA7" w:rsidRDefault="007B3B4E" w:rsidP="007B3B4E">
      <w:pPr>
        <w:spacing w:after="0" w:line="240" w:lineRule="auto"/>
        <w:jc w:val="both"/>
        <w:rPr>
          <w:rFonts w:ascii="Verdana" w:hAnsi="Verdana"/>
          <w:sz w:val="20"/>
          <w:szCs w:val="20"/>
          <w:lang w:val="es-ES_tradnl"/>
        </w:rPr>
      </w:pPr>
    </w:p>
    <w:p w14:paraId="02BEE10D" w14:textId="77777777" w:rsidR="007B3B4E" w:rsidRPr="009D5EA7" w:rsidRDefault="007B3B4E" w:rsidP="007B3B4E">
      <w:pPr>
        <w:spacing w:after="0" w:line="240" w:lineRule="auto"/>
        <w:jc w:val="both"/>
        <w:rPr>
          <w:rFonts w:ascii="Verdana" w:hAnsi="Verdana"/>
          <w:sz w:val="20"/>
          <w:szCs w:val="20"/>
          <w:lang w:val="es-ES_tradnl"/>
        </w:rPr>
      </w:pPr>
      <w:r w:rsidRPr="009D5EA7">
        <w:rPr>
          <w:rFonts w:ascii="Verdana" w:hAnsi="Verdana"/>
          <w:sz w:val="20"/>
          <w:szCs w:val="20"/>
          <w:lang w:val="es-ES_tradnl"/>
        </w:rPr>
        <w:t>la Corte Interamericana de Derechos Humanos (en adelante “la Corte Interamericana”, “la Corte” o “el Tribunal”), integrada por los siguientes Jueces:</w:t>
      </w:r>
    </w:p>
    <w:p w14:paraId="6FCC581B" w14:textId="77777777" w:rsidR="007B3B4E" w:rsidRPr="009D5EA7" w:rsidRDefault="007B3B4E" w:rsidP="007B3B4E">
      <w:pPr>
        <w:spacing w:after="0" w:line="240" w:lineRule="auto"/>
        <w:jc w:val="both"/>
        <w:rPr>
          <w:rFonts w:ascii="Verdana" w:hAnsi="Verdana"/>
          <w:sz w:val="20"/>
          <w:szCs w:val="20"/>
          <w:lang w:val="es-ES_tradnl"/>
        </w:rPr>
      </w:pPr>
    </w:p>
    <w:p w14:paraId="0D5D0058" w14:textId="77777777" w:rsidR="007B3B4E" w:rsidRPr="009D5EA7" w:rsidRDefault="007B3B4E" w:rsidP="007B3B4E">
      <w:pPr>
        <w:spacing w:after="0" w:line="240" w:lineRule="auto"/>
        <w:ind w:left="720"/>
        <w:jc w:val="both"/>
        <w:rPr>
          <w:rFonts w:ascii="Verdana" w:hAnsi="Verdana"/>
          <w:sz w:val="20"/>
          <w:szCs w:val="20"/>
          <w:lang w:val="es-ES_tradnl"/>
        </w:rPr>
      </w:pPr>
      <w:r w:rsidRPr="009D5EA7">
        <w:rPr>
          <w:rFonts w:ascii="Verdana" w:eastAsia="Verdana" w:hAnsi="Verdana" w:cs="Verdana"/>
          <w:spacing w:val="-1"/>
          <w:sz w:val="20"/>
          <w:szCs w:val="20"/>
          <w:lang w:val="es-ES_tradnl"/>
        </w:rPr>
        <w:t>Roberto F. Caldas, Presidente;</w:t>
      </w:r>
    </w:p>
    <w:p w14:paraId="43E2F62D" w14:textId="77777777" w:rsidR="007B3B4E" w:rsidRPr="009D5EA7" w:rsidRDefault="007B3B4E" w:rsidP="007B3B4E">
      <w:pPr>
        <w:spacing w:after="0" w:line="240" w:lineRule="auto"/>
        <w:ind w:left="720"/>
        <w:jc w:val="both"/>
        <w:rPr>
          <w:rFonts w:ascii="Verdana" w:hAnsi="Verdana"/>
          <w:sz w:val="20"/>
          <w:szCs w:val="20"/>
          <w:lang w:val="es-ES_tradnl"/>
        </w:rPr>
      </w:pPr>
      <w:r w:rsidRPr="009D5EA7">
        <w:rPr>
          <w:rFonts w:ascii="Verdana" w:eastAsia="Verdana" w:hAnsi="Verdana" w:cs="Verdana"/>
          <w:spacing w:val="-1"/>
          <w:sz w:val="20"/>
          <w:szCs w:val="20"/>
          <w:lang w:val="es-ES_tradnl"/>
        </w:rPr>
        <w:t xml:space="preserve">Eduardo Ferrer Mac-Gregor Poisot, Vicepresidente; </w:t>
      </w:r>
    </w:p>
    <w:p w14:paraId="750AFDC0" w14:textId="77777777" w:rsidR="007B3B4E" w:rsidRPr="009D5EA7" w:rsidRDefault="007B3B4E" w:rsidP="007B3B4E">
      <w:pPr>
        <w:spacing w:after="0" w:line="240" w:lineRule="auto"/>
        <w:ind w:left="720"/>
        <w:jc w:val="both"/>
        <w:rPr>
          <w:rFonts w:ascii="Verdana" w:hAnsi="Verdana"/>
          <w:sz w:val="20"/>
          <w:szCs w:val="20"/>
          <w:lang w:val="es-ES_tradnl"/>
        </w:rPr>
      </w:pPr>
      <w:r w:rsidRPr="009D5EA7">
        <w:rPr>
          <w:rFonts w:ascii="Verdana" w:eastAsia="Verdana" w:hAnsi="Verdana" w:cs="Verdana"/>
          <w:spacing w:val="-1"/>
          <w:sz w:val="20"/>
          <w:szCs w:val="20"/>
          <w:lang w:val="es-ES_tradnl"/>
        </w:rPr>
        <w:t>Eduardo Vio Grossi, juez;</w:t>
      </w:r>
    </w:p>
    <w:p w14:paraId="41B5B40C" w14:textId="77777777" w:rsidR="007B3B4E" w:rsidRPr="009D5EA7" w:rsidRDefault="007B3B4E" w:rsidP="007B3B4E">
      <w:pPr>
        <w:spacing w:after="0" w:line="240" w:lineRule="auto"/>
        <w:ind w:left="720"/>
        <w:jc w:val="both"/>
        <w:rPr>
          <w:rFonts w:ascii="Verdana" w:hAnsi="Verdana"/>
          <w:sz w:val="20"/>
          <w:szCs w:val="20"/>
          <w:lang w:val="es-ES_tradnl"/>
        </w:rPr>
      </w:pPr>
      <w:r w:rsidRPr="009D5EA7">
        <w:rPr>
          <w:rFonts w:ascii="Verdana" w:eastAsia="Verdana" w:hAnsi="Verdana" w:cs="Verdana"/>
          <w:spacing w:val="-1"/>
          <w:sz w:val="20"/>
          <w:szCs w:val="20"/>
          <w:lang w:val="es-ES_tradnl"/>
        </w:rPr>
        <w:t>H</w:t>
      </w:r>
      <w:r w:rsidRPr="009D5EA7">
        <w:rPr>
          <w:rFonts w:ascii="Verdana" w:eastAsia="Verdana" w:hAnsi="Verdana" w:cs="Verdana"/>
          <w:spacing w:val="1"/>
          <w:sz w:val="20"/>
          <w:szCs w:val="20"/>
          <w:lang w:val="es-ES_tradnl"/>
        </w:rPr>
        <w:t>u</w:t>
      </w:r>
      <w:r w:rsidRPr="009D5EA7">
        <w:rPr>
          <w:rFonts w:ascii="Verdana" w:eastAsia="Verdana" w:hAnsi="Verdana" w:cs="Verdana"/>
          <w:sz w:val="20"/>
          <w:szCs w:val="20"/>
          <w:lang w:val="es-ES_tradnl"/>
        </w:rPr>
        <w:t>m</w:t>
      </w:r>
      <w:r w:rsidRPr="009D5EA7">
        <w:rPr>
          <w:rFonts w:ascii="Verdana" w:eastAsia="Verdana" w:hAnsi="Verdana" w:cs="Verdana"/>
          <w:spacing w:val="1"/>
          <w:sz w:val="20"/>
          <w:szCs w:val="20"/>
          <w:lang w:val="es-ES_tradnl"/>
        </w:rPr>
        <w:t>be</w:t>
      </w:r>
      <w:r w:rsidRPr="009D5EA7">
        <w:rPr>
          <w:rFonts w:ascii="Verdana" w:eastAsia="Verdana" w:hAnsi="Verdana" w:cs="Verdana"/>
          <w:spacing w:val="-1"/>
          <w:sz w:val="20"/>
          <w:szCs w:val="20"/>
          <w:lang w:val="es-ES_tradnl"/>
        </w:rPr>
        <w:t>r</w:t>
      </w:r>
      <w:r w:rsidRPr="009D5EA7">
        <w:rPr>
          <w:rFonts w:ascii="Verdana" w:eastAsia="Verdana" w:hAnsi="Verdana" w:cs="Verdana"/>
          <w:spacing w:val="1"/>
          <w:sz w:val="20"/>
          <w:szCs w:val="20"/>
          <w:lang w:val="es-ES_tradnl"/>
        </w:rPr>
        <w:t>t</w:t>
      </w:r>
      <w:r w:rsidRPr="009D5EA7">
        <w:rPr>
          <w:rFonts w:ascii="Verdana" w:eastAsia="Verdana" w:hAnsi="Verdana" w:cs="Verdana"/>
          <w:sz w:val="20"/>
          <w:szCs w:val="20"/>
          <w:lang w:val="es-ES_tradnl"/>
        </w:rPr>
        <w:t>o</w:t>
      </w:r>
      <w:r w:rsidRPr="009D5EA7">
        <w:rPr>
          <w:rFonts w:ascii="Verdana" w:eastAsia="Verdana" w:hAnsi="Verdana" w:cs="Verdana"/>
          <w:spacing w:val="-11"/>
          <w:sz w:val="20"/>
          <w:szCs w:val="20"/>
          <w:lang w:val="es-ES_tradnl"/>
        </w:rPr>
        <w:t xml:space="preserve"> </w:t>
      </w:r>
      <w:r w:rsidRPr="009D5EA7">
        <w:rPr>
          <w:rFonts w:ascii="Verdana" w:eastAsia="Verdana" w:hAnsi="Verdana" w:cs="Verdana"/>
          <w:sz w:val="20"/>
          <w:szCs w:val="20"/>
          <w:lang w:val="es-ES_tradnl"/>
        </w:rPr>
        <w:t>A</w:t>
      </w:r>
      <w:r w:rsidRPr="009D5EA7">
        <w:rPr>
          <w:rFonts w:ascii="Verdana" w:eastAsia="Verdana" w:hAnsi="Verdana" w:cs="Verdana"/>
          <w:spacing w:val="1"/>
          <w:sz w:val="20"/>
          <w:szCs w:val="20"/>
          <w:lang w:val="es-ES_tradnl"/>
        </w:rPr>
        <w:t>nt</w:t>
      </w:r>
      <w:r w:rsidRPr="009D5EA7">
        <w:rPr>
          <w:rFonts w:ascii="Verdana" w:eastAsia="Verdana" w:hAnsi="Verdana" w:cs="Verdana"/>
          <w:spacing w:val="-1"/>
          <w:sz w:val="20"/>
          <w:szCs w:val="20"/>
          <w:lang w:val="es-ES_tradnl"/>
        </w:rPr>
        <w:t>o</w:t>
      </w:r>
      <w:r w:rsidRPr="009D5EA7">
        <w:rPr>
          <w:rFonts w:ascii="Verdana" w:eastAsia="Verdana" w:hAnsi="Verdana" w:cs="Verdana"/>
          <w:spacing w:val="1"/>
          <w:sz w:val="20"/>
          <w:szCs w:val="20"/>
          <w:lang w:val="es-ES_tradnl"/>
        </w:rPr>
        <w:t>n</w:t>
      </w:r>
      <w:r w:rsidRPr="009D5EA7">
        <w:rPr>
          <w:rFonts w:ascii="Verdana" w:eastAsia="Verdana" w:hAnsi="Verdana" w:cs="Verdana"/>
          <w:spacing w:val="3"/>
          <w:sz w:val="20"/>
          <w:szCs w:val="20"/>
          <w:lang w:val="es-ES_tradnl"/>
        </w:rPr>
        <w:t>i</w:t>
      </w:r>
      <w:r w:rsidRPr="009D5EA7">
        <w:rPr>
          <w:rFonts w:ascii="Verdana" w:eastAsia="Verdana" w:hAnsi="Verdana" w:cs="Verdana"/>
          <w:sz w:val="20"/>
          <w:szCs w:val="20"/>
          <w:lang w:val="es-ES_tradnl"/>
        </w:rPr>
        <w:t>o</w:t>
      </w:r>
      <w:r w:rsidRPr="009D5EA7">
        <w:rPr>
          <w:rFonts w:ascii="Verdana" w:eastAsia="Verdana" w:hAnsi="Verdana" w:cs="Verdana"/>
          <w:spacing w:val="-9"/>
          <w:sz w:val="20"/>
          <w:szCs w:val="20"/>
          <w:lang w:val="es-ES_tradnl"/>
        </w:rPr>
        <w:t xml:space="preserve"> </w:t>
      </w:r>
      <w:r w:rsidRPr="009D5EA7">
        <w:rPr>
          <w:rFonts w:ascii="Verdana" w:eastAsia="Verdana" w:hAnsi="Verdana" w:cs="Verdana"/>
          <w:sz w:val="20"/>
          <w:szCs w:val="20"/>
          <w:lang w:val="es-ES_tradnl"/>
        </w:rPr>
        <w:t>S</w:t>
      </w:r>
      <w:r w:rsidRPr="009D5EA7">
        <w:rPr>
          <w:rFonts w:ascii="Verdana" w:eastAsia="Verdana" w:hAnsi="Verdana" w:cs="Verdana"/>
          <w:spacing w:val="3"/>
          <w:sz w:val="20"/>
          <w:szCs w:val="20"/>
          <w:lang w:val="es-ES_tradnl"/>
        </w:rPr>
        <w:t>i</w:t>
      </w:r>
      <w:r w:rsidRPr="009D5EA7">
        <w:rPr>
          <w:rFonts w:ascii="Verdana" w:eastAsia="Verdana" w:hAnsi="Verdana" w:cs="Verdana"/>
          <w:spacing w:val="-1"/>
          <w:sz w:val="20"/>
          <w:szCs w:val="20"/>
          <w:lang w:val="es-ES_tradnl"/>
        </w:rPr>
        <w:t>e</w:t>
      </w:r>
      <w:r w:rsidRPr="009D5EA7">
        <w:rPr>
          <w:rFonts w:ascii="Verdana" w:eastAsia="Verdana" w:hAnsi="Verdana" w:cs="Verdana"/>
          <w:spacing w:val="1"/>
          <w:sz w:val="20"/>
          <w:szCs w:val="20"/>
          <w:lang w:val="es-ES_tradnl"/>
        </w:rPr>
        <w:t>rr</w:t>
      </w:r>
      <w:r w:rsidRPr="009D5EA7">
        <w:rPr>
          <w:rFonts w:ascii="Verdana" w:eastAsia="Verdana" w:hAnsi="Verdana" w:cs="Verdana"/>
          <w:sz w:val="20"/>
          <w:szCs w:val="20"/>
          <w:lang w:val="es-ES_tradnl"/>
        </w:rPr>
        <w:t>a</w:t>
      </w:r>
      <w:r w:rsidRPr="009D5EA7">
        <w:rPr>
          <w:rFonts w:ascii="Verdana" w:eastAsia="Verdana" w:hAnsi="Verdana" w:cs="Verdana"/>
          <w:spacing w:val="-6"/>
          <w:sz w:val="20"/>
          <w:szCs w:val="20"/>
          <w:lang w:val="es-ES_tradnl"/>
        </w:rPr>
        <w:t xml:space="preserve"> </w:t>
      </w:r>
      <w:r w:rsidRPr="009D5EA7">
        <w:rPr>
          <w:rFonts w:ascii="Verdana" w:eastAsia="Verdana" w:hAnsi="Verdana" w:cs="Verdana"/>
          <w:sz w:val="20"/>
          <w:szCs w:val="20"/>
          <w:lang w:val="es-ES_tradnl"/>
        </w:rPr>
        <w:t>P</w:t>
      </w:r>
      <w:r w:rsidRPr="009D5EA7">
        <w:rPr>
          <w:rFonts w:ascii="Verdana" w:eastAsia="Verdana" w:hAnsi="Verdana" w:cs="Verdana"/>
          <w:spacing w:val="1"/>
          <w:sz w:val="20"/>
          <w:szCs w:val="20"/>
          <w:lang w:val="es-ES_tradnl"/>
        </w:rPr>
        <w:t>o</w:t>
      </w:r>
      <w:r w:rsidRPr="009D5EA7">
        <w:rPr>
          <w:rFonts w:ascii="Verdana" w:eastAsia="Verdana" w:hAnsi="Verdana" w:cs="Verdana"/>
          <w:spacing w:val="-1"/>
          <w:sz w:val="20"/>
          <w:szCs w:val="20"/>
          <w:lang w:val="es-ES_tradnl"/>
        </w:rPr>
        <w:t>r</w:t>
      </w:r>
      <w:r w:rsidRPr="009D5EA7">
        <w:rPr>
          <w:rFonts w:ascii="Verdana" w:eastAsia="Verdana" w:hAnsi="Verdana" w:cs="Verdana"/>
          <w:spacing w:val="1"/>
          <w:sz w:val="20"/>
          <w:szCs w:val="20"/>
          <w:lang w:val="es-ES_tradnl"/>
        </w:rPr>
        <w:t>t</w:t>
      </w:r>
      <w:r w:rsidRPr="009D5EA7">
        <w:rPr>
          <w:rFonts w:ascii="Verdana" w:eastAsia="Verdana" w:hAnsi="Verdana" w:cs="Verdana"/>
          <w:spacing w:val="-1"/>
          <w:sz w:val="20"/>
          <w:szCs w:val="20"/>
          <w:lang w:val="es-ES_tradnl"/>
        </w:rPr>
        <w:t>o</w:t>
      </w:r>
      <w:r w:rsidRPr="009D5EA7">
        <w:rPr>
          <w:rFonts w:ascii="Verdana" w:eastAsia="Verdana" w:hAnsi="Verdana" w:cs="Verdana"/>
          <w:sz w:val="20"/>
          <w:szCs w:val="20"/>
          <w:lang w:val="es-ES_tradnl"/>
        </w:rPr>
        <w:t>,</w:t>
      </w:r>
      <w:r w:rsidRPr="009D5EA7">
        <w:rPr>
          <w:rFonts w:ascii="Verdana" w:eastAsia="Verdana" w:hAnsi="Verdana" w:cs="Verdana"/>
          <w:spacing w:val="-5"/>
          <w:sz w:val="20"/>
          <w:szCs w:val="20"/>
          <w:lang w:val="es-ES_tradnl"/>
        </w:rPr>
        <w:t xml:space="preserve"> </w:t>
      </w:r>
      <w:r w:rsidRPr="009D5EA7">
        <w:rPr>
          <w:rFonts w:ascii="Verdana" w:eastAsia="Verdana" w:hAnsi="Verdana" w:cs="Verdana"/>
          <w:spacing w:val="2"/>
          <w:sz w:val="20"/>
          <w:szCs w:val="20"/>
          <w:lang w:val="es-ES_tradnl"/>
        </w:rPr>
        <w:t>juez</w:t>
      </w:r>
      <w:r w:rsidRPr="009D5EA7">
        <w:rPr>
          <w:rFonts w:ascii="Verdana" w:eastAsia="Verdana" w:hAnsi="Verdana" w:cs="Verdana"/>
          <w:sz w:val="20"/>
          <w:szCs w:val="20"/>
          <w:lang w:val="es-ES_tradnl"/>
        </w:rPr>
        <w:t xml:space="preserve">; </w:t>
      </w:r>
    </w:p>
    <w:p w14:paraId="72C90F97" w14:textId="77777777" w:rsidR="007B3B4E" w:rsidRPr="009D5EA7" w:rsidRDefault="007B3B4E" w:rsidP="007B3B4E">
      <w:pPr>
        <w:spacing w:after="0" w:line="240" w:lineRule="auto"/>
        <w:ind w:left="720"/>
        <w:jc w:val="both"/>
        <w:rPr>
          <w:rFonts w:ascii="Verdana" w:hAnsi="Verdana"/>
          <w:sz w:val="20"/>
          <w:szCs w:val="20"/>
          <w:lang w:val="es-ES_tradnl"/>
        </w:rPr>
      </w:pPr>
      <w:r w:rsidRPr="009D5EA7">
        <w:rPr>
          <w:rFonts w:ascii="Verdana" w:eastAsia="Verdana" w:hAnsi="Verdana" w:cs="Verdana"/>
          <w:sz w:val="20"/>
          <w:szCs w:val="20"/>
          <w:lang w:val="es-ES_tradnl"/>
        </w:rPr>
        <w:t>Elizabeth Odio Benito, jueza;</w:t>
      </w:r>
    </w:p>
    <w:p w14:paraId="26680EE4" w14:textId="77777777" w:rsidR="007B3B4E" w:rsidRPr="009D5EA7" w:rsidRDefault="007B3B4E" w:rsidP="007B3B4E">
      <w:pPr>
        <w:spacing w:after="0" w:line="240" w:lineRule="auto"/>
        <w:ind w:left="720"/>
        <w:jc w:val="both"/>
        <w:rPr>
          <w:rFonts w:ascii="Verdana" w:hAnsi="Verdana"/>
          <w:sz w:val="20"/>
          <w:szCs w:val="20"/>
          <w:lang w:val="es-ES_tradnl"/>
        </w:rPr>
      </w:pPr>
      <w:r w:rsidRPr="009D5EA7">
        <w:rPr>
          <w:rFonts w:ascii="Verdana" w:eastAsia="Verdana" w:hAnsi="Verdana" w:cs="Verdana"/>
          <w:sz w:val="20"/>
          <w:szCs w:val="20"/>
          <w:lang w:val="es-ES_tradnl"/>
        </w:rPr>
        <w:t>Eugenio Raúl Zaffaroni, juez, y</w:t>
      </w:r>
    </w:p>
    <w:p w14:paraId="010FFE33" w14:textId="77777777" w:rsidR="007B3B4E" w:rsidRPr="009D5EA7" w:rsidRDefault="007B3B4E" w:rsidP="007B3B4E">
      <w:pPr>
        <w:spacing w:after="0" w:line="240" w:lineRule="auto"/>
        <w:ind w:left="720"/>
        <w:jc w:val="both"/>
        <w:rPr>
          <w:rFonts w:ascii="Verdana" w:hAnsi="Verdana"/>
          <w:sz w:val="20"/>
          <w:szCs w:val="20"/>
          <w:lang w:val="es-ES_tradnl"/>
        </w:rPr>
      </w:pPr>
      <w:r w:rsidRPr="009D5EA7">
        <w:rPr>
          <w:rFonts w:ascii="Verdana" w:eastAsia="Verdana" w:hAnsi="Verdana" w:cs="Verdana"/>
          <w:sz w:val="20"/>
          <w:szCs w:val="20"/>
          <w:lang w:val="es-ES_tradnl"/>
        </w:rPr>
        <w:t>L. Patricio Pazmiño Freire, juez;</w:t>
      </w:r>
    </w:p>
    <w:p w14:paraId="5D9794EF" w14:textId="77777777" w:rsidR="007B3B4E" w:rsidRPr="009D5EA7" w:rsidRDefault="007B3B4E" w:rsidP="007B3B4E">
      <w:pPr>
        <w:widowControl w:val="0"/>
        <w:tabs>
          <w:tab w:val="left" w:pos="5670"/>
        </w:tabs>
        <w:spacing w:after="0" w:line="240" w:lineRule="auto"/>
        <w:ind w:left="100" w:right="4630"/>
        <w:rPr>
          <w:rFonts w:ascii="Verdana" w:eastAsia="Verdana" w:hAnsi="Verdana" w:cs="Verdana"/>
          <w:sz w:val="20"/>
          <w:szCs w:val="20"/>
          <w:lang w:val="es-ES_tradnl"/>
        </w:rPr>
      </w:pPr>
    </w:p>
    <w:p w14:paraId="1B398DB0" w14:textId="77777777" w:rsidR="007B3B4E" w:rsidRPr="009D5EA7" w:rsidRDefault="007B3B4E" w:rsidP="007B3B4E">
      <w:pPr>
        <w:spacing w:after="0" w:line="240" w:lineRule="auto"/>
        <w:jc w:val="both"/>
        <w:rPr>
          <w:rFonts w:ascii="Verdana" w:hAnsi="Verdana"/>
          <w:sz w:val="20"/>
          <w:szCs w:val="20"/>
          <w:lang w:val="es-ES_tradnl"/>
        </w:rPr>
      </w:pPr>
      <w:r w:rsidRPr="009D5EA7">
        <w:rPr>
          <w:rFonts w:ascii="Verdana" w:hAnsi="Verdana"/>
          <w:sz w:val="20"/>
          <w:szCs w:val="20"/>
          <w:lang w:val="es-ES_tradnl"/>
        </w:rPr>
        <w:t xml:space="preserve">presentes, además, </w:t>
      </w:r>
    </w:p>
    <w:p w14:paraId="09FD575B" w14:textId="77777777" w:rsidR="007B3B4E" w:rsidRPr="009D5EA7" w:rsidRDefault="007B3B4E" w:rsidP="007B3B4E">
      <w:pPr>
        <w:spacing w:after="0" w:line="240" w:lineRule="auto"/>
        <w:jc w:val="both"/>
        <w:rPr>
          <w:rFonts w:ascii="Verdana" w:hAnsi="Verdana"/>
          <w:sz w:val="20"/>
          <w:szCs w:val="20"/>
          <w:lang w:val="es-ES_tradnl"/>
        </w:rPr>
      </w:pPr>
    </w:p>
    <w:p w14:paraId="570CFD4C" w14:textId="77777777" w:rsidR="007B3B4E" w:rsidRPr="009D5EA7" w:rsidRDefault="007B3B4E" w:rsidP="007B3B4E">
      <w:pPr>
        <w:spacing w:after="0" w:line="240" w:lineRule="auto"/>
        <w:ind w:left="720"/>
        <w:jc w:val="both"/>
        <w:rPr>
          <w:rFonts w:ascii="Verdana" w:hAnsi="Verdana"/>
          <w:sz w:val="20"/>
          <w:szCs w:val="20"/>
          <w:lang w:val="es-ES_tradnl"/>
        </w:rPr>
      </w:pPr>
      <w:r w:rsidRPr="009D5EA7">
        <w:rPr>
          <w:rFonts w:ascii="Verdana" w:hAnsi="Verdana"/>
          <w:sz w:val="20"/>
          <w:szCs w:val="20"/>
          <w:lang w:val="es-ES_tradnl"/>
        </w:rPr>
        <w:t>Pablo Saavedra Alessandri, Secretario, y</w:t>
      </w:r>
    </w:p>
    <w:p w14:paraId="285E3224" w14:textId="77777777" w:rsidR="007B3B4E" w:rsidRPr="009D5EA7" w:rsidRDefault="007B3B4E" w:rsidP="007B3B4E">
      <w:pPr>
        <w:spacing w:after="0" w:line="240" w:lineRule="auto"/>
        <w:ind w:left="720"/>
        <w:jc w:val="both"/>
        <w:rPr>
          <w:rFonts w:ascii="Verdana" w:hAnsi="Verdana"/>
          <w:sz w:val="20"/>
          <w:szCs w:val="20"/>
          <w:lang w:val="es-ES_tradnl"/>
        </w:rPr>
      </w:pPr>
      <w:r w:rsidRPr="009D5EA7">
        <w:rPr>
          <w:rFonts w:ascii="Verdana" w:hAnsi="Verdana"/>
          <w:sz w:val="20"/>
          <w:szCs w:val="20"/>
          <w:lang w:val="es-ES_tradnl"/>
        </w:rPr>
        <w:t>Emilia Segares Rodríguez, Secretaria Adjunta,</w:t>
      </w:r>
    </w:p>
    <w:p w14:paraId="40B64746" w14:textId="77777777" w:rsidR="007B3B4E" w:rsidRPr="009D5EA7" w:rsidRDefault="007B3B4E" w:rsidP="007B3B4E">
      <w:pPr>
        <w:spacing w:after="0" w:line="240" w:lineRule="auto"/>
        <w:jc w:val="both"/>
        <w:rPr>
          <w:rFonts w:ascii="Verdana" w:hAnsi="Verdana"/>
          <w:sz w:val="20"/>
          <w:szCs w:val="20"/>
          <w:lang w:val="es-ES_tradnl"/>
        </w:rPr>
      </w:pPr>
    </w:p>
    <w:p w14:paraId="2BD92B1D" w14:textId="02951C9B" w:rsidR="007B3B4E" w:rsidRPr="009D5EA7" w:rsidRDefault="007B3B4E" w:rsidP="007B3B4E">
      <w:pPr>
        <w:spacing w:after="0" w:line="240" w:lineRule="auto"/>
        <w:jc w:val="both"/>
        <w:rPr>
          <w:rFonts w:ascii="Verdana" w:hAnsi="Verdana"/>
          <w:sz w:val="20"/>
          <w:szCs w:val="20"/>
          <w:lang w:val="es-ES_tradnl"/>
        </w:rPr>
      </w:pPr>
      <w:r w:rsidRPr="009D5EA7">
        <w:rPr>
          <w:rFonts w:ascii="Verdana" w:hAnsi="Verdana"/>
          <w:sz w:val="20"/>
          <w:szCs w:val="20"/>
          <w:lang w:val="es-ES_tradnl"/>
        </w:rPr>
        <w:t xml:space="preserve">de conformidad con los artículos 62.3 y 63.1 de la Convención Americana sobre Derechos Humanos (en adelante “la Convención” o “la Convención Americana”) y con los artículos 31, 32, </w:t>
      </w:r>
      <w:r w:rsidR="00700BEF" w:rsidRPr="009D5EA7">
        <w:rPr>
          <w:rFonts w:ascii="Verdana" w:hAnsi="Verdana"/>
          <w:sz w:val="20"/>
          <w:szCs w:val="20"/>
          <w:lang w:val="es-ES_tradnl"/>
        </w:rPr>
        <w:t xml:space="preserve">42, </w:t>
      </w:r>
      <w:r w:rsidRPr="009D5EA7">
        <w:rPr>
          <w:rFonts w:ascii="Verdana" w:hAnsi="Verdana"/>
          <w:sz w:val="20"/>
          <w:szCs w:val="20"/>
          <w:lang w:val="es-ES_tradnl"/>
        </w:rPr>
        <w:t>65 y 67 del Reglamento de la Corte (en adelante “el Reglamento”), dicta la presente Sentencia, que se e</w:t>
      </w:r>
      <w:r w:rsidR="009A17C3" w:rsidRPr="009D5EA7">
        <w:rPr>
          <w:rFonts w:ascii="Verdana" w:hAnsi="Verdana"/>
          <w:sz w:val="20"/>
          <w:szCs w:val="20"/>
          <w:lang w:val="es-ES_tradnl"/>
        </w:rPr>
        <w:t>structura en el siguiente orden:</w:t>
      </w:r>
    </w:p>
    <w:p w14:paraId="4557B37A" w14:textId="77777777" w:rsidR="007B3B4E" w:rsidRPr="009D5EA7" w:rsidRDefault="007B3B4E" w:rsidP="007B3B4E">
      <w:pPr>
        <w:spacing w:after="0" w:line="240" w:lineRule="auto"/>
        <w:jc w:val="both"/>
        <w:rPr>
          <w:rFonts w:ascii="Verdana" w:hAnsi="Verdana"/>
          <w:sz w:val="20"/>
          <w:szCs w:val="20"/>
          <w:lang w:val="es-ES_tradnl"/>
        </w:rPr>
      </w:pPr>
    </w:p>
    <w:p w14:paraId="508D3526" w14:textId="77777777" w:rsidR="007B3B4E" w:rsidRPr="009D5EA7" w:rsidRDefault="007B3B4E" w:rsidP="007B3B4E">
      <w:pPr>
        <w:spacing w:after="0" w:line="240" w:lineRule="auto"/>
        <w:jc w:val="both"/>
        <w:rPr>
          <w:rFonts w:ascii="Verdana" w:hAnsi="Verdana"/>
          <w:sz w:val="20"/>
          <w:szCs w:val="20"/>
          <w:lang w:val="es-ES_tradnl"/>
        </w:rPr>
      </w:pPr>
    </w:p>
    <w:p w14:paraId="543CC6E0" w14:textId="77777777" w:rsidR="007B3B4E" w:rsidRPr="009D5EA7" w:rsidRDefault="007B3B4E" w:rsidP="007B3B4E">
      <w:pPr>
        <w:spacing w:after="0" w:line="240" w:lineRule="auto"/>
        <w:rPr>
          <w:rFonts w:ascii="Verdana" w:hAnsi="Verdana" w:cs="Times New Roman"/>
          <w:sz w:val="20"/>
          <w:szCs w:val="20"/>
          <w:lang w:val="es-ES_tradnl"/>
        </w:rPr>
      </w:pPr>
      <w:r w:rsidRPr="009D5EA7">
        <w:rPr>
          <w:rFonts w:ascii="Verdana" w:hAnsi="Verdana" w:cs="Times New Roman"/>
          <w:sz w:val="20"/>
          <w:szCs w:val="20"/>
          <w:lang w:val="es-ES_tradnl"/>
        </w:rPr>
        <w:br w:type="page"/>
      </w:r>
    </w:p>
    <w:p w14:paraId="3AA65192" w14:textId="77777777" w:rsidR="007B3B4E" w:rsidRPr="009D5EA7" w:rsidRDefault="007B3B4E" w:rsidP="00476FD9">
      <w:pPr>
        <w:jc w:val="center"/>
        <w:rPr>
          <w:rFonts w:ascii="Verdana" w:hAnsi="Verdana"/>
          <w:b/>
          <w:snapToGrid w:val="0"/>
          <w:sz w:val="20"/>
          <w:szCs w:val="20"/>
          <w:lang w:val="es-ES_tradnl" w:eastAsia="es-ES"/>
        </w:rPr>
      </w:pPr>
      <w:r w:rsidRPr="009D5EA7">
        <w:rPr>
          <w:rFonts w:ascii="Verdana" w:hAnsi="Verdana"/>
          <w:b/>
          <w:snapToGrid w:val="0"/>
          <w:sz w:val="20"/>
          <w:szCs w:val="20"/>
          <w:lang w:val="es-ES_tradnl" w:eastAsia="es-ES"/>
        </w:rPr>
        <w:lastRenderedPageBreak/>
        <w:t>TABLA DE CONTENIDO</w:t>
      </w:r>
    </w:p>
    <w:sdt>
      <w:sdtPr>
        <w:rPr>
          <w:rFonts w:asciiTheme="minorHAnsi" w:eastAsiaTheme="minorHAnsi" w:hAnsiTheme="minorHAnsi" w:cstheme="minorBidi"/>
          <w:b w:val="0"/>
          <w:bCs w:val="0"/>
          <w:color w:val="auto"/>
          <w:sz w:val="18"/>
          <w:szCs w:val="18"/>
          <w:lang w:val="es-ES_tradnl" w:eastAsia="en-US"/>
        </w:rPr>
        <w:id w:val="2141462081"/>
        <w:docPartObj>
          <w:docPartGallery w:val="Table of Contents"/>
          <w:docPartUnique/>
        </w:docPartObj>
      </w:sdtPr>
      <w:sdtEndPr>
        <w:rPr>
          <w:sz w:val="22"/>
          <w:szCs w:val="22"/>
        </w:rPr>
      </w:sdtEndPr>
      <w:sdtContent>
        <w:p w14:paraId="78852C89" w14:textId="51E59EBB" w:rsidR="00476FD9" w:rsidRPr="009D5EA7" w:rsidRDefault="00E01662" w:rsidP="00E01662">
          <w:pPr>
            <w:pStyle w:val="TtulodeTDC"/>
            <w:tabs>
              <w:tab w:val="center" w:pos="4890"/>
            </w:tabs>
            <w:rPr>
              <w:rFonts w:ascii="Verdana" w:hAnsi="Verdana"/>
              <w:sz w:val="18"/>
              <w:szCs w:val="18"/>
              <w:lang w:val="es-ES_tradnl"/>
            </w:rPr>
          </w:pPr>
          <w:r w:rsidRPr="009D5EA7">
            <w:rPr>
              <w:rFonts w:asciiTheme="minorHAnsi" w:eastAsiaTheme="minorHAnsi" w:hAnsiTheme="minorHAnsi" w:cstheme="minorBidi"/>
              <w:b w:val="0"/>
              <w:bCs w:val="0"/>
              <w:color w:val="auto"/>
              <w:sz w:val="18"/>
              <w:szCs w:val="18"/>
              <w:lang w:val="es-ES_tradnl" w:eastAsia="en-US"/>
            </w:rPr>
            <w:tab/>
          </w:r>
        </w:p>
        <w:p w14:paraId="24BCA634" w14:textId="77777777" w:rsidR="006D1467" w:rsidRPr="009D5EA7" w:rsidRDefault="00476FD9">
          <w:pPr>
            <w:pStyle w:val="TDC1"/>
            <w:rPr>
              <w:rFonts w:asciiTheme="minorHAnsi" w:eastAsiaTheme="minorEastAsia" w:hAnsiTheme="minorHAnsi"/>
              <w:sz w:val="22"/>
              <w:lang w:val="es-ES_tradnl" w:eastAsia="es-CR"/>
            </w:rPr>
          </w:pPr>
          <w:r w:rsidRPr="009D5EA7">
            <w:rPr>
              <w:noProof w:val="0"/>
              <w:sz w:val="18"/>
              <w:szCs w:val="18"/>
              <w:lang w:val="es-ES_tradnl"/>
            </w:rPr>
            <w:fldChar w:fldCharType="begin"/>
          </w:r>
          <w:r w:rsidRPr="009D5EA7">
            <w:rPr>
              <w:noProof w:val="0"/>
              <w:sz w:val="18"/>
              <w:szCs w:val="18"/>
              <w:lang w:val="es-ES_tradnl"/>
            </w:rPr>
            <w:instrText xml:space="preserve"> TOC \o "1-3" \h \z \u </w:instrText>
          </w:r>
          <w:r w:rsidRPr="009D5EA7">
            <w:rPr>
              <w:noProof w:val="0"/>
              <w:sz w:val="18"/>
              <w:szCs w:val="18"/>
              <w:lang w:val="es-ES_tradnl"/>
            </w:rPr>
            <w:fldChar w:fldCharType="separate"/>
          </w:r>
          <w:hyperlink w:anchor="_Toc476251446" w:history="1">
            <w:r w:rsidR="006D1467" w:rsidRPr="009D5EA7">
              <w:rPr>
                <w:rStyle w:val="Hipervnculo"/>
                <w:rFonts w:cs="Verdana"/>
                <w:caps/>
                <w:snapToGrid w:val="0"/>
                <w:lang w:val="es-ES_tradnl" w:eastAsia="es-ES"/>
              </w:rPr>
              <w:t>I INTRODUCCIÓN DE LA CAUSA Y OBJETO DE LA CONTROVERSIA</w:t>
            </w:r>
            <w:r w:rsidR="006D1467" w:rsidRPr="009D5EA7">
              <w:rPr>
                <w:webHidden/>
                <w:lang w:val="es-ES_tradnl"/>
              </w:rPr>
              <w:tab/>
            </w:r>
            <w:r w:rsidR="006D1467" w:rsidRPr="009D5EA7">
              <w:rPr>
                <w:webHidden/>
                <w:lang w:val="es-ES_tradnl"/>
              </w:rPr>
              <w:fldChar w:fldCharType="begin"/>
            </w:r>
            <w:r w:rsidR="006D1467" w:rsidRPr="009D5EA7">
              <w:rPr>
                <w:webHidden/>
                <w:lang w:val="es-ES_tradnl"/>
              </w:rPr>
              <w:instrText xml:space="preserve"> PAGEREF _Toc476251446 \h </w:instrText>
            </w:r>
            <w:r w:rsidR="006D1467" w:rsidRPr="009D5EA7">
              <w:rPr>
                <w:webHidden/>
                <w:lang w:val="es-ES_tradnl"/>
              </w:rPr>
            </w:r>
            <w:r w:rsidR="006D1467" w:rsidRPr="009D5EA7">
              <w:rPr>
                <w:webHidden/>
                <w:lang w:val="es-ES_tradnl"/>
              </w:rPr>
              <w:fldChar w:fldCharType="separate"/>
            </w:r>
            <w:r w:rsidR="00B161DD">
              <w:rPr>
                <w:webHidden/>
                <w:lang w:val="es-ES_tradnl"/>
              </w:rPr>
              <w:t>3</w:t>
            </w:r>
            <w:r w:rsidR="006D1467" w:rsidRPr="009D5EA7">
              <w:rPr>
                <w:webHidden/>
                <w:lang w:val="es-ES_tradnl"/>
              </w:rPr>
              <w:fldChar w:fldCharType="end"/>
            </w:r>
          </w:hyperlink>
        </w:p>
        <w:p w14:paraId="7440E337" w14:textId="77777777" w:rsidR="006D1467" w:rsidRPr="009D5EA7" w:rsidRDefault="003D4F60">
          <w:pPr>
            <w:pStyle w:val="TDC1"/>
            <w:rPr>
              <w:rFonts w:asciiTheme="minorHAnsi" w:eastAsiaTheme="minorEastAsia" w:hAnsiTheme="minorHAnsi"/>
              <w:sz w:val="22"/>
              <w:lang w:val="es-ES_tradnl" w:eastAsia="es-CR"/>
            </w:rPr>
          </w:pPr>
          <w:hyperlink w:anchor="_Toc476251447" w:history="1">
            <w:r w:rsidR="006D1467" w:rsidRPr="009D5EA7">
              <w:rPr>
                <w:rStyle w:val="Hipervnculo"/>
                <w:rFonts w:cs="Verdana"/>
                <w:caps/>
                <w:snapToGrid w:val="0"/>
                <w:lang w:val="es-ES_tradnl" w:eastAsia="es-ES"/>
              </w:rPr>
              <w:t>II PROCEDIMIENTO ANTE LA CORTE</w:t>
            </w:r>
            <w:r w:rsidR="006D1467" w:rsidRPr="009D5EA7">
              <w:rPr>
                <w:webHidden/>
                <w:lang w:val="es-ES_tradnl"/>
              </w:rPr>
              <w:tab/>
            </w:r>
            <w:r w:rsidR="006D1467" w:rsidRPr="009D5EA7">
              <w:rPr>
                <w:webHidden/>
                <w:lang w:val="es-ES_tradnl"/>
              </w:rPr>
              <w:fldChar w:fldCharType="begin"/>
            </w:r>
            <w:r w:rsidR="006D1467" w:rsidRPr="009D5EA7">
              <w:rPr>
                <w:webHidden/>
                <w:lang w:val="es-ES_tradnl"/>
              </w:rPr>
              <w:instrText xml:space="preserve"> PAGEREF _Toc476251447 \h </w:instrText>
            </w:r>
            <w:r w:rsidR="006D1467" w:rsidRPr="009D5EA7">
              <w:rPr>
                <w:webHidden/>
                <w:lang w:val="es-ES_tradnl"/>
              </w:rPr>
            </w:r>
            <w:r w:rsidR="006D1467" w:rsidRPr="009D5EA7">
              <w:rPr>
                <w:webHidden/>
                <w:lang w:val="es-ES_tradnl"/>
              </w:rPr>
              <w:fldChar w:fldCharType="separate"/>
            </w:r>
            <w:r w:rsidR="00B161DD">
              <w:rPr>
                <w:webHidden/>
                <w:lang w:val="es-ES_tradnl"/>
              </w:rPr>
              <w:t>5</w:t>
            </w:r>
            <w:r w:rsidR="006D1467" w:rsidRPr="009D5EA7">
              <w:rPr>
                <w:webHidden/>
                <w:lang w:val="es-ES_tradnl"/>
              </w:rPr>
              <w:fldChar w:fldCharType="end"/>
            </w:r>
          </w:hyperlink>
        </w:p>
        <w:p w14:paraId="7859BC5F" w14:textId="77777777" w:rsidR="006D1467" w:rsidRPr="009D5EA7" w:rsidRDefault="003D4F60">
          <w:pPr>
            <w:pStyle w:val="TDC1"/>
            <w:rPr>
              <w:rFonts w:asciiTheme="minorHAnsi" w:eastAsiaTheme="minorEastAsia" w:hAnsiTheme="minorHAnsi"/>
              <w:sz w:val="22"/>
              <w:lang w:val="es-ES_tradnl" w:eastAsia="es-CR"/>
            </w:rPr>
          </w:pPr>
          <w:hyperlink w:anchor="_Toc476251448" w:history="1">
            <w:r w:rsidR="006D1467" w:rsidRPr="009D5EA7">
              <w:rPr>
                <w:rStyle w:val="Hipervnculo"/>
                <w:rFonts w:cs="Verdana"/>
                <w:caps/>
                <w:snapToGrid w:val="0"/>
                <w:lang w:val="es-ES_tradnl" w:eastAsia="es-ES"/>
              </w:rPr>
              <w:t>III COMPETENCIA</w:t>
            </w:r>
            <w:r w:rsidR="006D1467" w:rsidRPr="009D5EA7">
              <w:rPr>
                <w:webHidden/>
                <w:lang w:val="es-ES_tradnl"/>
              </w:rPr>
              <w:tab/>
            </w:r>
            <w:r w:rsidR="006D1467" w:rsidRPr="009D5EA7">
              <w:rPr>
                <w:webHidden/>
                <w:lang w:val="es-ES_tradnl"/>
              </w:rPr>
              <w:fldChar w:fldCharType="begin"/>
            </w:r>
            <w:r w:rsidR="006D1467" w:rsidRPr="009D5EA7">
              <w:rPr>
                <w:webHidden/>
                <w:lang w:val="es-ES_tradnl"/>
              </w:rPr>
              <w:instrText xml:space="preserve"> PAGEREF _Toc476251448 \h </w:instrText>
            </w:r>
            <w:r w:rsidR="006D1467" w:rsidRPr="009D5EA7">
              <w:rPr>
                <w:webHidden/>
                <w:lang w:val="es-ES_tradnl"/>
              </w:rPr>
            </w:r>
            <w:r w:rsidR="006D1467" w:rsidRPr="009D5EA7">
              <w:rPr>
                <w:webHidden/>
                <w:lang w:val="es-ES_tradnl"/>
              </w:rPr>
              <w:fldChar w:fldCharType="separate"/>
            </w:r>
            <w:r w:rsidR="00B161DD">
              <w:rPr>
                <w:webHidden/>
                <w:lang w:val="es-ES_tradnl"/>
              </w:rPr>
              <w:t>7</w:t>
            </w:r>
            <w:r w:rsidR="006D1467" w:rsidRPr="009D5EA7">
              <w:rPr>
                <w:webHidden/>
                <w:lang w:val="es-ES_tradnl"/>
              </w:rPr>
              <w:fldChar w:fldCharType="end"/>
            </w:r>
          </w:hyperlink>
        </w:p>
        <w:p w14:paraId="259C9168" w14:textId="77777777" w:rsidR="006D1467" w:rsidRPr="009D5EA7" w:rsidRDefault="003D4F60">
          <w:pPr>
            <w:pStyle w:val="TDC1"/>
            <w:rPr>
              <w:rFonts w:asciiTheme="minorHAnsi" w:eastAsiaTheme="minorEastAsia" w:hAnsiTheme="minorHAnsi"/>
              <w:sz w:val="22"/>
              <w:lang w:val="es-ES_tradnl" w:eastAsia="es-CR"/>
            </w:rPr>
          </w:pPr>
          <w:hyperlink w:anchor="_Toc476251449" w:history="1">
            <w:r w:rsidR="006D1467" w:rsidRPr="009D5EA7">
              <w:rPr>
                <w:rStyle w:val="Hipervnculo"/>
                <w:rFonts w:cs="Verdana"/>
                <w:caps/>
                <w:snapToGrid w:val="0"/>
                <w:lang w:val="es-ES_tradnl" w:eastAsia="es-ES"/>
              </w:rPr>
              <w:t>IV EXCEPCIONES PRELIMINARES</w:t>
            </w:r>
            <w:r w:rsidR="006D1467" w:rsidRPr="009D5EA7">
              <w:rPr>
                <w:webHidden/>
                <w:lang w:val="es-ES_tradnl"/>
              </w:rPr>
              <w:tab/>
            </w:r>
            <w:r w:rsidR="006D1467" w:rsidRPr="009D5EA7">
              <w:rPr>
                <w:webHidden/>
                <w:lang w:val="es-ES_tradnl"/>
              </w:rPr>
              <w:fldChar w:fldCharType="begin"/>
            </w:r>
            <w:r w:rsidR="006D1467" w:rsidRPr="009D5EA7">
              <w:rPr>
                <w:webHidden/>
                <w:lang w:val="es-ES_tradnl"/>
              </w:rPr>
              <w:instrText xml:space="preserve"> PAGEREF _Toc476251449 \h </w:instrText>
            </w:r>
            <w:r w:rsidR="006D1467" w:rsidRPr="009D5EA7">
              <w:rPr>
                <w:webHidden/>
                <w:lang w:val="es-ES_tradnl"/>
              </w:rPr>
            </w:r>
            <w:r w:rsidR="006D1467" w:rsidRPr="009D5EA7">
              <w:rPr>
                <w:webHidden/>
                <w:lang w:val="es-ES_tradnl"/>
              </w:rPr>
              <w:fldChar w:fldCharType="separate"/>
            </w:r>
            <w:r w:rsidR="00B161DD">
              <w:rPr>
                <w:webHidden/>
                <w:lang w:val="es-ES_tradnl"/>
              </w:rPr>
              <w:t>7</w:t>
            </w:r>
            <w:r w:rsidR="006D1467" w:rsidRPr="009D5EA7">
              <w:rPr>
                <w:webHidden/>
                <w:lang w:val="es-ES_tradnl"/>
              </w:rPr>
              <w:fldChar w:fldCharType="end"/>
            </w:r>
          </w:hyperlink>
        </w:p>
        <w:p w14:paraId="0283173B" w14:textId="77777777" w:rsidR="006D1467" w:rsidRPr="009D5EA7" w:rsidRDefault="003D4F60">
          <w:pPr>
            <w:pStyle w:val="TDC1"/>
            <w:rPr>
              <w:rFonts w:asciiTheme="minorHAnsi" w:eastAsiaTheme="minorEastAsia" w:hAnsiTheme="minorHAnsi"/>
              <w:sz w:val="22"/>
              <w:lang w:val="es-ES_tradnl" w:eastAsia="es-CR"/>
            </w:rPr>
          </w:pPr>
          <w:hyperlink w:anchor="_Toc476251450" w:history="1">
            <w:r w:rsidR="006D1467" w:rsidRPr="009D5EA7">
              <w:rPr>
                <w:rStyle w:val="Hipervnculo"/>
                <w:rFonts w:cs="Verdana"/>
                <w:caps/>
                <w:snapToGrid w:val="0"/>
                <w:lang w:val="es-ES_tradnl" w:eastAsia="es-ES"/>
              </w:rPr>
              <w:t>V PRUEBA</w:t>
            </w:r>
            <w:r w:rsidR="006D1467" w:rsidRPr="009D5EA7">
              <w:rPr>
                <w:webHidden/>
                <w:lang w:val="es-ES_tradnl"/>
              </w:rPr>
              <w:tab/>
            </w:r>
            <w:r w:rsidR="006D1467" w:rsidRPr="009D5EA7">
              <w:rPr>
                <w:webHidden/>
                <w:lang w:val="es-ES_tradnl"/>
              </w:rPr>
              <w:fldChar w:fldCharType="begin"/>
            </w:r>
            <w:r w:rsidR="006D1467" w:rsidRPr="009D5EA7">
              <w:rPr>
                <w:webHidden/>
                <w:lang w:val="es-ES_tradnl"/>
              </w:rPr>
              <w:instrText xml:space="preserve"> PAGEREF _Toc476251450 \h </w:instrText>
            </w:r>
            <w:r w:rsidR="006D1467" w:rsidRPr="009D5EA7">
              <w:rPr>
                <w:webHidden/>
                <w:lang w:val="es-ES_tradnl"/>
              </w:rPr>
            </w:r>
            <w:r w:rsidR="006D1467" w:rsidRPr="009D5EA7">
              <w:rPr>
                <w:webHidden/>
                <w:lang w:val="es-ES_tradnl"/>
              </w:rPr>
              <w:fldChar w:fldCharType="separate"/>
            </w:r>
            <w:r w:rsidR="00B161DD">
              <w:rPr>
                <w:webHidden/>
                <w:lang w:val="es-ES_tradnl"/>
              </w:rPr>
              <w:t>9</w:t>
            </w:r>
            <w:r w:rsidR="006D1467" w:rsidRPr="009D5EA7">
              <w:rPr>
                <w:webHidden/>
                <w:lang w:val="es-ES_tradnl"/>
              </w:rPr>
              <w:fldChar w:fldCharType="end"/>
            </w:r>
          </w:hyperlink>
        </w:p>
        <w:p w14:paraId="7A1EDABE" w14:textId="77777777" w:rsidR="006D1467" w:rsidRPr="009D5EA7" w:rsidRDefault="003D4F60">
          <w:pPr>
            <w:pStyle w:val="TDC2"/>
            <w:rPr>
              <w:rFonts w:asciiTheme="minorHAnsi" w:eastAsiaTheme="minorEastAsia" w:hAnsiTheme="minorHAnsi" w:cstheme="minorBidi"/>
              <w:bCs w:val="0"/>
              <w:i w:val="0"/>
              <w:iCs w:val="0"/>
              <w:sz w:val="18"/>
              <w:szCs w:val="22"/>
              <w:lang w:eastAsia="es-CR"/>
            </w:rPr>
          </w:pPr>
          <w:hyperlink w:anchor="_Toc476251451" w:history="1">
            <w:r w:rsidR="006D1467" w:rsidRPr="009D5EA7">
              <w:rPr>
                <w:rStyle w:val="Hipervnculo"/>
                <w:sz w:val="16"/>
              </w:rPr>
              <w:t>A.</w:t>
            </w:r>
            <w:r w:rsidR="006D1467" w:rsidRPr="009D5EA7">
              <w:rPr>
                <w:rFonts w:asciiTheme="minorHAnsi" w:eastAsiaTheme="minorEastAsia" w:hAnsiTheme="minorHAnsi" w:cstheme="minorBidi"/>
                <w:bCs w:val="0"/>
                <w:i w:val="0"/>
                <w:iCs w:val="0"/>
                <w:sz w:val="18"/>
                <w:szCs w:val="22"/>
                <w:lang w:eastAsia="es-CR"/>
              </w:rPr>
              <w:tab/>
            </w:r>
            <w:r w:rsidR="006D1467" w:rsidRPr="009D5EA7">
              <w:rPr>
                <w:rStyle w:val="Hipervnculo"/>
                <w:sz w:val="16"/>
              </w:rPr>
              <w:t>Prueba documental, testimonial y pericial</w:t>
            </w:r>
            <w:r w:rsidR="006D1467" w:rsidRPr="009D5EA7">
              <w:rPr>
                <w:webHidden/>
                <w:sz w:val="16"/>
              </w:rPr>
              <w:tab/>
            </w:r>
            <w:r w:rsidR="006D1467" w:rsidRPr="009D5EA7">
              <w:rPr>
                <w:webHidden/>
                <w:sz w:val="16"/>
              </w:rPr>
              <w:fldChar w:fldCharType="begin"/>
            </w:r>
            <w:r w:rsidR="006D1467" w:rsidRPr="009D5EA7">
              <w:rPr>
                <w:webHidden/>
                <w:sz w:val="16"/>
              </w:rPr>
              <w:instrText xml:space="preserve"> PAGEREF _Toc476251451 \h </w:instrText>
            </w:r>
            <w:r w:rsidR="006D1467" w:rsidRPr="009D5EA7">
              <w:rPr>
                <w:webHidden/>
                <w:sz w:val="16"/>
              </w:rPr>
            </w:r>
            <w:r w:rsidR="006D1467" w:rsidRPr="009D5EA7">
              <w:rPr>
                <w:webHidden/>
                <w:sz w:val="16"/>
              </w:rPr>
              <w:fldChar w:fldCharType="separate"/>
            </w:r>
            <w:r w:rsidR="00B161DD">
              <w:rPr>
                <w:webHidden/>
                <w:sz w:val="16"/>
              </w:rPr>
              <w:t>9</w:t>
            </w:r>
            <w:r w:rsidR="006D1467" w:rsidRPr="009D5EA7">
              <w:rPr>
                <w:webHidden/>
                <w:sz w:val="16"/>
              </w:rPr>
              <w:fldChar w:fldCharType="end"/>
            </w:r>
          </w:hyperlink>
        </w:p>
        <w:p w14:paraId="0CBAA097" w14:textId="77777777" w:rsidR="006D1467" w:rsidRPr="009D5EA7" w:rsidRDefault="003D4F60">
          <w:pPr>
            <w:pStyle w:val="TDC2"/>
            <w:rPr>
              <w:rFonts w:asciiTheme="minorHAnsi" w:eastAsiaTheme="minorEastAsia" w:hAnsiTheme="minorHAnsi" w:cstheme="minorBidi"/>
              <w:bCs w:val="0"/>
              <w:i w:val="0"/>
              <w:iCs w:val="0"/>
              <w:sz w:val="18"/>
              <w:szCs w:val="22"/>
              <w:lang w:eastAsia="es-CR"/>
            </w:rPr>
          </w:pPr>
          <w:hyperlink w:anchor="_Toc476251452" w:history="1">
            <w:r w:rsidR="006D1467" w:rsidRPr="009D5EA7">
              <w:rPr>
                <w:rStyle w:val="Hipervnculo"/>
                <w:sz w:val="16"/>
              </w:rPr>
              <w:t>B.</w:t>
            </w:r>
            <w:r w:rsidR="006D1467" w:rsidRPr="009D5EA7">
              <w:rPr>
                <w:rFonts w:asciiTheme="minorHAnsi" w:eastAsiaTheme="minorEastAsia" w:hAnsiTheme="minorHAnsi" w:cstheme="minorBidi"/>
                <w:bCs w:val="0"/>
                <w:i w:val="0"/>
                <w:iCs w:val="0"/>
                <w:sz w:val="18"/>
                <w:szCs w:val="22"/>
                <w:lang w:eastAsia="es-CR"/>
              </w:rPr>
              <w:tab/>
            </w:r>
            <w:r w:rsidR="006D1467" w:rsidRPr="009D5EA7">
              <w:rPr>
                <w:rStyle w:val="Hipervnculo"/>
                <w:sz w:val="16"/>
              </w:rPr>
              <w:t>Admisibilidad de la prueba</w:t>
            </w:r>
            <w:r w:rsidR="006D1467" w:rsidRPr="009D5EA7">
              <w:rPr>
                <w:webHidden/>
                <w:sz w:val="16"/>
              </w:rPr>
              <w:tab/>
            </w:r>
            <w:r w:rsidR="006D1467" w:rsidRPr="009D5EA7">
              <w:rPr>
                <w:webHidden/>
                <w:sz w:val="16"/>
              </w:rPr>
              <w:fldChar w:fldCharType="begin"/>
            </w:r>
            <w:r w:rsidR="006D1467" w:rsidRPr="009D5EA7">
              <w:rPr>
                <w:webHidden/>
                <w:sz w:val="16"/>
              </w:rPr>
              <w:instrText xml:space="preserve"> PAGEREF _Toc476251452 \h </w:instrText>
            </w:r>
            <w:r w:rsidR="006D1467" w:rsidRPr="009D5EA7">
              <w:rPr>
                <w:webHidden/>
                <w:sz w:val="16"/>
              </w:rPr>
            </w:r>
            <w:r w:rsidR="006D1467" w:rsidRPr="009D5EA7">
              <w:rPr>
                <w:webHidden/>
                <w:sz w:val="16"/>
              </w:rPr>
              <w:fldChar w:fldCharType="separate"/>
            </w:r>
            <w:r w:rsidR="00B161DD">
              <w:rPr>
                <w:webHidden/>
                <w:sz w:val="16"/>
              </w:rPr>
              <w:t>9</w:t>
            </w:r>
            <w:r w:rsidR="006D1467" w:rsidRPr="009D5EA7">
              <w:rPr>
                <w:webHidden/>
                <w:sz w:val="16"/>
              </w:rPr>
              <w:fldChar w:fldCharType="end"/>
            </w:r>
          </w:hyperlink>
        </w:p>
        <w:p w14:paraId="6EAF8B1B" w14:textId="77777777" w:rsidR="006D1467" w:rsidRPr="009D5EA7" w:rsidRDefault="003D4F60">
          <w:pPr>
            <w:pStyle w:val="TDC2"/>
            <w:rPr>
              <w:rFonts w:asciiTheme="minorHAnsi" w:eastAsiaTheme="minorEastAsia" w:hAnsiTheme="minorHAnsi" w:cstheme="minorBidi"/>
              <w:bCs w:val="0"/>
              <w:i w:val="0"/>
              <w:iCs w:val="0"/>
              <w:sz w:val="18"/>
              <w:szCs w:val="22"/>
              <w:lang w:eastAsia="es-CR"/>
            </w:rPr>
          </w:pPr>
          <w:hyperlink w:anchor="_Toc476251453" w:history="1">
            <w:r w:rsidR="006D1467" w:rsidRPr="009D5EA7">
              <w:rPr>
                <w:rStyle w:val="Hipervnculo"/>
                <w:sz w:val="16"/>
              </w:rPr>
              <w:t>C.</w:t>
            </w:r>
            <w:r w:rsidR="006D1467" w:rsidRPr="009D5EA7">
              <w:rPr>
                <w:rFonts w:asciiTheme="minorHAnsi" w:eastAsiaTheme="minorEastAsia" w:hAnsiTheme="minorHAnsi" w:cstheme="minorBidi"/>
                <w:bCs w:val="0"/>
                <w:i w:val="0"/>
                <w:iCs w:val="0"/>
                <w:sz w:val="18"/>
                <w:szCs w:val="22"/>
                <w:lang w:eastAsia="es-CR"/>
              </w:rPr>
              <w:tab/>
            </w:r>
            <w:r w:rsidR="006D1467" w:rsidRPr="009D5EA7">
              <w:rPr>
                <w:rStyle w:val="Hipervnculo"/>
                <w:sz w:val="16"/>
              </w:rPr>
              <w:t>Valoración de la prueba</w:t>
            </w:r>
            <w:r w:rsidR="006D1467" w:rsidRPr="009D5EA7">
              <w:rPr>
                <w:webHidden/>
                <w:sz w:val="16"/>
              </w:rPr>
              <w:tab/>
            </w:r>
            <w:r w:rsidR="006D1467" w:rsidRPr="009D5EA7">
              <w:rPr>
                <w:webHidden/>
                <w:sz w:val="16"/>
              </w:rPr>
              <w:fldChar w:fldCharType="begin"/>
            </w:r>
            <w:r w:rsidR="006D1467" w:rsidRPr="009D5EA7">
              <w:rPr>
                <w:webHidden/>
                <w:sz w:val="16"/>
              </w:rPr>
              <w:instrText xml:space="preserve"> PAGEREF _Toc476251453 \h </w:instrText>
            </w:r>
            <w:r w:rsidR="006D1467" w:rsidRPr="009D5EA7">
              <w:rPr>
                <w:webHidden/>
                <w:sz w:val="16"/>
              </w:rPr>
            </w:r>
            <w:r w:rsidR="006D1467" w:rsidRPr="009D5EA7">
              <w:rPr>
                <w:webHidden/>
                <w:sz w:val="16"/>
              </w:rPr>
              <w:fldChar w:fldCharType="separate"/>
            </w:r>
            <w:r w:rsidR="00B161DD">
              <w:rPr>
                <w:webHidden/>
                <w:sz w:val="16"/>
              </w:rPr>
              <w:t>10</w:t>
            </w:r>
            <w:r w:rsidR="006D1467" w:rsidRPr="009D5EA7">
              <w:rPr>
                <w:webHidden/>
                <w:sz w:val="16"/>
              </w:rPr>
              <w:fldChar w:fldCharType="end"/>
            </w:r>
          </w:hyperlink>
        </w:p>
        <w:p w14:paraId="5F788B3C" w14:textId="77777777" w:rsidR="006D1467" w:rsidRPr="009D5EA7" w:rsidRDefault="003D4F60">
          <w:pPr>
            <w:pStyle w:val="TDC1"/>
            <w:rPr>
              <w:rFonts w:asciiTheme="minorHAnsi" w:eastAsiaTheme="minorEastAsia" w:hAnsiTheme="minorHAnsi"/>
              <w:sz w:val="22"/>
              <w:lang w:val="es-ES_tradnl" w:eastAsia="es-CR"/>
            </w:rPr>
          </w:pPr>
          <w:hyperlink w:anchor="_Toc476251454" w:history="1">
            <w:r w:rsidR="006D1467" w:rsidRPr="009D5EA7">
              <w:rPr>
                <w:rStyle w:val="Hipervnculo"/>
                <w:rFonts w:cs="Verdana"/>
                <w:caps/>
                <w:snapToGrid w:val="0"/>
                <w:lang w:val="es-ES_tradnl" w:eastAsia="es-ES"/>
              </w:rPr>
              <w:t>VI CONSIDERACIón PREVIA</w:t>
            </w:r>
            <w:r w:rsidR="006D1467" w:rsidRPr="009D5EA7">
              <w:rPr>
                <w:webHidden/>
                <w:lang w:val="es-ES_tradnl"/>
              </w:rPr>
              <w:tab/>
            </w:r>
            <w:r w:rsidR="006D1467" w:rsidRPr="009D5EA7">
              <w:rPr>
                <w:webHidden/>
                <w:lang w:val="es-ES_tradnl"/>
              </w:rPr>
              <w:fldChar w:fldCharType="begin"/>
            </w:r>
            <w:r w:rsidR="006D1467" w:rsidRPr="009D5EA7">
              <w:rPr>
                <w:webHidden/>
                <w:lang w:val="es-ES_tradnl"/>
              </w:rPr>
              <w:instrText xml:space="preserve"> PAGEREF _Toc476251454 \h </w:instrText>
            </w:r>
            <w:r w:rsidR="006D1467" w:rsidRPr="009D5EA7">
              <w:rPr>
                <w:webHidden/>
                <w:lang w:val="es-ES_tradnl"/>
              </w:rPr>
            </w:r>
            <w:r w:rsidR="006D1467" w:rsidRPr="009D5EA7">
              <w:rPr>
                <w:webHidden/>
                <w:lang w:val="es-ES_tradnl"/>
              </w:rPr>
              <w:fldChar w:fldCharType="separate"/>
            </w:r>
            <w:r w:rsidR="00B161DD">
              <w:rPr>
                <w:webHidden/>
                <w:lang w:val="es-ES_tradnl"/>
              </w:rPr>
              <w:t>10</w:t>
            </w:r>
            <w:r w:rsidR="006D1467" w:rsidRPr="009D5EA7">
              <w:rPr>
                <w:webHidden/>
                <w:lang w:val="es-ES_tradnl"/>
              </w:rPr>
              <w:fldChar w:fldCharType="end"/>
            </w:r>
          </w:hyperlink>
        </w:p>
        <w:p w14:paraId="2E826386" w14:textId="77777777" w:rsidR="006D1467" w:rsidRPr="009D5EA7" w:rsidRDefault="003D4F60">
          <w:pPr>
            <w:pStyle w:val="TDC1"/>
            <w:rPr>
              <w:rFonts w:asciiTheme="minorHAnsi" w:eastAsiaTheme="minorEastAsia" w:hAnsiTheme="minorHAnsi"/>
              <w:sz w:val="22"/>
              <w:lang w:val="es-ES_tradnl" w:eastAsia="es-CR"/>
            </w:rPr>
          </w:pPr>
          <w:hyperlink w:anchor="_Toc476251455" w:history="1">
            <w:r w:rsidR="006D1467" w:rsidRPr="009D5EA7">
              <w:rPr>
                <w:rStyle w:val="Hipervnculo"/>
                <w:rFonts w:cs="Verdana"/>
                <w:caps/>
                <w:snapToGrid w:val="0"/>
                <w:lang w:val="es-ES_tradnl" w:eastAsia="es-ES"/>
              </w:rPr>
              <w:t>VII hechos</w:t>
            </w:r>
            <w:r w:rsidR="006D1467" w:rsidRPr="009D5EA7">
              <w:rPr>
                <w:webHidden/>
                <w:lang w:val="es-ES_tradnl"/>
              </w:rPr>
              <w:tab/>
            </w:r>
            <w:r w:rsidR="006D1467" w:rsidRPr="009D5EA7">
              <w:rPr>
                <w:webHidden/>
                <w:lang w:val="es-ES_tradnl"/>
              </w:rPr>
              <w:fldChar w:fldCharType="begin"/>
            </w:r>
            <w:r w:rsidR="006D1467" w:rsidRPr="009D5EA7">
              <w:rPr>
                <w:webHidden/>
                <w:lang w:val="es-ES_tradnl"/>
              </w:rPr>
              <w:instrText xml:space="preserve"> PAGEREF _Toc476251455 \h </w:instrText>
            </w:r>
            <w:r w:rsidR="006D1467" w:rsidRPr="009D5EA7">
              <w:rPr>
                <w:webHidden/>
                <w:lang w:val="es-ES_tradnl"/>
              </w:rPr>
            </w:r>
            <w:r w:rsidR="006D1467" w:rsidRPr="009D5EA7">
              <w:rPr>
                <w:webHidden/>
                <w:lang w:val="es-ES_tradnl"/>
              </w:rPr>
              <w:fldChar w:fldCharType="separate"/>
            </w:r>
            <w:r w:rsidR="00B161DD">
              <w:rPr>
                <w:webHidden/>
                <w:lang w:val="es-ES_tradnl"/>
              </w:rPr>
              <w:t>11</w:t>
            </w:r>
            <w:r w:rsidR="006D1467" w:rsidRPr="009D5EA7">
              <w:rPr>
                <w:webHidden/>
                <w:lang w:val="es-ES_tradnl"/>
              </w:rPr>
              <w:fldChar w:fldCharType="end"/>
            </w:r>
          </w:hyperlink>
        </w:p>
        <w:p w14:paraId="5B30E6A4" w14:textId="77777777" w:rsidR="006D1467" w:rsidRPr="009D5EA7" w:rsidRDefault="003D4F60">
          <w:pPr>
            <w:pStyle w:val="TDC1"/>
            <w:rPr>
              <w:rFonts w:asciiTheme="minorHAnsi" w:eastAsiaTheme="minorEastAsia" w:hAnsiTheme="minorHAnsi"/>
              <w:sz w:val="22"/>
              <w:lang w:val="es-ES_tradnl" w:eastAsia="es-CR"/>
            </w:rPr>
          </w:pPr>
          <w:hyperlink w:anchor="_Toc476251456" w:history="1">
            <w:r w:rsidR="006D1467" w:rsidRPr="009D5EA7">
              <w:rPr>
                <w:rStyle w:val="Hipervnculo"/>
                <w:rFonts w:cs="Verdana"/>
                <w:caps/>
                <w:snapToGrid w:val="0"/>
                <w:lang w:val="es-ES_tradnl" w:eastAsia="es-ES"/>
              </w:rPr>
              <w:t>VIII FONDO</w:t>
            </w:r>
            <w:r w:rsidR="006D1467" w:rsidRPr="009D5EA7">
              <w:rPr>
                <w:webHidden/>
                <w:lang w:val="es-ES_tradnl"/>
              </w:rPr>
              <w:tab/>
            </w:r>
            <w:r w:rsidR="006D1467" w:rsidRPr="009D5EA7">
              <w:rPr>
                <w:webHidden/>
                <w:lang w:val="es-ES_tradnl"/>
              </w:rPr>
              <w:fldChar w:fldCharType="begin"/>
            </w:r>
            <w:r w:rsidR="006D1467" w:rsidRPr="009D5EA7">
              <w:rPr>
                <w:webHidden/>
                <w:lang w:val="es-ES_tradnl"/>
              </w:rPr>
              <w:instrText xml:space="preserve"> PAGEREF _Toc476251456 \h </w:instrText>
            </w:r>
            <w:r w:rsidR="006D1467" w:rsidRPr="009D5EA7">
              <w:rPr>
                <w:webHidden/>
                <w:lang w:val="es-ES_tradnl"/>
              </w:rPr>
            </w:r>
            <w:r w:rsidR="006D1467" w:rsidRPr="009D5EA7">
              <w:rPr>
                <w:webHidden/>
                <w:lang w:val="es-ES_tradnl"/>
              </w:rPr>
              <w:fldChar w:fldCharType="separate"/>
            </w:r>
            <w:r w:rsidR="00B161DD">
              <w:rPr>
                <w:webHidden/>
                <w:lang w:val="es-ES_tradnl"/>
              </w:rPr>
              <w:t>31</w:t>
            </w:r>
            <w:r w:rsidR="006D1467" w:rsidRPr="009D5EA7">
              <w:rPr>
                <w:webHidden/>
                <w:lang w:val="es-ES_tradnl"/>
              </w:rPr>
              <w:fldChar w:fldCharType="end"/>
            </w:r>
          </w:hyperlink>
        </w:p>
        <w:p w14:paraId="7E0D0F0B" w14:textId="77777777" w:rsidR="006D1467" w:rsidRPr="009D5EA7" w:rsidRDefault="003D4F60">
          <w:pPr>
            <w:pStyle w:val="TDC1"/>
            <w:rPr>
              <w:rFonts w:asciiTheme="minorHAnsi" w:eastAsiaTheme="minorEastAsia" w:hAnsiTheme="minorHAnsi"/>
              <w:sz w:val="22"/>
              <w:lang w:val="es-ES_tradnl" w:eastAsia="es-CR"/>
            </w:rPr>
          </w:pPr>
          <w:hyperlink w:anchor="_Toc476251457" w:history="1">
            <w:r w:rsidR="006D1467" w:rsidRPr="009D5EA7">
              <w:rPr>
                <w:rStyle w:val="Hipervnculo"/>
                <w:rFonts w:cs="Verdana"/>
                <w:caps/>
                <w:snapToGrid w:val="0"/>
                <w:lang w:val="es-ES_tradnl" w:eastAsia="es-ES"/>
              </w:rPr>
              <w:t>ViIi.1 derecho a las garantías judiciales y Protección judicial</w:t>
            </w:r>
            <w:r w:rsidR="006D1467" w:rsidRPr="009D5EA7">
              <w:rPr>
                <w:webHidden/>
                <w:lang w:val="es-ES_tradnl"/>
              </w:rPr>
              <w:tab/>
            </w:r>
            <w:r w:rsidR="006D1467" w:rsidRPr="009D5EA7">
              <w:rPr>
                <w:webHidden/>
                <w:lang w:val="es-ES_tradnl"/>
              </w:rPr>
              <w:fldChar w:fldCharType="begin"/>
            </w:r>
            <w:r w:rsidR="006D1467" w:rsidRPr="009D5EA7">
              <w:rPr>
                <w:webHidden/>
                <w:lang w:val="es-ES_tradnl"/>
              </w:rPr>
              <w:instrText xml:space="preserve"> PAGEREF _Toc476251457 \h </w:instrText>
            </w:r>
            <w:r w:rsidR="006D1467" w:rsidRPr="009D5EA7">
              <w:rPr>
                <w:webHidden/>
                <w:lang w:val="es-ES_tradnl"/>
              </w:rPr>
            </w:r>
            <w:r w:rsidR="006D1467" w:rsidRPr="009D5EA7">
              <w:rPr>
                <w:webHidden/>
                <w:lang w:val="es-ES_tradnl"/>
              </w:rPr>
              <w:fldChar w:fldCharType="separate"/>
            </w:r>
            <w:r w:rsidR="00B161DD">
              <w:rPr>
                <w:webHidden/>
                <w:lang w:val="es-ES_tradnl"/>
              </w:rPr>
              <w:t>31</w:t>
            </w:r>
            <w:r w:rsidR="006D1467" w:rsidRPr="009D5EA7">
              <w:rPr>
                <w:webHidden/>
                <w:lang w:val="es-ES_tradnl"/>
              </w:rPr>
              <w:fldChar w:fldCharType="end"/>
            </w:r>
          </w:hyperlink>
        </w:p>
        <w:p w14:paraId="560727A9" w14:textId="77777777" w:rsidR="006D1467" w:rsidRPr="009D5EA7" w:rsidRDefault="003D4F60">
          <w:pPr>
            <w:pStyle w:val="TDC2"/>
            <w:rPr>
              <w:rFonts w:asciiTheme="minorHAnsi" w:eastAsiaTheme="minorEastAsia" w:hAnsiTheme="minorHAnsi" w:cstheme="minorBidi"/>
              <w:bCs w:val="0"/>
              <w:i w:val="0"/>
              <w:iCs w:val="0"/>
              <w:sz w:val="22"/>
              <w:szCs w:val="22"/>
              <w:lang w:eastAsia="es-CR"/>
            </w:rPr>
          </w:pPr>
          <w:hyperlink w:anchor="_Toc476251458" w:history="1">
            <w:r w:rsidR="006D1467" w:rsidRPr="009D5EA7">
              <w:rPr>
                <w:rStyle w:val="Hipervnculo"/>
                <w:smallCaps/>
              </w:rPr>
              <w:t>1.A</w:t>
            </w:r>
            <w:r w:rsidR="006D1467" w:rsidRPr="009D5EA7">
              <w:rPr>
                <w:rFonts w:asciiTheme="minorHAnsi" w:eastAsiaTheme="minorEastAsia" w:hAnsiTheme="minorHAnsi" w:cstheme="minorBidi"/>
                <w:bCs w:val="0"/>
                <w:i w:val="0"/>
                <w:iCs w:val="0"/>
                <w:sz w:val="22"/>
                <w:szCs w:val="22"/>
                <w:lang w:eastAsia="es-CR"/>
              </w:rPr>
              <w:tab/>
            </w:r>
            <w:r w:rsidR="006D1467" w:rsidRPr="009D5EA7">
              <w:rPr>
                <w:rStyle w:val="Hipervnculo"/>
                <w:smallCaps/>
              </w:rPr>
              <w:t>Derechos de acceso a la justicia y a la verdad de los familiares del señor García Valle en relación con la investigación y proceso penal por el asesinato de éste</w:t>
            </w:r>
            <w:r w:rsidR="006D1467" w:rsidRPr="009D5EA7">
              <w:rPr>
                <w:webHidden/>
              </w:rPr>
              <w:tab/>
            </w:r>
            <w:r w:rsidR="006D1467" w:rsidRPr="009D5EA7">
              <w:rPr>
                <w:webHidden/>
              </w:rPr>
              <w:fldChar w:fldCharType="begin"/>
            </w:r>
            <w:r w:rsidR="006D1467" w:rsidRPr="009D5EA7">
              <w:rPr>
                <w:webHidden/>
              </w:rPr>
              <w:instrText xml:space="preserve"> PAGEREF _Toc476251458 \h </w:instrText>
            </w:r>
            <w:r w:rsidR="006D1467" w:rsidRPr="009D5EA7">
              <w:rPr>
                <w:webHidden/>
              </w:rPr>
            </w:r>
            <w:r w:rsidR="006D1467" w:rsidRPr="009D5EA7">
              <w:rPr>
                <w:webHidden/>
              </w:rPr>
              <w:fldChar w:fldCharType="separate"/>
            </w:r>
            <w:r w:rsidR="00B161DD">
              <w:rPr>
                <w:webHidden/>
              </w:rPr>
              <w:t>32</w:t>
            </w:r>
            <w:r w:rsidR="006D1467" w:rsidRPr="009D5EA7">
              <w:rPr>
                <w:webHidden/>
              </w:rPr>
              <w:fldChar w:fldCharType="end"/>
            </w:r>
          </w:hyperlink>
        </w:p>
        <w:p w14:paraId="6B89523D" w14:textId="77777777" w:rsidR="006D1467" w:rsidRPr="009D5EA7" w:rsidRDefault="003D4F60">
          <w:pPr>
            <w:pStyle w:val="TDC2"/>
            <w:rPr>
              <w:rFonts w:asciiTheme="minorHAnsi" w:eastAsiaTheme="minorEastAsia" w:hAnsiTheme="minorHAnsi" w:cstheme="minorBidi"/>
              <w:bCs w:val="0"/>
              <w:i w:val="0"/>
              <w:iCs w:val="0"/>
              <w:sz w:val="22"/>
              <w:szCs w:val="22"/>
              <w:lang w:eastAsia="es-CR"/>
            </w:rPr>
          </w:pPr>
          <w:hyperlink w:anchor="_Toc476251459" w:history="1">
            <w:r w:rsidR="006D1467" w:rsidRPr="009D5EA7">
              <w:rPr>
                <w:rStyle w:val="Hipervnculo"/>
                <w:smallCaps/>
              </w:rPr>
              <w:t>1.B</w:t>
            </w:r>
            <w:r w:rsidR="006D1467" w:rsidRPr="009D5EA7">
              <w:rPr>
                <w:rFonts w:asciiTheme="minorHAnsi" w:eastAsiaTheme="minorEastAsia" w:hAnsiTheme="minorHAnsi" w:cstheme="minorBidi"/>
                <w:bCs w:val="0"/>
                <w:i w:val="0"/>
                <w:iCs w:val="0"/>
                <w:sz w:val="22"/>
                <w:szCs w:val="22"/>
                <w:lang w:eastAsia="es-CR"/>
              </w:rPr>
              <w:tab/>
            </w:r>
            <w:r w:rsidR="006D1467" w:rsidRPr="009D5EA7">
              <w:rPr>
                <w:rStyle w:val="Hipervnculo"/>
                <w:smallCaps/>
              </w:rPr>
              <w:t>Derecho a las garantías judiciales de la señora Acosta en relación con los procesos penales y civiles abiertos en su contra (arts. 8.1 y 8.2)</w:t>
            </w:r>
            <w:r w:rsidR="006D1467" w:rsidRPr="009D5EA7">
              <w:rPr>
                <w:webHidden/>
              </w:rPr>
              <w:tab/>
            </w:r>
            <w:r w:rsidR="006D1467" w:rsidRPr="009D5EA7">
              <w:rPr>
                <w:webHidden/>
              </w:rPr>
              <w:fldChar w:fldCharType="begin"/>
            </w:r>
            <w:r w:rsidR="006D1467" w:rsidRPr="009D5EA7">
              <w:rPr>
                <w:webHidden/>
              </w:rPr>
              <w:instrText xml:space="preserve"> PAGEREF _Toc476251459 \h </w:instrText>
            </w:r>
            <w:r w:rsidR="006D1467" w:rsidRPr="009D5EA7">
              <w:rPr>
                <w:webHidden/>
              </w:rPr>
            </w:r>
            <w:r w:rsidR="006D1467" w:rsidRPr="009D5EA7">
              <w:rPr>
                <w:webHidden/>
              </w:rPr>
              <w:fldChar w:fldCharType="separate"/>
            </w:r>
            <w:r w:rsidR="00B161DD">
              <w:rPr>
                <w:webHidden/>
              </w:rPr>
              <w:t>47</w:t>
            </w:r>
            <w:r w:rsidR="006D1467" w:rsidRPr="009D5EA7">
              <w:rPr>
                <w:webHidden/>
              </w:rPr>
              <w:fldChar w:fldCharType="end"/>
            </w:r>
          </w:hyperlink>
        </w:p>
        <w:p w14:paraId="0E24D1D1" w14:textId="77777777" w:rsidR="006D1467" w:rsidRPr="009D5EA7" w:rsidRDefault="003D4F60">
          <w:pPr>
            <w:pStyle w:val="TDC1"/>
            <w:rPr>
              <w:rFonts w:asciiTheme="minorHAnsi" w:eastAsiaTheme="minorEastAsia" w:hAnsiTheme="minorHAnsi"/>
              <w:sz w:val="22"/>
              <w:lang w:val="es-ES_tradnl" w:eastAsia="es-CR"/>
            </w:rPr>
          </w:pPr>
          <w:hyperlink w:anchor="_Toc476251460" w:history="1">
            <w:r w:rsidR="006D1467" w:rsidRPr="009D5EA7">
              <w:rPr>
                <w:rStyle w:val="Hipervnculo"/>
                <w:rFonts w:cs="Verdana"/>
                <w:caps/>
                <w:snapToGrid w:val="0"/>
                <w:lang w:val="es-ES_tradnl" w:eastAsia="es-ES"/>
              </w:rPr>
              <w:t>ViIi.2 derecho a la integridad personal y otros derechos</w:t>
            </w:r>
            <w:r w:rsidR="006D1467" w:rsidRPr="009D5EA7">
              <w:rPr>
                <w:webHidden/>
                <w:lang w:val="es-ES_tradnl"/>
              </w:rPr>
              <w:tab/>
            </w:r>
            <w:r w:rsidR="006D1467" w:rsidRPr="009D5EA7">
              <w:rPr>
                <w:webHidden/>
                <w:lang w:val="es-ES_tradnl"/>
              </w:rPr>
              <w:fldChar w:fldCharType="begin"/>
            </w:r>
            <w:r w:rsidR="006D1467" w:rsidRPr="009D5EA7">
              <w:rPr>
                <w:webHidden/>
                <w:lang w:val="es-ES_tradnl"/>
              </w:rPr>
              <w:instrText xml:space="preserve"> PAGEREF _Toc476251460 \h </w:instrText>
            </w:r>
            <w:r w:rsidR="006D1467" w:rsidRPr="009D5EA7">
              <w:rPr>
                <w:webHidden/>
                <w:lang w:val="es-ES_tradnl"/>
              </w:rPr>
            </w:r>
            <w:r w:rsidR="006D1467" w:rsidRPr="009D5EA7">
              <w:rPr>
                <w:webHidden/>
                <w:lang w:val="es-ES_tradnl"/>
              </w:rPr>
              <w:fldChar w:fldCharType="separate"/>
            </w:r>
            <w:r w:rsidR="00B161DD">
              <w:rPr>
                <w:webHidden/>
                <w:lang w:val="es-ES_tradnl"/>
              </w:rPr>
              <w:t>50</w:t>
            </w:r>
            <w:r w:rsidR="006D1467" w:rsidRPr="009D5EA7">
              <w:rPr>
                <w:webHidden/>
                <w:lang w:val="es-ES_tradnl"/>
              </w:rPr>
              <w:fldChar w:fldCharType="end"/>
            </w:r>
          </w:hyperlink>
        </w:p>
        <w:p w14:paraId="359208E2" w14:textId="77777777" w:rsidR="006D1467" w:rsidRPr="009D5EA7" w:rsidRDefault="003D4F60">
          <w:pPr>
            <w:pStyle w:val="TDC2"/>
            <w:rPr>
              <w:rFonts w:asciiTheme="minorHAnsi" w:eastAsiaTheme="minorEastAsia" w:hAnsiTheme="minorHAnsi" w:cstheme="minorBidi"/>
              <w:bCs w:val="0"/>
              <w:i w:val="0"/>
              <w:iCs w:val="0"/>
              <w:sz w:val="22"/>
              <w:szCs w:val="22"/>
              <w:lang w:eastAsia="es-CR"/>
            </w:rPr>
          </w:pPr>
          <w:hyperlink w:anchor="_Toc476251461" w:history="1">
            <w:r w:rsidR="006D1467" w:rsidRPr="009D5EA7">
              <w:rPr>
                <w:rStyle w:val="Hipervnculo"/>
                <w:smallCaps/>
              </w:rPr>
              <w:t>2.A)</w:t>
            </w:r>
            <w:r w:rsidR="006D1467" w:rsidRPr="009D5EA7">
              <w:rPr>
                <w:rFonts w:asciiTheme="minorHAnsi" w:eastAsiaTheme="minorEastAsia" w:hAnsiTheme="minorHAnsi" w:cstheme="minorBidi"/>
                <w:bCs w:val="0"/>
                <w:i w:val="0"/>
                <w:iCs w:val="0"/>
                <w:sz w:val="22"/>
                <w:szCs w:val="22"/>
                <w:lang w:eastAsia="es-CR"/>
              </w:rPr>
              <w:tab/>
            </w:r>
            <w:r w:rsidR="006D1467" w:rsidRPr="009D5EA7">
              <w:rPr>
                <w:rStyle w:val="Hipervnculo"/>
                <w:smallCaps/>
              </w:rPr>
              <w:t>Derecho a la integridad personal</w:t>
            </w:r>
            <w:r w:rsidR="006D1467" w:rsidRPr="009D5EA7">
              <w:rPr>
                <w:webHidden/>
              </w:rPr>
              <w:tab/>
            </w:r>
            <w:r w:rsidR="006D1467" w:rsidRPr="009D5EA7">
              <w:rPr>
                <w:webHidden/>
              </w:rPr>
              <w:fldChar w:fldCharType="begin"/>
            </w:r>
            <w:r w:rsidR="006D1467" w:rsidRPr="009D5EA7">
              <w:rPr>
                <w:webHidden/>
              </w:rPr>
              <w:instrText xml:space="preserve"> PAGEREF _Toc476251461 \h </w:instrText>
            </w:r>
            <w:r w:rsidR="006D1467" w:rsidRPr="009D5EA7">
              <w:rPr>
                <w:webHidden/>
              </w:rPr>
            </w:r>
            <w:r w:rsidR="006D1467" w:rsidRPr="009D5EA7">
              <w:rPr>
                <w:webHidden/>
              </w:rPr>
              <w:fldChar w:fldCharType="separate"/>
            </w:r>
            <w:r w:rsidR="00B161DD">
              <w:rPr>
                <w:webHidden/>
              </w:rPr>
              <w:t>50</w:t>
            </w:r>
            <w:r w:rsidR="006D1467" w:rsidRPr="009D5EA7">
              <w:rPr>
                <w:webHidden/>
              </w:rPr>
              <w:fldChar w:fldCharType="end"/>
            </w:r>
          </w:hyperlink>
        </w:p>
        <w:p w14:paraId="3E6B844B" w14:textId="77777777" w:rsidR="006D1467" w:rsidRPr="009D5EA7" w:rsidRDefault="003D4F60">
          <w:pPr>
            <w:pStyle w:val="TDC2"/>
            <w:rPr>
              <w:rFonts w:asciiTheme="minorHAnsi" w:eastAsiaTheme="minorEastAsia" w:hAnsiTheme="minorHAnsi" w:cstheme="minorBidi"/>
              <w:bCs w:val="0"/>
              <w:i w:val="0"/>
              <w:iCs w:val="0"/>
              <w:sz w:val="22"/>
              <w:szCs w:val="22"/>
              <w:lang w:eastAsia="es-CR"/>
            </w:rPr>
          </w:pPr>
          <w:hyperlink w:anchor="_Toc476251462" w:history="1">
            <w:r w:rsidR="006D1467" w:rsidRPr="009D5EA7">
              <w:rPr>
                <w:rStyle w:val="Hipervnculo"/>
                <w:smallCaps/>
              </w:rPr>
              <w:t>2.B)</w:t>
            </w:r>
            <w:r w:rsidR="006D1467" w:rsidRPr="009D5EA7">
              <w:rPr>
                <w:rFonts w:asciiTheme="minorHAnsi" w:eastAsiaTheme="minorEastAsia" w:hAnsiTheme="minorHAnsi" w:cstheme="minorBidi"/>
                <w:bCs w:val="0"/>
                <w:i w:val="0"/>
                <w:iCs w:val="0"/>
                <w:sz w:val="22"/>
                <w:szCs w:val="22"/>
                <w:lang w:eastAsia="es-CR"/>
              </w:rPr>
              <w:tab/>
            </w:r>
            <w:r w:rsidR="006D1467" w:rsidRPr="009D5EA7">
              <w:rPr>
                <w:rStyle w:val="Hipervnculo"/>
                <w:smallCaps/>
              </w:rPr>
              <w:t>Derecho a la honra y dignidad (artículos 11 de la Convención)</w:t>
            </w:r>
            <w:r w:rsidR="006D1467" w:rsidRPr="009D5EA7">
              <w:rPr>
                <w:webHidden/>
              </w:rPr>
              <w:tab/>
            </w:r>
            <w:r w:rsidR="006D1467" w:rsidRPr="009D5EA7">
              <w:rPr>
                <w:webHidden/>
              </w:rPr>
              <w:fldChar w:fldCharType="begin"/>
            </w:r>
            <w:r w:rsidR="006D1467" w:rsidRPr="009D5EA7">
              <w:rPr>
                <w:webHidden/>
              </w:rPr>
              <w:instrText xml:space="preserve"> PAGEREF _Toc476251462 \h </w:instrText>
            </w:r>
            <w:r w:rsidR="006D1467" w:rsidRPr="009D5EA7">
              <w:rPr>
                <w:webHidden/>
              </w:rPr>
            </w:r>
            <w:r w:rsidR="006D1467" w:rsidRPr="009D5EA7">
              <w:rPr>
                <w:webHidden/>
              </w:rPr>
              <w:fldChar w:fldCharType="separate"/>
            </w:r>
            <w:r w:rsidR="00B161DD">
              <w:rPr>
                <w:webHidden/>
              </w:rPr>
              <w:t>52</w:t>
            </w:r>
            <w:r w:rsidR="006D1467" w:rsidRPr="009D5EA7">
              <w:rPr>
                <w:webHidden/>
              </w:rPr>
              <w:fldChar w:fldCharType="end"/>
            </w:r>
          </w:hyperlink>
        </w:p>
        <w:p w14:paraId="3DBF01F2" w14:textId="77777777" w:rsidR="006D1467" w:rsidRPr="009D5EA7" w:rsidRDefault="003D4F60">
          <w:pPr>
            <w:pStyle w:val="TDC2"/>
            <w:rPr>
              <w:rFonts w:asciiTheme="minorHAnsi" w:eastAsiaTheme="minorEastAsia" w:hAnsiTheme="minorHAnsi" w:cstheme="minorBidi"/>
              <w:bCs w:val="0"/>
              <w:i w:val="0"/>
              <w:iCs w:val="0"/>
              <w:sz w:val="22"/>
              <w:szCs w:val="22"/>
              <w:lang w:eastAsia="es-CR"/>
            </w:rPr>
          </w:pPr>
          <w:hyperlink w:anchor="_Toc476251463" w:history="1">
            <w:r w:rsidR="006D1467" w:rsidRPr="009D5EA7">
              <w:rPr>
                <w:rStyle w:val="Hipervnculo"/>
                <w:smallCaps/>
              </w:rPr>
              <w:t>2.c)</w:t>
            </w:r>
            <w:r w:rsidR="006D1467" w:rsidRPr="009D5EA7">
              <w:rPr>
                <w:rFonts w:asciiTheme="minorHAnsi" w:eastAsiaTheme="minorEastAsia" w:hAnsiTheme="minorHAnsi" w:cstheme="minorBidi"/>
                <w:bCs w:val="0"/>
                <w:i w:val="0"/>
                <w:iCs w:val="0"/>
                <w:sz w:val="22"/>
                <w:szCs w:val="22"/>
                <w:lang w:eastAsia="es-CR"/>
              </w:rPr>
              <w:tab/>
            </w:r>
            <w:r w:rsidR="006D1467" w:rsidRPr="009D5EA7">
              <w:rPr>
                <w:rStyle w:val="Hipervnculo"/>
                <w:smallCaps/>
              </w:rPr>
              <w:t>Otras alegadas violaciones (“derecho a defender derechos humanos”)</w:t>
            </w:r>
            <w:r w:rsidR="006D1467" w:rsidRPr="009D5EA7">
              <w:rPr>
                <w:webHidden/>
              </w:rPr>
              <w:tab/>
            </w:r>
            <w:r w:rsidR="006D1467" w:rsidRPr="009D5EA7">
              <w:rPr>
                <w:webHidden/>
              </w:rPr>
              <w:fldChar w:fldCharType="begin"/>
            </w:r>
            <w:r w:rsidR="006D1467" w:rsidRPr="009D5EA7">
              <w:rPr>
                <w:webHidden/>
              </w:rPr>
              <w:instrText xml:space="preserve"> PAGEREF _Toc476251463 \h </w:instrText>
            </w:r>
            <w:r w:rsidR="006D1467" w:rsidRPr="009D5EA7">
              <w:rPr>
                <w:webHidden/>
              </w:rPr>
            </w:r>
            <w:r w:rsidR="006D1467" w:rsidRPr="009D5EA7">
              <w:rPr>
                <w:webHidden/>
              </w:rPr>
              <w:fldChar w:fldCharType="separate"/>
            </w:r>
            <w:r w:rsidR="00B161DD">
              <w:rPr>
                <w:webHidden/>
              </w:rPr>
              <w:t>53</w:t>
            </w:r>
            <w:r w:rsidR="006D1467" w:rsidRPr="009D5EA7">
              <w:rPr>
                <w:webHidden/>
              </w:rPr>
              <w:fldChar w:fldCharType="end"/>
            </w:r>
          </w:hyperlink>
        </w:p>
        <w:p w14:paraId="63BA6C71" w14:textId="77777777" w:rsidR="006D1467" w:rsidRPr="009D5EA7" w:rsidRDefault="003D4F60">
          <w:pPr>
            <w:pStyle w:val="TDC1"/>
            <w:rPr>
              <w:rFonts w:asciiTheme="minorHAnsi" w:eastAsiaTheme="minorEastAsia" w:hAnsiTheme="minorHAnsi"/>
              <w:sz w:val="22"/>
              <w:lang w:val="es-ES_tradnl" w:eastAsia="es-CR"/>
            </w:rPr>
          </w:pPr>
          <w:hyperlink w:anchor="_Toc476251464" w:history="1">
            <w:r w:rsidR="006D1467" w:rsidRPr="009D5EA7">
              <w:rPr>
                <w:rStyle w:val="Hipervnculo"/>
                <w:rFonts w:cs="Verdana"/>
                <w:caps/>
                <w:snapToGrid w:val="0"/>
                <w:lang w:val="es-ES_tradnl" w:eastAsia="es-ES"/>
              </w:rPr>
              <w:t>IX REPARACIONES</w:t>
            </w:r>
            <w:r w:rsidR="006D1467" w:rsidRPr="009D5EA7">
              <w:rPr>
                <w:webHidden/>
                <w:lang w:val="es-ES_tradnl"/>
              </w:rPr>
              <w:tab/>
            </w:r>
            <w:r w:rsidR="006D1467" w:rsidRPr="009D5EA7">
              <w:rPr>
                <w:webHidden/>
                <w:lang w:val="es-ES_tradnl"/>
              </w:rPr>
              <w:fldChar w:fldCharType="begin"/>
            </w:r>
            <w:r w:rsidR="006D1467" w:rsidRPr="009D5EA7">
              <w:rPr>
                <w:webHidden/>
                <w:lang w:val="es-ES_tradnl"/>
              </w:rPr>
              <w:instrText xml:space="preserve"> PAGEREF _Toc476251464 \h </w:instrText>
            </w:r>
            <w:r w:rsidR="006D1467" w:rsidRPr="009D5EA7">
              <w:rPr>
                <w:webHidden/>
                <w:lang w:val="es-ES_tradnl"/>
              </w:rPr>
            </w:r>
            <w:r w:rsidR="006D1467" w:rsidRPr="009D5EA7">
              <w:rPr>
                <w:webHidden/>
                <w:lang w:val="es-ES_tradnl"/>
              </w:rPr>
              <w:fldChar w:fldCharType="separate"/>
            </w:r>
            <w:r w:rsidR="00B161DD">
              <w:rPr>
                <w:webHidden/>
                <w:lang w:val="es-ES_tradnl"/>
              </w:rPr>
              <w:t>54</w:t>
            </w:r>
            <w:r w:rsidR="006D1467" w:rsidRPr="009D5EA7">
              <w:rPr>
                <w:webHidden/>
                <w:lang w:val="es-ES_tradnl"/>
              </w:rPr>
              <w:fldChar w:fldCharType="end"/>
            </w:r>
          </w:hyperlink>
        </w:p>
        <w:p w14:paraId="01DF087E" w14:textId="77777777" w:rsidR="006D1467" w:rsidRPr="009D5EA7" w:rsidRDefault="003D4F60">
          <w:pPr>
            <w:pStyle w:val="TDC2"/>
            <w:rPr>
              <w:rFonts w:asciiTheme="minorHAnsi" w:eastAsiaTheme="minorEastAsia" w:hAnsiTheme="minorHAnsi" w:cstheme="minorBidi"/>
              <w:bCs w:val="0"/>
              <w:i w:val="0"/>
              <w:iCs w:val="0"/>
              <w:szCs w:val="22"/>
              <w:lang w:eastAsia="es-CR"/>
            </w:rPr>
          </w:pPr>
          <w:hyperlink w:anchor="_Toc476251465" w:history="1">
            <w:r w:rsidR="006D1467" w:rsidRPr="009D5EA7">
              <w:rPr>
                <w:rStyle w:val="Hipervnculo"/>
                <w:sz w:val="18"/>
              </w:rPr>
              <w:t xml:space="preserve">A. </w:t>
            </w:r>
            <w:r w:rsidR="006D1467" w:rsidRPr="009D5EA7">
              <w:rPr>
                <w:rFonts w:asciiTheme="minorHAnsi" w:eastAsiaTheme="minorEastAsia" w:hAnsiTheme="minorHAnsi" w:cstheme="minorBidi"/>
                <w:bCs w:val="0"/>
                <w:i w:val="0"/>
                <w:iCs w:val="0"/>
                <w:szCs w:val="22"/>
                <w:lang w:eastAsia="es-CR"/>
              </w:rPr>
              <w:tab/>
            </w:r>
            <w:r w:rsidR="006D1467" w:rsidRPr="009D5EA7">
              <w:rPr>
                <w:rStyle w:val="Hipervnculo"/>
                <w:sz w:val="18"/>
              </w:rPr>
              <w:t>Parte lesionada</w:t>
            </w:r>
            <w:r w:rsidR="006D1467" w:rsidRPr="009D5EA7">
              <w:rPr>
                <w:webHidden/>
                <w:sz w:val="18"/>
              </w:rPr>
              <w:tab/>
            </w:r>
            <w:r w:rsidR="006D1467" w:rsidRPr="009D5EA7">
              <w:rPr>
                <w:webHidden/>
                <w:sz w:val="18"/>
              </w:rPr>
              <w:fldChar w:fldCharType="begin"/>
            </w:r>
            <w:r w:rsidR="006D1467" w:rsidRPr="009D5EA7">
              <w:rPr>
                <w:webHidden/>
                <w:sz w:val="18"/>
              </w:rPr>
              <w:instrText xml:space="preserve"> PAGEREF _Toc476251465 \h </w:instrText>
            </w:r>
            <w:r w:rsidR="006D1467" w:rsidRPr="009D5EA7">
              <w:rPr>
                <w:webHidden/>
                <w:sz w:val="18"/>
              </w:rPr>
            </w:r>
            <w:r w:rsidR="006D1467" w:rsidRPr="009D5EA7">
              <w:rPr>
                <w:webHidden/>
                <w:sz w:val="18"/>
              </w:rPr>
              <w:fldChar w:fldCharType="separate"/>
            </w:r>
            <w:r w:rsidR="00B161DD">
              <w:rPr>
                <w:webHidden/>
                <w:sz w:val="18"/>
              </w:rPr>
              <w:t>55</w:t>
            </w:r>
            <w:r w:rsidR="006D1467" w:rsidRPr="009D5EA7">
              <w:rPr>
                <w:webHidden/>
                <w:sz w:val="18"/>
              </w:rPr>
              <w:fldChar w:fldCharType="end"/>
            </w:r>
          </w:hyperlink>
        </w:p>
        <w:p w14:paraId="64556A4A" w14:textId="77777777" w:rsidR="006D1467" w:rsidRPr="009D5EA7" w:rsidRDefault="003D4F60">
          <w:pPr>
            <w:pStyle w:val="TDC2"/>
            <w:rPr>
              <w:rFonts w:asciiTheme="minorHAnsi" w:eastAsiaTheme="minorEastAsia" w:hAnsiTheme="minorHAnsi" w:cstheme="minorBidi"/>
              <w:bCs w:val="0"/>
              <w:i w:val="0"/>
              <w:iCs w:val="0"/>
              <w:szCs w:val="22"/>
              <w:lang w:eastAsia="es-CR"/>
            </w:rPr>
          </w:pPr>
          <w:hyperlink w:anchor="_Toc476251466" w:history="1">
            <w:r w:rsidR="006D1467" w:rsidRPr="009D5EA7">
              <w:rPr>
                <w:rStyle w:val="Hipervnculo"/>
                <w:sz w:val="18"/>
              </w:rPr>
              <w:t>B.</w:t>
            </w:r>
            <w:r w:rsidR="006D1467" w:rsidRPr="009D5EA7">
              <w:rPr>
                <w:rFonts w:asciiTheme="minorHAnsi" w:eastAsiaTheme="minorEastAsia" w:hAnsiTheme="minorHAnsi" w:cstheme="minorBidi"/>
                <w:bCs w:val="0"/>
                <w:i w:val="0"/>
                <w:iCs w:val="0"/>
                <w:szCs w:val="22"/>
                <w:lang w:eastAsia="es-CR"/>
              </w:rPr>
              <w:tab/>
            </w:r>
            <w:r w:rsidR="006D1467" w:rsidRPr="009D5EA7">
              <w:rPr>
                <w:rStyle w:val="Hipervnculo"/>
                <w:sz w:val="18"/>
              </w:rPr>
              <w:t>Medidas de satisfacción</w:t>
            </w:r>
            <w:r w:rsidR="006D1467" w:rsidRPr="009D5EA7">
              <w:rPr>
                <w:webHidden/>
                <w:sz w:val="18"/>
              </w:rPr>
              <w:tab/>
            </w:r>
            <w:r w:rsidR="006D1467" w:rsidRPr="009D5EA7">
              <w:rPr>
                <w:webHidden/>
                <w:sz w:val="18"/>
              </w:rPr>
              <w:fldChar w:fldCharType="begin"/>
            </w:r>
            <w:r w:rsidR="006D1467" w:rsidRPr="009D5EA7">
              <w:rPr>
                <w:webHidden/>
                <w:sz w:val="18"/>
              </w:rPr>
              <w:instrText xml:space="preserve"> PAGEREF _Toc476251466 \h </w:instrText>
            </w:r>
            <w:r w:rsidR="006D1467" w:rsidRPr="009D5EA7">
              <w:rPr>
                <w:webHidden/>
                <w:sz w:val="18"/>
              </w:rPr>
            </w:r>
            <w:r w:rsidR="006D1467" w:rsidRPr="009D5EA7">
              <w:rPr>
                <w:webHidden/>
                <w:sz w:val="18"/>
              </w:rPr>
              <w:fldChar w:fldCharType="separate"/>
            </w:r>
            <w:r w:rsidR="00B161DD">
              <w:rPr>
                <w:webHidden/>
                <w:sz w:val="18"/>
              </w:rPr>
              <w:t>56</w:t>
            </w:r>
            <w:r w:rsidR="006D1467" w:rsidRPr="009D5EA7">
              <w:rPr>
                <w:webHidden/>
                <w:sz w:val="18"/>
              </w:rPr>
              <w:fldChar w:fldCharType="end"/>
            </w:r>
          </w:hyperlink>
        </w:p>
        <w:p w14:paraId="3BDB92A5" w14:textId="77777777" w:rsidR="006D1467" w:rsidRPr="009D5EA7" w:rsidRDefault="003D4F60">
          <w:pPr>
            <w:pStyle w:val="TDC2"/>
            <w:rPr>
              <w:rFonts w:asciiTheme="minorHAnsi" w:eastAsiaTheme="minorEastAsia" w:hAnsiTheme="minorHAnsi" w:cstheme="minorBidi"/>
              <w:bCs w:val="0"/>
              <w:i w:val="0"/>
              <w:iCs w:val="0"/>
              <w:szCs w:val="22"/>
              <w:lang w:eastAsia="es-CR"/>
            </w:rPr>
          </w:pPr>
          <w:hyperlink w:anchor="_Toc476251467" w:history="1">
            <w:r w:rsidR="006D1467" w:rsidRPr="009D5EA7">
              <w:rPr>
                <w:rStyle w:val="Hipervnculo"/>
                <w:sz w:val="18"/>
              </w:rPr>
              <w:t>C.</w:t>
            </w:r>
            <w:r w:rsidR="006D1467" w:rsidRPr="009D5EA7">
              <w:rPr>
                <w:rFonts w:asciiTheme="minorHAnsi" w:eastAsiaTheme="minorEastAsia" w:hAnsiTheme="minorHAnsi" w:cstheme="minorBidi"/>
                <w:bCs w:val="0"/>
                <w:i w:val="0"/>
                <w:iCs w:val="0"/>
                <w:szCs w:val="22"/>
                <w:lang w:eastAsia="es-CR"/>
              </w:rPr>
              <w:tab/>
            </w:r>
            <w:r w:rsidR="006D1467" w:rsidRPr="009D5EA7">
              <w:rPr>
                <w:rStyle w:val="Hipervnculo"/>
                <w:sz w:val="18"/>
              </w:rPr>
              <w:t>Garantía de no repetición (protocolo de investigación)</w:t>
            </w:r>
            <w:r w:rsidR="006D1467" w:rsidRPr="009D5EA7">
              <w:rPr>
                <w:webHidden/>
                <w:sz w:val="18"/>
              </w:rPr>
              <w:tab/>
            </w:r>
            <w:r w:rsidR="006D1467" w:rsidRPr="009D5EA7">
              <w:rPr>
                <w:webHidden/>
                <w:sz w:val="18"/>
              </w:rPr>
              <w:fldChar w:fldCharType="begin"/>
            </w:r>
            <w:r w:rsidR="006D1467" w:rsidRPr="009D5EA7">
              <w:rPr>
                <w:webHidden/>
                <w:sz w:val="18"/>
              </w:rPr>
              <w:instrText xml:space="preserve"> PAGEREF _Toc476251467 \h </w:instrText>
            </w:r>
            <w:r w:rsidR="006D1467" w:rsidRPr="009D5EA7">
              <w:rPr>
                <w:webHidden/>
                <w:sz w:val="18"/>
              </w:rPr>
            </w:r>
            <w:r w:rsidR="006D1467" w:rsidRPr="009D5EA7">
              <w:rPr>
                <w:webHidden/>
                <w:sz w:val="18"/>
              </w:rPr>
              <w:fldChar w:fldCharType="separate"/>
            </w:r>
            <w:r w:rsidR="00B161DD">
              <w:rPr>
                <w:webHidden/>
                <w:sz w:val="18"/>
              </w:rPr>
              <w:t>57</w:t>
            </w:r>
            <w:r w:rsidR="006D1467" w:rsidRPr="009D5EA7">
              <w:rPr>
                <w:webHidden/>
                <w:sz w:val="18"/>
              </w:rPr>
              <w:fldChar w:fldCharType="end"/>
            </w:r>
          </w:hyperlink>
        </w:p>
        <w:p w14:paraId="719594C9" w14:textId="77777777" w:rsidR="006D1467" w:rsidRPr="009D5EA7" w:rsidRDefault="003D4F60">
          <w:pPr>
            <w:pStyle w:val="TDC2"/>
            <w:rPr>
              <w:rFonts w:asciiTheme="minorHAnsi" w:eastAsiaTheme="minorEastAsia" w:hAnsiTheme="minorHAnsi" w:cstheme="minorBidi"/>
              <w:bCs w:val="0"/>
              <w:i w:val="0"/>
              <w:iCs w:val="0"/>
              <w:szCs w:val="22"/>
              <w:lang w:eastAsia="es-CR"/>
            </w:rPr>
          </w:pPr>
          <w:hyperlink w:anchor="_Toc476251468" w:history="1">
            <w:r w:rsidR="006D1467" w:rsidRPr="009D5EA7">
              <w:rPr>
                <w:rStyle w:val="Hipervnculo"/>
                <w:sz w:val="18"/>
              </w:rPr>
              <w:t>D.</w:t>
            </w:r>
            <w:r w:rsidR="006D1467" w:rsidRPr="009D5EA7">
              <w:rPr>
                <w:rFonts w:asciiTheme="minorHAnsi" w:eastAsiaTheme="minorEastAsia" w:hAnsiTheme="minorHAnsi" w:cstheme="minorBidi"/>
                <w:bCs w:val="0"/>
                <w:i w:val="0"/>
                <w:iCs w:val="0"/>
                <w:szCs w:val="22"/>
                <w:lang w:eastAsia="es-CR"/>
              </w:rPr>
              <w:tab/>
            </w:r>
            <w:r w:rsidR="006D1467" w:rsidRPr="009D5EA7">
              <w:rPr>
                <w:rStyle w:val="Hipervnculo"/>
                <w:sz w:val="18"/>
              </w:rPr>
              <w:t>Otras medidas solicitadas</w:t>
            </w:r>
            <w:r w:rsidR="006D1467" w:rsidRPr="009D5EA7">
              <w:rPr>
                <w:webHidden/>
                <w:sz w:val="18"/>
              </w:rPr>
              <w:tab/>
            </w:r>
            <w:r w:rsidR="006D1467" w:rsidRPr="009D5EA7">
              <w:rPr>
                <w:webHidden/>
                <w:sz w:val="18"/>
              </w:rPr>
              <w:fldChar w:fldCharType="begin"/>
            </w:r>
            <w:r w:rsidR="006D1467" w:rsidRPr="009D5EA7">
              <w:rPr>
                <w:webHidden/>
                <w:sz w:val="18"/>
              </w:rPr>
              <w:instrText xml:space="preserve"> PAGEREF _Toc476251468 \h </w:instrText>
            </w:r>
            <w:r w:rsidR="006D1467" w:rsidRPr="009D5EA7">
              <w:rPr>
                <w:webHidden/>
                <w:sz w:val="18"/>
              </w:rPr>
            </w:r>
            <w:r w:rsidR="006D1467" w:rsidRPr="009D5EA7">
              <w:rPr>
                <w:webHidden/>
                <w:sz w:val="18"/>
              </w:rPr>
              <w:fldChar w:fldCharType="separate"/>
            </w:r>
            <w:r w:rsidR="00B161DD">
              <w:rPr>
                <w:webHidden/>
                <w:sz w:val="18"/>
              </w:rPr>
              <w:t>59</w:t>
            </w:r>
            <w:r w:rsidR="006D1467" w:rsidRPr="009D5EA7">
              <w:rPr>
                <w:webHidden/>
                <w:sz w:val="18"/>
              </w:rPr>
              <w:fldChar w:fldCharType="end"/>
            </w:r>
          </w:hyperlink>
        </w:p>
        <w:p w14:paraId="1279E2DA" w14:textId="77777777" w:rsidR="006D1467" w:rsidRPr="009D5EA7" w:rsidRDefault="003D4F60">
          <w:pPr>
            <w:pStyle w:val="TDC2"/>
            <w:rPr>
              <w:rFonts w:asciiTheme="minorHAnsi" w:eastAsiaTheme="minorEastAsia" w:hAnsiTheme="minorHAnsi" w:cstheme="minorBidi"/>
              <w:bCs w:val="0"/>
              <w:i w:val="0"/>
              <w:iCs w:val="0"/>
              <w:szCs w:val="22"/>
              <w:lang w:eastAsia="es-CR"/>
            </w:rPr>
          </w:pPr>
          <w:hyperlink w:anchor="_Toc476251469" w:history="1">
            <w:r w:rsidR="006D1467" w:rsidRPr="009D5EA7">
              <w:rPr>
                <w:rStyle w:val="Hipervnculo"/>
                <w:sz w:val="18"/>
              </w:rPr>
              <w:t>E.</w:t>
            </w:r>
            <w:r w:rsidR="006D1467" w:rsidRPr="009D5EA7">
              <w:rPr>
                <w:rFonts w:asciiTheme="minorHAnsi" w:eastAsiaTheme="minorEastAsia" w:hAnsiTheme="minorHAnsi" w:cstheme="minorBidi"/>
                <w:bCs w:val="0"/>
                <w:i w:val="0"/>
                <w:iCs w:val="0"/>
                <w:szCs w:val="22"/>
                <w:lang w:eastAsia="es-CR"/>
              </w:rPr>
              <w:tab/>
            </w:r>
            <w:r w:rsidR="006D1467" w:rsidRPr="009D5EA7">
              <w:rPr>
                <w:rStyle w:val="Hipervnculo"/>
                <w:sz w:val="18"/>
              </w:rPr>
              <w:t>Indemnizaciones compensatorias</w:t>
            </w:r>
            <w:r w:rsidR="006D1467" w:rsidRPr="009D5EA7">
              <w:rPr>
                <w:webHidden/>
                <w:sz w:val="18"/>
              </w:rPr>
              <w:tab/>
            </w:r>
            <w:r w:rsidR="006D1467" w:rsidRPr="009D5EA7">
              <w:rPr>
                <w:webHidden/>
                <w:sz w:val="18"/>
              </w:rPr>
              <w:fldChar w:fldCharType="begin"/>
            </w:r>
            <w:r w:rsidR="006D1467" w:rsidRPr="009D5EA7">
              <w:rPr>
                <w:webHidden/>
                <w:sz w:val="18"/>
              </w:rPr>
              <w:instrText xml:space="preserve"> PAGEREF _Toc476251469 \h </w:instrText>
            </w:r>
            <w:r w:rsidR="006D1467" w:rsidRPr="009D5EA7">
              <w:rPr>
                <w:webHidden/>
                <w:sz w:val="18"/>
              </w:rPr>
            </w:r>
            <w:r w:rsidR="006D1467" w:rsidRPr="009D5EA7">
              <w:rPr>
                <w:webHidden/>
                <w:sz w:val="18"/>
              </w:rPr>
              <w:fldChar w:fldCharType="separate"/>
            </w:r>
            <w:r w:rsidR="00B161DD">
              <w:rPr>
                <w:webHidden/>
                <w:sz w:val="18"/>
              </w:rPr>
              <w:t>60</w:t>
            </w:r>
            <w:r w:rsidR="006D1467" w:rsidRPr="009D5EA7">
              <w:rPr>
                <w:webHidden/>
                <w:sz w:val="18"/>
              </w:rPr>
              <w:fldChar w:fldCharType="end"/>
            </w:r>
          </w:hyperlink>
        </w:p>
        <w:p w14:paraId="6900742C" w14:textId="77777777" w:rsidR="006D1467" w:rsidRPr="009D5EA7" w:rsidRDefault="003D4F60">
          <w:pPr>
            <w:pStyle w:val="TDC2"/>
            <w:rPr>
              <w:rFonts w:asciiTheme="minorHAnsi" w:eastAsiaTheme="minorEastAsia" w:hAnsiTheme="minorHAnsi" w:cstheme="minorBidi"/>
              <w:bCs w:val="0"/>
              <w:i w:val="0"/>
              <w:iCs w:val="0"/>
              <w:szCs w:val="22"/>
              <w:lang w:eastAsia="es-CR"/>
            </w:rPr>
          </w:pPr>
          <w:hyperlink w:anchor="_Toc476251470" w:history="1">
            <w:r w:rsidR="006D1467" w:rsidRPr="009D5EA7">
              <w:rPr>
                <w:rStyle w:val="Hipervnculo"/>
                <w:sz w:val="18"/>
              </w:rPr>
              <w:t>F.</w:t>
            </w:r>
            <w:r w:rsidR="006D1467" w:rsidRPr="009D5EA7">
              <w:rPr>
                <w:rFonts w:asciiTheme="minorHAnsi" w:eastAsiaTheme="minorEastAsia" w:hAnsiTheme="minorHAnsi" w:cstheme="minorBidi"/>
                <w:bCs w:val="0"/>
                <w:i w:val="0"/>
                <w:iCs w:val="0"/>
                <w:szCs w:val="22"/>
                <w:lang w:eastAsia="es-CR"/>
              </w:rPr>
              <w:tab/>
            </w:r>
            <w:r w:rsidR="006D1467" w:rsidRPr="009D5EA7">
              <w:rPr>
                <w:rStyle w:val="Hipervnculo"/>
                <w:sz w:val="18"/>
              </w:rPr>
              <w:t>Costas y gastos</w:t>
            </w:r>
            <w:r w:rsidR="006D1467" w:rsidRPr="009D5EA7">
              <w:rPr>
                <w:webHidden/>
                <w:sz w:val="18"/>
              </w:rPr>
              <w:tab/>
            </w:r>
            <w:r w:rsidR="006D1467" w:rsidRPr="009D5EA7">
              <w:rPr>
                <w:webHidden/>
                <w:sz w:val="18"/>
              </w:rPr>
              <w:fldChar w:fldCharType="begin"/>
            </w:r>
            <w:r w:rsidR="006D1467" w:rsidRPr="009D5EA7">
              <w:rPr>
                <w:webHidden/>
                <w:sz w:val="18"/>
              </w:rPr>
              <w:instrText xml:space="preserve"> PAGEREF _Toc476251470 \h </w:instrText>
            </w:r>
            <w:r w:rsidR="006D1467" w:rsidRPr="009D5EA7">
              <w:rPr>
                <w:webHidden/>
                <w:sz w:val="18"/>
              </w:rPr>
            </w:r>
            <w:r w:rsidR="006D1467" w:rsidRPr="009D5EA7">
              <w:rPr>
                <w:webHidden/>
                <w:sz w:val="18"/>
              </w:rPr>
              <w:fldChar w:fldCharType="separate"/>
            </w:r>
            <w:r w:rsidR="00B161DD">
              <w:rPr>
                <w:webHidden/>
                <w:sz w:val="18"/>
              </w:rPr>
              <w:t>63</w:t>
            </w:r>
            <w:r w:rsidR="006D1467" w:rsidRPr="009D5EA7">
              <w:rPr>
                <w:webHidden/>
                <w:sz w:val="18"/>
              </w:rPr>
              <w:fldChar w:fldCharType="end"/>
            </w:r>
          </w:hyperlink>
        </w:p>
        <w:p w14:paraId="5175B7EA" w14:textId="77777777" w:rsidR="006D1467" w:rsidRPr="009D5EA7" w:rsidRDefault="003D4F60">
          <w:pPr>
            <w:pStyle w:val="TDC2"/>
            <w:rPr>
              <w:rFonts w:asciiTheme="minorHAnsi" w:eastAsiaTheme="minorEastAsia" w:hAnsiTheme="minorHAnsi" w:cstheme="minorBidi"/>
              <w:bCs w:val="0"/>
              <w:i w:val="0"/>
              <w:iCs w:val="0"/>
              <w:szCs w:val="22"/>
              <w:lang w:eastAsia="es-CR"/>
            </w:rPr>
          </w:pPr>
          <w:hyperlink w:anchor="_Toc476251471" w:history="1">
            <w:r w:rsidR="006D1467" w:rsidRPr="009D5EA7">
              <w:rPr>
                <w:rStyle w:val="Hipervnculo"/>
                <w:sz w:val="18"/>
              </w:rPr>
              <w:t>G.</w:t>
            </w:r>
            <w:r w:rsidR="006D1467" w:rsidRPr="009D5EA7">
              <w:rPr>
                <w:rFonts w:asciiTheme="minorHAnsi" w:eastAsiaTheme="minorEastAsia" w:hAnsiTheme="minorHAnsi" w:cstheme="minorBidi"/>
                <w:bCs w:val="0"/>
                <w:i w:val="0"/>
                <w:iCs w:val="0"/>
                <w:szCs w:val="22"/>
                <w:lang w:eastAsia="es-CR"/>
              </w:rPr>
              <w:tab/>
            </w:r>
            <w:r w:rsidR="006D1467" w:rsidRPr="009D5EA7">
              <w:rPr>
                <w:rStyle w:val="Hipervnculo"/>
                <w:sz w:val="18"/>
              </w:rPr>
              <w:t>Reintegro de los gastos al Fondo de Asistencia Legal de Víctimas</w:t>
            </w:r>
            <w:r w:rsidR="006D1467" w:rsidRPr="009D5EA7">
              <w:rPr>
                <w:webHidden/>
                <w:sz w:val="18"/>
              </w:rPr>
              <w:tab/>
            </w:r>
            <w:r w:rsidR="006D1467" w:rsidRPr="009D5EA7">
              <w:rPr>
                <w:webHidden/>
                <w:sz w:val="18"/>
              </w:rPr>
              <w:fldChar w:fldCharType="begin"/>
            </w:r>
            <w:r w:rsidR="006D1467" w:rsidRPr="009D5EA7">
              <w:rPr>
                <w:webHidden/>
                <w:sz w:val="18"/>
              </w:rPr>
              <w:instrText xml:space="preserve"> PAGEREF _Toc476251471 \h </w:instrText>
            </w:r>
            <w:r w:rsidR="006D1467" w:rsidRPr="009D5EA7">
              <w:rPr>
                <w:webHidden/>
                <w:sz w:val="18"/>
              </w:rPr>
            </w:r>
            <w:r w:rsidR="006D1467" w:rsidRPr="009D5EA7">
              <w:rPr>
                <w:webHidden/>
                <w:sz w:val="18"/>
              </w:rPr>
              <w:fldChar w:fldCharType="separate"/>
            </w:r>
            <w:r w:rsidR="00B161DD">
              <w:rPr>
                <w:webHidden/>
                <w:sz w:val="18"/>
              </w:rPr>
              <w:t>64</w:t>
            </w:r>
            <w:r w:rsidR="006D1467" w:rsidRPr="009D5EA7">
              <w:rPr>
                <w:webHidden/>
                <w:sz w:val="18"/>
              </w:rPr>
              <w:fldChar w:fldCharType="end"/>
            </w:r>
          </w:hyperlink>
        </w:p>
        <w:p w14:paraId="2C1D767C" w14:textId="5E1FBCBE" w:rsidR="006D1467" w:rsidRPr="009D5EA7" w:rsidRDefault="003D4F60">
          <w:pPr>
            <w:pStyle w:val="TDC1"/>
            <w:rPr>
              <w:rFonts w:asciiTheme="minorHAnsi" w:eastAsiaTheme="minorEastAsia" w:hAnsiTheme="minorHAnsi"/>
              <w:sz w:val="22"/>
              <w:lang w:val="es-ES_tradnl" w:eastAsia="es-CR"/>
            </w:rPr>
          </w:pPr>
          <w:hyperlink w:anchor="_Toc476251472" w:history="1">
            <w:r w:rsidR="006D1467" w:rsidRPr="009D5EA7">
              <w:rPr>
                <w:rStyle w:val="Hipervnculo"/>
                <w:lang w:val="es-ES_tradnl"/>
              </w:rPr>
              <w:t>X PUNTOS RESOLUTIVOS</w:t>
            </w:r>
            <w:r w:rsidR="006D1467" w:rsidRPr="009D5EA7">
              <w:rPr>
                <w:webHidden/>
                <w:lang w:val="es-ES_tradnl"/>
              </w:rPr>
              <w:tab/>
            </w:r>
            <w:r w:rsidR="006D1467" w:rsidRPr="009D5EA7">
              <w:rPr>
                <w:webHidden/>
                <w:lang w:val="es-ES_tradnl"/>
              </w:rPr>
              <w:fldChar w:fldCharType="begin"/>
            </w:r>
            <w:r w:rsidR="006D1467" w:rsidRPr="009D5EA7">
              <w:rPr>
                <w:webHidden/>
                <w:lang w:val="es-ES_tradnl"/>
              </w:rPr>
              <w:instrText xml:space="preserve"> PAGEREF _Toc476251472 \h </w:instrText>
            </w:r>
            <w:r w:rsidR="006D1467" w:rsidRPr="009D5EA7">
              <w:rPr>
                <w:webHidden/>
                <w:lang w:val="es-ES_tradnl"/>
              </w:rPr>
            </w:r>
            <w:r w:rsidR="006D1467" w:rsidRPr="009D5EA7">
              <w:rPr>
                <w:webHidden/>
                <w:lang w:val="es-ES_tradnl"/>
              </w:rPr>
              <w:fldChar w:fldCharType="separate"/>
            </w:r>
            <w:r w:rsidR="00B161DD">
              <w:rPr>
                <w:webHidden/>
                <w:lang w:val="es-ES_tradnl"/>
              </w:rPr>
              <w:t>65</w:t>
            </w:r>
            <w:r w:rsidR="006D1467" w:rsidRPr="009D5EA7">
              <w:rPr>
                <w:webHidden/>
                <w:lang w:val="es-ES_tradnl"/>
              </w:rPr>
              <w:fldChar w:fldCharType="end"/>
            </w:r>
          </w:hyperlink>
        </w:p>
        <w:p w14:paraId="280A6E2B" w14:textId="552B5880" w:rsidR="00476FD9" w:rsidRPr="009D5EA7" w:rsidRDefault="00476FD9" w:rsidP="00A0622B">
          <w:pPr>
            <w:spacing w:after="60" w:line="240" w:lineRule="auto"/>
            <w:rPr>
              <w:lang w:val="es-ES_tradnl"/>
            </w:rPr>
          </w:pPr>
          <w:r w:rsidRPr="009D5EA7">
            <w:rPr>
              <w:rFonts w:ascii="Verdana" w:hAnsi="Verdana"/>
              <w:b/>
              <w:bCs/>
              <w:sz w:val="18"/>
              <w:szCs w:val="18"/>
              <w:lang w:val="es-ES_tradnl"/>
            </w:rPr>
            <w:fldChar w:fldCharType="end"/>
          </w:r>
        </w:p>
      </w:sdtContent>
    </w:sdt>
    <w:p w14:paraId="3D0CFCFE" w14:textId="77777777" w:rsidR="007B3B4E" w:rsidRPr="009D5EA7" w:rsidRDefault="007B3B4E" w:rsidP="007B3B4E">
      <w:pPr>
        <w:rPr>
          <w:lang w:val="es-ES_tradnl" w:eastAsia="es-ES"/>
        </w:rPr>
      </w:pPr>
      <w:r w:rsidRPr="009D5EA7">
        <w:rPr>
          <w:lang w:val="es-ES_tradnl" w:eastAsia="es-ES"/>
        </w:rPr>
        <w:br w:type="page"/>
      </w:r>
    </w:p>
    <w:p w14:paraId="365275F7" w14:textId="77777777" w:rsidR="007B3B4E" w:rsidRPr="009D5EA7" w:rsidRDefault="007B3B4E" w:rsidP="000065AA">
      <w:pPr>
        <w:pStyle w:val="Ttulo1"/>
        <w:spacing w:before="0" w:after="0" w:line="240" w:lineRule="auto"/>
        <w:jc w:val="center"/>
        <w:rPr>
          <w:rFonts w:ascii="Verdana" w:hAnsi="Verdana" w:cs="Verdana"/>
          <w:caps/>
          <w:snapToGrid w:val="0"/>
          <w:sz w:val="20"/>
          <w:szCs w:val="20"/>
          <w:lang w:val="es-ES_tradnl" w:eastAsia="es-ES"/>
        </w:rPr>
      </w:pPr>
      <w:bookmarkStart w:id="3" w:name="_Toc476251446"/>
      <w:r w:rsidRPr="009D5EA7">
        <w:rPr>
          <w:rFonts w:ascii="Verdana" w:hAnsi="Verdana" w:cs="Verdana"/>
          <w:caps/>
          <w:snapToGrid w:val="0"/>
          <w:sz w:val="20"/>
          <w:szCs w:val="20"/>
          <w:lang w:val="es-ES_tradnl" w:eastAsia="es-ES"/>
        </w:rPr>
        <w:lastRenderedPageBreak/>
        <w:t>I</w:t>
      </w:r>
      <w:r w:rsidR="000065AA" w:rsidRPr="009D5EA7">
        <w:rPr>
          <w:rFonts w:ascii="Verdana" w:hAnsi="Verdana" w:cs="Verdana"/>
          <w:caps/>
          <w:snapToGrid w:val="0"/>
          <w:sz w:val="20"/>
          <w:szCs w:val="20"/>
          <w:lang w:val="es-ES_tradnl" w:eastAsia="es-ES"/>
        </w:rPr>
        <w:br/>
      </w:r>
      <w:r w:rsidRPr="009D5EA7">
        <w:rPr>
          <w:rFonts w:ascii="Verdana" w:hAnsi="Verdana" w:cs="Verdana"/>
          <w:caps/>
          <w:snapToGrid w:val="0"/>
          <w:sz w:val="20"/>
          <w:szCs w:val="20"/>
          <w:lang w:val="es-ES_tradnl" w:eastAsia="es-ES"/>
        </w:rPr>
        <w:t>INTRODUCCIÓN DE LA CAUSA Y OBJETO DE LA CONTROVERSIA</w:t>
      </w:r>
      <w:bookmarkEnd w:id="3"/>
    </w:p>
    <w:p w14:paraId="14844878" w14:textId="77777777" w:rsidR="007B3B4E" w:rsidRPr="009D5EA7" w:rsidRDefault="007B3B4E" w:rsidP="007B3B4E">
      <w:pPr>
        <w:spacing w:after="0" w:line="240" w:lineRule="auto"/>
        <w:jc w:val="both"/>
        <w:rPr>
          <w:rFonts w:ascii="Verdana" w:hAnsi="Verdana" w:cs="Times New Roman"/>
          <w:b/>
          <w:sz w:val="20"/>
          <w:szCs w:val="20"/>
          <w:lang w:val="es-ES_tradnl"/>
        </w:rPr>
      </w:pPr>
    </w:p>
    <w:p w14:paraId="5CE7C967" w14:textId="3093FA0A" w:rsidR="00E52D3E" w:rsidRPr="005F17E9" w:rsidRDefault="007B3B4E" w:rsidP="00667F79">
      <w:pPr>
        <w:pStyle w:val="Prrafodelista"/>
        <w:numPr>
          <w:ilvl w:val="0"/>
          <w:numId w:val="5"/>
        </w:numPr>
        <w:ind w:left="0" w:firstLine="0"/>
        <w:jc w:val="both"/>
        <w:rPr>
          <w:rFonts w:ascii="Verdana" w:hAnsi="Verdana"/>
          <w:sz w:val="20"/>
        </w:rPr>
      </w:pPr>
      <w:r w:rsidRPr="009D5EA7">
        <w:rPr>
          <w:rFonts w:ascii="Verdana" w:hAnsi="Verdana"/>
          <w:i/>
          <w:sz w:val="20"/>
        </w:rPr>
        <w:t>El caso sometido a la Corte</w:t>
      </w:r>
      <w:r w:rsidR="006B154F" w:rsidRPr="009D5EA7">
        <w:rPr>
          <w:rFonts w:ascii="Verdana" w:hAnsi="Verdana"/>
          <w:sz w:val="20"/>
        </w:rPr>
        <w:t xml:space="preserve">. - El </w:t>
      </w:r>
      <w:r w:rsidR="00E52D3E" w:rsidRPr="009D5EA7">
        <w:rPr>
          <w:rFonts w:ascii="Verdana" w:hAnsi="Verdana"/>
          <w:sz w:val="20"/>
        </w:rPr>
        <w:t>29 de julio</w:t>
      </w:r>
      <w:r w:rsidR="006B154F" w:rsidRPr="009D5EA7">
        <w:rPr>
          <w:rFonts w:ascii="Verdana" w:hAnsi="Verdana"/>
          <w:sz w:val="20"/>
        </w:rPr>
        <w:t xml:space="preserve"> </w:t>
      </w:r>
      <w:r w:rsidR="00E52D3E" w:rsidRPr="009D5EA7">
        <w:rPr>
          <w:rFonts w:ascii="Verdana" w:hAnsi="Verdana"/>
          <w:sz w:val="20"/>
        </w:rPr>
        <w:t>de 2015</w:t>
      </w:r>
      <w:r w:rsidRPr="009D5EA7">
        <w:rPr>
          <w:rFonts w:ascii="Verdana" w:hAnsi="Verdana"/>
          <w:sz w:val="20"/>
        </w:rPr>
        <w:t xml:space="preserve"> la Comisión Interamericana de Derechos Humanos (en adelante “la Comisión Interamericana” o </w:t>
      </w:r>
      <w:r w:rsidRPr="009D5EA7">
        <w:rPr>
          <w:rFonts w:ascii="Verdana" w:eastAsia="Cambria" w:hAnsi="Verdana" w:cs="Cambria"/>
          <w:spacing w:val="2"/>
          <w:sz w:val="20"/>
        </w:rPr>
        <w:t>“la Comisión”) sometió a la jurisdicción de la Corte Interamericana</w:t>
      </w:r>
      <w:r w:rsidR="00E52D3E" w:rsidRPr="009D5EA7">
        <w:rPr>
          <w:rFonts w:ascii="Verdana" w:eastAsia="Cambria" w:hAnsi="Verdana" w:cs="Cambria"/>
          <w:spacing w:val="2"/>
          <w:sz w:val="20"/>
        </w:rPr>
        <w:t xml:space="preserve">, </w:t>
      </w:r>
      <w:r w:rsidR="00E52D3E" w:rsidRPr="009D5EA7">
        <w:rPr>
          <w:rFonts w:ascii="Verdana" w:hAnsi="Verdana"/>
          <w:sz w:val="20"/>
        </w:rPr>
        <w:t>de conformidad con lo dispuesto en los artículos 51 y 61 de la Convención Americana y el artículo 35 del Reglamento de la Corte,</w:t>
      </w:r>
      <w:r w:rsidRPr="009D5EA7">
        <w:rPr>
          <w:rFonts w:ascii="Verdana" w:eastAsia="Cambria" w:hAnsi="Verdana" w:cs="Cambria"/>
          <w:spacing w:val="2"/>
          <w:sz w:val="20"/>
        </w:rPr>
        <w:t xml:space="preserve"> el caso </w:t>
      </w:r>
      <w:r w:rsidR="003A1E5A" w:rsidRPr="009D5EA7">
        <w:rPr>
          <w:rFonts w:ascii="Verdana" w:eastAsia="Cambria" w:hAnsi="Verdana" w:cs="Cambria"/>
          <w:i/>
          <w:spacing w:val="2"/>
          <w:sz w:val="20"/>
        </w:rPr>
        <w:t>Acosta</w:t>
      </w:r>
      <w:r w:rsidR="00E52D3E" w:rsidRPr="009D5EA7">
        <w:rPr>
          <w:rFonts w:ascii="Verdana" w:eastAsia="Cambria" w:hAnsi="Verdana" w:cs="Cambria"/>
          <w:i/>
          <w:spacing w:val="2"/>
          <w:sz w:val="20"/>
        </w:rPr>
        <w:t xml:space="preserve"> y otros</w:t>
      </w:r>
      <w:r w:rsidR="003A1E5A" w:rsidRPr="009D5EA7">
        <w:rPr>
          <w:rFonts w:ascii="Verdana" w:eastAsia="Cambria" w:hAnsi="Verdana" w:cs="Cambria"/>
          <w:spacing w:val="2"/>
          <w:sz w:val="20"/>
        </w:rPr>
        <w:t xml:space="preserve"> </w:t>
      </w:r>
      <w:r w:rsidRPr="009D5EA7">
        <w:rPr>
          <w:rFonts w:ascii="Verdana" w:eastAsia="Cambria" w:hAnsi="Verdana" w:cs="Cambria"/>
          <w:i/>
          <w:spacing w:val="2"/>
          <w:sz w:val="20"/>
        </w:rPr>
        <w:t xml:space="preserve">contra la </w:t>
      </w:r>
      <w:r w:rsidR="003A1E5A" w:rsidRPr="009D5EA7">
        <w:rPr>
          <w:rFonts w:ascii="Verdana" w:eastAsia="Cambria" w:hAnsi="Verdana" w:cs="Cambria"/>
          <w:i/>
          <w:spacing w:val="2"/>
          <w:sz w:val="20"/>
        </w:rPr>
        <w:t>República de Nicaragua</w:t>
      </w:r>
      <w:r w:rsidRPr="009D5EA7">
        <w:rPr>
          <w:rFonts w:ascii="Verdana" w:eastAsia="Cambria" w:hAnsi="Verdana" w:cs="Cambria"/>
          <w:spacing w:val="2"/>
          <w:sz w:val="20"/>
        </w:rPr>
        <w:t xml:space="preserve"> (</w:t>
      </w:r>
      <w:r w:rsidR="00C83C2F" w:rsidRPr="009D5EA7">
        <w:rPr>
          <w:rFonts w:ascii="Verdana" w:eastAsia="Cambria" w:hAnsi="Verdana" w:cs="Cambria"/>
          <w:spacing w:val="2"/>
          <w:sz w:val="20"/>
        </w:rPr>
        <w:t xml:space="preserve">en adelante “el Estado” o “Nicaragua”). </w:t>
      </w:r>
      <w:r w:rsidR="00026521" w:rsidRPr="009D5EA7">
        <w:rPr>
          <w:rFonts w:ascii="Verdana" w:eastAsia="Cambria" w:hAnsi="Verdana" w:cs="Cambria"/>
          <w:spacing w:val="2"/>
          <w:sz w:val="20"/>
        </w:rPr>
        <w:t>Según</w:t>
      </w:r>
      <w:r w:rsidRPr="009D5EA7">
        <w:rPr>
          <w:rFonts w:ascii="Verdana" w:eastAsia="Cambria" w:hAnsi="Verdana" w:cs="Cambria"/>
          <w:spacing w:val="2"/>
          <w:sz w:val="20"/>
        </w:rPr>
        <w:t xml:space="preserve"> la Comisión, el caso se relaciona con </w:t>
      </w:r>
      <w:r w:rsidR="003A1E5A" w:rsidRPr="009D5EA7">
        <w:rPr>
          <w:rFonts w:ascii="Verdana" w:eastAsia="Cambria" w:hAnsi="Verdana" w:cs="Cambria"/>
          <w:spacing w:val="2"/>
          <w:sz w:val="20"/>
        </w:rPr>
        <w:t xml:space="preserve">la </w:t>
      </w:r>
      <w:r w:rsidR="00E52D3E" w:rsidRPr="009D5EA7">
        <w:rPr>
          <w:rFonts w:ascii="Verdana" w:eastAsia="Cambria" w:hAnsi="Verdana" w:cs="Cambria"/>
          <w:spacing w:val="2"/>
          <w:sz w:val="20"/>
        </w:rPr>
        <w:t xml:space="preserve">alegada </w:t>
      </w:r>
      <w:r w:rsidR="003A1E5A" w:rsidRPr="009D5EA7">
        <w:rPr>
          <w:rFonts w:ascii="Verdana" w:eastAsia="Cambria" w:hAnsi="Verdana" w:cs="Cambria"/>
          <w:spacing w:val="2"/>
          <w:sz w:val="20"/>
        </w:rPr>
        <w:t>falta de investigaci</w:t>
      </w:r>
      <w:r w:rsidR="008C7011" w:rsidRPr="009D5EA7">
        <w:rPr>
          <w:rFonts w:ascii="Verdana" w:eastAsia="Cambria" w:hAnsi="Verdana" w:cs="Cambria"/>
          <w:spacing w:val="2"/>
          <w:sz w:val="20"/>
        </w:rPr>
        <w:t>ó</w:t>
      </w:r>
      <w:r w:rsidR="003A1E5A" w:rsidRPr="009D5EA7">
        <w:rPr>
          <w:rFonts w:ascii="Verdana" w:eastAsia="Cambria" w:hAnsi="Verdana" w:cs="Cambria"/>
          <w:spacing w:val="2"/>
          <w:sz w:val="20"/>
        </w:rPr>
        <w:t>n diligente y en un plazo</w:t>
      </w:r>
      <w:r w:rsidR="00277A9D" w:rsidRPr="009D5EA7">
        <w:rPr>
          <w:rFonts w:ascii="Verdana" w:eastAsia="Cambria" w:hAnsi="Verdana" w:cs="Cambria"/>
          <w:spacing w:val="2"/>
          <w:sz w:val="20"/>
        </w:rPr>
        <w:t xml:space="preserve"> razonable del </w:t>
      </w:r>
      <w:r w:rsidR="00E01D5D">
        <w:rPr>
          <w:rFonts w:ascii="Verdana" w:eastAsia="Cambria" w:hAnsi="Verdana" w:cs="Cambria"/>
          <w:spacing w:val="2"/>
          <w:sz w:val="20"/>
        </w:rPr>
        <w:t>homicidio</w:t>
      </w:r>
      <w:r w:rsidR="00277A9D" w:rsidRPr="009D5EA7">
        <w:rPr>
          <w:rFonts w:ascii="Verdana" w:eastAsia="Cambria" w:hAnsi="Verdana" w:cs="Cambria"/>
          <w:spacing w:val="2"/>
          <w:sz w:val="20"/>
        </w:rPr>
        <w:t xml:space="preserve"> del señ</w:t>
      </w:r>
      <w:r w:rsidR="003A1E5A" w:rsidRPr="009D5EA7">
        <w:rPr>
          <w:rFonts w:ascii="Verdana" w:eastAsia="Cambria" w:hAnsi="Verdana" w:cs="Cambria"/>
          <w:spacing w:val="2"/>
          <w:sz w:val="20"/>
        </w:rPr>
        <w:t>or Francisco Gar</w:t>
      </w:r>
      <w:r w:rsidR="00E52D3E" w:rsidRPr="009D5EA7">
        <w:rPr>
          <w:rFonts w:ascii="Verdana" w:eastAsia="Cambria" w:hAnsi="Verdana" w:cs="Cambria"/>
          <w:spacing w:val="2"/>
          <w:sz w:val="20"/>
        </w:rPr>
        <w:t>cí</w:t>
      </w:r>
      <w:r w:rsidR="003A1E5A" w:rsidRPr="009D5EA7">
        <w:rPr>
          <w:rFonts w:ascii="Verdana" w:eastAsia="Cambria" w:hAnsi="Verdana" w:cs="Cambria"/>
          <w:spacing w:val="2"/>
          <w:sz w:val="20"/>
        </w:rPr>
        <w:t xml:space="preserve">a Valle, esposo de la </w:t>
      </w:r>
      <w:r w:rsidR="00E52D3E" w:rsidRPr="009D5EA7">
        <w:rPr>
          <w:rFonts w:ascii="Verdana" w:eastAsia="Cambria" w:hAnsi="Verdana" w:cs="Cambria"/>
          <w:spacing w:val="2"/>
          <w:sz w:val="20"/>
        </w:rPr>
        <w:t xml:space="preserve">señora </w:t>
      </w:r>
      <w:r w:rsidR="003A1E5A" w:rsidRPr="009D5EA7">
        <w:rPr>
          <w:rFonts w:ascii="Verdana" w:eastAsia="Cambria" w:hAnsi="Verdana" w:cs="Cambria"/>
          <w:spacing w:val="2"/>
          <w:sz w:val="20"/>
        </w:rPr>
        <w:t>María Luisa Acosta</w:t>
      </w:r>
      <w:r w:rsidR="00E52D3E" w:rsidRPr="009D5EA7">
        <w:rPr>
          <w:rFonts w:ascii="Verdana" w:eastAsia="Cambria" w:hAnsi="Verdana" w:cs="Cambria"/>
          <w:spacing w:val="2"/>
          <w:sz w:val="20"/>
        </w:rPr>
        <w:t xml:space="preserve"> (defensora de derechos humanos)</w:t>
      </w:r>
      <w:r w:rsidR="003A1E5A" w:rsidRPr="009D5EA7">
        <w:rPr>
          <w:rFonts w:ascii="Verdana" w:eastAsia="Cambria" w:hAnsi="Verdana" w:cs="Cambria"/>
          <w:spacing w:val="2"/>
          <w:sz w:val="20"/>
        </w:rPr>
        <w:t xml:space="preserve">, </w:t>
      </w:r>
      <w:r w:rsidR="00E52D3E" w:rsidRPr="009D5EA7">
        <w:rPr>
          <w:rFonts w:ascii="Verdana" w:eastAsia="Cambria" w:hAnsi="Verdana" w:cs="Cambria"/>
          <w:spacing w:val="2"/>
          <w:sz w:val="20"/>
        </w:rPr>
        <w:t xml:space="preserve">ocurrido </w:t>
      </w:r>
      <w:r w:rsidR="003A1E5A" w:rsidRPr="009D5EA7">
        <w:rPr>
          <w:rFonts w:ascii="Verdana" w:eastAsia="Cambria" w:hAnsi="Verdana" w:cs="Cambria"/>
          <w:spacing w:val="2"/>
          <w:sz w:val="20"/>
        </w:rPr>
        <w:t xml:space="preserve">el 8 de abril de 2002 en </w:t>
      </w:r>
      <w:r w:rsidR="00E52D3E" w:rsidRPr="009D5EA7">
        <w:rPr>
          <w:rFonts w:ascii="Verdana" w:eastAsia="Cambria" w:hAnsi="Verdana" w:cs="Cambria"/>
          <w:spacing w:val="2"/>
          <w:sz w:val="20"/>
        </w:rPr>
        <w:t xml:space="preserve">Bluefields, </w:t>
      </w:r>
      <w:r w:rsidR="003A1E5A" w:rsidRPr="009D5EA7">
        <w:rPr>
          <w:rFonts w:ascii="Verdana" w:eastAsia="Cambria" w:hAnsi="Verdana" w:cs="Cambria"/>
          <w:spacing w:val="2"/>
          <w:sz w:val="20"/>
        </w:rPr>
        <w:t>Nicaragua</w:t>
      </w:r>
      <w:r w:rsidR="00FD36AB" w:rsidRPr="009D5EA7">
        <w:rPr>
          <w:rFonts w:ascii="Verdana" w:eastAsia="Cambria" w:hAnsi="Verdana" w:cs="Cambria"/>
          <w:spacing w:val="2"/>
          <w:sz w:val="20"/>
        </w:rPr>
        <w:t xml:space="preserve">. </w:t>
      </w:r>
      <w:r w:rsidR="00223515" w:rsidRPr="009D5EA7">
        <w:rPr>
          <w:rFonts w:ascii="Verdana" w:hAnsi="Verdana"/>
          <w:sz w:val="20"/>
        </w:rPr>
        <w:t xml:space="preserve">La Comisión consideró que, si bien fueron condenadas dos personas como autores materiales del </w:t>
      </w:r>
      <w:r w:rsidR="00E01D5D">
        <w:rPr>
          <w:rFonts w:ascii="Verdana" w:hAnsi="Verdana"/>
          <w:sz w:val="20"/>
        </w:rPr>
        <w:t>homicidio</w:t>
      </w:r>
      <w:r w:rsidR="00223515" w:rsidRPr="009D5EA7">
        <w:rPr>
          <w:rFonts w:ascii="Verdana" w:hAnsi="Verdana"/>
          <w:sz w:val="20"/>
        </w:rPr>
        <w:t xml:space="preserve">, el Estado no investigó diligentemente el móvil, en particular la hipótesis de que el </w:t>
      </w:r>
      <w:r w:rsidR="00E01D5D">
        <w:rPr>
          <w:rFonts w:ascii="Verdana" w:hAnsi="Verdana"/>
          <w:sz w:val="20"/>
        </w:rPr>
        <w:t>mismo</w:t>
      </w:r>
      <w:r w:rsidR="00223515" w:rsidRPr="009D5EA7">
        <w:rPr>
          <w:rFonts w:ascii="Verdana" w:hAnsi="Verdana"/>
          <w:sz w:val="20"/>
        </w:rPr>
        <w:t xml:space="preserve"> pudo deberse a la intensa actividad que realizaba la señora Acosta en defensa de los de</w:t>
      </w:r>
      <w:r w:rsidR="00E34729" w:rsidRPr="009D5EA7">
        <w:rPr>
          <w:rFonts w:ascii="Verdana" w:hAnsi="Verdana"/>
          <w:sz w:val="20"/>
        </w:rPr>
        <w:t>rechos de los pueblos indígenas. Se plantea que específicamente no se investigaron</w:t>
      </w:r>
      <w:r w:rsidR="00223515" w:rsidRPr="009D5EA7">
        <w:rPr>
          <w:rFonts w:ascii="Verdana" w:hAnsi="Verdana"/>
          <w:sz w:val="20"/>
        </w:rPr>
        <w:t xml:space="preserve"> indicios sobre un tercer autor material y la autoría intelectual de dos personas, a cuyo favor fue dictado un sobreseimiento definitivo en incumplimiento de requisitos legales, de manera apresurada y sin que se hubiesen practicado pruebas esenciales. Posteriormente, aunque aparecieron pruebas que apoyaban tal hipótesis, las autoridades internas se negaron a reabrir las investigaciones. Tales </w:t>
      </w:r>
      <w:r w:rsidR="00223515" w:rsidRPr="009D5EA7">
        <w:rPr>
          <w:rFonts w:ascii="Verdana" w:hAnsi="Verdana"/>
          <w:sz w:val="20"/>
          <w:shd w:val="clear" w:color="auto" w:fill="FFFFFF"/>
        </w:rPr>
        <w:t xml:space="preserve">acciones y omisiones, sumadas a otros indicios, fueron </w:t>
      </w:r>
      <w:r w:rsidR="00223515" w:rsidRPr="009D5EA7">
        <w:rPr>
          <w:rFonts w:ascii="Verdana" w:hAnsi="Verdana"/>
          <w:sz w:val="20"/>
        </w:rPr>
        <w:t>calificados por la Comisión como un supuesto de “encubrimiento deliberado”. La Comisión también consideró</w:t>
      </w:r>
      <w:r w:rsidR="002A4D8C" w:rsidRPr="009D5EA7">
        <w:rPr>
          <w:rFonts w:ascii="Verdana" w:hAnsi="Verdana"/>
          <w:sz w:val="20"/>
        </w:rPr>
        <w:t xml:space="preserve"> que</w:t>
      </w:r>
      <w:r w:rsidR="00223515" w:rsidRPr="009D5EA7">
        <w:rPr>
          <w:rFonts w:ascii="Verdana" w:hAnsi="Verdana"/>
          <w:sz w:val="20"/>
        </w:rPr>
        <w:t xml:space="preserve"> </w:t>
      </w:r>
      <w:r w:rsidR="00283B8D" w:rsidRPr="009D5EA7">
        <w:rPr>
          <w:rFonts w:ascii="Verdana" w:hAnsi="Verdana"/>
          <w:sz w:val="20"/>
        </w:rPr>
        <w:t xml:space="preserve">dicho </w:t>
      </w:r>
      <w:r w:rsidR="00223515" w:rsidRPr="009D5EA7">
        <w:rPr>
          <w:rFonts w:ascii="Verdana" w:hAnsi="Verdana"/>
          <w:sz w:val="20"/>
        </w:rPr>
        <w:t>proceso penal</w:t>
      </w:r>
      <w:r w:rsidR="00283B8D" w:rsidRPr="009D5EA7">
        <w:rPr>
          <w:rFonts w:ascii="Verdana" w:hAnsi="Verdana"/>
          <w:sz w:val="20"/>
        </w:rPr>
        <w:t>, así como</w:t>
      </w:r>
      <w:r w:rsidR="002A4D8C" w:rsidRPr="009D5EA7">
        <w:rPr>
          <w:rFonts w:ascii="Verdana" w:hAnsi="Verdana"/>
          <w:sz w:val="20"/>
        </w:rPr>
        <w:t xml:space="preserve"> las</w:t>
      </w:r>
      <w:r w:rsidR="00283B8D" w:rsidRPr="009D5EA7">
        <w:rPr>
          <w:rFonts w:ascii="Verdana" w:hAnsi="Verdana"/>
          <w:sz w:val="20"/>
        </w:rPr>
        <w:t xml:space="preserve"> </w:t>
      </w:r>
      <w:r w:rsidR="005951C8" w:rsidRPr="009D5EA7">
        <w:rPr>
          <w:rFonts w:ascii="Verdana" w:hAnsi="Verdana"/>
          <w:sz w:val="20"/>
        </w:rPr>
        <w:t>denuncias</w:t>
      </w:r>
      <w:r w:rsidR="00223515" w:rsidRPr="009D5EA7">
        <w:rPr>
          <w:rFonts w:ascii="Verdana" w:hAnsi="Verdana"/>
          <w:sz w:val="20"/>
        </w:rPr>
        <w:t xml:space="preserve"> por </w:t>
      </w:r>
      <w:r w:rsidR="001E7190" w:rsidRPr="009D5EA7">
        <w:rPr>
          <w:rFonts w:ascii="Verdana" w:hAnsi="Verdana"/>
          <w:sz w:val="20"/>
        </w:rPr>
        <w:t>delito</w:t>
      </w:r>
      <w:r w:rsidR="005951C8" w:rsidRPr="009D5EA7">
        <w:rPr>
          <w:rFonts w:ascii="Verdana" w:hAnsi="Verdana"/>
          <w:sz w:val="20"/>
        </w:rPr>
        <w:t xml:space="preserve">s de </w:t>
      </w:r>
      <w:r w:rsidR="00223515" w:rsidRPr="009D5EA7">
        <w:rPr>
          <w:rFonts w:ascii="Verdana" w:hAnsi="Verdana"/>
          <w:sz w:val="20"/>
        </w:rPr>
        <w:t xml:space="preserve">encubrimiento, falso testimonio y denuncia falsa </w:t>
      </w:r>
      <w:r w:rsidR="005951C8" w:rsidRPr="009D5EA7">
        <w:rPr>
          <w:rFonts w:ascii="Verdana" w:hAnsi="Verdana"/>
          <w:sz w:val="20"/>
        </w:rPr>
        <w:t xml:space="preserve">y un embargo y proceso civil de daños y perjuicios, interpuestos por tales presuntos autores intelectuales </w:t>
      </w:r>
      <w:r w:rsidR="00223515" w:rsidRPr="009D5EA7">
        <w:rPr>
          <w:rFonts w:ascii="Verdana" w:hAnsi="Verdana"/>
          <w:sz w:val="20"/>
        </w:rPr>
        <w:t>contra l</w:t>
      </w:r>
      <w:r w:rsidR="005951C8" w:rsidRPr="009D5EA7">
        <w:rPr>
          <w:rFonts w:ascii="Verdana" w:hAnsi="Verdana"/>
          <w:sz w:val="20"/>
        </w:rPr>
        <w:t xml:space="preserve">a señora Acosta </w:t>
      </w:r>
      <w:r w:rsidR="00283B8D" w:rsidRPr="009D5EA7">
        <w:rPr>
          <w:rFonts w:ascii="Verdana" w:hAnsi="Verdana"/>
          <w:sz w:val="20"/>
        </w:rPr>
        <w:t xml:space="preserve">fueron conducidos en violación de garantías del debido proceso y constituyeron </w:t>
      </w:r>
      <w:r w:rsidR="00223515" w:rsidRPr="009D5EA7">
        <w:rPr>
          <w:rFonts w:ascii="Verdana" w:hAnsi="Verdana"/>
          <w:sz w:val="20"/>
        </w:rPr>
        <w:t>un mecanismo de amedrentamien</w:t>
      </w:r>
      <w:r w:rsidR="005951C8" w:rsidRPr="009D5EA7">
        <w:rPr>
          <w:rFonts w:ascii="Verdana" w:hAnsi="Verdana"/>
          <w:sz w:val="20"/>
        </w:rPr>
        <w:t>to e intimidación contra ella</w:t>
      </w:r>
      <w:r w:rsidR="00223515" w:rsidRPr="009D5EA7">
        <w:rPr>
          <w:rFonts w:ascii="Verdana" w:hAnsi="Verdana"/>
          <w:sz w:val="20"/>
        </w:rPr>
        <w:t>.</w:t>
      </w:r>
      <w:r w:rsidR="00283B8D" w:rsidRPr="009D5EA7">
        <w:rPr>
          <w:rFonts w:ascii="Verdana" w:hAnsi="Verdana"/>
          <w:sz w:val="20"/>
        </w:rPr>
        <w:t xml:space="preserve"> </w:t>
      </w:r>
      <w:r w:rsidR="009D5EA7" w:rsidRPr="005F17E9">
        <w:rPr>
          <w:rFonts w:ascii="Verdana" w:hAnsi="Verdana"/>
          <w:sz w:val="20"/>
        </w:rPr>
        <w:t xml:space="preserve">Las presuntas víctimas del presente caso son la </w:t>
      </w:r>
      <w:r w:rsidR="009D5EA7" w:rsidRPr="005F17E9">
        <w:rPr>
          <w:rFonts w:ascii="Verdana" w:eastAsia="Cambria" w:hAnsi="Verdana" w:cs="Cambria"/>
          <w:spacing w:val="2"/>
          <w:sz w:val="20"/>
        </w:rPr>
        <w:t>señora María Luisa Acosta Castellón (en adelante “la señora Acosta”), la señora Ana María Vergara Acosta y el señor Á</w:t>
      </w:r>
      <w:r w:rsidR="00E42A62" w:rsidRPr="005F17E9">
        <w:rPr>
          <w:rFonts w:ascii="Verdana" w:eastAsia="Cambria" w:hAnsi="Verdana" w:cs="Cambria"/>
          <w:spacing w:val="2"/>
          <w:sz w:val="20"/>
        </w:rPr>
        <w:t>lvaro Arístides Vergara Acosta, hijos de ésta</w:t>
      </w:r>
      <w:r w:rsidR="009D5EA7" w:rsidRPr="005F17E9">
        <w:rPr>
          <w:rFonts w:ascii="Verdana" w:eastAsia="Cambria" w:hAnsi="Verdana" w:cs="Cambria"/>
          <w:spacing w:val="2"/>
          <w:sz w:val="20"/>
        </w:rPr>
        <w:t>, así como la señora María Leonor Valle Estrada (conocida como Leonor del Carmen Valle de García) y el señor Rodolfo García Solari, madre y padre del señor García Valle.</w:t>
      </w:r>
    </w:p>
    <w:p w14:paraId="015E91C4" w14:textId="77777777" w:rsidR="007B3B4E" w:rsidRPr="009D5EA7" w:rsidRDefault="007B3B4E" w:rsidP="007B3B4E">
      <w:pPr>
        <w:pStyle w:val="Prrafodelista"/>
        <w:ind w:left="0"/>
        <w:jc w:val="both"/>
        <w:rPr>
          <w:rFonts w:ascii="Verdana" w:hAnsi="Verdana"/>
          <w:sz w:val="20"/>
        </w:rPr>
      </w:pPr>
    </w:p>
    <w:p w14:paraId="240AB8A3" w14:textId="77777777" w:rsidR="007B3B4E" w:rsidRPr="009D5EA7" w:rsidRDefault="007B3B4E" w:rsidP="00667F79">
      <w:pPr>
        <w:pStyle w:val="Prrafodelista"/>
        <w:numPr>
          <w:ilvl w:val="0"/>
          <w:numId w:val="5"/>
        </w:numPr>
        <w:ind w:left="0" w:firstLine="0"/>
        <w:jc w:val="both"/>
        <w:rPr>
          <w:rFonts w:ascii="Verdana" w:hAnsi="Verdana"/>
          <w:sz w:val="20"/>
        </w:rPr>
      </w:pPr>
      <w:r w:rsidRPr="009D5EA7">
        <w:rPr>
          <w:rFonts w:ascii="Verdana" w:hAnsi="Verdana"/>
          <w:i/>
          <w:sz w:val="20"/>
        </w:rPr>
        <w:t>Trámite ante la Comisión.</w:t>
      </w:r>
      <w:r w:rsidRPr="009D5EA7">
        <w:rPr>
          <w:rFonts w:ascii="Verdana" w:hAnsi="Verdana"/>
          <w:sz w:val="20"/>
        </w:rPr>
        <w:t xml:space="preserve"> – El trámite ante la Comisión fue el siguiente:</w:t>
      </w:r>
    </w:p>
    <w:p w14:paraId="4A5A140A" w14:textId="77777777" w:rsidR="007B3B4E" w:rsidRPr="009D5EA7" w:rsidRDefault="007B3B4E" w:rsidP="007B3B4E">
      <w:pPr>
        <w:pStyle w:val="Prrafodelista"/>
        <w:jc w:val="both"/>
        <w:rPr>
          <w:rFonts w:ascii="Verdana" w:hAnsi="Verdana"/>
          <w:sz w:val="20"/>
        </w:rPr>
      </w:pPr>
    </w:p>
    <w:p w14:paraId="1F9ED8A3" w14:textId="7B589099" w:rsidR="00C83C2F" w:rsidRPr="009D5EA7" w:rsidRDefault="007B3B4E" w:rsidP="00667F79">
      <w:pPr>
        <w:pStyle w:val="Prrafodelista"/>
        <w:numPr>
          <w:ilvl w:val="0"/>
          <w:numId w:val="4"/>
        </w:numPr>
        <w:spacing w:after="200"/>
        <w:ind w:left="567"/>
        <w:jc w:val="both"/>
        <w:rPr>
          <w:rFonts w:ascii="Verdana" w:eastAsia="Cambria" w:hAnsi="Verdana" w:cs="Cambria"/>
          <w:spacing w:val="2"/>
          <w:sz w:val="20"/>
        </w:rPr>
      </w:pPr>
      <w:r w:rsidRPr="009D5EA7">
        <w:rPr>
          <w:rFonts w:ascii="Verdana" w:eastAsia="Cambria" w:hAnsi="Verdana" w:cs="Cambria"/>
          <w:spacing w:val="2"/>
          <w:sz w:val="20"/>
        </w:rPr>
        <w:t xml:space="preserve">Petición.- </w:t>
      </w:r>
      <w:r w:rsidR="00C83C2F" w:rsidRPr="009D5EA7">
        <w:rPr>
          <w:rFonts w:ascii="Verdana" w:eastAsia="Cambria" w:hAnsi="Verdana" w:cs="Cambria"/>
          <w:spacing w:val="2"/>
          <w:sz w:val="20"/>
        </w:rPr>
        <w:t xml:space="preserve">El 22 de junio de 2007 la Comisión recibió una denuncia presentada por </w:t>
      </w:r>
      <w:r w:rsidR="00223515" w:rsidRPr="009D5EA7">
        <w:rPr>
          <w:rFonts w:ascii="Verdana" w:eastAsia="Cambria" w:hAnsi="Verdana" w:cs="Cambria"/>
          <w:spacing w:val="2"/>
          <w:sz w:val="20"/>
        </w:rPr>
        <w:t xml:space="preserve">la señora </w:t>
      </w:r>
      <w:r w:rsidR="00C83C2F" w:rsidRPr="009D5EA7">
        <w:rPr>
          <w:rFonts w:ascii="Verdana" w:eastAsia="Cambria" w:hAnsi="Verdana" w:cs="Cambria"/>
          <w:spacing w:val="2"/>
          <w:sz w:val="20"/>
        </w:rPr>
        <w:t xml:space="preserve">Acosta Castellón, el Centro de Asistencia Legal a Pueblos Indígenas (CALPI), el Centro por la Justicia y Derechos Humanos de la Costa Atlántica de Nicaragua </w:t>
      </w:r>
      <w:r w:rsidR="00223515" w:rsidRPr="009D5EA7">
        <w:rPr>
          <w:rFonts w:ascii="Verdana" w:eastAsia="Cambria" w:hAnsi="Verdana" w:cs="Cambria"/>
          <w:spacing w:val="2"/>
          <w:sz w:val="20"/>
        </w:rPr>
        <w:t>(</w:t>
      </w:r>
      <w:r w:rsidR="00C83C2F" w:rsidRPr="009D5EA7">
        <w:rPr>
          <w:rFonts w:ascii="Verdana" w:eastAsia="Cambria" w:hAnsi="Verdana" w:cs="Cambria"/>
          <w:spacing w:val="2"/>
          <w:sz w:val="20"/>
        </w:rPr>
        <w:t>CEJUDHCAN</w:t>
      </w:r>
      <w:r w:rsidR="00223515" w:rsidRPr="009D5EA7">
        <w:rPr>
          <w:rFonts w:ascii="Verdana" w:eastAsia="Cambria" w:hAnsi="Verdana" w:cs="Cambria"/>
          <w:spacing w:val="2"/>
          <w:sz w:val="20"/>
        </w:rPr>
        <w:t>)</w:t>
      </w:r>
      <w:r w:rsidR="00C83C2F" w:rsidRPr="009D5EA7">
        <w:rPr>
          <w:rFonts w:ascii="Verdana" w:eastAsia="Cambria" w:hAnsi="Verdana" w:cs="Cambria"/>
          <w:spacing w:val="2"/>
          <w:sz w:val="20"/>
        </w:rPr>
        <w:t xml:space="preserve"> y el Centro Nicaragüense de Derechos Humanos </w:t>
      </w:r>
      <w:r w:rsidR="00223515" w:rsidRPr="009D5EA7">
        <w:rPr>
          <w:rFonts w:ascii="Verdana" w:eastAsia="Cambria" w:hAnsi="Verdana" w:cs="Cambria"/>
          <w:spacing w:val="2"/>
          <w:sz w:val="20"/>
        </w:rPr>
        <w:t>(</w:t>
      </w:r>
      <w:r w:rsidR="00C83C2F" w:rsidRPr="009D5EA7">
        <w:rPr>
          <w:rFonts w:ascii="Verdana" w:eastAsia="Cambria" w:hAnsi="Verdana" w:cs="Cambria"/>
          <w:spacing w:val="2"/>
          <w:sz w:val="20"/>
        </w:rPr>
        <w:t>CENIDH</w:t>
      </w:r>
      <w:r w:rsidR="00223515" w:rsidRPr="009D5EA7">
        <w:rPr>
          <w:rFonts w:ascii="Verdana" w:eastAsia="Cambria" w:hAnsi="Verdana" w:cs="Cambria"/>
          <w:spacing w:val="2"/>
          <w:sz w:val="20"/>
        </w:rPr>
        <w:t>)</w:t>
      </w:r>
      <w:r w:rsidR="00C83C2F" w:rsidRPr="009D5EA7">
        <w:rPr>
          <w:rFonts w:ascii="Verdana" w:eastAsia="Cambria" w:hAnsi="Verdana" w:cs="Cambria"/>
          <w:spacing w:val="2"/>
          <w:sz w:val="20"/>
        </w:rPr>
        <w:t xml:space="preserve"> (en adelante “los </w:t>
      </w:r>
      <w:r w:rsidR="00223515" w:rsidRPr="009D5EA7">
        <w:rPr>
          <w:rFonts w:ascii="Verdana" w:eastAsia="Cambria" w:hAnsi="Verdana" w:cs="Cambria"/>
          <w:spacing w:val="2"/>
          <w:sz w:val="20"/>
        </w:rPr>
        <w:t>representantes”</w:t>
      </w:r>
      <w:r w:rsidR="00C83C2F" w:rsidRPr="009D5EA7">
        <w:rPr>
          <w:rFonts w:ascii="Verdana" w:eastAsia="Cambria" w:hAnsi="Verdana" w:cs="Cambria"/>
          <w:spacing w:val="2"/>
          <w:sz w:val="20"/>
        </w:rPr>
        <w:t>), actuando en representación de</w:t>
      </w:r>
      <w:r w:rsidR="00223515" w:rsidRPr="009D5EA7">
        <w:rPr>
          <w:rFonts w:ascii="Verdana" w:eastAsia="Cambria" w:hAnsi="Verdana" w:cs="Cambria"/>
          <w:spacing w:val="2"/>
          <w:sz w:val="20"/>
        </w:rPr>
        <w:t xml:space="preserve"> aquélla</w:t>
      </w:r>
      <w:r w:rsidR="009D5EA7">
        <w:rPr>
          <w:rFonts w:ascii="Verdana" w:eastAsia="Cambria" w:hAnsi="Verdana" w:cs="Cambria"/>
          <w:spacing w:val="2"/>
          <w:sz w:val="20"/>
        </w:rPr>
        <w:t xml:space="preserve">, </w:t>
      </w:r>
      <w:r w:rsidR="00223515" w:rsidRPr="009D5EA7">
        <w:rPr>
          <w:rFonts w:ascii="Verdana" w:eastAsia="Cambria" w:hAnsi="Verdana" w:cs="Cambria"/>
          <w:spacing w:val="2"/>
          <w:sz w:val="20"/>
        </w:rPr>
        <w:t xml:space="preserve">de </w:t>
      </w:r>
      <w:r w:rsidR="009D5EA7">
        <w:rPr>
          <w:rFonts w:ascii="Verdana" w:eastAsia="Cambria" w:hAnsi="Verdana" w:cs="Cambria"/>
          <w:spacing w:val="2"/>
          <w:sz w:val="20"/>
        </w:rPr>
        <w:t>Francisco García Valle y de las demás presuntas víctimas</w:t>
      </w:r>
      <w:r w:rsidR="00C83C2F" w:rsidRPr="009D5EA7">
        <w:rPr>
          <w:rFonts w:ascii="Verdana" w:eastAsia="Cambria" w:hAnsi="Verdana" w:cs="Cambria"/>
          <w:spacing w:val="2"/>
          <w:sz w:val="20"/>
        </w:rPr>
        <w:t>.</w:t>
      </w:r>
    </w:p>
    <w:p w14:paraId="3FACC0C5" w14:textId="77777777" w:rsidR="00C83C2F" w:rsidRPr="009D5EA7" w:rsidRDefault="00C83C2F" w:rsidP="00C83C2F">
      <w:pPr>
        <w:pStyle w:val="Prrafodelista"/>
        <w:spacing w:after="200"/>
        <w:ind w:left="567"/>
        <w:jc w:val="both"/>
        <w:rPr>
          <w:rFonts w:ascii="Verdana" w:eastAsia="Cambria" w:hAnsi="Verdana" w:cs="Cambria"/>
          <w:spacing w:val="2"/>
          <w:sz w:val="20"/>
        </w:rPr>
      </w:pPr>
    </w:p>
    <w:p w14:paraId="38714436" w14:textId="5A7C2E51" w:rsidR="007B3B4E" w:rsidRPr="009D5EA7" w:rsidRDefault="007B3B4E" w:rsidP="00667F79">
      <w:pPr>
        <w:pStyle w:val="Prrafodelista"/>
        <w:numPr>
          <w:ilvl w:val="0"/>
          <w:numId w:val="4"/>
        </w:numPr>
        <w:spacing w:after="200"/>
        <w:ind w:left="567"/>
        <w:jc w:val="both"/>
        <w:rPr>
          <w:rFonts w:ascii="Verdana" w:eastAsia="Cambria" w:hAnsi="Verdana" w:cs="Cambria"/>
          <w:spacing w:val="2"/>
          <w:sz w:val="20"/>
        </w:rPr>
      </w:pPr>
      <w:r w:rsidRPr="009D5EA7">
        <w:rPr>
          <w:rFonts w:ascii="Verdana" w:hAnsi="Verdana"/>
          <w:i/>
          <w:sz w:val="20"/>
        </w:rPr>
        <w:t xml:space="preserve">Informe </w:t>
      </w:r>
      <w:r w:rsidRPr="009D5EA7">
        <w:rPr>
          <w:rFonts w:ascii="Verdana" w:eastAsia="Cambria" w:hAnsi="Verdana" w:cs="Cambria"/>
          <w:i/>
          <w:spacing w:val="2"/>
          <w:sz w:val="20"/>
        </w:rPr>
        <w:t>de admisibilidad</w:t>
      </w:r>
      <w:r w:rsidRPr="009D5EA7">
        <w:rPr>
          <w:rFonts w:ascii="Verdana" w:eastAsia="Cambria" w:hAnsi="Verdana" w:cs="Cambria"/>
          <w:spacing w:val="2"/>
          <w:sz w:val="20"/>
        </w:rPr>
        <w:t xml:space="preserve">. – </w:t>
      </w:r>
      <w:r w:rsidR="00C83C2F" w:rsidRPr="009D5EA7">
        <w:rPr>
          <w:rFonts w:ascii="Verdana" w:eastAsia="Cambria" w:hAnsi="Verdana" w:cs="Cambria"/>
          <w:spacing w:val="2"/>
          <w:sz w:val="20"/>
        </w:rPr>
        <w:t xml:space="preserve">El 1 de noviembre de 2010 la Comisión </w:t>
      </w:r>
      <w:r w:rsidR="00223515" w:rsidRPr="009D5EA7">
        <w:rPr>
          <w:rFonts w:ascii="Verdana" w:eastAsia="Cambria" w:hAnsi="Verdana" w:cs="Cambria"/>
          <w:spacing w:val="2"/>
          <w:sz w:val="20"/>
        </w:rPr>
        <w:t>aprobó el</w:t>
      </w:r>
      <w:r w:rsidR="00C83C2F" w:rsidRPr="009D5EA7">
        <w:rPr>
          <w:rFonts w:ascii="Verdana" w:eastAsia="Cambria" w:hAnsi="Verdana" w:cs="Cambria"/>
          <w:spacing w:val="2"/>
          <w:sz w:val="20"/>
        </w:rPr>
        <w:t xml:space="preserve"> </w:t>
      </w:r>
      <w:r w:rsidR="00223515" w:rsidRPr="009D5EA7">
        <w:rPr>
          <w:rFonts w:ascii="Verdana" w:eastAsia="Cambria" w:hAnsi="Verdana" w:cs="Cambria"/>
          <w:spacing w:val="2"/>
          <w:sz w:val="20"/>
        </w:rPr>
        <w:t>I</w:t>
      </w:r>
      <w:r w:rsidR="00C83C2F" w:rsidRPr="009D5EA7">
        <w:rPr>
          <w:rFonts w:ascii="Verdana" w:eastAsia="Cambria" w:hAnsi="Verdana" w:cs="Cambria"/>
          <w:spacing w:val="2"/>
          <w:sz w:val="20"/>
        </w:rPr>
        <w:t>nforme de admisibilidad 148/10</w:t>
      </w:r>
      <w:r w:rsidR="00223515" w:rsidRPr="009D5EA7">
        <w:rPr>
          <w:rFonts w:ascii="Verdana" w:eastAsia="Cambria" w:hAnsi="Verdana" w:cs="Cambria"/>
          <w:spacing w:val="2"/>
          <w:sz w:val="20"/>
        </w:rPr>
        <w:t>, en el que declaró que la petición 830-07 era admisible</w:t>
      </w:r>
      <w:r w:rsidR="000E03A7" w:rsidRPr="009D5EA7">
        <w:rPr>
          <w:rStyle w:val="Refdenotaalpie"/>
          <w:rFonts w:eastAsia="Verdana" w:cs="Verdana"/>
          <w:position w:val="-1"/>
          <w:sz w:val="20"/>
        </w:rPr>
        <w:footnoteReference w:id="1"/>
      </w:r>
      <w:r w:rsidR="00C83C2F" w:rsidRPr="009D5EA7">
        <w:rPr>
          <w:rFonts w:ascii="Verdana" w:eastAsia="Cambria" w:hAnsi="Verdana" w:cs="Cambria"/>
          <w:spacing w:val="2"/>
          <w:sz w:val="20"/>
        </w:rPr>
        <w:t>.</w:t>
      </w:r>
    </w:p>
    <w:p w14:paraId="41AFBB47" w14:textId="77777777" w:rsidR="0020376C" w:rsidRPr="009D5EA7" w:rsidRDefault="0020376C" w:rsidP="0020376C">
      <w:pPr>
        <w:pStyle w:val="Prrafodelista"/>
        <w:ind w:left="567"/>
        <w:jc w:val="both"/>
        <w:rPr>
          <w:rFonts w:ascii="Verdana" w:hAnsi="Verdana"/>
          <w:i/>
          <w:sz w:val="20"/>
        </w:rPr>
      </w:pPr>
    </w:p>
    <w:p w14:paraId="6C52A7A0" w14:textId="5E6980B6" w:rsidR="007B3B4E" w:rsidRPr="009D5EA7" w:rsidRDefault="007B3B4E" w:rsidP="00667F79">
      <w:pPr>
        <w:pStyle w:val="Prrafodelista"/>
        <w:numPr>
          <w:ilvl w:val="0"/>
          <w:numId w:val="4"/>
        </w:numPr>
        <w:ind w:left="567"/>
        <w:jc w:val="both"/>
        <w:rPr>
          <w:rFonts w:ascii="Verdana" w:hAnsi="Verdana"/>
          <w:i/>
          <w:sz w:val="20"/>
        </w:rPr>
      </w:pPr>
      <w:r w:rsidRPr="009D5EA7">
        <w:rPr>
          <w:rFonts w:ascii="Verdana" w:hAnsi="Verdana"/>
          <w:i/>
          <w:sz w:val="20"/>
        </w:rPr>
        <w:t>Informe de Fondo.</w:t>
      </w:r>
      <w:r w:rsidRPr="009D5EA7">
        <w:rPr>
          <w:rFonts w:ascii="Verdana" w:hAnsi="Verdana"/>
          <w:sz w:val="20"/>
        </w:rPr>
        <w:t xml:space="preserve"> – El </w:t>
      </w:r>
      <w:r w:rsidR="00223515" w:rsidRPr="009D5EA7">
        <w:rPr>
          <w:rFonts w:ascii="Verdana" w:hAnsi="Verdana"/>
          <w:sz w:val="20"/>
        </w:rPr>
        <w:t>26 de marzo de 2015</w:t>
      </w:r>
      <w:r w:rsidRPr="009D5EA7">
        <w:rPr>
          <w:rFonts w:ascii="Verdana" w:hAnsi="Verdana"/>
          <w:sz w:val="20"/>
        </w:rPr>
        <w:t xml:space="preserve"> la Comisión </w:t>
      </w:r>
      <w:r w:rsidR="0020376C" w:rsidRPr="009D5EA7">
        <w:rPr>
          <w:rFonts w:ascii="Verdana" w:hAnsi="Verdana"/>
          <w:sz w:val="20"/>
        </w:rPr>
        <w:t>emitió el Informe de Fondo No. 22/15</w:t>
      </w:r>
      <w:r w:rsidR="00D72B78">
        <w:rPr>
          <w:rFonts w:ascii="Verdana" w:hAnsi="Verdana"/>
          <w:sz w:val="20"/>
        </w:rPr>
        <w:t>,</w:t>
      </w:r>
      <w:r w:rsidRPr="009D5EA7">
        <w:rPr>
          <w:rFonts w:ascii="Verdana" w:hAnsi="Verdana"/>
          <w:sz w:val="20"/>
        </w:rPr>
        <w:t xml:space="preserve"> de conformidad con el artículo 50 de la Convención Americana (en adelante “Informe de Fondo” o “el Informe”), en el cual llegó a una serie de conclusiones y formuló varias recomendaci</w:t>
      </w:r>
      <w:r w:rsidR="00877742" w:rsidRPr="009D5EA7">
        <w:rPr>
          <w:rFonts w:ascii="Verdana" w:hAnsi="Verdana"/>
          <w:sz w:val="20"/>
        </w:rPr>
        <w:t>ones al Estado, a saber:</w:t>
      </w:r>
    </w:p>
    <w:p w14:paraId="39F5A76D" w14:textId="77777777" w:rsidR="007B3B4E" w:rsidRPr="009D5EA7" w:rsidRDefault="007B3B4E" w:rsidP="007B3B4E">
      <w:pPr>
        <w:pStyle w:val="Prrafodelista"/>
        <w:jc w:val="both"/>
        <w:rPr>
          <w:rFonts w:ascii="Verdana" w:hAnsi="Verdana"/>
          <w:i/>
          <w:sz w:val="20"/>
        </w:rPr>
      </w:pPr>
    </w:p>
    <w:p w14:paraId="2024D5A5" w14:textId="77777777" w:rsidR="007B3B4E" w:rsidRPr="009D5EA7" w:rsidRDefault="007B3B4E" w:rsidP="00CC7B7A">
      <w:pPr>
        <w:pStyle w:val="Prrafodelista"/>
        <w:ind w:left="851"/>
        <w:jc w:val="both"/>
        <w:rPr>
          <w:rFonts w:ascii="Verdana" w:hAnsi="Verdana"/>
          <w:b/>
          <w:sz w:val="20"/>
        </w:rPr>
      </w:pPr>
      <w:r w:rsidRPr="009D5EA7">
        <w:rPr>
          <w:rFonts w:ascii="Verdana" w:hAnsi="Verdana"/>
          <w:i/>
          <w:sz w:val="20"/>
        </w:rPr>
        <w:lastRenderedPageBreak/>
        <w:t>Conclusiones</w:t>
      </w:r>
      <w:r w:rsidRPr="009D5EA7">
        <w:rPr>
          <w:rFonts w:ascii="Verdana" w:hAnsi="Verdana"/>
          <w:sz w:val="20"/>
        </w:rPr>
        <w:t xml:space="preserve">.- La Comisión concluyó que el Estado era responsable por </w:t>
      </w:r>
    </w:p>
    <w:p w14:paraId="4024D4A3" w14:textId="77777777" w:rsidR="007B3B4E" w:rsidRPr="009D5EA7" w:rsidRDefault="007B3B4E" w:rsidP="007B3B4E">
      <w:pPr>
        <w:pStyle w:val="Prrafodelista"/>
        <w:ind w:left="1440"/>
        <w:jc w:val="both"/>
        <w:rPr>
          <w:rFonts w:ascii="Verdana" w:hAnsi="Verdana"/>
          <w:sz w:val="20"/>
        </w:rPr>
      </w:pPr>
    </w:p>
    <w:p w14:paraId="38C8F2D0" w14:textId="0BA3B4B0" w:rsidR="007B3B4E" w:rsidRPr="009D5EA7" w:rsidRDefault="00223515" w:rsidP="00B6249D">
      <w:pPr>
        <w:autoSpaceDE w:val="0"/>
        <w:autoSpaceDN w:val="0"/>
        <w:adjustRightInd w:val="0"/>
        <w:spacing w:after="0" w:line="240" w:lineRule="auto"/>
        <w:ind w:left="708"/>
        <w:jc w:val="both"/>
        <w:rPr>
          <w:rFonts w:ascii="Verdana" w:hAnsi="Verdana"/>
          <w:sz w:val="16"/>
          <w:lang w:val="es-ES_tradnl"/>
        </w:rPr>
      </w:pPr>
      <w:r w:rsidRPr="009D5EA7">
        <w:rPr>
          <w:rFonts w:ascii="Verdana" w:eastAsia="Times New Roman" w:hAnsi="Verdana" w:cs="Times New Roman"/>
          <w:sz w:val="16"/>
          <w:szCs w:val="20"/>
          <w:lang w:val="es-ES_tradnl"/>
        </w:rPr>
        <w:t>[…]</w:t>
      </w:r>
      <w:r w:rsidR="00B6249D" w:rsidRPr="009D5EA7">
        <w:rPr>
          <w:rFonts w:ascii="Verdana" w:eastAsia="Times New Roman" w:hAnsi="Verdana" w:cs="Times New Roman"/>
          <w:sz w:val="16"/>
          <w:szCs w:val="20"/>
          <w:lang w:val="es-ES_tradnl"/>
        </w:rPr>
        <w:t xml:space="preserve"> la violación de los derechos a las garantías judiciales y protección judicial y a la integridad psíquica y moral consagrados en los artículos 8.1, 25 y 5.1 de la Convención Americana en relación con las obligaciones consagradas en el artículo 1.1 del mismo instrumento en perjuicio de María Luisa Acosta Castellón, Ana María Vergara Acosta, Álvaro Arístides Vergara Acosta, Leonor del Carmen Valle de García y Rodolfo García Solari. As</w:t>
      </w:r>
      <w:r w:rsidR="00783177" w:rsidRPr="009D5EA7">
        <w:rPr>
          <w:rFonts w:ascii="Verdana" w:eastAsia="Times New Roman" w:hAnsi="Verdana" w:cs="Times New Roman"/>
          <w:sz w:val="16"/>
          <w:szCs w:val="20"/>
          <w:lang w:val="es-ES_tradnl"/>
        </w:rPr>
        <w:t>imismo, la CIDH concluy</w:t>
      </w:r>
      <w:r w:rsidRPr="009D5EA7">
        <w:rPr>
          <w:rFonts w:ascii="Verdana" w:eastAsia="Times New Roman" w:hAnsi="Verdana" w:cs="Times New Roman"/>
          <w:sz w:val="16"/>
          <w:szCs w:val="20"/>
          <w:lang w:val="es-ES_tradnl"/>
        </w:rPr>
        <w:t>e</w:t>
      </w:r>
      <w:r w:rsidR="00B6249D" w:rsidRPr="009D5EA7">
        <w:rPr>
          <w:rFonts w:ascii="Verdana" w:eastAsia="Times New Roman" w:hAnsi="Verdana" w:cs="Times New Roman"/>
          <w:sz w:val="16"/>
          <w:szCs w:val="20"/>
          <w:lang w:val="es-ES_tradnl"/>
        </w:rPr>
        <w:t xml:space="preserve"> que el Estado violó los derechos a la integridad personal, a las garantías judiciales y a la protección judicial, establecidos en los artículos 5, 8.1, 8.2 y 25 de la Convención Americana en conexión con las obligaciones </w:t>
      </w:r>
      <w:r w:rsidR="00B6249D" w:rsidRPr="009D5EA7">
        <w:rPr>
          <w:rFonts w:ascii="Verdana" w:hAnsi="Verdana"/>
          <w:sz w:val="16"/>
          <w:lang w:val="es-ES_tradnl"/>
        </w:rPr>
        <w:t>consagradas en el artículo 1.1 del mismo instrumento, en perjuicio de María Luisa Acosta.</w:t>
      </w:r>
    </w:p>
    <w:p w14:paraId="1F011094" w14:textId="77777777" w:rsidR="00B6249D" w:rsidRPr="009D5EA7" w:rsidRDefault="00B6249D" w:rsidP="00B6249D">
      <w:pPr>
        <w:autoSpaceDE w:val="0"/>
        <w:autoSpaceDN w:val="0"/>
        <w:adjustRightInd w:val="0"/>
        <w:spacing w:after="0" w:line="240" w:lineRule="auto"/>
        <w:rPr>
          <w:rFonts w:ascii="Verdana" w:eastAsia="Times New Roman" w:hAnsi="Verdana" w:cs="Times New Roman"/>
          <w:sz w:val="16"/>
          <w:szCs w:val="20"/>
          <w:lang w:val="es-ES_tradnl"/>
        </w:rPr>
      </w:pPr>
    </w:p>
    <w:p w14:paraId="4FE04373" w14:textId="4346BADA" w:rsidR="00B6249D" w:rsidRPr="009D5EA7" w:rsidRDefault="007B3B4E" w:rsidP="00B6249D">
      <w:pPr>
        <w:spacing w:after="0" w:line="240" w:lineRule="auto"/>
        <w:ind w:left="851"/>
        <w:jc w:val="both"/>
        <w:rPr>
          <w:rFonts w:ascii="Verdana" w:hAnsi="Verdana" w:cs="Times New Roman"/>
          <w:sz w:val="20"/>
          <w:szCs w:val="20"/>
          <w:lang w:val="es-ES_tradnl"/>
        </w:rPr>
      </w:pPr>
      <w:r w:rsidRPr="009D5EA7">
        <w:rPr>
          <w:rFonts w:ascii="Verdana" w:hAnsi="Verdana" w:cs="Times New Roman"/>
          <w:i/>
          <w:sz w:val="20"/>
          <w:szCs w:val="20"/>
          <w:lang w:val="es-ES_tradnl"/>
        </w:rPr>
        <w:t>Recomendaciones.</w:t>
      </w:r>
      <w:r w:rsidRPr="009D5EA7">
        <w:rPr>
          <w:rFonts w:ascii="Verdana" w:hAnsi="Verdana" w:cs="Times New Roman"/>
          <w:sz w:val="20"/>
          <w:szCs w:val="20"/>
          <w:lang w:val="es-ES_tradnl"/>
        </w:rPr>
        <w:t xml:space="preserve">- La Comisión recomendó al Estado: </w:t>
      </w:r>
    </w:p>
    <w:p w14:paraId="0B7B1BE9" w14:textId="364FE142" w:rsidR="00B6249D" w:rsidRPr="009D5EA7" w:rsidRDefault="00B6249D" w:rsidP="00B6249D">
      <w:pPr>
        <w:autoSpaceDE w:val="0"/>
        <w:autoSpaceDN w:val="0"/>
        <w:adjustRightInd w:val="0"/>
        <w:spacing w:after="0" w:line="240" w:lineRule="auto"/>
        <w:ind w:left="993"/>
        <w:jc w:val="both"/>
        <w:rPr>
          <w:rFonts w:ascii="Verdana" w:eastAsia="Times New Roman" w:hAnsi="Verdana" w:cs="Times New Roman"/>
          <w:sz w:val="16"/>
          <w:szCs w:val="20"/>
          <w:lang w:val="es-ES_tradnl"/>
        </w:rPr>
      </w:pPr>
    </w:p>
    <w:p w14:paraId="6B69F804" w14:textId="0807F449" w:rsidR="00B6249D" w:rsidRPr="009D5EA7" w:rsidRDefault="00B6249D" w:rsidP="00223515">
      <w:pPr>
        <w:autoSpaceDE w:val="0"/>
        <w:autoSpaceDN w:val="0"/>
        <w:adjustRightInd w:val="0"/>
        <w:spacing w:after="0" w:line="240" w:lineRule="auto"/>
        <w:ind w:left="709"/>
        <w:jc w:val="both"/>
        <w:rPr>
          <w:rFonts w:ascii="Verdana" w:eastAsia="Times New Roman" w:hAnsi="Verdana" w:cs="Times New Roman"/>
          <w:sz w:val="16"/>
          <w:szCs w:val="20"/>
          <w:lang w:val="es-ES_tradnl"/>
        </w:rPr>
      </w:pPr>
      <w:r w:rsidRPr="009D5EA7">
        <w:rPr>
          <w:rFonts w:ascii="Verdana" w:eastAsia="Times New Roman" w:hAnsi="Verdana" w:cs="Times New Roman"/>
          <w:sz w:val="16"/>
          <w:szCs w:val="20"/>
          <w:lang w:val="es-ES_tradnl"/>
        </w:rPr>
        <w:t xml:space="preserve">1. </w:t>
      </w:r>
      <w:r w:rsidR="00434A21" w:rsidRPr="009D5EA7">
        <w:rPr>
          <w:rFonts w:ascii="Verdana" w:eastAsia="Times New Roman" w:hAnsi="Verdana" w:cs="Times New Roman"/>
          <w:sz w:val="16"/>
          <w:szCs w:val="20"/>
          <w:lang w:val="es-ES_tradnl"/>
        </w:rPr>
        <w:tab/>
      </w:r>
      <w:r w:rsidRPr="009D5EA7">
        <w:rPr>
          <w:rFonts w:ascii="Verdana" w:eastAsia="Times New Roman" w:hAnsi="Verdana" w:cs="Times New Roman"/>
          <w:sz w:val="16"/>
          <w:szCs w:val="20"/>
          <w:lang w:val="es-ES_tradnl"/>
        </w:rPr>
        <w:t>Reparar integralmente las violaciones a derechos humanos declaradas en el presente informe tanto en el aspecto material como moral.</w:t>
      </w:r>
    </w:p>
    <w:p w14:paraId="6D6BA682" w14:textId="34334560" w:rsidR="00B6249D" w:rsidRPr="009D5EA7" w:rsidRDefault="00B6249D" w:rsidP="00223515">
      <w:pPr>
        <w:autoSpaceDE w:val="0"/>
        <w:autoSpaceDN w:val="0"/>
        <w:adjustRightInd w:val="0"/>
        <w:spacing w:after="0" w:line="240" w:lineRule="auto"/>
        <w:ind w:left="709"/>
        <w:jc w:val="both"/>
        <w:rPr>
          <w:rFonts w:ascii="Verdana" w:eastAsia="Times New Roman" w:hAnsi="Verdana" w:cs="Times New Roman"/>
          <w:sz w:val="16"/>
          <w:szCs w:val="20"/>
          <w:lang w:val="es-ES_tradnl"/>
        </w:rPr>
      </w:pPr>
      <w:r w:rsidRPr="009D5EA7">
        <w:rPr>
          <w:rFonts w:ascii="Verdana" w:eastAsia="Times New Roman" w:hAnsi="Verdana" w:cs="Times New Roman"/>
          <w:sz w:val="16"/>
          <w:szCs w:val="20"/>
          <w:lang w:val="es-ES_tradnl"/>
        </w:rPr>
        <w:t xml:space="preserve">2. </w:t>
      </w:r>
      <w:r w:rsidR="00434A21" w:rsidRPr="009D5EA7">
        <w:rPr>
          <w:rFonts w:ascii="Verdana" w:eastAsia="Times New Roman" w:hAnsi="Verdana" w:cs="Times New Roman"/>
          <w:sz w:val="16"/>
          <w:szCs w:val="20"/>
          <w:lang w:val="es-ES_tradnl"/>
        </w:rPr>
        <w:tab/>
      </w:r>
      <w:r w:rsidRPr="009D5EA7">
        <w:rPr>
          <w:rFonts w:ascii="Verdana" w:eastAsia="Times New Roman" w:hAnsi="Verdana" w:cs="Times New Roman"/>
          <w:sz w:val="16"/>
          <w:szCs w:val="20"/>
          <w:lang w:val="es-ES_tradnl"/>
        </w:rPr>
        <w:t>Desarrollar y completar una investigación judicial imparcial, completa y efectiva, de manera expedita, con el objeto de esclarecer las circunstancias de la muerte del señor Francisco García Valle; investigar de manera exhaustiva las líneas lógicas de investigación sobre la autoría material e intelectual del asesinato; identificar a todas las personas que participaron en los diferentes niveles de decisión y ejecución; y, de ser el caso, aplicar las sanciones correspondientes.</w:t>
      </w:r>
    </w:p>
    <w:p w14:paraId="326040D4" w14:textId="2DF937D6" w:rsidR="00B6249D" w:rsidRPr="009D5EA7" w:rsidRDefault="00B6249D" w:rsidP="00223515">
      <w:pPr>
        <w:autoSpaceDE w:val="0"/>
        <w:autoSpaceDN w:val="0"/>
        <w:adjustRightInd w:val="0"/>
        <w:spacing w:after="0" w:line="240" w:lineRule="auto"/>
        <w:ind w:left="709"/>
        <w:jc w:val="both"/>
        <w:rPr>
          <w:rFonts w:ascii="Verdana" w:eastAsia="Times New Roman" w:hAnsi="Verdana" w:cs="Times New Roman"/>
          <w:sz w:val="16"/>
          <w:szCs w:val="20"/>
          <w:lang w:val="es-ES_tradnl"/>
        </w:rPr>
      </w:pPr>
      <w:r w:rsidRPr="009D5EA7">
        <w:rPr>
          <w:rFonts w:ascii="Verdana" w:eastAsia="Times New Roman" w:hAnsi="Verdana" w:cs="Times New Roman"/>
          <w:sz w:val="16"/>
          <w:szCs w:val="20"/>
          <w:lang w:val="es-ES_tradnl"/>
        </w:rPr>
        <w:t xml:space="preserve">3. </w:t>
      </w:r>
      <w:r w:rsidR="00434A21" w:rsidRPr="009D5EA7">
        <w:rPr>
          <w:rFonts w:ascii="Verdana" w:eastAsia="Times New Roman" w:hAnsi="Verdana" w:cs="Times New Roman"/>
          <w:sz w:val="16"/>
          <w:szCs w:val="20"/>
          <w:lang w:val="es-ES_tradnl"/>
        </w:rPr>
        <w:tab/>
      </w:r>
      <w:r w:rsidRPr="009D5EA7">
        <w:rPr>
          <w:rFonts w:ascii="Verdana" w:eastAsia="Times New Roman" w:hAnsi="Verdana" w:cs="Times New Roman"/>
          <w:sz w:val="16"/>
          <w:szCs w:val="20"/>
          <w:lang w:val="es-ES_tradnl"/>
        </w:rPr>
        <w:t>Disponer las medidas administrativas, disciplinarias o penales correspondientes frente a las acciones u omisiones de los funcionarios estatales que contribuyeron al encubrimiento y consecuente denegación de justicia e impunidad parcial en se encuentran los hechos del caso.</w:t>
      </w:r>
    </w:p>
    <w:p w14:paraId="5BB57261" w14:textId="4CDFDCEA" w:rsidR="00B6249D" w:rsidRPr="009D5EA7" w:rsidRDefault="00B6249D" w:rsidP="00223515">
      <w:pPr>
        <w:autoSpaceDE w:val="0"/>
        <w:autoSpaceDN w:val="0"/>
        <w:adjustRightInd w:val="0"/>
        <w:spacing w:after="0" w:line="240" w:lineRule="auto"/>
        <w:ind w:left="709"/>
        <w:jc w:val="both"/>
        <w:rPr>
          <w:rFonts w:ascii="Verdana" w:eastAsia="Times New Roman" w:hAnsi="Verdana" w:cs="Times New Roman"/>
          <w:sz w:val="16"/>
          <w:szCs w:val="20"/>
          <w:lang w:val="es-ES_tradnl"/>
        </w:rPr>
      </w:pPr>
      <w:r w:rsidRPr="009D5EA7">
        <w:rPr>
          <w:rFonts w:ascii="Verdana" w:eastAsia="Times New Roman" w:hAnsi="Verdana" w:cs="Times New Roman"/>
          <w:sz w:val="16"/>
          <w:szCs w:val="20"/>
          <w:lang w:val="es-ES_tradnl"/>
        </w:rPr>
        <w:t xml:space="preserve">4. </w:t>
      </w:r>
      <w:r w:rsidR="00434A21" w:rsidRPr="009D5EA7">
        <w:rPr>
          <w:rFonts w:ascii="Verdana" w:eastAsia="Times New Roman" w:hAnsi="Verdana" w:cs="Times New Roman"/>
          <w:sz w:val="16"/>
          <w:szCs w:val="20"/>
          <w:lang w:val="es-ES_tradnl"/>
        </w:rPr>
        <w:tab/>
      </w:r>
      <w:r w:rsidRPr="009D5EA7">
        <w:rPr>
          <w:rFonts w:ascii="Verdana" w:eastAsia="Times New Roman" w:hAnsi="Verdana" w:cs="Times New Roman"/>
          <w:sz w:val="16"/>
          <w:szCs w:val="20"/>
          <w:lang w:val="es-ES_tradnl"/>
        </w:rPr>
        <w:t>Adoptar medidas de carácter legislativo, institucional y judicial orientadas a reducir la exposición al riesgo de las defensoras y defensores de derechos humanos que se encuentran en situación de vulnerabilidad. En ese sentido, el Estado debe:</w:t>
      </w:r>
    </w:p>
    <w:p w14:paraId="59810092" w14:textId="6540CE86" w:rsidR="00B6249D" w:rsidRPr="009D5EA7" w:rsidRDefault="00B6249D" w:rsidP="00223515">
      <w:pPr>
        <w:autoSpaceDE w:val="0"/>
        <w:autoSpaceDN w:val="0"/>
        <w:adjustRightInd w:val="0"/>
        <w:spacing w:after="0" w:line="240" w:lineRule="auto"/>
        <w:ind w:left="993"/>
        <w:jc w:val="both"/>
        <w:rPr>
          <w:rFonts w:ascii="Verdana" w:eastAsia="Times New Roman" w:hAnsi="Verdana" w:cs="Times New Roman"/>
          <w:sz w:val="16"/>
          <w:szCs w:val="20"/>
          <w:lang w:val="es-ES_tradnl"/>
        </w:rPr>
      </w:pPr>
      <w:r w:rsidRPr="009D5EA7">
        <w:rPr>
          <w:rFonts w:ascii="Verdana" w:eastAsia="Times New Roman" w:hAnsi="Verdana" w:cs="Times New Roman"/>
          <w:sz w:val="16"/>
          <w:szCs w:val="20"/>
          <w:lang w:val="es-ES_tradnl"/>
        </w:rPr>
        <w:t>4.1 Fortalecer la capacidad institucional para combatir el patrón de impunidad frente a casos de amenazas y muertes de defensoras y defensores, mediante la elaboración de protocolos de investigación que tengan en cuenta los riesgos inherentes a la labor de defensa de los derechos humanos, y en particular del derecho a un medio ambiente sano, que conduzcan a la sanción de los responsables y a una reparación adecuada a las víctimas. Asimismo, el Estado debe asegurar que cuando funcionarios públicos estén implicados en investigaciones de violaciones de derechos humanos, las investigaciones se realicen eficazmente y con independencia.</w:t>
      </w:r>
    </w:p>
    <w:p w14:paraId="1131723D" w14:textId="77777777" w:rsidR="00B6249D" w:rsidRPr="009D5EA7" w:rsidRDefault="00B6249D" w:rsidP="00223515">
      <w:pPr>
        <w:autoSpaceDE w:val="0"/>
        <w:autoSpaceDN w:val="0"/>
        <w:adjustRightInd w:val="0"/>
        <w:spacing w:after="0" w:line="240" w:lineRule="auto"/>
        <w:ind w:left="993"/>
        <w:jc w:val="both"/>
        <w:rPr>
          <w:rFonts w:ascii="Verdana" w:eastAsia="Times New Roman" w:hAnsi="Verdana" w:cs="Times New Roman"/>
          <w:sz w:val="16"/>
          <w:szCs w:val="20"/>
          <w:lang w:val="es-ES_tradnl"/>
        </w:rPr>
      </w:pPr>
      <w:r w:rsidRPr="009D5EA7">
        <w:rPr>
          <w:rFonts w:ascii="Verdana" w:eastAsia="Times New Roman" w:hAnsi="Verdana" w:cs="Times New Roman"/>
          <w:sz w:val="16"/>
          <w:szCs w:val="20"/>
          <w:lang w:val="es-ES_tradnl"/>
        </w:rPr>
        <w:t xml:space="preserve">4.2 Fortalecer los mecanismos para proteger eficazmente a testigos, víctimas y familiares que se encuentren en riesgo como resultado de su vinculación a las investigaciones. </w:t>
      </w:r>
    </w:p>
    <w:p w14:paraId="73F1976E" w14:textId="30F84C94" w:rsidR="00B6249D" w:rsidRPr="009D5EA7" w:rsidRDefault="00B6249D" w:rsidP="00223515">
      <w:pPr>
        <w:autoSpaceDE w:val="0"/>
        <w:autoSpaceDN w:val="0"/>
        <w:adjustRightInd w:val="0"/>
        <w:spacing w:after="0" w:line="240" w:lineRule="auto"/>
        <w:ind w:left="993"/>
        <w:jc w:val="both"/>
        <w:rPr>
          <w:rFonts w:ascii="Verdana" w:eastAsia="Times New Roman" w:hAnsi="Verdana" w:cs="Times New Roman"/>
          <w:sz w:val="16"/>
          <w:szCs w:val="20"/>
          <w:lang w:val="es-ES_tradnl"/>
        </w:rPr>
      </w:pPr>
      <w:r w:rsidRPr="009D5EA7">
        <w:rPr>
          <w:rFonts w:ascii="Verdana" w:eastAsia="Times New Roman" w:hAnsi="Verdana" w:cs="Times New Roman"/>
          <w:sz w:val="16"/>
          <w:szCs w:val="20"/>
          <w:lang w:val="es-ES_tradnl"/>
        </w:rPr>
        <w:t>4.3 Desarrollar medidas adecuadas y expeditas de respuesta institucional que permitan proteger eficazmente a defensoras y defensores de derechos humanos en situaciones de riesgo.</w:t>
      </w:r>
    </w:p>
    <w:p w14:paraId="69888318" w14:textId="07D4193C" w:rsidR="00B6249D" w:rsidRPr="009D5EA7" w:rsidRDefault="00B6249D" w:rsidP="00223515">
      <w:pPr>
        <w:autoSpaceDE w:val="0"/>
        <w:autoSpaceDN w:val="0"/>
        <w:adjustRightInd w:val="0"/>
        <w:spacing w:after="0" w:line="240" w:lineRule="auto"/>
        <w:ind w:left="993"/>
        <w:jc w:val="both"/>
        <w:rPr>
          <w:rFonts w:ascii="Verdana" w:eastAsia="Times New Roman" w:hAnsi="Verdana" w:cs="Times New Roman"/>
          <w:sz w:val="16"/>
          <w:szCs w:val="20"/>
          <w:lang w:val="es-ES_tradnl"/>
        </w:rPr>
      </w:pPr>
      <w:r w:rsidRPr="009D5EA7">
        <w:rPr>
          <w:rFonts w:ascii="Verdana" w:eastAsia="Times New Roman" w:hAnsi="Verdana" w:cs="Times New Roman"/>
          <w:sz w:val="16"/>
          <w:szCs w:val="20"/>
          <w:lang w:val="es-ES_tradnl"/>
        </w:rPr>
        <w:t>4.4 Adoptar medidas legislativas, institucionales y judiciales para evitar el uso indebido de procesos civiles y penales como mecanismo de intimidación y hostigamiento contra defensores y defensoras de derechos humanos.</w:t>
      </w:r>
    </w:p>
    <w:p w14:paraId="126A2EEA" w14:textId="5817140D" w:rsidR="007B3B4E" w:rsidRPr="009D5EA7" w:rsidRDefault="007B3B4E" w:rsidP="007B3B4E">
      <w:pPr>
        <w:pStyle w:val="Prrafodelista"/>
        <w:ind w:left="2160"/>
        <w:jc w:val="both"/>
        <w:rPr>
          <w:rFonts w:ascii="Verdana" w:hAnsi="Verdana"/>
          <w:sz w:val="20"/>
        </w:rPr>
      </w:pPr>
    </w:p>
    <w:p w14:paraId="4716F75E" w14:textId="225786A0" w:rsidR="00783177" w:rsidRPr="009D5EA7" w:rsidRDefault="007B3B4E" w:rsidP="00667F79">
      <w:pPr>
        <w:pStyle w:val="Prrafodelista"/>
        <w:numPr>
          <w:ilvl w:val="0"/>
          <w:numId w:val="4"/>
        </w:numPr>
        <w:ind w:left="567"/>
        <w:jc w:val="both"/>
        <w:rPr>
          <w:rFonts w:ascii="Verdana" w:hAnsi="Verdana"/>
          <w:b/>
          <w:sz w:val="20"/>
        </w:rPr>
      </w:pPr>
      <w:r w:rsidRPr="009D5EA7">
        <w:rPr>
          <w:rFonts w:ascii="Verdana" w:hAnsi="Verdana"/>
          <w:i/>
          <w:sz w:val="20"/>
        </w:rPr>
        <w:t>Notificación al Estado</w:t>
      </w:r>
      <w:r w:rsidRPr="009D5EA7">
        <w:rPr>
          <w:rFonts w:ascii="Verdana" w:hAnsi="Verdana"/>
          <w:sz w:val="20"/>
        </w:rPr>
        <w:t xml:space="preserve">.- La Comisión notificó el Informe de Fondo al Estado </w:t>
      </w:r>
      <w:r w:rsidR="00CC7B7A" w:rsidRPr="009D5EA7">
        <w:rPr>
          <w:rFonts w:ascii="Verdana" w:hAnsi="Verdana"/>
          <w:sz w:val="20"/>
        </w:rPr>
        <w:t xml:space="preserve">el </w:t>
      </w:r>
      <w:r w:rsidR="00783177" w:rsidRPr="009D5EA7">
        <w:rPr>
          <w:rFonts w:ascii="Verdana" w:hAnsi="Verdana"/>
          <w:sz w:val="20"/>
        </w:rPr>
        <w:t>29</w:t>
      </w:r>
      <w:r w:rsidRPr="009D5EA7">
        <w:rPr>
          <w:rFonts w:ascii="Verdana" w:hAnsi="Verdana"/>
          <w:sz w:val="20"/>
        </w:rPr>
        <w:t xml:space="preserve"> de </w:t>
      </w:r>
      <w:r w:rsidR="00783177" w:rsidRPr="009D5EA7">
        <w:rPr>
          <w:rFonts w:ascii="Verdana" w:hAnsi="Verdana"/>
          <w:sz w:val="20"/>
        </w:rPr>
        <w:t>abril de 2015</w:t>
      </w:r>
      <w:r w:rsidRPr="009D5EA7">
        <w:rPr>
          <w:rFonts w:ascii="Verdana" w:hAnsi="Verdana"/>
          <w:sz w:val="20"/>
        </w:rPr>
        <w:t xml:space="preserve"> y le otorgó un plazo de dos meses para informar sobre el cumplimiento de las recomendaciones. </w:t>
      </w:r>
      <w:r w:rsidR="00783177" w:rsidRPr="009D5EA7">
        <w:rPr>
          <w:rFonts w:ascii="Verdana" w:hAnsi="Verdana"/>
          <w:sz w:val="20"/>
        </w:rPr>
        <w:t xml:space="preserve">El Estado de Nicaragua no dio respuesta alguna al </w:t>
      </w:r>
      <w:r w:rsidR="00005ECB" w:rsidRPr="009D5EA7">
        <w:rPr>
          <w:rFonts w:ascii="Verdana" w:hAnsi="Verdana"/>
          <w:sz w:val="20"/>
        </w:rPr>
        <w:t>I</w:t>
      </w:r>
      <w:r w:rsidR="00783177" w:rsidRPr="009D5EA7">
        <w:rPr>
          <w:rFonts w:ascii="Verdana" w:hAnsi="Verdana"/>
          <w:sz w:val="20"/>
        </w:rPr>
        <w:t xml:space="preserve">nforme. </w:t>
      </w:r>
    </w:p>
    <w:p w14:paraId="072D9480" w14:textId="77777777" w:rsidR="00770115" w:rsidRPr="009D5EA7" w:rsidRDefault="00770115" w:rsidP="00770115">
      <w:pPr>
        <w:pStyle w:val="Prrafodelista"/>
        <w:ind w:left="0"/>
        <w:jc w:val="both"/>
        <w:rPr>
          <w:rFonts w:ascii="Verdana" w:hAnsi="Verdana"/>
          <w:sz w:val="20"/>
        </w:rPr>
      </w:pPr>
    </w:p>
    <w:p w14:paraId="24E75A51" w14:textId="11B55917" w:rsidR="007B3B4E" w:rsidRPr="009D5EA7" w:rsidRDefault="007B3B4E" w:rsidP="00667F79">
      <w:pPr>
        <w:pStyle w:val="Prrafodelista"/>
        <w:numPr>
          <w:ilvl w:val="0"/>
          <w:numId w:val="5"/>
        </w:numPr>
        <w:ind w:left="0" w:firstLine="0"/>
        <w:jc w:val="both"/>
        <w:rPr>
          <w:rFonts w:ascii="Verdana" w:hAnsi="Verdana"/>
          <w:sz w:val="20"/>
        </w:rPr>
      </w:pPr>
      <w:r w:rsidRPr="009D5EA7">
        <w:rPr>
          <w:rFonts w:ascii="Verdana" w:hAnsi="Verdana"/>
          <w:i/>
          <w:sz w:val="20"/>
        </w:rPr>
        <w:t>Sometimiento a la Corte</w:t>
      </w:r>
      <w:r w:rsidR="00770115" w:rsidRPr="009D5EA7">
        <w:rPr>
          <w:rFonts w:ascii="Verdana" w:hAnsi="Verdana"/>
          <w:sz w:val="20"/>
        </w:rPr>
        <w:t>.- El 7</w:t>
      </w:r>
      <w:r w:rsidRPr="009D5EA7">
        <w:rPr>
          <w:rFonts w:ascii="Verdana" w:hAnsi="Verdana"/>
          <w:sz w:val="20"/>
        </w:rPr>
        <w:t xml:space="preserve"> de </w:t>
      </w:r>
      <w:r w:rsidR="00770115" w:rsidRPr="009D5EA7">
        <w:rPr>
          <w:rFonts w:ascii="Verdana" w:hAnsi="Verdana"/>
          <w:sz w:val="20"/>
        </w:rPr>
        <w:t xml:space="preserve">agosto </w:t>
      </w:r>
      <w:r w:rsidRPr="009D5EA7">
        <w:rPr>
          <w:rFonts w:ascii="Verdana" w:hAnsi="Verdana"/>
          <w:sz w:val="20"/>
        </w:rPr>
        <w:t>de 2015 la Comisión sometió a la Corte la totalidad de los hechos y violaciones de derechos humanos de</w:t>
      </w:r>
      <w:r w:rsidR="00770115" w:rsidRPr="009D5EA7">
        <w:rPr>
          <w:rFonts w:ascii="Verdana" w:hAnsi="Verdana"/>
          <w:sz w:val="20"/>
        </w:rPr>
        <w:t>scritos en el Informe de Fondo 22/15</w:t>
      </w:r>
      <w:r w:rsidRPr="009D5EA7">
        <w:rPr>
          <w:rFonts w:ascii="Verdana" w:hAnsi="Verdana"/>
          <w:sz w:val="20"/>
        </w:rPr>
        <w:t xml:space="preserve"> por la “necesidad de obtención de justicia</w:t>
      </w:r>
      <w:r w:rsidR="0069327C" w:rsidRPr="009D5EA7">
        <w:rPr>
          <w:rFonts w:ascii="Verdana" w:hAnsi="Verdana"/>
          <w:sz w:val="20"/>
        </w:rPr>
        <w:t xml:space="preserve"> </w:t>
      </w:r>
      <w:r w:rsidR="00770115" w:rsidRPr="009D5EA7">
        <w:rPr>
          <w:rFonts w:ascii="Verdana" w:eastAsiaTheme="minorHAnsi" w:hAnsi="Verdana" w:cs="Verdana"/>
          <w:sz w:val="20"/>
        </w:rPr>
        <w:t>en el caso particular</w:t>
      </w:r>
      <w:r w:rsidRPr="009D5EA7">
        <w:rPr>
          <w:rFonts w:ascii="Verdana" w:hAnsi="Verdana"/>
          <w:sz w:val="20"/>
        </w:rPr>
        <w:t>”</w:t>
      </w:r>
      <w:r w:rsidRPr="009D5EA7">
        <w:rPr>
          <w:rStyle w:val="Refdenotaalpie"/>
          <w:rFonts w:ascii="Verdana" w:hAnsi="Verdana"/>
          <w:sz w:val="20"/>
        </w:rPr>
        <w:footnoteReference w:id="2"/>
      </w:r>
      <w:r w:rsidRPr="009D5EA7">
        <w:rPr>
          <w:rFonts w:ascii="Verdana" w:hAnsi="Verdana"/>
          <w:sz w:val="20"/>
        </w:rPr>
        <w:t xml:space="preserve">. </w:t>
      </w:r>
    </w:p>
    <w:p w14:paraId="0409314F" w14:textId="77777777" w:rsidR="00005ECB" w:rsidRPr="009D5EA7" w:rsidRDefault="00005ECB" w:rsidP="00005ECB">
      <w:pPr>
        <w:pStyle w:val="Prrafodelista"/>
        <w:ind w:left="0"/>
        <w:jc w:val="both"/>
        <w:rPr>
          <w:rFonts w:ascii="Verdana" w:hAnsi="Verdana"/>
          <w:sz w:val="20"/>
        </w:rPr>
      </w:pPr>
    </w:p>
    <w:p w14:paraId="1471E528" w14:textId="7B9688E7" w:rsidR="007B3B4E" w:rsidRPr="009D5EA7" w:rsidRDefault="007B3B4E" w:rsidP="00667F79">
      <w:pPr>
        <w:pStyle w:val="Prrafodelista"/>
        <w:numPr>
          <w:ilvl w:val="0"/>
          <w:numId w:val="5"/>
        </w:numPr>
        <w:ind w:left="0" w:firstLine="0"/>
        <w:jc w:val="both"/>
        <w:rPr>
          <w:rFonts w:ascii="Verdana" w:hAnsi="Verdana"/>
          <w:sz w:val="20"/>
        </w:rPr>
      </w:pPr>
      <w:r w:rsidRPr="009D5EA7">
        <w:rPr>
          <w:rFonts w:ascii="Verdana" w:hAnsi="Verdana"/>
          <w:i/>
          <w:sz w:val="20"/>
        </w:rPr>
        <w:t>Solicitudes de la Comisión Interamericana</w:t>
      </w:r>
      <w:r w:rsidRPr="009D5EA7">
        <w:rPr>
          <w:rFonts w:ascii="Verdana" w:hAnsi="Verdana"/>
          <w:sz w:val="20"/>
        </w:rPr>
        <w:t xml:space="preserve">.- Con base en lo anterior, la Comisión solicitó a este Tribunal que concluyera y declarara la responsabilidad internacional del </w:t>
      </w:r>
      <w:r w:rsidR="004C50F3" w:rsidRPr="009D5EA7">
        <w:rPr>
          <w:rFonts w:ascii="Verdana" w:hAnsi="Verdana"/>
          <w:sz w:val="20"/>
        </w:rPr>
        <w:t xml:space="preserve">Estado </w:t>
      </w:r>
      <w:r w:rsidRPr="009D5EA7">
        <w:rPr>
          <w:rFonts w:ascii="Verdana" w:hAnsi="Verdana"/>
          <w:sz w:val="20"/>
        </w:rPr>
        <w:t>por las violaciones de derechos declaradas en su Informe de Fondo y que ordenara al Estado, como medidas de reparación, las recomend</w:t>
      </w:r>
      <w:r w:rsidR="0069327C" w:rsidRPr="009D5EA7">
        <w:rPr>
          <w:rFonts w:ascii="Verdana" w:hAnsi="Verdana"/>
          <w:sz w:val="20"/>
        </w:rPr>
        <w:t>aciones contenidas en el mismo.</w:t>
      </w:r>
    </w:p>
    <w:p w14:paraId="3A9893C0" w14:textId="77777777" w:rsidR="002E2359" w:rsidRDefault="002E2359" w:rsidP="007B3B4E">
      <w:pPr>
        <w:spacing w:after="0" w:line="240" w:lineRule="auto"/>
        <w:jc w:val="both"/>
        <w:rPr>
          <w:rFonts w:ascii="Verdana" w:hAnsi="Verdana" w:cs="Times New Roman"/>
          <w:sz w:val="20"/>
          <w:szCs w:val="20"/>
          <w:lang w:val="es-ES_tradnl"/>
        </w:rPr>
      </w:pPr>
    </w:p>
    <w:p w14:paraId="35B8C10D" w14:textId="77777777" w:rsidR="00B161DD" w:rsidRDefault="00B161DD" w:rsidP="007B3B4E">
      <w:pPr>
        <w:spacing w:after="0" w:line="240" w:lineRule="auto"/>
        <w:jc w:val="both"/>
        <w:rPr>
          <w:rFonts w:ascii="Verdana" w:hAnsi="Verdana" w:cs="Times New Roman"/>
          <w:sz w:val="20"/>
          <w:szCs w:val="20"/>
          <w:lang w:val="es-ES_tradnl"/>
        </w:rPr>
      </w:pPr>
    </w:p>
    <w:p w14:paraId="0BD2EFB6" w14:textId="77777777" w:rsidR="00B161DD" w:rsidRPr="009D5EA7" w:rsidRDefault="00B161DD" w:rsidP="007B3B4E">
      <w:pPr>
        <w:spacing w:after="0" w:line="240" w:lineRule="auto"/>
        <w:jc w:val="both"/>
        <w:rPr>
          <w:rFonts w:ascii="Verdana" w:hAnsi="Verdana" w:cs="Times New Roman"/>
          <w:sz w:val="20"/>
          <w:szCs w:val="20"/>
          <w:lang w:val="es-ES_tradnl"/>
        </w:rPr>
      </w:pPr>
    </w:p>
    <w:p w14:paraId="0BC11E59" w14:textId="77777777" w:rsidR="007B3B4E" w:rsidRPr="009D5EA7" w:rsidRDefault="007B3B4E" w:rsidP="000065AA">
      <w:pPr>
        <w:pStyle w:val="Ttulo1"/>
        <w:spacing w:before="0" w:after="0" w:line="240" w:lineRule="auto"/>
        <w:jc w:val="center"/>
        <w:rPr>
          <w:rFonts w:ascii="Verdana" w:hAnsi="Verdana" w:cs="Verdana"/>
          <w:caps/>
          <w:snapToGrid w:val="0"/>
          <w:sz w:val="20"/>
          <w:szCs w:val="20"/>
          <w:lang w:val="es-ES_tradnl" w:eastAsia="es-ES"/>
        </w:rPr>
      </w:pPr>
      <w:bookmarkStart w:id="4" w:name="_Toc476251447"/>
      <w:r w:rsidRPr="009D5EA7">
        <w:rPr>
          <w:rFonts w:ascii="Verdana" w:hAnsi="Verdana" w:cs="Verdana"/>
          <w:caps/>
          <w:snapToGrid w:val="0"/>
          <w:sz w:val="20"/>
          <w:szCs w:val="20"/>
          <w:lang w:val="es-ES_tradnl" w:eastAsia="es-ES"/>
        </w:rPr>
        <w:lastRenderedPageBreak/>
        <w:t>II</w:t>
      </w:r>
      <w:r w:rsidR="000065AA" w:rsidRPr="009D5EA7">
        <w:rPr>
          <w:rFonts w:ascii="Verdana" w:hAnsi="Verdana" w:cs="Verdana"/>
          <w:caps/>
          <w:snapToGrid w:val="0"/>
          <w:sz w:val="20"/>
          <w:szCs w:val="20"/>
          <w:lang w:val="es-ES_tradnl" w:eastAsia="es-ES"/>
        </w:rPr>
        <w:br/>
      </w:r>
      <w:r w:rsidRPr="009D5EA7">
        <w:rPr>
          <w:rFonts w:ascii="Verdana" w:hAnsi="Verdana" w:cs="Verdana"/>
          <w:caps/>
          <w:snapToGrid w:val="0"/>
          <w:sz w:val="20"/>
          <w:szCs w:val="20"/>
          <w:lang w:val="es-ES_tradnl" w:eastAsia="es-ES"/>
        </w:rPr>
        <w:t>PROCEDIMIENTO ANTE LA CORTE</w:t>
      </w:r>
      <w:bookmarkEnd w:id="4"/>
    </w:p>
    <w:p w14:paraId="73725E5C" w14:textId="77777777" w:rsidR="00877742" w:rsidRPr="009D5EA7" w:rsidRDefault="00877742" w:rsidP="007B3B4E">
      <w:pPr>
        <w:spacing w:after="0" w:line="240" w:lineRule="auto"/>
        <w:jc w:val="both"/>
        <w:rPr>
          <w:rFonts w:ascii="Verdana" w:hAnsi="Verdana" w:cs="Times New Roman"/>
          <w:sz w:val="20"/>
          <w:szCs w:val="20"/>
          <w:lang w:val="es-ES_tradnl"/>
        </w:rPr>
      </w:pPr>
    </w:p>
    <w:p w14:paraId="32F74FDD" w14:textId="31DBE621" w:rsidR="008A43F3" w:rsidRPr="009D5EA7" w:rsidRDefault="008A43F3" w:rsidP="00667F79">
      <w:pPr>
        <w:pStyle w:val="Prrafodelista"/>
        <w:numPr>
          <w:ilvl w:val="0"/>
          <w:numId w:val="5"/>
        </w:numPr>
        <w:ind w:left="0" w:firstLine="0"/>
        <w:jc w:val="both"/>
        <w:rPr>
          <w:rFonts w:ascii="Verdana" w:hAnsi="Verdana"/>
          <w:sz w:val="20"/>
        </w:rPr>
      </w:pPr>
      <w:r w:rsidRPr="009D5EA7">
        <w:rPr>
          <w:rFonts w:ascii="Verdana" w:hAnsi="Verdana"/>
          <w:i/>
          <w:sz w:val="20"/>
        </w:rPr>
        <w:t>Notificación al Estado y a los representantes de las presuntas víctimas</w:t>
      </w:r>
      <w:r w:rsidRPr="009D5EA7">
        <w:rPr>
          <w:rFonts w:ascii="Verdana" w:hAnsi="Verdana"/>
          <w:sz w:val="20"/>
        </w:rPr>
        <w:t xml:space="preserve">.- El sometimiento del caso por parte de la Comisión fue notificado el 7 de octubre de 2015 </w:t>
      </w:r>
      <w:r w:rsidR="00CD2372" w:rsidRPr="009D5EA7">
        <w:rPr>
          <w:rFonts w:ascii="Verdana" w:hAnsi="Verdana"/>
          <w:sz w:val="20"/>
        </w:rPr>
        <w:t xml:space="preserve">tanto </w:t>
      </w:r>
      <w:r w:rsidRPr="009D5EA7">
        <w:rPr>
          <w:rFonts w:ascii="Verdana" w:hAnsi="Verdana"/>
          <w:sz w:val="20"/>
        </w:rPr>
        <w:t xml:space="preserve">al Estado </w:t>
      </w:r>
      <w:r w:rsidR="00CD2372" w:rsidRPr="009D5EA7">
        <w:rPr>
          <w:rFonts w:ascii="Verdana" w:hAnsi="Verdana"/>
          <w:sz w:val="20"/>
        </w:rPr>
        <w:t xml:space="preserve">como </w:t>
      </w:r>
      <w:r w:rsidR="00D72B78">
        <w:rPr>
          <w:rFonts w:ascii="Verdana" w:hAnsi="Verdana"/>
          <w:sz w:val="20"/>
        </w:rPr>
        <w:t>a las</w:t>
      </w:r>
      <w:r w:rsidRPr="009D5EA7">
        <w:rPr>
          <w:rFonts w:ascii="Verdana" w:hAnsi="Verdana"/>
          <w:sz w:val="20"/>
        </w:rPr>
        <w:t xml:space="preserve"> </w:t>
      </w:r>
      <w:r w:rsidR="00CD2372" w:rsidRPr="009D5EA7">
        <w:rPr>
          <w:rFonts w:ascii="Verdana" w:hAnsi="Verdana"/>
          <w:sz w:val="20"/>
        </w:rPr>
        <w:t>representantes de las presuntas víctimas</w:t>
      </w:r>
      <w:r w:rsidR="00CD2372" w:rsidRPr="009D5EA7">
        <w:rPr>
          <w:rStyle w:val="Refdenotaalpie"/>
        </w:rPr>
        <w:footnoteReference w:id="3"/>
      </w:r>
      <w:r w:rsidRPr="009D5EA7">
        <w:rPr>
          <w:rFonts w:ascii="Verdana" w:hAnsi="Verdana"/>
          <w:sz w:val="20"/>
        </w:rPr>
        <w:t>.</w:t>
      </w:r>
    </w:p>
    <w:p w14:paraId="54BFA308" w14:textId="77777777" w:rsidR="008A43F3" w:rsidRPr="009D5EA7" w:rsidRDefault="008A43F3" w:rsidP="008A43F3">
      <w:pPr>
        <w:pStyle w:val="Prrafodelista"/>
        <w:ind w:left="0"/>
        <w:jc w:val="both"/>
        <w:rPr>
          <w:rFonts w:ascii="Verdana" w:hAnsi="Verdana"/>
          <w:sz w:val="20"/>
        </w:rPr>
      </w:pPr>
    </w:p>
    <w:p w14:paraId="56DE4A43" w14:textId="125717E0" w:rsidR="008A43F3" w:rsidRPr="009D5EA7" w:rsidRDefault="008A43F3" w:rsidP="00667F79">
      <w:pPr>
        <w:pStyle w:val="Prrafodelista"/>
        <w:numPr>
          <w:ilvl w:val="0"/>
          <w:numId w:val="5"/>
        </w:numPr>
        <w:ind w:left="0" w:firstLine="0"/>
        <w:jc w:val="both"/>
        <w:rPr>
          <w:rFonts w:ascii="Verdana" w:hAnsi="Verdana"/>
          <w:sz w:val="20"/>
        </w:rPr>
      </w:pPr>
      <w:r w:rsidRPr="009D5EA7">
        <w:rPr>
          <w:rFonts w:ascii="Verdana" w:hAnsi="Verdana"/>
          <w:i/>
          <w:sz w:val="20"/>
        </w:rPr>
        <w:t>Escrito de solicitudes, argumentos y pruebas.-</w:t>
      </w:r>
      <w:r w:rsidRPr="009D5EA7">
        <w:rPr>
          <w:rFonts w:ascii="Verdana" w:hAnsi="Verdana"/>
          <w:sz w:val="20"/>
        </w:rPr>
        <w:t xml:space="preserve"> El 7 de diciembre de 2015 l</w:t>
      </w:r>
      <w:r w:rsidR="00534592" w:rsidRPr="009D5EA7">
        <w:rPr>
          <w:rFonts w:ascii="Verdana" w:hAnsi="Verdana"/>
          <w:sz w:val="20"/>
        </w:rPr>
        <w:t>a</w:t>
      </w:r>
      <w:r w:rsidRPr="009D5EA7">
        <w:rPr>
          <w:rFonts w:ascii="Verdana" w:hAnsi="Verdana"/>
          <w:sz w:val="20"/>
        </w:rPr>
        <w:t xml:space="preserve">s </w:t>
      </w:r>
      <w:r w:rsidR="00434A21" w:rsidRPr="009D5EA7">
        <w:rPr>
          <w:rFonts w:ascii="Verdana" w:hAnsi="Verdana"/>
          <w:sz w:val="20"/>
        </w:rPr>
        <w:t>representantes</w:t>
      </w:r>
      <w:r w:rsidRPr="009D5EA7">
        <w:rPr>
          <w:rFonts w:ascii="Verdana" w:hAnsi="Verdana"/>
          <w:sz w:val="20"/>
        </w:rPr>
        <w:t xml:space="preserve"> presentaron su escrito de solicitudes, argumentos y pruebas (en adelante “escrito de solicitudes y argumentos”)</w:t>
      </w:r>
      <w:r w:rsidR="00434A21" w:rsidRPr="009D5EA7">
        <w:rPr>
          <w:rFonts w:ascii="Verdana" w:hAnsi="Verdana"/>
          <w:sz w:val="20"/>
        </w:rPr>
        <w:t>,</w:t>
      </w:r>
      <w:r w:rsidRPr="009D5EA7">
        <w:rPr>
          <w:rFonts w:ascii="Verdana" w:hAnsi="Verdana"/>
          <w:sz w:val="20"/>
        </w:rPr>
        <w:t xml:space="preserve"> en los términos de los artículos 25 y 40 del Reglamento. L</w:t>
      </w:r>
      <w:r w:rsidR="00534592" w:rsidRPr="009D5EA7">
        <w:rPr>
          <w:rFonts w:ascii="Verdana" w:hAnsi="Verdana"/>
          <w:sz w:val="20"/>
        </w:rPr>
        <w:t>a</w:t>
      </w:r>
      <w:r w:rsidRPr="009D5EA7">
        <w:rPr>
          <w:rFonts w:ascii="Verdana" w:hAnsi="Verdana"/>
          <w:sz w:val="20"/>
        </w:rPr>
        <w:t xml:space="preserve">s </w:t>
      </w:r>
      <w:r w:rsidR="00434A21" w:rsidRPr="009D5EA7">
        <w:rPr>
          <w:rFonts w:ascii="Verdana" w:hAnsi="Verdana"/>
          <w:sz w:val="20"/>
        </w:rPr>
        <w:t xml:space="preserve">representantes </w:t>
      </w:r>
      <w:r w:rsidRPr="009D5EA7">
        <w:rPr>
          <w:rFonts w:ascii="Verdana" w:hAnsi="Verdana"/>
          <w:sz w:val="20"/>
        </w:rPr>
        <w:t>coincidieron sustancialmente con los argumentos y conclusiones de la Comisión</w:t>
      </w:r>
      <w:r w:rsidR="00434A21" w:rsidRPr="009D5EA7">
        <w:rPr>
          <w:rFonts w:ascii="Verdana" w:hAnsi="Verdana"/>
          <w:sz w:val="20"/>
        </w:rPr>
        <w:t xml:space="preserve"> y</w:t>
      </w:r>
      <w:r w:rsidRPr="009D5EA7">
        <w:rPr>
          <w:rFonts w:ascii="Verdana" w:hAnsi="Verdana"/>
          <w:sz w:val="20"/>
        </w:rPr>
        <w:t>,</w:t>
      </w:r>
      <w:r w:rsidR="00434A21" w:rsidRPr="009D5EA7">
        <w:rPr>
          <w:rFonts w:ascii="Verdana" w:hAnsi="Verdana"/>
          <w:sz w:val="20"/>
        </w:rPr>
        <w:t xml:space="preserve"> </w:t>
      </w:r>
      <w:r w:rsidR="00763DCA" w:rsidRPr="009D5EA7">
        <w:rPr>
          <w:rFonts w:ascii="Verdana" w:hAnsi="Verdana"/>
          <w:sz w:val="20"/>
        </w:rPr>
        <w:t>adicionalmente</w:t>
      </w:r>
      <w:r w:rsidR="00434A21" w:rsidRPr="009D5EA7">
        <w:rPr>
          <w:rFonts w:ascii="Verdana" w:hAnsi="Verdana"/>
          <w:sz w:val="20"/>
        </w:rPr>
        <w:t>,</w:t>
      </w:r>
      <w:r w:rsidRPr="009D5EA7">
        <w:rPr>
          <w:rFonts w:ascii="Verdana" w:hAnsi="Verdana"/>
          <w:sz w:val="20"/>
        </w:rPr>
        <w:t xml:space="preserve"> </w:t>
      </w:r>
      <w:r w:rsidR="00434A21" w:rsidRPr="009D5EA7">
        <w:rPr>
          <w:rFonts w:ascii="Verdana" w:hAnsi="Verdana"/>
          <w:sz w:val="20"/>
        </w:rPr>
        <w:t xml:space="preserve">alegaron violaciones de los </w:t>
      </w:r>
      <w:r w:rsidRPr="009D5EA7">
        <w:rPr>
          <w:rFonts w:ascii="Verdana" w:hAnsi="Verdana"/>
          <w:sz w:val="20"/>
        </w:rPr>
        <w:t>derechos a</w:t>
      </w:r>
      <w:r w:rsidR="00CC4A8F" w:rsidRPr="009D5EA7">
        <w:rPr>
          <w:rFonts w:ascii="Verdana" w:hAnsi="Verdana"/>
          <w:sz w:val="20"/>
        </w:rPr>
        <w:t xml:space="preserve"> ser juzgado por jueces independientes e imparciales y a la</w:t>
      </w:r>
      <w:r w:rsidRPr="009D5EA7">
        <w:rPr>
          <w:rFonts w:ascii="Verdana" w:hAnsi="Verdana"/>
          <w:sz w:val="20"/>
        </w:rPr>
        <w:t xml:space="preserve"> honra y reputación, </w:t>
      </w:r>
      <w:r w:rsidR="00434A21" w:rsidRPr="009D5EA7">
        <w:rPr>
          <w:rFonts w:ascii="Verdana" w:hAnsi="Verdana"/>
          <w:sz w:val="20"/>
        </w:rPr>
        <w:t xml:space="preserve">reconocidos </w:t>
      </w:r>
      <w:r w:rsidRPr="009D5EA7">
        <w:rPr>
          <w:rFonts w:ascii="Verdana" w:hAnsi="Verdana"/>
          <w:sz w:val="20"/>
        </w:rPr>
        <w:t xml:space="preserve">en los artículos </w:t>
      </w:r>
      <w:r w:rsidR="00CC4A8F" w:rsidRPr="009D5EA7">
        <w:rPr>
          <w:rFonts w:ascii="Verdana" w:hAnsi="Verdana"/>
          <w:sz w:val="20"/>
        </w:rPr>
        <w:t>8.1</w:t>
      </w:r>
      <w:r w:rsidRPr="009D5EA7">
        <w:rPr>
          <w:rFonts w:ascii="Verdana" w:hAnsi="Verdana"/>
          <w:sz w:val="20"/>
        </w:rPr>
        <w:t xml:space="preserve"> y 11 de la Convención, como también </w:t>
      </w:r>
      <w:r w:rsidR="00434A21" w:rsidRPr="009D5EA7">
        <w:rPr>
          <w:rFonts w:ascii="Verdana" w:hAnsi="Verdana"/>
          <w:sz w:val="20"/>
        </w:rPr>
        <w:t xml:space="preserve">lo </w:t>
      </w:r>
      <w:r w:rsidRPr="009D5EA7">
        <w:rPr>
          <w:rFonts w:ascii="Verdana" w:hAnsi="Verdana"/>
          <w:sz w:val="20"/>
        </w:rPr>
        <w:t>que denominaron “derecho a defender derechos</w:t>
      </w:r>
      <w:r w:rsidR="00434A21" w:rsidRPr="009D5EA7">
        <w:rPr>
          <w:rFonts w:ascii="Verdana" w:hAnsi="Verdana"/>
          <w:sz w:val="20"/>
        </w:rPr>
        <w:t xml:space="preserve"> humanos</w:t>
      </w:r>
      <w:r w:rsidRPr="009D5EA7">
        <w:rPr>
          <w:rFonts w:ascii="Verdana" w:hAnsi="Verdana"/>
          <w:sz w:val="20"/>
        </w:rPr>
        <w:t xml:space="preserve">”, en </w:t>
      </w:r>
      <w:r w:rsidR="00434A21" w:rsidRPr="009D5EA7">
        <w:rPr>
          <w:rFonts w:ascii="Verdana" w:hAnsi="Verdana"/>
          <w:sz w:val="20"/>
        </w:rPr>
        <w:t xml:space="preserve">términos de </w:t>
      </w:r>
      <w:r w:rsidRPr="009D5EA7">
        <w:rPr>
          <w:rFonts w:ascii="Verdana" w:hAnsi="Verdana"/>
          <w:sz w:val="20"/>
        </w:rPr>
        <w:t xml:space="preserve">los artículos 13, 15, 16, 23 y 25 de la misma. </w:t>
      </w:r>
      <w:r w:rsidR="001A29CD" w:rsidRPr="009D5EA7">
        <w:rPr>
          <w:rFonts w:ascii="Verdana" w:hAnsi="Verdana"/>
          <w:sz w:val="20"/>
        </w:rPr>
        <w:t>Asimismo, las presuntas víctimas solicitaron, a través de sus representantes, acogerse al Fondo de Asistencia Legal de Víctimas de la Corte (en adelante el “Fondo</w:t>
      </w:r>
      <w:r w:rsidR="00D72B78">
        <w:rPr>
          <w:rFonts w:ascii="Verdana" w:hAnsi="Verdana"/>
          <w:sz w:val="20"/>
        </w:rPr>
        <w:t xml:space="preserve"> de Asistencia de la Corte”</w:t>
      </w:r>
      <w:r w:rsidR="001A29CD" w:rsidRPr="009D5EA7">
        <w:rPr>
          <w:rFonts w:ascii="Verdana" w:hAnsi="Verdana"/>
          <w:sz w:val="20"/>
        </w:rPr>
        <w:t>). Finalmente, solicitaron a la Corte que ordenara al Estado la adopción de diversas medidas de reparación y el reintegro de costas y gastos.</w:t>
      </w:r>
    </w:p>
    <w:p w14:paraId="28D3DCCF" w14:textId="77777777" w:rsidR="008A43F3" w:rsidRPr="009D5EA7" w:rsidRDefault="008A43F3" w:rsidP="008A43F3">
      <w:pPr>
        <w:spacing w:after="0" w:line="240" w:lineRule="auto"/>
        <w:jc w:val="both"/>
        <w:rPr>
          <w:rFonts w:ascii="Verdana" w:hAnsi="Verdana" w:cs="Times New Roman"/>
          <w:sz w:val="20"/>
          <w:szCs w:val="20"/>
          <w:lang w:val="es-ES_tradnl"/>
        </w:rPr>
      </w:pPr>
    </w:p>
    <w:p w14:paraId="3B8ED91F" w14:textId="24DE0FC2" w:rsidR="00D72B78" w:rsidRPr="00D72B78" w:rsidRDefault="008A43F3" w:rsidP="00D72B78">
      <w:pPr>
        <w:pStyle w:val="Prrafodelista"/>
        <w:numPr>
          <w:ilvl w:val="0"/>
          <w:numId w:val="5"/>
        </w:numPr>
        <w:ind w:left="0" w:firstLine="0"/>
        <w:jc w:val="both"/>
        <w:rPr>
          <w:rFonts w:ascii="Verdana" w:hAnsi="Verdana"/>
          <w:sz w:val="20"/>
          <w:lang w:val="es-CR"/>
        </w:rPr>
      </w:pPr>
      <w:r w:rsidRPr="00D72B78">
        <w:rPr>
          <w:rFonts w:ascii="Verdana" w:hAnsi="Verdana"/>
          <w:i/>
          <w:sz w:val="20"/>
        </w:rPr>
        <w:t xml:space="preserve">Escrito de </w:t>
      </w:r>
      <w:r w:rsidR="00D72B78" w:rsidRPr="00D72B78">
        <w:rPr>
          <w:rFonts w:ascii="Verdana" w:hAnsi="Verdana"/>
          <w:i/>
          <w:sz w:val="20"/>
        </w:rPr>
        <w:t xml:space="preserve">excepciones preliminares y </w:t>
      </w:r>
      <w:r w:rsidRPr="00D72B78">
        <w:rPr>
          <w:rFonts w:ascii="Verdana" w:hAnsi="Verdana"/>
          <w:i/>
          <w:sz w:val="20"/>
        </w:rPr>
        <w:t>contestación</w:t>
      </w:r>
      <w:r w:rsidRPr="00D72B78">
        <w:rPr>
          <w:rFonts w:ascii="Verdana" w:hAnsi="Verdana"/>
          <w:sz w:val="20"/>
        </w:rPr>
        <w:t xml:space="preserve">.- El 18 de marzo de 2016 el Estado presentó su escrito de </w:t>
      </w:r>
      <w:r w:rsidR="00434A21" w:rsidRPr="00D72B78">
        <w:rPr>
          <w:rFonts w:ascii="Verdana" w:hAnsi="Verdana"/>
          <w:sz w:val="20"/>
        </w:rPr>
        <w:t xml:space="preserve">interposición de excepciones preliminares y </w:t>
      </w:r>
      <w:r w:rsidRPr="00D72B78">
        <w:rPr>
          <w:rFonts w:ascii="Verdana" w:hAnsi="Verdana"/>
          <w:sz w:val="20"/>
        </w:rPr>
        <w:t>contestación al sometimiento del caso</w:t>
      </w:r>
      <w:r w:rsidR="00434A21" w:rsidRPr="00D72B78">
        <w:rPr>
          <w:rFonts w:ascii="Verdana" w:hAnsi="Verdana"/>
          <w:sz w:val="20"/>
        </w:rPr>
        <w:t xml:space="preserve"> y al escrito de solicitudes y argumentos</w:t>
      </w:r>
      <w:r w:rsidRPr="00D72B78">
        <w:rPr>
          <w:rFonts w:ascii="Verdana" w:hAnsi="Verdana"/>
          <w:sz w:val="20"/>
        </w:rPr>
        <w:t xml:space="preserve"> (en adelante “escrito de contestación”), en los términos del artículo 41 del Reglamento</w:t>
      </w:r>
      <w:r w:rsidRPr="009D5EA7">
        <w:rPr>
          <w:rStyle w:val="Refdenotaalpie"/>
          <w:rFonts w:ascii="Verdana" w:hAnsi="Verdana"/>
          <w:sz w:val="20"/>
        </w:rPr>
        <w:footnoteReference w:id="4"/>
      </w:r>
      <w:r w:rsidRPr="00D72B78">
        <w:rPr>
          <w:rFonts w:ascii="Verdana" w:hAnsi="Verdana"/>
          <w:sz w:val="20"/>
        </w:rPr>
        <w:t xml:space="preserve">. </w:t>
      </w:r>
      <w:r w:rsidR="00D72B78" w:rsidRPr="00D72B78">
        <w:rPr>
          <w:rFonts w:ascii="Verdana" w:hAnsi="Verdana"/>
          <w:sz w:val="20"/>
          <w:lang w:val="es-CR"/>
        </w:rPr>
        <w:t xml:space="preserve">Entre otros, el Estado solicitó a la Corte que declare que procedió conforme a los estándares </w:t>
      </w:r>
      <w:r w:rsidR="00D72B78">
        <w:rPr>
          <w:rFonts w:ascii="Verdana" w:hAnsi="Verdana"/>
          <w:sz w:val="20"/>
          <w:lang w:val="es-CR"/>
        </w:rPr>
        <w:t>internacionales; q</w:t>
      </w:r>
      <w:r w:rsidR="00D72B78" w:rsidRPr="00791751">
        <w:rPr>
          <w:rFonts w:ascii="Verdana" w:hAnsi="Verdana"/>
          <w:sz w:val="20"/>
          <w:lang w:val="es-CR"/>
        </w:rPr>
        <w:t xml:space="preserve">ue no existe fundamento </w:t>
      </w:r>
      <w:r w:rsidR="00D72B78">
        <w:rPr>
          <w:rFonts w:ascii="Verdana" w:hAnsi="Verdana"/>
          <w:sz w:val="20"/>
          <w:lang w:val="es-CR"/>
        </w:rPr>
        <w:t xml:space="preserve">para </w:t>
      </w:r>
      <w:r w:rsidR="00D72B78" w:rsidRPr="00791751">
        <w:rPr>
          <w:rFonts w:ascii="Verdana" w:hAnsi="Verdana"/>
          <w:sz w:val="20"/>
          <w:lang w:val="es-CR"/>
        </w:rPr>
        <w:t xml:space="preserve">concluir que el Estado violentó los derechos de </w:t>
      </w:r>
      <w:r w:rsidR="00D72B78">
        <w:rPr>
          <w:rFonts w:ascii="Verdana" w:hAnsi="Verdana"/>
          <w:sz w:val="20"/>
          <w:lang w:val="es-CR"/>
        </w:rPr>
        <w:t>las presuntas víctimas y q</w:t>
      </w:r>
      <w:r w:rsidR="00D72B78" w:rsidRPr="00D72B78">
        <w:rPr>
          <w:rFonts w:ascii="Verdana" w:hAnsi="Verdana"/>
          <w:sz w:val="20"/>
          <w:lang w:val="es-CR"/>
        </w:rPr>
        <w:t xml:space="preserve">ue no se acepten las peticiones de la Comisión </w:t>
      </w:r>
      <w:r w:rsidR="00D72B78">
        <w:rPr>
          <w:rFonts w:ascii="Verdana" w:hAnsi="Verdana"/>
          <w:sz w:val="20"/>
          <w:lang w:val="es-CR"/>
        </w:rPr>
        <w:t xml:space="preserve">y </w:t>
      </w:r>
      <w:r w:rsidR="00D72B78" w:rsidRPr="00D72B78">
        <w:rPr>
          <w:rFonts w:ascii="Verdana" w:hAnsi="Verdana"/>
          <w:sz w:val="20"/>
          <w:lang w:val="es-CR"/>
        </w:rPr>
        <w:t>l</w:t>
      </w:r>
      <w:r w:rsidR="00D72B78">
        <w:rPr>
          <w:rFonts w:ascii="Verdana" w:hAnsi="Verdana"/>
          <w:sz w:val="20"/>
          <w:lang w:val="es-CR"/>
        </w:rPr>
        <w:t>a</w:t>
      </w:r>
      <w:r w:rsidR="00D72B78" w:rsidRPr="00D72B78">
        <w:rPr>
          <w:rFonts w:ascii="Verdana" w:hAnsi="Verdana"/>
          <w:sz w:val="20"/>
          <w:lang w:val="es-CR"/>
        </w:rPr>
        <w:t>s representantes.</w:t>
      </w:r>
    </w:p>
    <w:p w14:paraId="3472EB86" w14:textId="77777777" w:rsidR="00D72B78" w:rsidRPr="009D5EA7" w:rsidRDefault="00D72B78" w:rsidP="008A43F3">
      <w:pPr>
        <w:spacing w:after="0" w:line="240" w:lineRule="auto"/>
        <w:jc w:val="both"/>
        <w:rPr>
          <w:rFonts w:ascii="Verdana" w:hAnsi="Verdana" w:cs="Times New Roman"/>
          <w:sz w:val="20"/>
          <w:szCs w:val="20"/>
          <w:lang w:val="es-ES_tradnl"/>
        </w:rPr>
      </w:pPr>
    </w:p>
    <w:p w14:paraId="7914A7BB" w14:textId="3E767BFE" w:rsidR="008A43F3" w:rsidRPr="009D5EA7" w:rsidRDefault="008A43F3" w:rsidP="00667F79">
      <w:pPr>
        <w:pStyle w:val="Prrafodelista"/>
        <w:numPr>
          <w:ilvl w:val="0"/>
          <w:numId w:val="5"/>
        </w:numPr>
        <w:ind w:left="0" w:firstLine="0"/>
        <w:jc w:val="both"/>
        <w:rPr>
          <w:rFonts w:ascii="Verdana" w:hAnsi="Verdana"/>
          <w:sz w:val="20"/>
        </w:rPr>
      </w:pPr>
      <w:r w:rsidRPr="009D5EA7">
        <w:rPr>
          <w:rFonts w:ascii="Verdana" w:hAnsi="Verdana"/>
          <w:i/>
          <w:sz w:val="20"/>
        </w:rPr>
        <w:t xml:space="preserve">Observaciones a las excepciones preliminares. </w:t>
      </w:r>
      <w:r w:rsidR="00E03F6B" w:rsidRPr="009D5EA7">
        <w:rPr>
          <w:rFonts w:ascii="Verdana" w:hAnsi="Verdana"/>
          <w:i/>
          <w:sz w:val="20"/>
        </w:rPr>
        <w:t>–</w:t>
      </w:r>
      <w:r w:rsidRPr="009D5EA7">
        <w:rPr>
          <w:rFonts w:ascii="Verdana" w:hAnsi="Verdana"/>
          <w:i/>
          <w:sz w:val="20"/>
        </w:rPr>
        <w:t xml:space="preserve"> </w:t>
      </w:r>
      <w:r w:rsidR="00E03F6B" w:rsidRPr="009D5EA7">
        <w:rPr>
          <w:rFonts w:ascii="Verdana" w:hAnsi="Verdana"/>
          <w:sz w:val="20"/>
        </w:rPr>
        <w:t>En los términos del artículo</w:t>
      </w:r>
      <w:r w:rsidRPr="009D5EA7">
        <w:rPr>
          <w:rFonts w:ascii="Verdana" w:hAnsi="Verdana"/>
          <w:sz w:val="20"/>
        </w:rPr>
        <w:t xml:space="preserve"> 42.4 de</w:t>
      </w:r>
      <w:r w:rsidR="00E03F6B" w:rsidRPr="009D5EA7">
        <w:rPr>
          <w:rFonts w:ascii="Verdana" w:hAnsi="Verdana"/>
          <w:sz w:val="20"/>
        </w:rPr>
        <w:t>l Reglamento</w:t>
      </w:r>
      <w:r w:rsidR="00D72B78">
        <w:rPr>
          <w:rFonts w:ascii="Verdana" w:hAnsi="Verdana"/>
          <w:sz w:val="20"/>
        </w:rPr>
        <w:t xml:space="preserve"> y dentro del plazo otorgado al efecto</w:t>
      </w:r>
      <w:r w:rsidR="00E03F6B" w:rsidRPr="009D5EA7">
        <w:rPr>
          <w:rFonts w:ascii="Verdana" w:hAnsi="Verdana"/>
          <w:sz w:val="20"/>
        </w:rPr>
        <w:t>, e</w:t>
      </w:r>
      <w:r w:rsidRPr="009D5EA7">
        <w:rPr>
          <w:rFonts w:ascii="Verdana" w:hAnsi="Verdana"/>
          <w:sz w:val="20"/>
        </w:rPr>
        <w:t xml:space="preserve">l </w:t>
      </w:r>
      <w:r w:rsidR="00534592" w:rsidRPr="009D5EA7">
        <w:rPr>
          <w:rFonts w:ascii="Verdana" w:hAnsi="Verdana"/>
          <w:sz w:val="20"/>
        </w:rPr>
        <w:t xml:space="preserve">9 y </w:t>
      </w:r>
      <w:r w:rsidRPr="009D5EA7">
        <w:rPr>
          <w:rFonts w:ascii="Verdana" w:hAnsi="Verdana"/>
          <w:sz w:val="20"/>
        </w:rPr>
        <w:t>23 de mayo de 2016</w:t>
      </w:r>
      <w:r w:rsidR="00534592" w:rsidRPr="009D5EA7">
        <w:rPr>
          <w:rFonts w:ascii="Verdana" w:hAnsi="Verdana"/>
          <w:sz w:val="20"/>
        </w:rPr>
        <w:t xml:space="preserve"> la Comisión y las representante</w:t>
      </w:r>
      <w:r w:rsidR="00E03F6B" w:rsidRPr="009D5EA7">
        <w:rPr>
          <w:rFonts w:ascii="Verdana" w:hAnsi="Verdana"/>
          <w:sz w:val="20"/>
        </w:rPr>
        <w:t>s</w:t>
      </w:r>
      <w:r w:rsidR="00534592" w:rsidRPr="009D5EA7">
        <w:rPr>
          <w:rFonts w:ascii="Verdana" w:hAnsi="Verdana"/>
          <w:sz w:val="20"/>
        </w:rPr>
        <w:t xml:space="preserve"> presentaron, respectivamente, sus observaciones a las excepciones preliminares opuestas por el Estado</w:t>
      </w:r>
      <w:r w:rsidRPr="009D5EA7">
        <w:rPr>
          <w:rFonts w:ascii="Verdana" w:hAnsi="Verdana"/>
          <w:sz w:val="20"/>
        </w:rPr>
        <w:t xml:space="preserve">. </w:t>
      </w:r>
    </w:p>
    <w:p w14:paraId="3A9F1DFE" w14:textId="77777777" w:rsidR="00534592" w:rsidRPr="009D5EA7" w:rsidRDefault="00534592" w:rsidP="00534592">
      <w:pPr>
        <w:pStyle w:val="Prrafodelista"/>
        <w:rPr>
          <w:rFonts w:ascii="Verdana" w:hAnsi="Verdana"/>
          <w:sz w:val="20"/>
        </w:rPr>
      </w:pPr>
    </w:p>
    <w:p w14:paraId="775CB52B" w14:textId="3B102253" w:rsidR="00534592" w:rsidRPr="009D5EA7" w:rsidRDefault="00534592" w:rsidP="00667F79">
      <w:pPr>
        <w:pStyle w:val="Prrafodelista"/>
        <w:numPr>
          <w:ilvl w:val="0"/>
          <w:numId w:val="5"/>
        </w:numPr>
        <w:ind w:left="0" w:firstLine="0"/>
        <w:jc w:val="both"/>
        <w:rPr>
          <w:rFonts w:ascii="Verdana" w:hAnsi="Verdana"/>
          <w:sz w:val="20"/>
        </w:rPr>
      </w:pPr>
      <w:r w:rsidRPr="009D5EA7">
        <w:rPr>
          <w:rFonts w:ascii="Verdana" w:hAnsi="Verdana"/>
          <w:i/>
          <w:sz w:val="20"/>
        </w:rPr>
        <w:t>Fondo de Asistencia Legal de Víctimas</w:t>
      </w:r>
      <w:r w:rsidRPr="009D5EA7">
        <w:rPr>
          <w:rFonts w:ascii="Verdana" w:hAnsi="Verdana"/>
          <w:sz w:val="20"/>
        </w:rPr>
        <w:t>.- Mediante Resolución del Presidente de la Corte de 16 de junio de 2016, se declaró procedente la solicitud interpuesta por las presuntas víctimas, a través de sus representantes, para acogerse al Fondo de Asistencia de la Corte</w:t>
      </w:r>
      <w:r w:rsidRPr="009D5EA7">
        <w:rPr>
          <w:rStyle w:val="Refdenotaalpie"/>
          <w:rFonts w:cs="Verdana"/>
          <w:lang w:eastAsia="es-ES"/>
        </w:rPr>
        <w:footnoteReference w:id="5"/>
      </w:r>
      <w:r w:rsidRPr="009D5EA7">
        <w:rPr>
          <w:rFonts w:cs="Verdana"/>
          <w:sz w:val="20"/>
          <w:lang w:eastAsia="es-ES"/>
        </w:rPr>
        <w:t>.</w:t>
      </w:r>
    </w:p>
    <w:p w14:paraId="71C4F2BC" w14:textId="77777777" w:rsidR="00534592" w:rsidRPr="009D5EA7" w:rsidRDefault="00534592" w:rsidP="00534592">
      <w:pPr>
        <w:pStyle w:val="Prrafodelista"/>
        <w:ind w:left="0"/>
        <w:jc w:val="both"/>
        <w:rPr>
          <w:rFonts w:ascii="Verdana" w:hAnsi="Verdana"/>
          <w:sz w:val="20"/>
        </w:rPr>
      </w:pPr>
    </w:p>
    <w:p w14:paraId="78DB2368" w14:textId="4F35F42C" w:rsidR="008A43F3" w:rsidRPr="009D5EA7" w:rsidRDefault="008A43F3" w:rsidP="00667F79">
      <w:pPr>
        <w:pStyle w:val="Prrafodelista"/>
        <w:numPr>
          <w:ilvl w:val="0"/>
          <w:numId w:val="5"/>
        </w:numPr>
        <w:ind w:left="0" w:firstLine="0"/>
        <w:jc w:val="both"/>
        <w:rPr>
          <w:rFonts w:ascii="Verdana" w:hAnsi="Verdana"/>
          <w:sz w:val="20"/>
        </w:rPr>
      </w:pPr>
      <w:r w:rsidRPr="009D5EA7">
        <w:rPr>
          <w:rFonts w:ascii="Verdana" w:hAnsi="Verdana"/>
          <w:i/>
          <w:sz w:val="20"/>
        </w:rPr>
        <w:t>Audiencia pública y prueba pericial y testimonial</w:t>
      </w:r>
      <w:r w:rsidRPr="009D5EA7">
        <w:rPr>
          <w:rFonts w:ascii="Verdana" w:hAnsi="Verdana"/>
          <w:sz w:val="20"/>
        </w:rPr>
        <w:t>.- Mediante Resolución de 2 de septiembre de 2016</w:t>
      </w:r>
      <w:r w:rsidRPr="009D5EA7">
        <w:rPr>
          <w:vertAlign w:val="superscript"/>
        </w:rPr>
        <w:footnoteReference w:id="6"/>
      </w:r>
      <w:r w:rsidRPr="009D5EA7">
        <w:rPr>
          <w:rFonts w:ascii="Verdana" w:hAnsi="Verdana"/>
          <w:sz w:val="20"/>
        </w:rPr>
        <w:t xml:space="preserve">, el Presidente convocó a las partes y a la Comisión a una audiencia pública para recibir </w:t>
      </w:r>
      <w:r w:rsidR="00A709F9" w:rsidRPr="009D5EA7">
        <w:rPr>
          <w:rFonts w:ascii="Verdana" w:hAnsi="Verdana"/>
          <w:sz w:val="20"/>
        </w:rPr>
        <w:t>las declaraciones de</w:t>
      </w:r>
      <w:r w:rsidR="00A709F9" w:rsidRPr="009D5EA7">
        <w:rPr>
          <w:rFonts w:ascii="Helvetica" w:hAnsi="Helvetica"/>
          <w:sz w:val="15"/>
          <w:szCs w:val="15"/>
          <w:lang w:eastAsia="es-ES_tradnl"/>
        </w:rPr>
        <w:t xml:space="preserve"> </w:t>
      </w:r>
      <w:r w:rsidR="00A709F9" w:rsidRPr="009D5EA7">
        <w:rPr>
          <w:rFonts w:ascii="Verdana" w:hAnsi="Verdana"/>
          <w:sz w:val="20"/>
        </w:rPr>
        <w:t>una pr</w:t>
      </w:r>
      <w:r w:rsidR="00E03F6B" w:rsidRPr="009D5EA7">
        <w:rPr>
          <w:rFonts w:ascii="Verdana" w:hAnsi="Verdana"/>
          <w:sz w:val="20"/>
        </w:rPr>
        <w:t>esunta víctima, propuesta por la</w:t>
      </w:r>
      <w:r w:rsidR="00A709F9" w:rsidRPr="009D5EA7">
        <w:rPr>
          <w:rFonts w:ascii="Verdana" w:hAnsi="Verdana"/>
          <w:sz w:val="20"/>
        </w:rPr>
        <w:t xml:space="preserve">s representantes, y de </w:t>
      </w:r>
      <w:r w:rsidR="00A709F9" w:rsidRPr="009D5EA7">
        <w:rPr>
          <w:rFonts w:ascii="Verdana" w:hAnsi="Verdana"/>
          <w:sz w:val="20"/>
        </w:rPr>
        <w:lastRenderedPageBreak/>
        <w:t>dos peritos, propuestos</w:t>
      </w:r>
      <w:r w:rsidR="00E03F6B" w:rsidRPr="009D5EA7">
        <w:rPr>
          <w:rFonts w:ascii="Verdana" w:hAnsi="Verdana"/>
          <w:sz w:val="20"/>
        </w:rPr>
        <w:t xml:space="preserve"> por ésta</w:t>
      </w:r>
      <w:r w:rsidR="00A709F9" w:rsidRPr="009D5EA7">
        <w:rPr>
          <w:rFonts w:ascii="Verdana" w:hAnsi="Verdana"/>
          <w:sz w:val="20"/>
        </w:rPr>
        <w:t xml:space="preserve">s y por la Comisión, así como para recibir los </w:t>
      </w:r>
      <w:r w:rsidRPr="009D5EA7">
        <w:rPr>
          <w:rFonts w:ascii="Verdana" w:hAnsi="Verdana"/>
          <w:sz w:val="20"/>
        </w:rPr>
        <w:t xml:space="preserve">alegatos y observaciones finales orales </w:t>
      </w:r>
      <w:r w:rsidR="00A709F9" w:rsidRPr="009D5EA7">
        <w:rPr>
          <w:rFonts w:ascii="Verdana" w:hAnsi="Verdana"/>
          <w:sz w:val="20"/>
        </w:rPr>
        <w:t xml:space="preserve">de las partes y la Comisión </w:t>
      </w:r>
      <w:r w:rsidRPr="009D5EA7">
        <w:rPr>
          <w:rFonts w:ascii="Verdana" w:hAnsi="Verdana"/>
          <w:sz w:val="20"/>
        </w:rPr>
        <w:t xml:space="preserve">sobre las excepciones preliminares y eventuales fondo, reparaciones y costas. </w:t>
      </w:r>
      <w:r w:rsidR="00A709F9" w:rsidRPr="009D5EA7">
        <w:rPr>
          <w:rFonts w:ascii="Verdana" w:hAnsi="Verdana"/>
          <w:sz w:val="20"/>
        </w:rPr>
        <w:t>Además, el Presidente dispuso los rubros de gastos que serían cubiertos mediante asistencia económica en aplicación del Fondo de Asistencia</w:t>
      </w:r>
      <w:r w:rsidR="00D72B78">
        <w:rPr>
          <w:rFonts w:ascii="Verdana" w:hAnsi="Verdana"/>
          <w:sz w:val="20"/>
        </w:rPr>
        <w:t xml:space="preserve"> de la Corte</w:t>
      </w:r>
      <w:r w:rsidR="00A709F9" w:rsidRPr="009D5EA7">
        <w:rPr>
          <w:rFonts w:ascii="Verdana" w:hAnsi="Verdana"/>
          <w:sz w:val="20"/>
        </w:rPr>
        <w:t>.</w:t>
      </w:r>
      <w:r w:rsidRPr="009D5EA7">
        <w:rPr>
          <w:rFonts w:ascii="Verdana" w:hAnsi="Verdana"/>
          <w:sz w:val="20"/>
        </w:rPr>
        <w:t xml:space="preserve"> </w:t>
      </w:r>
      <w:r w:rsidR="002E6685" w:rsidRPr="009D5EA7">
        <w:rPr>
          <w:rFonts w:ascii="Verdana" w:hAnsi="Verdana"/>
          <w:sz w:val="20"/>
        </w:rPr>
        <w:t xml:space="preserve">Asimismo, se ordenó recibir las declaraciones por afidávit de dos presuntas víctimas, un testigo y una perita, propuestos por las representantes, y de una perita, propuesta por la Comisión. El </w:t>
      </w:r>
      <w:r w:rsidR="00123628" w:rsidRPr="009D5EA7">
        <w:rPr>
          <w:rFonts w:ascii="Verdana" w:hAnsi="Verdana"/>
          <w:sz w:val="20"/>
        </w:rPr>
        <w:t>26, 27</w:t>
      </w:r>
      <w:r w:rsidR="00D72B78">
        <w:rPr>
          <w:rFonts w:ascii="Verdana" w:hAnsi="Verdana"/>
          <w:sz w:val="20"/>
        </w:rPr>
        <w:t>,</w:t>
      </w:r>
      <w:r w:rsidR="00123628" w:rsidRPr="009D5EA7">
        <w:rPr>
          <w:rFonts w:ascii="Verdana" w:hAnsi="Verdana"/>
          <w:sz w:val="20"/>
        </w:rPr>
        <w:t xml:space="preserve"> 28 y 29 de septiembre</w:t>
      </w:r>
      <w:r w:rsidR="002E6685" w:rsidRPr="009D5EA7">
        <w:rPr>
          <w:rFonts w:ascii="Verdana" w:hAnsi="Verdana"/>
          <w:sz w:val="20"/>
        </w:rPr>
        <w:t xml:space="preserve"> de 2016 fue</w:t>
      </w:r>
      <w:r w:rsidR="00123628" w:rsidRPr="009D5EA7">
        <w:rPr>
          <w:rFonts w:ascii="Verdana" w:hAnsi="Verdana"/>
          <w:sz w:val="20"/>
        </w:rPr>
        <w:t>ron recibidas las declaraciones</w:t>
      </w:r>
      <w:r w:rsidR="002E6685" w:rsidRPr="009D5EA7">
        <w:rPr>
          <w:rFonts w:ascii="Verdana" w:hAnsi="Verdana"/>
          <w:sz w:val="20"/>
        </w:rPr>
        <w:t>, luego de haberse otorgado a las partes la posibilidad de formular preguntas a los declarantes</w:t>
      </w:r>
      <w:r w:rsidR="002E6685" w:rsidRPr="009D5EA7">
        <w:rPr>
          <w:rStyle w:val="Refdenotaalpie"/>
          <w:rFonts w:ascii="Verdana" w:hAnsi="Verdana"/>
          <w:sz w:val="20"/>
        </w:rPr>
        <w:footnoteReference w:id="7"/>
      </w:r>
      <w:r w:rsidR="002E6685" w:rsidRPr="009D5EA7">
        <w:rPr>
          <w:rFonts w:ascii="Verdana" w:hAnsi="Verdana"/>
          <w:sz w:val="20"/>
        </w:rPr>
        <w:t>.</w:t>
      </w:r>
      <w:r w:rsidR="00123628" w:rsidRPr="009D5EA7">
        <w:rPr>
          <w:rFonts w:ascii="Verdana" w:hAnsi="Verdana"/>
          <w:sz w:val="20"/>
        </w:rPr>
        <w:t xml:space="preserve"> </w:t>
      </w:r>
      <w:r w:rsidR="00E03F6B" w:rsidRPr="009D5EA7">
        <w:rPr>
          <w:rFonts w:ascii="Verdana" w:hAnsi="Verdana"/>
          <w:sz w:val="20"/>
        </w:rPr>
        <w:t>El 16</w:t>
      </w:r>
      <w:r w:rsidRPr="009D5EA7">
        <w:rPr>
          <w:rFonts w:ascii="Verdana" w:hAnsi="Verdana"/>
          <w:sz w:val="20"/>
        </w:rPr>
        <w:t xml:space="preserve"> de septiembre de 2016</w:t>
      </w:r>
      <w:r w:rsidR="00E03F6B" w:rsidRPr="009D5EA7">
        <w:rPr>
          <w:rFonts w:ascii="Verdana" w:hAnsi="Verdana"/>
          <w:sz w:val="20"/>
        </w:rPr>
        <w:t xml:space="preserve"> el Estado presentó una </w:t>
      </w:r>
      <w:r w:rsidR="00763DCA" w:rsidRPr="009D5EA7">
        <w:rPr>
          <w:rFonts w:ascii="Verdana" w:hAnsi="Verdana"/>
          <w:sz w:val="20"/>
        </w:rPr>
        <w:t>recusación</w:t>
      </w:r>
      <w:r w:rsidR="00E03F6B" w:rsidRPr="009D5EA7">
        <w:rPr>
          <w:rFonts w:ascii="Verdana" w:hAnsi="Verdana"/>
          <w:sz w:val="20"/>
        </w:rPr>
        <w:t xml:space="preserve"> contra una perita</w:t>
      </w:r>
      <w:r w:rsidR="00123628" w:rsidRPr="009D5EA7">
        <w:rPr>
          <w:rFonts w:ascii="Verdana" w:hAnsi="Verdana"/>
          <w:sz w:val="20"/>
        </w:rPr>
        <w:t>,</w:t>
      </w:r>
      <w:r w:rsidR="00E03F6B" w:rsidRPr="009D5EA7">
        <w:rPr>
          <w:rFonts w:ascii="Verdana" w:hAnsi="Verdana"/>
          <w:sz w:val="20"/>
        </w:rPr>
        <w:t xml:space="preserve"> la cual </w:t>
      </w:r>
      <w:r w:rsidR="00D72B78">
        <w:rPr>
          <w:rFonts w:ascii="Verdana" w:hAnsi="Verdana"/>
          <w:sz w:val="20"/>
        </w:rPr>
        <w:t xml:space="preserve">fue </w:t>
      </w:r>
      <w:r w:rsidRPr="009D5EA7">
        <w:rPr>
          <w:rFonts w:ascii="Verdana" w:hAnsi="Verdana"/>
          <w:sz w:val="20"/>
        </w:rPr>
        <w:t>declar</w:t>
      </w:r>
      <w:r w:rsidR="00E03F6B" w:rsidRPr="009D5EA7">
        <w:rPr>
          <w:rFonts w:ascii="Verdana" w:hAnsi="Verdana"/>
          <w:sz w:val="20"/>
        </w:rPr>
        <w:t xml:space="preserve">ada </w:t>
      </w:r>
      <w:r w:rsidRPr="009D5EA7">
        <w:rPr>
          <w:rFonts w:ascii="Verdana" w:hAnsi="Verdana"/>
          <w:sz w:val="20"/>
        </w:rPr>
        <w:t xml:space="preserve">improcedente </w:t>
      </w:r>
      <w:r w:rsidR="00E03F6B" w:rsidRPr="009D5EA7">
        <w:rPr>
          <w:rFonts w:ascii="Verdana" w:hAnsi="Verdana"/>
          <w:sz w:val="20"/>
        </w:rPr>
        <w:t>mediante Resolución del Presidente del día 28 siguiente</w:t>
      </w:r>
      <w:r w:rsidR="00123628" w:rsidRPr="009D5EA7">
        <w:rPr>
          <w:rStyle w:val="Refdenotaalpie"/>
          <w:rFonts w:ascii="Verdana" w:hAnsi="Verdana"/>
          <w:sz w:val="20"/>
        </w:rPr>
        <w:footnoteReference w:id="8"/>
      </w:r>
      <w:r w:rsidRPr="009D5EA7">
        <w:rPr>
          <w:rFonts w:ascii="Verdana" w:hAnsi="Verdana"/>
          <w:sz w:val="20"/>
        </w:rPr>
        <w:t xml:space="preserve">. </w:t>
      </w:r>
      <w:r w:rsidR="00E03F6B" w:rsidRPr="009D5EA7">
        <w:rPr>
          <w:rFonts w:ascii="Verdana" w:hAnsi="Verdana"/>
          <w:sz w:val="20"/>
        </w:rPr>
        <w:t>D</w:t>
      </w:r>
      <w:r w:rsidR="00F422B4" w:rsidRPr="009D5EA7">
        <w:rPr>
          <w:rFonts w:ascii="Verdana" w:hAnsi="Verdana"/>
          <w:sz w:val="20"/>
        </w:rPr>
        <w:t>urante</w:t>
      </w:r>
      <w:r w:rsidRPr="009D5EA7">
        <w:rPr>
          <w:rFonts w:ascii="Verdana" w:hAnsi="Verdana"/>
          <w:sz w:val="20"/>
        </w:rPr>
        <w:t xml:space="preserve"> </w:t>
      </w:r>
      <w:r w:rsidR="00210E27" w:rsidRPr="009D5EA7">
        <w:rPr>
          <w:rFonts w:ascii="Verdana" w:hAnsi="Verdana"/>
          <w:sz w:val="20"/>
        </w:rPr>
        <w:t>la reunión previa a la audi</w:t>
      </w:r>
      <w:r w:rsidRPr="009D5EA7">
        <w:rPr>
          <w:rFonts w:ascii="Verdana" w:hAnsi="Verdana"/>
          <w:sz w:val="20"/>
        </w:rPr>
        <w:t>encia</w:t>
      </w:r>
      <w:r w:rsidR="00F422B4" w:rsidRPr="009D5EA7">
        <w:rPr>
          <w:rFonts w:ascii="Verdana" w:hAnsi="Verdana"/>
          <w:sz w:val="20"/>
        </w:rPr>
        <w:t>,</w:t>
      </w:r>
      <w:r w:rsidRPr="009D5EA7">
        <w:rPr>
          <w:rFonts w:ascii="Verdana" w:hAnsi="Verdana"/>
          <w:sz w:val="20"/>
        </w:rPr>
        <w:t xml:space="preserve"> el Estado </w:t>
      </w:r>
      <w:r w:rsidR="00F422B4" w:rsidRPr="009D5EA7">
        <w:rPr>
          <w:rFonts w:ascii="Verdana" w:hAnsi="Verdana"/>
          <w:sz w:val="20"/>
        </w:rPr>
        <w:t>solici</w:t>
      </w:r>
      <w:r w:rsidR="009B4C6D" w:rsidRPr="009D5EA7">
        <w:rPr>
          <w:rFonts w:ascii="Verdana" w:hAnsi="Verdana"/>
          <w:sz w:val="20"/>
        </w:rPr>
        <w:t>t</w:t>
      </w:r>
      <w:r w:rsidR="00F422B4" w:rsidRPr="009D5EA7">
        <w:rPr>
          <w:rFonts w:ascii="Verdana" w:hAnsi="Verdana"/>
          <w:sz w:val="20"/>
        </w:rPr>
        <w:t xml:space="preserve">ó </w:t>
      </w:r>
      <w:r w:rsidRPr="009D5EA7">
        <w:rPr>
          <w:rFonts w:ascii="Verdana" w:hAnsi="Verdana"/>
          <w:sz w:val="20"/>
        </w:rPr>
        <w:t xml:space="preserve">reconsiderar </w:t>
      </w:r>
      <w:r w:rsidR="00E03F6B" w:rsidRPr="009D5EA7">
        <w:rPr>
          <w:rFonts w:ascii="Verdana" w:hAnsi="Verdana"/>
          <w:sz w:val="20"/>
        </w:rPr>
        <w:t xml:space="preserve">esta última </w:t>
      </w:r>
      <w:r w:rsidR="00B70068" w:rsidRPr="009D5EA7">
        <w:rPr>
          <w:rFonts w:ascii="Verdana" w:hAnsi="Verdana"/>
          <w:sz w:val="20"/>
        </w:rPr>
        <w:t>decisió</w:t>
      </w:r>
      <w:r w:rsidRPr="009D5EA7">
        <w:rPr>
          <w:rFonts w:ascii="Verdana" w:hAnsi="Verdana"/>
          <w:sz w:val="20"/>
        </w:rPr>
        <w:t xml:space="preserve">n del </w:t>
      </w:r>
      <w:r w:rsidR="00F422B4" w:rsidRPr="009D5EA7">
        <w:rPr>
          <w:rFonts w:ascii="Verdana" w:hAnsi="Verdana"/>
          <w:sz w:val="20"/>
        </w:rPr>
        <w:t>Presidente</w:t>
      </w:r>
      <w:r w:rsidRPr="009D5EA7">
        <w:rPr>
          <w:rFonts w:ascii="Verdana" w:hAnsi="Verdana"/>
          <w:sz w:val="20"/>
        </w:rPr>
        <w:t>. La audiencia pública fue celebrada los días 10 y 11 de octubre de 2016 durante el 56 Período Extraordinario de Sesiones</w:t>
      </w:r>
      <w:r w:rsidR="00343DE9" w:rsidRPr="009D5EA7">
        <w:rPr>
          <w:rFonts w:ascii="Verdana" w:hAnsi="Verdana"/>
          <w:sz w:val="20"/>
        </w:rPr>
        <w:t xml:space="preserve"> de la Corte</w:t>
      </w:r>
      <w:r w:rsidRPr="009D5EA7">
        <w:rPr>
          <w:rFonts w:ascii="Verdana" w:hAnsi="Verdana"/>
          <w:sz w:val="20"/>
        </w:rPr>
        <w:t xml:space="preserve">, que se llevó a cabo en </w:t>
      </w:r>
      <w:r w:rsidR="00123628" w:rsidRPr="009D5EA7">
        <w:rPr>
          <w:rFonts w:ascii="Verdana" w:hAnsi="Verdana"/>
          <w:sz w:val="20"/>
        </w:rPr>
        <w:t xml:space="preserve">la ciudad de Quito, </w:t>
      </w:r>
      <w:r w:rsidR="00B95728" w:rsidRPr="009D5EA7">
        <w:rPr>
          <w:rFonts w:ascii="Verdana" w:hAnsi="Verdana"/>
          <w:sz w:val="20"/>
        </w:rPr>
        <w:t>Ecuador</w:t>
      </w:r>
      <w:r w:rsidRPr="009D5EA7">
        <w:rPr>
          <w:rStyle w:val="Refdenotaalpie"/>
          <w:rFonts w:ascii="Verdana" w:hAnsi="Verdana"/>
          <w:sz w:val="20"/>
        </w:rPr>
        <w:footnoteReference w:id="9"/>
      </w:r>
      <w:r w:rsidRPr="009D5EA7">
        <w:rPr>
          <w:rFonts w:ascii="Verdana" w:hAnsi="Verdana"/>
          <w:sz w:val="20"/>
        </w:rPr>
        <w:t>. El 20 de octubre de 2016 la Corte</w:t>
      </w:r>
      <w:r w:rsidR="00123B37" w:rsidRPr="009D5EA7">
        <w:rPr>
          <w:rFonts w:ascii="Verdana" w:hAnsi="Verdana"/>
          <w:sz w:val="20"/>
        </w:rPr>
        <w:t xml:space="preserve"> resolvió dar trámite a la referida recusación planteada por el Estado;</w:t>
      </w:r>
      <w:r w:rsidRPr="009D5EA7">
        <w:rPr>
          <w:rFonts w:ascii="Verdana" w:hAnsi="Verdana"/>
          <w:sz w:val="20"/>
        </w:rPr>
        <w:t xml:space="preserve"> declar</w:t>
      </w:r>
      <w:r w:rsidR="00123B37" w:rsidRPr="009D5EA7">
        <w:rPr>
          <w:rFonts w:ascii="Verdana" w:hAnsi="Verdana"/>
          <w:sz w:val="20"/>
        </w:rPr>
        <w:t>arla</w:t>
      </w:r>
      <w:r w:rsidRPr="009D5EA7">
        <w:rPr>
          <w:rFonts w:ascii="Verdana" w:hAnsi="Verdana"/>
          <w:sz w:val="20"/>
        </w:rPr>
        <w:t xml:space="preserve"> improcedente y admiti</w:t>
      </w:r>
      <w:r w:rsidR="00123B37" w:rsidRPr="009D5EA7">
        <w:rPr>
          <w:rFonts w:ascii="Verdana" w:hAnsi="Verdana"/>
          <w:sz w:val="20"/>
        </w:rPr>
        <w:t>r</w:t>
      </w:r>
      <w:r w:rsidRPr="009D5EA7">
        <w:rPr>
          <w:rFonts w:ascii="Verdana" w:hAnsi="Verdana"/>
          <w:sz w:val="20"/>
        </w:rPr>
        <w:t xml:space="preserve"> el dictamen pericial</w:t>
      </w:r>
      <w:r w:rsidR="00123B37" w:rsidRPr="009D5EA7">
        <w:rPr>
          <w:rStyle w:val="Refdenotaalpie"/>
          <w:rFonts w:ascii="Verdana" w:hAnsi="Verdana"/>
          <w:sz w:val="20"/>
        </w:rPr>
        <w:footnoteReference w:id="10"/>
      </w:r>
      <w:r w:rsidRPr="009D5EA7">
        <w:rPr>
          <w:rFonts w:ascii="Verdana" w:hAnsi="Verdana"/>
          <w:sz w:val="20"/>
        </w:rPr>
        <w:t xml:space="preserve">. </w:t>
      </w:r>
    </w:p>
    <w:p w14:paraId="09EA5142" w14:textId="77777777" w:rsidR="008A43F3" w:rsidRPr="009D5EA7" w:rsidRDefault="008A43F3" w:rsidP="008A43F3">
      <w:pPr>
        <w:pStyle w:val="Prrafodelista"/>
        <w:ind w:left="0"/>
        <w:jc w:val="both"/>
        <w:rPr>
          <w:rFonts w:ascii="Verdana" w:hAnsi="Verdana"/>
          <w:sz w:val="20"/>
        </w:rPr>
      </w:pPr>
    </w:p>
    <w:p w14:paraId="7D3C09D8" w14:textId="2C8CDFB4" w:rsidR="008A43F3" w:rsidRPr="009D5EA7" w:rsidRDefault="008A43F3" w:rsidP="00667F79">
      <w:pPr>
        <w:pStyle w:val="Prrafodelista"/>
        <w:numPr>
          <w:ilvl w:val="0"/>
          <w:numId w:val="5"/>
        </w:numPr>
        <w:ind w:left="0" w:firstLine="0"/>
        <w:jc w:val="both"/>
        <w:rPr>
          <w:rFonts w:ascii="Verdana" w:hAnsi="Verdana"/>
          <w:sz w:val="20"/>
        </w:rPr>
      </w:pPr>
      <w:r w:rsidRPr="009D5EA7">
        <w:rPr>
          <w:rFonts w:ascii="Verdana" w:hAnsi="Verdana"/>
          <w:i/>
          <w:sz w:val="20"/>
        </w:rPr>
        <w:t xml:space="preserve">Amici curiae.- </w:t>
      </w:r>
      <w:r w:rsidRPr="009D5EA7">
        <w:rPr>
          <w:rFonts w:ascii="Verdana" w:hAnsi="Verdana"/>
          <w:sz w:val="20"/>
        </w:rPr>
        <w:t xml:space="preserve">El Tribunal recibió escritos de </w:t>
      </w:r>
      <w:r w:rsidRPr="009D5EA7">
        <w:rPr>
          <w:rFonts w:ascii="Verdana" w:hAnsi="Verdana"/>
          <w:i/>
          <w:sz w:val="20"/>
        </w:rPr>
        <w:t xml:space="preserve">amicus curiae </w:t>
      </w:r>
      <w:r w:rsidRPr="009D5EA7">
        <w:rPr>
          <w:rFonts w:ascii="Verdana" w:hAnsi="Verdana"/>
          <w:sz w:val="20"/>
        </w:rPr>
        <w:t xml:space="preserve">de </w:t>
      </w:r>
      <w:r w:rsidR="0070760A" w:rsidRPr="009D5EA7">
        <w:rPr>
          <w:rFonts w:ascii="Verdana" w:hAnsi="Verdana"/>
          <w:sz w:val="20"/>
        </w:rPr>
        <w:t>un grupo de</w:t>
      </w:r>
      <w:r w:rsidRPr="009D5EA7">
        <w:rPr>
          <w:rFonts w:ascii="Verdana" w:hAnsi="Verdana"/>
          <w:sz w:val="20"/>
        </w:rPr>
        <w:t xml:space="preserve"> personas y organizaciones</w:t>
      </w:r>
      <w:r w:rsidR="0070760A" w:rsidRPr="009D5EA7">
        <w:rPr>
          <w:rFonts w:ascii="Verdana" w:hAnsi="Verdana"/>
          <w:sz w:val="20"/>
        </w:rPr>
        <w:t xml:space="preserve"> autodenominados</w:t>
      </w:r>
      <w:r w:rsidRPr="009D5EA7">
        <w:rPr>
          <w:rFonts w:ascii="Verdana" w:hAnsi="Verdana"/>
          <w:sz w:val="20"/>
        </w:rPr>
        <w:t xml:space="preserve"> “</w:t>
      </w:r>
      <w:r w:rsidR="0070760A" w:rsidRPr="009D5EA7">
        <w:rPr>
          <w:rFonts w:ascii="Verdana" w:hAnsi="Verdana"/>
          <w:sz w:val="20"/>
        </w:rPr>
        <w:t>a</w:t>
      </w:r>
      <w:r w:rsidRPr="009D5EA7">
        <w:rPr>
          <w:rFonts w:ascii="Verdana" w:hAnsi="Verdana"/>
          <w:sz w:val="20"/>
        </w:rPr>
        <w:t xml:space="preserve">utoridades comunales y territoriales de los pueblos </w:t>
      </w:r>
      <w:r w:rsidR="00763DCA" w:rsidRPr="009D5EA7">
        <w:rPr>
          <w:rFonts w:ascii="Verdana" w:hAnsi="Verdana"/>
          <w:sz w:val="20"/>
        </w:rPr>
        <w:t>indígenas</w:t>
      </w:r>
      <w:r w:rsidRPr="009D5EA7">
        <w:rPr>
          <w:rFonts w:ascii="Verdana" w:hAnsi="Verdana"/>
          <w:sz w:val="20"/>
        </w:rPr>
        <w:t xml:space="preserve"> y afrodescendientes de las Regiones Autónomas </w:t>
      </w:r>
      <w:r w:rsidRPr="009D5EA7">
        <w:rPr>
          <w:rFonts w:ascii="Verdana" w:hAnsi="Verdana"/>
          <w:sz w:val="20"/>
          <w:szCs w:val="21"/>
          <w:lang w:eastAsia="es-ES_tradnl"/>
        </w:rPr>
        <w:t xml:space="preserve">Norte y Sur </w:t>
      </w:r>
      <w:r w:rsidRPr="009D5EA7">
        <w:rPr>
          <w:rFonts w:ascii="Verdana" w:hAnsi="Verdana"/>
          <w:sz w:val="20"/>
        </w:rPr>
        <w:t>de la Costa Caribe de Nicaragua”</w:t>
      </w:r>
      <w:r w:rsidR="0070760A" w:rsidRPr="009D5EA7">
        <w:rPr>
          <w:rFonts w:ascii="Verdana" w:hAnsi="Verdana"/>
          <w:sz w:val="20"/>
        </w:rPr>
        <w:t>, así como de</w:t>
      </w:r>
      <w:r w:rsidRPr="009D5EA7">
        <w:rPr>
          <w:rFonts w:ascii="Verdana" w:hAnsi="Verdana"/>
          <w:sz w:val="20"/>
        </w:rPr>
        <w:t xml:space="preserve"> la </w:t>
      </w:r>
      <w:r w:rsidRPr="009D5EA7">
        <w:rPr>
          <w:rFonts w:ascii="Verdana" w:hAnsi="Verdana"/>
          <w:sz w:val="20"/>
          <w:szCs w:val="21"/>
        </w:rPr>
        <w:t xml:space="preserve">Clínica de Derechos Humanos de la Facultad de Derecho de la Universidad </w:t>
      </w:r>
      <w:r w:rsidRPr="009D5EA7">
        <w:rPr>
          <w:rFonts w:ascii="Verdana" w:hAnsi="Verdana"/>
          <w:sz w:val="20"/>
          <w:szCs w:val="21"/>
          <w:lang w:eastAsia="es-ES_tradnl"/>
        </w:rPr>
        <w:t>de</w:t>
      </w:r>
      <w:r w:rsidRPr="009D5EA7">
        <w:rPr>
          <w:rFonts w:ascii="Verdana" w:hAnsi="Verdana"/>
          <w:sz w:val="20"/>
          <w:szCs w:val="21"/>
        </w:rPr>
        <w:t xml:space="preserve"> </w:t>
      </w:r>
      <w:r w:rsidRPr="009D5EA7">
        <w:rPr>
          <w:rFonts w:ascii="Verdana" w:eastAsiaTheme="minorHAnsi" w:hAnsi="Verdana"/>
          <w:sz w:val="20"/>
          <w:szCs w:val="21"/>
        </w:rPr>
        <w:t>Seattle</w:t>
      </w:r>
      <w:r w:rsidR="0070760A" w:rsidRPr="009D5EA7">
        <w:rPr>
          <w:rStyle w:val="Refdenotaalpie"/>
          <w:rFonts w:ascii="Verdana" w:eastAsiaTheme="minorHAnsi" w:hAnsi="Verdana"/>
          <w:sz w:val="20"/>
          <w:szCs w:val="21"/>
        </w:rPr>
        <w:footnoteReference w:id="11"/>
      </w:r>
      <w:r w:rsidRPr="009D5EA7">
        <w:rPr>
          <w:rFonts w:ascii="Verdana" w:eastAsiaTheme="minorHAnsi" w:hAnsi="Verdana"/>
          <w:sz w:val="20"/>
          <w:szCs w:val="21"/>
        </w:rPr>
        <w:t xml:space="preserve">. </w:t>
      </w:r>
    </w:p>
    <w:p w14:paraId="03529E81" w14:textId="77777777" w:rsidR="008A43F3" w:rsidRPr="009D5EA7" w:rsidRDefault="008A43F3" w:rsidP="008A43F3">
      <w:pPr>
        <w:pStyle w:val="Prrafodelista"/>
        <w:ind w:left="0"/>
        <w:jc w:val="both"/>
        <w:rPr>
          <w:rFonts w:ascii="Verdana" w:hAnsi="Verdana"/>
          <w:sz w:val="20"/>
        </w:rPr>
      </w:pPr>
    </w:p>
    <w:p w14:paraId="1397783C" w14:textId="3968AD49" w:rsidR="008A43F3" w:rsidRPr="009D5EA7" w:rsidRDefault="008A43F3" w:rsidP="00667F79">
      <w:pPr>
        <w:pStyle w:val="Prrafodelista"/>
        <w:numPr>
          <w:ilvl w:val="0"/>
          <w:numId w:val="5"/>
        </w:numPr>
        <w:ind w:left="0" w:firstLine="0"/>
        <w:jc w:val="both"/>
        <w:rPr>
          <w:rFonts w:ascii="Verdana" w:hAnsi="Verdana"/>
          <w:sz w:val="20"/>
        </w:rPr>
      </w:pPr>
      <w:r w:rsidRPr="009D5EA7">
        <w:rPr>
          <w:rFonts w:ascii="Verdana" w:hAnsi="Verdana"/>
          <w:i/>
          <w:sz w:val="20"/>
        </w:rPr>
        <w:t>Alegatos y observaciones finales escritos</w:t>
      </w:r>
      <w:r w:rsidRPr="009D5EA7">
        <w:rPr>
          <w:rFonts w:ascii="Verdana" w:hAnsi="Verdana"/>
          <w:sz w:val="20"/>
        </w:rPr>
        <w:t xml:space="preserve">.- El 9 </w:t>
      </w:r>
      <w:r w:rsidR="0070760A" w:rsidRPr="009D5EA7">
        <w:rPr>
          <w:rFonts w:ascii="Verdana" w:hAnsi="Verdana"/>
          <w:sz w:val="20"/>
        </w:rPr>
        <w:t xml:space="preserve">y 10 </w:t>
      </w:r>
      <w:r w:rsidRPr="009D5EA7">
        <w:rPr>
          <w:rFonts w:ascii="Verdana" w:hAnsi="Verdana"/>
          <w:sz w:val="20"/>
        </w:rPr>
        <w:t>de noviembre de 2016 l</w:t>
      </w:r>
      <w:r w:rsidR="0070760A" w:rsidRPr="009D5EA7">
        <w:rPr>
          <w:rFonts w:ascii="Verdana" w:hAnsi="Verdana"/>
          <w:sz w:val="20"/>
        </w:rPr>
        <w:t>a</w:t>
      </w:r>
      <w:r w:rsidRPr="009D5EA7">
        <w:rPr>
          <w:rFonts w:ascii="Verdana" w:hAnsi="Verdana"/>
          <w:sz w:val="20"/>
        </w:rPr>
        <w:t>s representantes</w:t>
      </w:r>
      <w:r w:rsidR="0070760A" w:rsidRPr="009D5EA7">
        <w:rPr>
          <w:rFonts w:ascii="Verdana" w:hAnsi="Verdana"/>
          <w:sz w:val="20"/>
        </w:rPr>
        <w:t xml:space="preserve">, </w:t>
      </w:r>
      <w:r w:rsidRPr="009D5EA7">
        <w:rPr>
          <w:rFonts w:ascii="Verdana" w:hAnsi="Verdana"/>
          <w:sz w:val="20"/>
        </w:rPr>
        <w:t>el Estado</w:t>
      </w:r>
      <w:r w:rsidR="0070760A" w:rsidRPr="009D5EA7">
        <w:rPr>
          <w:rFonts w:ascii="Verdana" w:hAnsi="Verdana"/>
          <w:sz w:val="20"/>
        </w:rPr>
        <w:t xml:space="preserve"> y la Comisión presentaron,</w:t>
      </w:r>
      <w:r w:rsidRPr="009D5EA7">
        <w:rPr>
          <w:rFonts w:ascii="Verdana" w:hAnsi="Verdana"/>
          <w:sz w:val="20"/>
        </w:rPr>
        <w:t xml:space="preserve"> respectivamente, sus alegatos y observaciones finales escritos. El 24 de noviembre </w:t>
      </w:r>
      <w:r w:rsidR="00EC5042" w:rsidRPr="009D5EA7">
        <w:rPr>
          <w:rFonts w:ascii="Verdana" w:hAnsi="Verdana"/>
          <w:sz w:val="20"/>
        </w:rPr>
        <w:t xml:space="preserve">siguiente, </w:t>
      </w:r>
      <w:r w:rsidR="008F3689">
        <w:rPr>
          <w:rFonts w:ascii="Verdana" w:hAnsi="Verdana"/>
          <w:sz w:val="20"/>
        </w:rPr>
        <w:t>dentro del plazo otorgado al efecto</w:t>
      </w:r>
      <w:r w:rsidR="00EC5042" w:rsidRPr="009D5EA7">
        <w:rPr>
          <w:rFonts w:ascii="Verdana" w:hAnsi="Verdana"/>
          <w:sz w:val="20"/>
        </w:rPr>
        <w:t>,</w:t>
      </w:r>
      <w:r w:rsidRPr="009D5EA7">
        <w:rPr>
          <w:rFonts w:ascii="Verdana" w:hAnsi="Verdana"/>
          <w:sz w:val="20"/>
        </w:rPr>
        <w:t xml:space="preserve"> l</w:t>
      </w:r>
      <w:r w:rsidR="00EC5042" w:rsidRPr="009D5EA7">
        <w:rPr>
          <w:rFonts w:ascii="Verdana" w:hAnsi="Verdana"/>
          <w:sz w:val="20"/>
        </w:rPr>
        <w:t>a</w:t>
      </w:r>
      <w:r w:rsidRPr="009D5EA7">
        <w:rPr>
          <w:rFonts w:ascii="Verdana" w:hAnsi="Verdana"/>
          <w:sz w:val="20"/>
        </w:rPr>
        <w:t xml:space="preserve">s representantes </w:t>
      </w:r>
      <w:r w:rsidR="00EC5042" w:rsidRPr="009D5EA7">
        <w:rPr>
          <w:rFonts w:ascii="Verdana" w:hAnsi="Verdana"/>
          <w:sz w:val="20"/>
        </w:rPr>
        <w:t xml:space="preserve">presentaron </w:t>
      </w:r>
      <w:r w:rsidRPr="009D5EA7">
        <w:rPr>
          <w:rFonts w:ascii="Verdana" w:hAnsi="Verdana"/>
          <w:sz w:val="20"/>
        </w:rPr>
        <w:t xml:space="preserve">observaciones </w:t>
      </w:r>
      <w:r w:rsidR="00EC5042" w:rsidRPr="009D5EA7">
        <w:rPr>
          <w:rFonts w:ascii="Verdana" w:hAnsi="Verdana"/>
          <w:sz w:val="20"/>
        </w:rPr>
        <w:t xml:space="preserve">respecto de un documento remitido por el Estado como anexo a sus </w:t>
      </w:r>
      <w:r w:rsidRPr="009D5EA7">
        <w:rPr>
          <w:rFonts w:ascii="Verdana" w:hAnsi="Verdana"/>
          <w:sz w:val="20"/>
        </w:rPr>
        <w:t>alegatos finales.</w:t>
      </w:r>
      <w:r w:rsidR="00EC5042" w:rsidRPr="009D5EA7">
        <w:rPr>
          <w:rFonts w:ascii="Verdana" w:hAnsi="Verdana"/>
          <w:sz w:val="20"/>
        </w:rPr>
        <w:t xml:space="preserve"> El día 30 de los mismos mes y año, el Estado presentó observaciones respecto de</w:t>
      </w:r>
      <w:r w:rsidR="00B408BD" w:rsidRPr="009D5EA7">
        <w:rPr>
          <w:rFonts w:ascii="Verdana" w:hAnsi="Verdana"/>
          <w:sz w:val="20"/>
        </w:rPr>
        <w:t xml:space="preserve"> un documento aportado por las representantes</w:t>
      </w:r>
      <w:r w:rsidR="00EC5042" w:rsidRPr="009D5EA7">
        <w:rPr>
          <w:rFonts w:ascii="Verdana" w:hAnsi="Verdana"/>
          <w:sz w:val="20"/>
        </w:rPr>
        <w:t xml:space="preserve">.  </w:t>
      </w:r>
      <w:r w:rsidRPr="009D5EA7">
        <w:rPr>
          <w:rFonts w:ascii="Verdana" w:hAnsi="Verdana"/>
          <w:sz w:val="20"/>
        </w:rPr>
        <w:t xml:space="preserve"> </w:t>
      </w:r>
    </w:p>
    <w:p w14:paraId="34EC4036" w14:textId="77777777" w:rsidR="008A43F3" w:rsidRPr="009D5EA7" w:rsidRDefault="008A43F3" w:rsidP="008A43F3">
      <w:pPr>
        <w:pStyle w:val="Prrafodelista"/>
        <w:ind w:left="0"/>
        <w:jc w:val="both"/>
        <w:rPr>
          <w:rFonts w:ascii="Verdana" w:hAnsi="Verdana"/>
          <w:sz w:val="20"/>
        </w:rPr>
      </w:pPr>
    </w:p>
    <w:p w14:paraId="10397496" w14:textId="699A299D" w:rsidR="00EC5042" w:rsidRPr="009D5EA7" w:rsidRDefault="008A43F3" w:rsidP="00667F79">
      <w:pPr>
        <w:pStyle w:val="Prrafodelista"/>
        <w:numPr>
          <w:ilvl w:val="0"/>
          <w:numId w:val="5"/>
        </w:numPr>
        <w:ind w:left="0" w:firstLine="0"/>
        <w:jc w:val="both"/>
        <w:rPr>
          <w:rFonts w:ascii="Verdana" w:hAnsi="Verdana"/>
          <w:sz w:val="20"/>
        </w:rPr>
      </w:pPr>
      <w:r w:rsidRPr="009D5EA7">
        <w:rPr>
          <w:rFonts w:ascii="Verdana" w:hAnsi="Verdana"/>
          <w:i/>
          <w:sz w:val="20"/>
        </w:rPr>
        <w:t>Erogaciones en aplicación del Fondo de Asistencia.-</w:t>
      </w:r>
      <w:r w:rsidRPr="009D5EA7">
        <w:rPr>
          <w:rFonts w:ascii="Verdana" w:hAnsi="Verdana"/>
          <w:sz w:val="20"/>
        </w:rPr>
        <w:t xml:space="preserve"> El 21 de diciembre de 2016 la Secretaría</w:t>
      </w:r>
      <w:r w:rsidR="00EC5042" w:rsidRPr="009D5EA7">
        <w:rPr>
          <w:rFonts w:ascii="Verdana" w:hAnsi="Verdana"/>
          <w:sz w:val="20"/>
        </w:rPr>
        <w:t xml:space="preserve"> de la Corte</w:t>
      </w:r>
      <w:r w:rsidRPr="009D5EA7">
        <w:rPr>
          <w:rFonts w:ascii="Verdana" w:hAnsi="Verdana"/>
          <w:sz w:val="20"/>
        </w:rPr>
        <w:t xml:space="preserve"> remitió al Estado, </w:t>
      </w:r>
      <w:r w:rsidR="00EC5042" w:rsidRPr="009D5EA7">
        <w:rPr>
          <w:rFonts w:ascii="Verdana" w:hAnsi="Verdana"/>
          <w:sz w:val="20"/>
        </w:rPr>
        <w:t xml:space="preserve">según lo dispuesto en </w:t>
      </w:r>
      <w:r w:rsidRPr="009D5EA7">
        <w:rPr>
          <w:rFonts w:ascii="Verdana" w:hAnsi="Verdana"/>
          <w:sz w:val="20"/>
        </w:rPr>
        <w:t xml:space="preserve">el artículo 5 del Reglamento de la </w:t>
      </w:r>
      <w:r w:rsidRPr="009D5EA7">
        <w:rPr>
          <w:rFonts w:ascii="Verdana" w:hAnsi="Verdana"/>
          <w:sz w:val="20"/>
        </w:rPr>
        <w:lastRenderedPageBreak/>
        <w:t>Corte sobre el Funcionamiento del Fondo de Asistencia Legal de Víctimas (en adelante “Reglamento sobre el Fondo de Asistencia”), el informe sobre las erogaciones efectuadas</w:t>
      </w:r>
      <w:r w:rsidR="00EC5042" w:rsidRPr="009D5EA7">
        <w:rPr>
          <w:rFonts w:ascii="Verdana" w:hAnsi="Verdana"/>
          <w:sz w:val="20"/>
        </w:rPr>
        <w:t xml:space="preserve"> en el presente caso</w:t>
      </w:r>
      <w:r w:rsidRPr="009D5EA7">
        <w:rPr>
          <w:rFonts w:ascii="Verdana" w:hAnsi="Verdana"/>
          <w:sz w:val="20"/>
        </w:rPr>
        <w:t xml:space="preserve"> en aplicación del mismo. </w:t>
      </w:r>
    </w:p>
    <w:p w14:paraId="368314F6" w14:textId="77777777" w:rsidR="00EC5042" w:rsidRPr="009D5EA7" w:rsidRDefault="00EC5042" w:rsidP="00210E27">
      <w:pPr>
        <w:pStyle w:val="Prrafodelista"/>
        <w:ind w:left="0"/>
        <w:jc w:val="both"/>
        <w:rPr>
          <w:rFonts w:ascii="Verdana" w:hAnsi="Verdana"/>
          <w:sz w:val="20"/>
        </w:rPr>
      </w:pPr>
    </w:p>
    <w:p w14:paraId="072A3E05" w14:textId="52399645" w:rsidR="00EC5042" w:rsidRPr="009D5EA7" w:rsidRDefault="00EC5042" w:rsidP="00667F79">
      <w:pPr>
        <w:pStyle w:val="Prrafodelista"/>
        <w:numPr>
          <w:ilvl w:val="0"/>
          <w:numId w:val="5"/>
        </w:numPr>
        <w:ind w:left="0" w:firstLine="0"/>
        <w:jc w:val="both"/>
        <w:rPr>
          <w:rFonts w:ascii="Verdana" w:hAnsi="Verdana"/>
          <w:sz w:val="20"/>
        </w:rPr>
      </w:pPr>
      <w:r w:rsidRPr="009D5EA7">
        <w:rPr>
          <w:rFonts w:ascii="Verdana" w:hAnsi="Verdana"/>
          <w:i/>
          <w:sz w:val="20"/>
        </w:rPr>
        <w:t>Deliberación del presente caso</w:t>
      </w:r>
      <w:r w:rsidRPr="009D5EA7">
        <w:rPr>
          <w:rFonts w:ascii="Verdana" w:hAnsi="Verdana"/>
          <w:sz w:val="20"/>
        </w:rPr>
        <w:t>.- La Corte inició la deliberación de la presente Sentencia el 24 de marzo de 2017.</w:t>
      </w:r>
    </w:p>
    <w:p w14:paraId="3D692BDB" w14:textId="77777777" w:rsidR="00EC5042" w:rsidRPr="009D5EA7" w:rsidRDefault="00EC5042" w:rsidP="008A43F3">
      <w:pPr>
        <w:jc w:val="both"/>
        <w:rPr>
          <w:rFonts w:ascii="Verdana" w:hAnsi="Verdana"/>
          <w:sz w:val="20"/>
          <w:lang w:val="es-ES_tradnl"/>
        </w:rPr>
      </w:pPr>
    </w:p>
    <w:p w14:paraId="5F375850" w14:textId="77777777" w:rsidR="008A43F3" w:rsidRPr="009D5EA7" w:rsidRDefault="008A43F3" w:rsidP="008A43F3">
      <w:pPr>
        <w:pStyle w:val="Ttulo1"/>
        <w:spacing w:before="0" w:after="0" w:line="240" w:lineRule="auto"/>
        <w:jc w:val="center"/>
        <w:rPr>
          <w:rFonts w:ascii="Verdana" w:hAnsi="Verdana" w:cs="Verdana"/>
          <w:caps/>
          <w:snapToGrid w:val="0"/>
          <w:sz w:val="20"/>
          <w:szCs w:val="20"/>
          <w:lang w:val="es-ES_tradnl" w:eastAsia="es-ES"/>
        </w:rPr>
      </w:pPr>
      <w:bookmarkStart w:id="5" w:name="_Toc476251448"/>
      <w:r w:rsidRPr="009D5EA7">
        <w:rPr>
          <w:rFonts w:ascii="Verdana" w:hAnsi="Verdana" w:cs="Verdana"/>
          <w:caps/>
          <w:snapToGrid w:val="0"/>
          <w:sz w:val="20"/>
          <w:szCs w:val="20"/>
          <w:lang w:val="es-ES_tradnl" w:eastAsia="es-ES"/>
        </w:rPr>
        <w:t>III</w:t>
      </w:r>
      <w:r w:rsidRPr="009D5EA7">
        <w:rPr>
          <w:rFonts w:ascii="Verdana" w:hAnsi="Verdana" w:cs="Verdana"/>
          <w:caps/>
          <w:snapToGrid w:val="0"/>
          <w:sz w:val="20"/>
          <w:szCs w:val="20"/>
          <w:lang w:val="es-ES_tradnl" w:eastAsia="es-ES"/>
        </w:rPr>
        <w:br/>
        <w:t>COMPETENCIA</w:t>
      </w:r>
      <w:bookmarkEnd w:id="5"/>
    </w:p>
    <w:p w14:paraId="6B094F62" w14:textId="77777777" w:rsidR="008A43F3" w:rsidRPr="009D5EA7" w:rsidRDefault="008A43F3" w:rsidP="00956B51">
      <w:pPr>
        <w:pStyle w:val="Prrafodelista"/>
        <w:ind w:left="0"/>
        <w:jc w:val="both"/>
        <w:rPr>
          <w:rFonts w:ascii="Verdana" w:hAnsi="Verdana"/>
          <w:sz w:val="20"/>
        </w:rPr>
      </w:pPr>
    </w:p>
    <w:p w14:paraId="51A079AB" w14:textId="0E31D81E" w:rsidR="008A43F3" w:rsidRPr="009D5EA7" w:rsidRDefault="008A43F3" w:rsidP="00667F79">
      <w:pPr>
        <w:pStyle w:val="Prrafodelista"/>
        <w:numPr>
          <w:ilvl w:val="0"/>
          <w:numId w:val="5"/>
        </w:numPr>
        <w:ind w:left="0" w:firstLine="0"/>
        <w:jc w:val="both"/>
        <w:rPr>
          <w:rFonts w:ascii="Verdana" w:hAnsi="Verdana"/>
          <w:sz w:val="20"/>
        </w:rPr>
      </w:pPr>
      <w:r w:rsidRPr="009D5EA7">
        <w:rPr>
          <w:rFonts w:ascii="Verdana" w:hAnsi="Verdana"/>
          <w:sz w:val="20"/>
        </w:rPr>
        <w:t xml:space="preserve">La Corte es competente para conocer del presente caso, en los términos del artículo 62.3 de la Convención Americana, en razón </w:t>
      </w:r>
      <w:r w:rsidR="00443334" w:rsidRPr="009D5EA7">
        <w:rPr>
          <w:rFonts w:ascii="Verdana" w:hAnsi="Verdana"/>
          <w:sz w:val="20"/>
        </w:rPr>
        <w:t>de</w:t>
      </w:r>
      <w:r w:rsidRPr="009D5EA7">
        <w:rPr>
          <w:rFonts w:ascii="Verdana" w:hAnsi="Verdana"/>
          <w:sz w:val="20"/>
        </w:rPr>
        <w:t xml:space="preserve"> que Nicaragua ratificó este instrumento el 25 de septiembre de 1979 y reconoció la competencia contenciosa de la Corte el </w:t>
      </w:r>
      <w:r w:rsidR="00443334" w:rsidRPr="009D5EA7">
        <w:rPr>
          <w:rFonts w:ascii="Verdana" w:hAnsi="Verdana"/>
          <w:sz w:val="20"/>
        </w:rPr>
        <w:t xml:space="preserve">12 </w:t>
      </w:r>
      <w:r w:rsidRPr="009D5EA7">
        <w:rPr>
          <w:rFonts w:ascii="Verdana" w:hAnsi="Verdana"/>
          <w:sz w:val="20"/>
        </w:rPr>
        <w:t>de febrero de 1991.</w:t>
      </w:r>
    </w:p>
    <w:bookmarkEnd w:id="0"/>
    <w:bookmarkEnd w:id="1"/>
    <w:p w14:paraId="33B9D355" w14:textId="77777777" w:rsidR="00742242" w:rsidRPr="009D5EA7" w:rsidRDefault="00742242" w:rsidP="00742242">
      <w:pPr>
        <w:pStyle w:val="Prrafodelista"/>
        <w:ind w:left="0"/>
        <w:jc w:val="both"/>
        <w:rPr>
          <w:rFonts w:ascii="Verdana" w:hAnsi="Verdana"/>
          <w:sz w:val="20"/>
        </w:rPr>
      </w:pPr>
    </w:p>
    <w:p w14:paraId="36CBD235" w14:textId="77777777" w:rsidR="00196C0F" w:rsidRPr="009D5EA7" w:rsidRDefault="00196C0F" w:rsidP="00742242">
      <w:pPr>
        <w:pStyle w:val="Prrafodelista"/>
        <w:ind w:left="0"/>
        <w:jc w:val="both"/>
        <w:rPr>
          <w:rFonts w:ascii="Verdana" w:hAnsi="Verdana"/>
          <w:sz w:val="20"/>
        </w:rPr>
      </w:pPr>
    </w:p>
    <w:p w14:paraId="7AED432F" w14:textId="77777777" w:rsidR="00742242" w:rsidRPr="009D5EA7" w:rsidRDefault="00742242" w:rsidP="00742242">
      <w:pPr>
        <w:pStyle w:val="Ttulo1"/>
        <w:spacing w:before="0" w:after="0" w:line="240" w:lineRule="auto"/>
        <w:jc w:val="center"/>
        <w:rPr>
          <w:rFonts w:ascii="Verdana" w:hAnsi="Verdana" w:cs="Verdana"/>
          <w:caps/>
          <w:snapToGrid w:val="0"/>
          <w:sz w:val="20"/>
          <w:szCs w:val="20"/>
          <w:lang w:val="es-ES_tradnl" w:eastAsia="es-ES"/>
        </w:rPr>
      </w:pPr>
      <w:bookmarkStart w:id="6" w:name="_Toc476251449"/>
      <w:r w:rsidRPr="009D5EA7">
        <w:rPr>
          <w:rFonts w:ascii="Verdana" w:hAnsi="Verdana" w:cs="Verdana"/>
          <w:caps/>
          <w:snapToGrid w:val="0"/>
          <w:sz w:val="20"/>
          <w:szCs w:val="20"/>
          <w:lang w:val="es-ES_tradnl" w:eastAsia="es-ES"/>
        </w:rPr>
        <w:t>IV</w:t>
      </w:r>
      <w:r w:rsidRPr="009D5EA7">
        <w:rPr>
          <w:rFonts w:ascii="Verdana" w:hAnsi="Verdana" w:cs="Verdana"/>
          <w:caps/>
          <w:snapToGrid w:val="0"/>
          <w:sz w:val="20"/>
          <w:szCs w:val="20"/>
          <w:lang w:val="es-ES_tradnl" w:eastAsia="es-ES"/>
        </w:rPr>
        <w:br/>
        <w:t>EXCEPCIONES PRELIMINARES</w:t>
      </w:r>
      <w:bookmarkEnd w:id="6"/>
    </w:p>
    <w:p w14:paraId="7B376412" w14:textId="77777777" w:rsidR="00742242" w:rsidRPr="009D5EA7" w:rsidRDefault="00742242" w:rsidP="00742242">
      <w:pPr>
        <w:spacing w:after="0" w:line="240" w:lineRule="auto"/>
        <w:jc w:val="center"/>
        <w:rPr>
          <w:rFonts w:ascii="Verdana" w:hAnsi="Verdana" w:cs="Times New Roman"/>
          <w:b/>
          <w:sz w:val="20"/>
          <w:szCs w:val="20"/>
          <w:lang w:val="es-ES_tradnl"/>
        </w:rPr>
      </w:pPr>
    </w:p>
    <w:p w14:paraId="76552BA7" w14:textId="77777777" w:rsidR="00742242" w:rsidRPr="009D5EA7" w:rsidRDefault="00742242" w:rsidP="00742242">
      <w:pPr>
        <w:spacing w:after="0" w:line="240" w:lineRule="auto"/>
        <w:ind w:left="360"/>
        <w:jc w:val="both"/>
        <w:rPr>
          <w:rFonts w:ascii="Verdana" w:hAnsi="Verdana"/>
          <w:i/>
          <w:sz w:val="20"/>
          <w:szCs w:val="20"/>
          <w:lang w:val="es-ES_tradnl"/>
        </w:rPr>
      </w:pPr>
      <w:r w:rsidRPr="009D5EA7">
        <w:rPr>
          <w:rFonts w:ascii="Verdana" w:hAnsi="Verdana"/>
          <w:i/>
          <w:sz w:val="20"/>
          <w:szCs w:val="20"/>
          <w:lang w:val="es-ES_tradnl"/>
        </w:rPr>
        <w:t>Planteamientos del Estado y observaciones de la Comisión y representantes</w:t>
      </w:r>
    </w:p>
    <w:p w14:paraId="3C789251" w14:textId="77777777" w:rsidR="00742242" w:rsidRPr="009D5EA7" w:rsidRDefault="00742242" w:rsidP="00742242">
      <w:pPr>
        <w:pStyle w:val="Prrafodelista"/>
        <w:ind w:left="0"/>
        <w:jc w:val="both"/>
        <w:rPr>
          <w:rFonts w:ascii="Verdana" w:hAnsi="Verdana"/>
          <w:sz w:val="20"/>
        </w:rPr>
      </w:pPr>
    </w:p>
    <w:p w14:paraId="7891EF96" w14:textId="19D6DA19" w:rsidR="00742242" w:rsidRPr="009D5EA7" w:rsidRDefault="00742242" w:rsidP="00667F79">
      <w:pPr>
        <w:pStyle w:val="Prrafodelista"/>
        <w:numPr>
          <w:ilvl w:val="0"/>
          <w:numId w:val="5"/>
        </w:numPr>
        <w:ind w:left="0" w:firstLine="0"/>
        <w:jc w:val="both"/>
        <w:rPr>
          <w:rFonts w:ascii="Verdana" w:hAnsi="Verdana"/>
          <w:sz w:val="20"/>
        </w:rPr>
      </w:pPr>
      <w:r w:rsidRPr="009D5EA7">
        <w:rPr>
          <w:rFonts w:ascii="Verdana" w:hAnsi="Verdana"/>
          <w:sz w:val="20"/>
        </w:rPr>
        <w:t xml:space="preserve">El </w:t>
      </w:r>
      <w:r w:rsidRPr="009D5EA7">
        <w:rPr>
          <w:rFonts w:ascii="Verdana" w:hAnsi="Verdana"/>
          <w:b/>
          <w:sz w:val="20"/>
        </w:rPr>
        <w:t>Estado</w:t>
      </w:r>
      <w:r w:rsidRPr="009D5EA7">
        <w:rPr>
          <w:rFonts w:ascii="Verdana" w:hAnsi="Verdana"/>
          <w:sz w:val="20"/>
        </w:rPr>
        <w:t xml:space="preserve"> presentó tres planteamiento</w:t>
      </w:r>
      <w:r w:rsidR="008F3689">
        <w:rPr>
          <w:rFonts w:ascii="Verdana" w:hAnsi="Verdana"/>
          <w:sz w:val="20"/>
        </w:rPr>
        <w:t>s como excepciones preliminares</w:t>
      </w:r>
      <w:r w:rsidRPr="009D5EA7">
        <w:rPr>
          <w:rFonts w:ascii="Verdana" w:hAnsi="Verdana"/>
          <w:sz w:val="20"/>
        </w:rPr>
        <w:t xml:space="preserve"> de la siguiente manera:</w:t>
      </w:r>
    </w:p>
    <w:p w14:paraId="11A1363F" w14:textId="77777777" w:rsidR="00742242" w:rsidRPr="009D5EA7" w:rsidRDefault="00742242" w:rsidP="00742242">
      <w:pPr>
        <w:pStyle w:val="Prrafodelista"/>
        <w:ind w:left="0"/>
        <w:jc w:val="both"/>
        <w:rPr>
          <w:rFonts w:ascii="Verdana" w:hAnsi="Verdana"/>
          <w:sz w:val="20"/>
        </w:rPr>
      </w:pPr>
    </w:p>
    <w:p w14:paraId="70AABFF6" w14:textId="659FD5A0" w:rsidR="00742242" w:rsidRPr="009D5EA7" w:rsidRDefault="00742242" w:rsidP="00667F79">
      <w:pPr>
        <w:pStyle w:val="Prrafodelista"/>
        <w:numPr>
          <w:ilvl w:val="0"/>
          <w:numId w:val="9"/>
        </w:numPr>
        <w:jc w:val="both"/>
        <w:rPr>
          <w:rFonts w:ascii="Verdana" w:hAnsi="Verdana"/>
          <w:sz w:val="20"/>
        </w:rPr>
      </w:pPr>
      <w:r w:rsidRPr="009D5EA7">
        <w:rPr>
          <w:rFonts w:ascii="Verdana" w:hAnsi="Verdana"/>
          <w:sz w:val="20"/>
        </w:rPr>
        <w:t>“</w:t>
      </w:r>
      <w:r w:rsidRPr="009D5EA7">
        <w:rPr>
          <w:rFonts w:ascii="Verdana" w:hAnsi="Verdana"/>
          <w:i/>
          <w:sz w:val="20"/>
        </w:rPr>
        <w:t>Indefensión del Estado ante el escrito (ESAP) presentado por los representantes de María Luisa Acosta</w:t>
      </w:r>
      <w:r w:rsidRPr="009D5EA7">
        <w:rPr>
          <w:rFonts w:ascii="Verdana" w:hAnsi="Verdana"/>
          <w:sz w:val="20"/>
        </w:rPr>
        <w:t>”: el Estado alegó que los representantes incorporaron hechos que no están contenidos en el Informe de la Comisión</w:t>
      </w:r>
      <w:r w:rsidRPr="009D5EA7">
        <w:rPr>
          <w:rStyle w:val="Refdenotaalpie"/>
          <w:rFonts w:ascii="Verdana" w:hAnsi="Verdana" w:cs="Courier New"/>
          <w:sz w:val="20"/>
        </w:rPr>
        <w:footnoteReference w:id="12"/>
      </w:r>
      <w:r w:rsidRPr="009D5EA7">
        <w:rPr>
          <w:rFonts w:ascii="Verdana" w:hAnsi="Verdana"/>
          <w:sz w:val="20"/>
        </w:rPr>
        <w:t xml:space="preserve"> en violación de su derecho de defensa</w:t>
      </w:r>
      <w:r w:rsidRPr="009D5EA7">
        <w:rPr>
          <w:rFonts w:ascii="Verdana" w:hAnsi="Verdana" w:cs="Courier New"/>
          <w:sz w:val="20"/>
        </w:rPr>
        <w:t>, pues se extralimitan del caso planteado</w:t>
      </w:r>
      <w:r w:rsidR="00B47C25" w:rsidRPr="009D5EA7">
        <w:rPr>
          <w:rFonts w:ascii="Verdana" w:hAnsi="Verdana" w:cs="Courier New"/>
          <w:sz w:val="20"/>
        </w:rPr>
        <w:t>,</w:t>
      </w:r>
      <w:r w:rsidRPr="009D5EA7">
        <w:rPr>
          <w:rFonts w:ascii="Verdana" w:hAnsi="Verdana" w:cs="Courier New"/>
          <w:sz w:val="20"/>
        </w:rPr>
        <w:t xml:space="preserve"> </w:t>
      </w:r>
      <w:r w:rsidR="00B47C25" w:rsidRPr="009D5EA7">
        <w:rPr>
          <w:rFonts w:ascii="Verdana" w:hAnsi="Verdana" w:cs="Courier New"/>
          <w:sz w:val="20"/>
        </w:rPr>
        <w:t xml:space="preserve">no están probados </w:t>
      </w:r>
      <w:r w:rsidRPr="009D5EA7">
        <w:rPr>
          <w:rFonts w:ascii="Verdana" w:hAnsi="Verdana" w:cs="Courier New"/>
          <w:sz w:val="20"/>
        </w:rPr>
        <w:t>y se presentan con la intención de crear una opinión general desfavorable para el Estado. Alegó que la Corte debe ejercer su jurisdicción plena sobre las cuestiones relativas al caso específico y no a supuestas problemáticas generales</w:t>
      </w:r>
      <w:r w:rsidR="00B47C25" w:rsidRPr="009D5EA7">
        <w:rPr>
          <w:rFonts w:ascii="Verdana" w:hAnsi="Verdana" w:cs="Courier New"/>
          <w:sz w:val="20"/>
        </w:rPr>
        <w:t xml:space="preserve">, por lo cual le </w:t>
      </w:r>
      <w:r w:rsidRPr="009D5EA7">
        <w:rPr>
          <w:rFonts w:ascii="Verdana" w:hAnsi="Verdana" w:cs="Courier New"/>
          <w:sz w:val="20"/>
        </w:rPr>
        <w:t xml:space="preserve">solicitó </w:t>
      </w:r>
      <w:r w:rsidR="00B47C25" w:rsidRPr="009D5EA7">
        <w:rPr>
          <w:rFonts w:ascii="Verdana" w:hAnsi="Verdana" w:cs="Courier New"/>
          <w:sz w:val="20"/>
        </w:rPr>
        <w:t xml:space="preserve">no tomar en cuenta </w:t>
      </w:r>
      <w:r w:rsidRPr="009D5EA7">
        <w:rPr>
          <w:rFonts w:ascii="Verdana" w:hAnsi="Verdana" w:cs="Courier New"/>
          <w:sz w:val="20"/>
        </w:rPr>
        <w:t>noticias y/o estados de opiniones parcializadas publicados en algunos medios de comunicación aportados por los representantes y reseñados por la Comisión y que, previo al análisis del fondo, el escrito de los representantes no sea tomado en cuenta y únicamente se discuta el Informe de fondo de la Comisión.</w:t>
      </w:r>
    </w:p>
    <w:p w14:paraId="6A3DC22C" w14:textId="77777777" w:rsidR="003B4849" w:rsidRPr="009D5EA7" w:rsidRDefault="003B4849" w:rsidP="003B4849">
      <w:pPr>
        <w:pStyle w:val="Prrafodelista"/>
        <w:jc w:val="both"/>
        <w:rPr>
          <w:rFonts w:ascii="Verdana" w:hAnsi="Verdana"/>
          <w:sz w:val="20"/>
        </w:rPr>
      </w:pPr>
    </w:p>
    <w:p w14:paraId="61933F98" w14:textId="3025AA73" w:rsidR="00742242" w:rsidRPr="009D5EA7" w:rsidRDefault="00742242" w:rsidP="00667F79">
      <w:pPr>
        <w:pStyle w:val="Prrafodelista"/>
        <w:numPr>
          <w:ilvl w:val="0"/>
          <w:numId w:val="9"/>
        </w:numPr>
        <w:jc w:val="both"/>
        <w:rPr>
          <w:rFonts w:ascii="Verdana" w:hAnsi="Verdana" w:cs="Courier New"/>
          <w:sz w:val="20"/>
        </w:rPr>
      </w:pPr>
      <w:r w:rsidRPr="009D5EA7">
        <w:rPr>
          <w:rFonts w:ascii="Verdana" w:hAnsi="Verdana"/>
          <w:sz w:val="20"/>
        </w:rPr>
        <w:t>“</w:t>
      </w:r>
      <w:r w:rsidRPr="009D5EA7">
        <w:rPr>
          <w:rFonts w:ascii="Verdana" w:hAnsi="Verdana"/>
          <w:i/>
          <w:sz w:val="20"/>
        </w:rPr>
        <w:t>Sobre las recomendaciones de la Comisión en su informe de fondo nº 22/15 referidas a los defensores de derechos humanos</w:t>
      </w:r>
      <w:r w:rsidRPr="009D5EA7">
        <w:rPr>
          <w:rFonts w:ascii="Verdana" w:hAnsi="Verdana" w:cs="Courier New"/>
          <w:i/>
          <w:sz w:val="20"/>
        </w:rPr>
        <w:t xml:space="preserve"> en Nicaragua</w:t>
      </w:r>
      <w:r w:rsidRPr="009D5EA7">
        <w:rPr>
          <w:rFonts w:ascii="Verdana" w:hAnsi="Verdana" w:cs="Courier New"/>
          <w:sz w:val="20"/>
        </w:rPr>
        <w:t xml:space="preserve">”: el Estado señaló que tales recomendaciones son infundadas, puesto que no se determinó que a </w:t>
      </w:r>
      <w:r w:rsidR="00B47C25" w:rsidRPr="009D5EA7">
        <w:rPr>
          <w:rFonts w:ascii="Verdana" w:hAnsi="Verdana" w:cs="Courier New"/>
          <w:sz w:val="20"/>
        </w:rPr>
        <w:t>la señora</w:t>
      </w:r>
      <w:r w:rsidRPr="009D5EA7">
        <w:rPr>
          <w:rFonts w:ascii="Verdana" w:hAnsi="Verdana" w:cs="Courier New"/>
          <w:sz w:val="20"/>
        </w:rPr>
        <w:t xml:space="preserve"> Acosta no se le haya brindado protección estatal y la Comisión pretende extender el contexto en el que se desarrollaron los hechos específicos del presente caso. Alegó que la señora Acosta ejerció su derecho pleno de víctima durante todo el proceso que se siguió por el asesinato del señor García Valle, sin que su vida estuviese en pel</w:t>
      </w:r>
      <w:r w:rsidR="00B47C25" w:rsidRPr="009D5EA7">
        <w:rPr>
          <w:rFonts w:ascii="Verdana" w:hAnsi="Verdana" w:cs="Courier New"/>
          <w:sz w:val="20"/>
        </w:rPr>
        <w:t>igro alguno;</w:t>
      </w:r>
      <w:r w:rsidRPr="009D5EA7">
        <w:rPr>
          <w:rFonts w:ascii="Verdana" w:hAnsi="Verdana" w:cs="Courier New"/>
          <w:sz w:val="20"/>
        </w:rPr>
        <w:t xml:space="preserve"> </w:t>
      </w:r>
      <w:r w:rsidR="00B47C25" w:rsidRPr="009D5EA7">
        <w:rPr>
          <w:rFonts w:ascii="Verdana" w:hAnsi="Verdana" w:cs="Courier New"/>
          <w:sz w:val="20"/>
        </w:rPr>
        <w:t>que</w:t>
      </w:r>
      <w:r w:rsidRPr="009D5EA7">
        <w:rPr>
          <w:rFonts w:ascii="Verdana" w:hAnsi="Verdana" w:cs="Courier New"/>
          <w:sz w:val="20"/>
        </w:rPr>
        <w:t xml:space="preserve"> su labor como defensora de derechos humanos sigue vigente sin que por ello exista riesgo para su vida, su integridad persona</w:t>
      </w:r>
      <w:r w:rsidR="00AF541E">
        <w:rPr>
          <w:rFonts w:ascii="Verdana" w:hAnsi="Verdana" w:cs="Courier New"/>
          <w:sz w:val="20"/>
        </w:rPr>
        <w:t>l y la de sus familiares.</w:t>
      </w:r>
    </w:p>
    <w:p w14:paraId="5E4F115C" w14:textId="77777777" w:rsidR="003B4849" w:rsidRPr="009D5EA7" w:rsidRDefault="003B4849" w:rsidP="003B4849">
      <w:pPr>
        <w:pStyle w:val="Prrafodelista"/>
        <w:jc w:val="both"/>
        <w:rPr>
          <w:rFonts w:ascii="Verdana" w:hAnsi="Verdana"/>
          <w:sz w:val="20"/>
        </w:rPr>
      </w:pPr>
    </w:p>
    <w:p w14:paraId="68FB948A" w14:textId="42F13CDC" w:rsidR="00742242" w:rsidRPr="009D5EA7" w:rsidRDefault="00742242" w:rsidP="00667F79">
      <w:pPr>
        <w:pStyle w:val="Prrafodelista"/>
        <w:numPr>
          <w:ilvl w:val="0"/>
          <w:numId w:val="9"/>
        </w:numPr>
        <w:jc w:val="both"/>
        <w:rPr>
          <w:rFonts w:ascii="Verdana" w:hAnsi="Verdana"/>
          <w:sz w:val="20"/>
        </w:rPr>
      </w:pPr>
      <w:r w:rsidRPr="009D5EA7">
        <w:rPr>
          <w:rFonts w:ascii="Verdana" w:hAnsi="Verdana"/>
          <w:sz w:val="20"/>
        </w:rPr>
        <w:lastRenderedPageBreak/>
        <w:t>“</w:t>
      </w:r>
      <w:r w:rsidRPr="009D5EA7">
        <w:rPr>
          <w:rFonts w:ascii="Verdana" w:hAnsi="Verdana"/>
          <w:i/>
          <w:sz w:val="20"/>
        </w:rPr>
        <w:t>Sobre la violación de las garantías judiciales, específicamente sobre las barreras en el acceso a la justicia, expresado en el informe de fondo nº 22/15 de la Comisión</w:t>
      </w:r>
      <w:r w:rsidRPr="009D5EA7">
        <w:rPr>
          <w:rFonts w:ascii="Verdana" w:hAnsi="Verdana"/>
          <w:sz w:val="20"/>
        </w:rPr>
        <w:t>”: en cuanto a las conclusiones de la Comisión sobre</w:t>
      </w:r>
      <w:r w:rsidR="00B47C25" w:rsidRPr="009D5EA7">
        <w:rPr>
          <w:rFonts w:ascii="Verdana" w:hAnsi="Verdana"/>
          <w:sz w:val="20"/>
        </w:rPr>
        <w:t xml:space="preserve"> </w:t>
      </w:r>
      <w:r w:rsidRPr="009D5EA7">
        <w:rPr>
          <w:rFonts w:ascii="Verdana" w:hAnsi="Verdana"/>
          <w:sz w:val="20"/>
        </w:rPr>
        <w:t xml:space="preserve">el rechazo del recurso de apelación presentado por </w:t>
      </w:r>
      <w:r w:rsidR="006B5E3F">
        <w:rPr>
          <w:rFonts w:ascii="Verdana" w:hAnsi="Verdana"/>
          <w:sz w:val="20"/>
        </w:rPr>
        <w:t xml:space="preserve">el </w:t>
      </w:r>
      <w:r w:rsidRPr="009D5EA7">
        <w:rPr>
          <w:rFonts w:ascii="Verdana" w:hAnsi="Verdana"/>
          <w:sz w:val="20"/>
        </w:rPr>
        <w:t xml:space="preserve">representante legal </w:t>
      </w:r>
      <w:r w:rsidR="00B47C25" w:rsidRPr="009D5EA7">
        <w:rPr>
          <w:rFonts w:ascii="Verdana" w:hAnsi="Verdana"/>
          <w:sz w:val="20"/>
        </w:rPr>
        <w:t xml:space="preserve">de la señora Acosta </w:t>
      </w:r>
      <w:r w:rsidRPr="009D5EA7">
        <w:rPr>
          <w:rFonts w:ascii="Verdana" w:hAnsi="Verdana"/>
          <w:sz w:val="20"/>
        </w:rPr>
        <w:t xml:space="preserve">contra la sentencia de sobreseimiento definitivo </w:t>
      </w:r>
      <w:r w:rsidR="007A6AD1" w:rsidRPr="009D5EA7">
        <w:rPr>
          <w:rFonts w:ascii="Verdana" w:hAnsi="Verdana"/>
          <w:sz w:val="20"/>
        </w:rPr>
        <w:t>por no haber presentado el</w:t>
      </w:r>
      <w:r w:rsidRPr="009D5EA7">
        <w:rPr>
          <w:rFonts w:ascii="Verdana" w:hAnsi="Verdana"/>
          <w:sz w:val="20"/>
        </w:rPr>
        <w:t xml:space="preserve"> papel</w:t>
      </w:r>
      <w:r w:rsidR="007A6AD1" w:rsidRPr="009D5EA7">
        <w:rPr>
          <w:rFonts w:ascii="Verdana" w:hAnsi="Verdana"/>
          <w:sz w:val="20"/>
        </w:rPr>
        <w:t xml:space="preserve"> que la ley supuestamente exigía</w:t>
      </w:r>
      <w:r w:rsidRPr="009D5EA7">
        <w:rPr>
          <w:rFonts w:ascii="Verdana" w:hAnsi="Verdana"/>
          <w:sz w:val="20"/>
        </w:rPr>
        <w:t xml:space="preserve">, el Estado alegó que la Comisión obvia que todo sistema legal dispone </w:t>
      </w:r>
      <w:r w:rsidR="001D5803" w:rsidRPr="009D5EA7">
        <w:rPr>
          <w:rFonts w:ascii="Verdana" w:hAnsi="Verdana"/>
          <w:sz w:val="20"/>
        </w:rPr>
        <w:t xml:space="preserve">las reglas de cada proceso, pues </w:t>
      </w:r>
      <w:r w:rsidRPr="009D5EA7">
        <w:rPr>
          <w:rFonts w:ascii="Verdana" w:hAnsi="Verdana"/>
          <w:sz w:val="20"/>
        </w:rPr>
        <w:t>el recurso de apelación sí fue admitido, pero fue declarado desierto por el mal manejo</w:t>
      </w:r>
      <w:r w:rsidR="001D5803" w:rsidRPr="009D5EA7">
        <w:rPr>
          <w:rFonts w:ascii="Verdana" w:hAnsi="Verdana"/>
          <w:sz w:val="20"/>
        </w:rPr>
        <w:t xml:space="preserve"> del procedimiento por parte de dicho</w:t>
      </w:r>
      <w:r w:rsidRPr="009D5EA7">
        <w:rPr>
          <w:rFonts w:ascii="Verdana" w:hAnsi="Verdana"/>
          <w:sz w:val="20"/>
        </w:rPr>
        <w:t xml:space="preserve"> representante legal. Alegó que el Estado no transgredió las garantías judiciales de la señora Acosta en el referido proceso; que no </w:t>
      </w:r>
      <w:r w:rsidR="00B47C25" w:rsidRPr="009D5EA7">
        <w:rPr>
          <w:rFonts w:ascii="Verdana" w:hAnsi="Verdana"/>
          <w:sz w:val="20"/>
        </w:rPr>
        <w:t>tiene</w:t>
      </w:r>
      <w:r w:rsidRPr="009D5EA7">
        <w:rPr>
          <w:rFonts w:ascii="Verdana" w:hAnsi="Verdana"/>
          <w:sz w:val="20"/>
        </w:rPr>
        <w:t xml:space="preserve"> responsabilidad </w:t>
      </w:r>
      <w:r w:rsidR="00B47C25" w:rsidRPr="009D5EA7">
        <w:rPr>
          <w:rFonts w:ascii="Verdana" w:hAnsi="Verdana"/>
          <w:sz w:val="20"/>
        </w:rPr>
        <w:t>por</w:t>
      </w:r>
      <w:r w:rsidRPr="009D5EA7">
        <w:rPr>
          <w:rFonts w:ascii="Verdana" w:hAnsi="Verdana"/>
          <w:sz w:val="20"/>
        </w:rPr>
        <w:t xml:space="preserve">que su representante no </w:t>
      </w:r>
      <w:r w:rsidR="00763DCA" w:rsidRPr="009D5EA7">
        <w:rPr>
          <w:rFonts w:ascii="Verdana" w:hAnsi="Verdana"/>
          <w:sz w:val="20"/>
        </w:rPr>
        <w:t>corrigiera</w:t>
      </w:r>
      <w:r w:rsidRPr="009D5EA7">
        <w:rPr>
          <w:rFonts w:ascii="Verdana" w:hAnsi="Verdana"/>
          <w:sz w:val="20"/>
        </w:rPr>
        <w:t xml:space="preserve"> su error y que la Comisión “causa perjuicio al Estado al deslegitimizar la seguridad jurídica del ordenamiento interno porque atenta contra el principio de buena fe de las partes dentro del proceso, violentando los derechos humanos de la contraparte en dicho juicio”.</w:t>
      </w:r>
    </w:p>
    <w:p w14:paraId="167E68AC" w14:textId="77777777" w:rsidR="00742242" w:rsidRPr="009D5EA7" w:rsidRDefault="00742242" w:rsidP="00742242">
      <w:pPr>
        <w:spacing w:after="0" w:line="240" w:lineRule="auto"/>
        <w:jc w:val="both"/>
        <w:rPr>
          <w:lang w:val="es-ES_tradnl"/>
        </w:rPr>
      </w:pPr>
    </w:p>
    <w:p w14:paraId="3D3D51D7" w14:textId="3FD4C98B" w:rsidR="00852A18" w:rsidRPr="009D5EA7" w:rsidRDefault="00742242" w:rsidP="00667F79">
      <w:pPr>
        <w:pStyle w:val="Prrafodelista"/>
        <w:numPr>
          <w:ilvl w:val="0"/>
          <w:numId w:val="5"/>
        </w:numPr>
        <w:ind w:left="0" w:firstLine="0"/>
        <w:jc w:val="both"/>
        <w:rPr>
          <w:rFonts w:ascii="Verdana" w:hAnsi="Verdana"/>
          <w:sz w:val="20"/>
        </w:rPr>
      </w:pPr>
      <w:r w:rsidRPr="009D5EA7">
        <w:rPr>
          <w:rFonts w:ascii="Verdana" w:hAnsi="Verdana"/>
          <w:sz w:val="20"/>
        </w:rPr>
        <w:t xml:space="preserve">La </w:t>
      </w:r>
      <w:r w:rsidRPr="009D5EA7">
        <w:rPr>
          <w:rFonts w:ascii="Verdana" w:hAnsi="Verdana"/>
          <w:b/>
          <w:sz w:val="20"/>
        </w:rPr>
        <w:t>Comisión</w:t>
      </w:r>
      <w:r w:rsidRPr="009D5EA7">
        <w:rPr>
          <w:rFonts w:ascii="Verdana" w:hAnsi="Verdana"/>
          <w:sz w:val="20"/>
        </w:rPr>
        <w:t xml:space="preserve"> observó que los planteamientos del Estado no tienen carácter de excepción preliminar ni se refieren a requisitos de admisibilidad establecidos en la Convención. Las </w:t>
      </w:r>
      <w:r w:rsidRPr="009D5EA7">
        <w:rPr>
          <w:rFonts w:ascii="Verdana" w:hAnsi="Verdana"/>
          <w:b/>
          <w:sz w:val="20"/>
        </w:rPr>
        <w:t>representantes</w:t>
      </w:r>
      <w:r w:rsidRPr="009D5EA7">
        <w:rPr>
          <w:rFonts w:ascii="Verdana" w:hAnsi="Verdana"/>
          <w:sz w:val="20"/>
        </w:rPr>
        <w:t xml:space="preserve"> justificaron la inclusión en su escrito de los temas señalados por el Estado por considerarlos parte del marco fáctico del caso, alegando que el Estado no se encuentra en indefensión alguna, por lo que solicitaron que se declaren infundadas </w:t>
      </w:r>
      <w:r w:rsidR="00852A18" w:rsidRPr="009D5EA7">
        <w:rPr>
          <w:rFonts w:ascii="Verdana" w:hAnsi="Verdana"/>
          <w:sz w:val="20"/>
        </w:rPr>
        <w:t>sus</w:t>
      </w:r>
      <w:r w:rsidRPr="009D5EA7">
        <w:rPr>
          <w:rFonts w:ascii="Verdana" w:hAnsi="Verdana"/>
          <w:sz w:val="20"/>
        </w:rPr>
        <w:t xml:space="preserve"> pretensiones, en particular la solicitud para que su escrito no sea tomado en cuenta, que </w:t>
      </w:r>
      <w:r w:rsidR="00B47C25" w:rsidRPr="009D5EA7">
        <w:rPr>
          <w:rFonts w:ascii="Verdana" w:hAnsi="Verdana"/>
          <w:sz w:val="20"/>
        </w:rPr>
        <w:t>calificaron como</w:t>
      </w:r>
      <w:r w:rsidRPr="009D5EA7">
        <w:rPr>
          <w:rFonts w:ascii="Verdana" w:hAnsi="Verdana"/>
          <w:sz w:val="20"/>
        </w:rPr>
        <w:t xml:space="preserve"> </w:t>
      </w:r>
      <w:r w:rsidR="0011752E" w:rsidRPr="009D5EA7">
        <w:rPr>
          <w:rFonts w:ascii="Verdana" w:hAnsi="Verdana"/>
          <w:sz w:val="20"/>
        </w:rPr>
        <w:t>“</w:t>
      </w:r>
      <w:r w:rsidRPr="009D5EA7">
        <w:rPr>
          <w:rFonts w:ascii="Verdana" w:hAnsi="Verdana"/>
          <w:sz w:val="20"/>
        </w:rPr>
        <w:t>un desafortunado intento por cercenar el derecho de defensa de las presuntas víctimas</w:t>
      </w:r>
      <w:r w:rsidR="0011752E" w:rsidRPr="009D5EA7">
        <w:rPr>
          <w:rFonts w:ascii="Verdana" w:hAnsi="Verdana"/>
          <w:sz w:val="20"/>
        </w:rPr>
        <w:t>”</w:t>
      </w:r>
      <w:r w:rsidRPr="009D5EA7">
        <w:rPr>
          <w:rFonts w:ascii="Verdana" w:hAnsi="Verdana"/>
          <w:sz w:val="20"/>
        </w:rPr>
        <w:t xml:space="preserve">. </w:t>
      </w:r>
    </w:p>
    <w:p w14:paraId="499BF8C8" w14:textId="77777777" w:rsidR="00852A18" w:rsidRPr="009D5EA7" w:rsidRDefault="00852A18" w:rsidP="00852A18">
      <w:pPr>
        <w:pStyle w:val="Prrafodelista"/>
        <w:ind w:left="0"/>
        <w:jc w:val="both"/>
        <w:rPr>
          <w:rFonts w:ascii="Verdana" w:hAnsi="Verdana"/>
          <w:sz w:val="20"/>
        </w:rPr>
      </w:pPr>
    </w:p>
    <w:p w14:paraId="3B71DFCB" w14:textId="4FA6ED74" w:rsidR="00852A18" w:rsidRPr="009D5EA7" w:rsidRDefault="00852A18" w:rsidP="00852A18">
      <w:pPr>
        <w:spacing w:after="0" w:line="240" w:lineRule="auto"/>
        <w:ind w:left="360"/>
        <w:jc w:val="both"/>
        <w:rPr>
          <w:rFonts w:ascii="Verdana" w:hAnsi="Verdana"/>
          <w:i/>
          <w:sz w:val="20"/>
          <w:szCs w:val="20"/>
          <w:lang w:val="es-ES_tradnl"/>
        </w:rPr>
      </w:pPr>
      <w:r w:rsidRPr="009D5EA7">
        <w:rPr>
          <w:rFonts w:ascii="Verdana" w:hAnsi="Verdana"/>
          <w:i/>
          <w:sz w:val="20"/>
          <w:szCs w:val="20"/>
          <w:lang w:val="es-ES_tradnl"/>
        </w:rPr>
        <w:t>Consideraciones de la Corte</w:t>
      </w:r>
    </w:p>
    <w:p w14:paraId="1AA344C4" w14:textId="77777777" w:rsidR="00852A18" w:rsidRPr="009D5EA7" w:rsidRDefault="00852A18" w:rsidP="00347FBD">
      <w:pPr>
        <w:pStyle w:val="Prrafodelista"/>
        <w:ind w:left="0"/>
        <w:jc w:val="both"/>
        <w:rPr>
          <w:rFonts w:ascii="Verdana" w:hAnsi="Verdana"/>
          <w:sz w:val="20"/>
        </w:rPr>
      </w:pPr>
    </w:p>
    <w:p w14:paraId="1D4F3FB2" w14:textId="6DCB2B1B" w:rsidR="00742242" w:rsidRPr="009D5EA7" w:rsidRDefault="00742242" w:rsidP="00667F79">
      <w:pPr>
        <w:pStyle w:val="Prrafodelista"/>
        <w:numPr>
          <w:ilvl w:val="0"/>
          <w:numId w:val="5"/>
        </w:numPr>
        <w:ind w:left="0" w:firstLine="0"/>
        <w:jc w:val="both"/>
        <w:rPr>
          <w:rFonts w:eastAsia="Verdana" w:cs="Verdana"/>
        </w:rPr>
      </w:pPr>
      <w:r w:rsidRPr="009D5EA7">
        <w:rPr>
          <w:rFonts w:ascii="Verdana" w:hAnsi="Verdana"/>
          <w:sz w:val="20"/>
        </w:rPr>
        <w:t xml:space="preserve">Atendiendo a la naturaleza diversa de los argumentos formulados por el Estado bajo la denominación de excepciones preliminares, resulta pertinente recordar que en su jurisprudencia la Corte ha considerado como </w:t>
      </w:r>
      <w:r w:rsidR="008F3689">
        <w:rPr>
          <w:rFonts w:ascii="Verdana" w:hAnsi="Verdana"/>
          <w:sz w:val="20"/>
        </w:rPr>
        <w:t>tales</w:t>
      </w:r>
      <w:r w:rsidRPr="009D5EA7">
        <w:rPr>
          <w:rFonts w:ascii="Verdana" w:hAnsi="Verdana"/>
          <w:sz w:val="20"/>
        </w:rPr>
        <w:t xml:space="preserve"> únicamente aquellos argumentos que tienen o podrían tener exclusivamente tal naturaleza atendiendo a su contenido y finalidad; es decir, que de resolverse favorablemente impedirían en todo o en parte la continuación del procedimiento o el pronunciamiento sobre el fondo. Ha sido criterio reiterado de la Corte que por medio de una excepción preliminar se presentan objeciones relacionadas con la admisibilidad de un caso o la competencia de la Corte para conocer de un determinado caso o de alguno de sus aspectos, ya sea en razón de la persona, materia, tiempo o lugar</w:t>
      </w:r>
      <w:r w:rsidRPr="009D5EA7">
        <w:rPr>
          <w:rFonts w:ascii="Verdana" w:eastAsia="Verdana" w:hAnsi="Verdana" w:cs="Verdana"/>
          <w:sz w:val="20"/>
          <w:vertAlign w:val="superscript"/>
        </w:rPr>
        <w:footnoteReference w:id="13"/>
      </w:r>
      <w:r w:rsidRPr="009D5EA7">
        <w:rPr>
          <w:rFonts w:ascii="Verdana" w:eastAsia="Verdana" w:hAnsi="Verdana" w:cs="Verdana"/>
          <w:sz w:val="20"/>
        </w:rPr>
        <w:t xml:space="preserve">. Por ello, independientemente de que el Estado defina un planteamiento como </w:t>
      </w:r>
      <w:r w:rsidR="009D5EA7">
        <w:rPr>
          <w:rFonts w:ascii="Verdana" w:eastAsia="Verdana" w:hAnsi="Verdana" w:cs="Verdana"/>
          <w:sz w:val="20"/>
        </w:rPr>
        <w:t>excepción</w:t>
      </w:r>
      <w:r w:rsidRPr="009D5EA7">
        <w:rPr>
          <w:rFonts w:ascii="Verdana" w:eastAsia="Verdana" w:hAnsi="Verdana" w:cs="Verdana"/>
          <w:sz w:val="20"/>
        </w:rPr>
        <w:t>, si al analizar</w:t>
      </w:r>
      <w:r w:rsidR="00F31298" w:rsidRPr="009D5EA7">
        <w:rPr>
          <w:rFonts w:ascii="Verdana" w:eastAsia="Verdana" w:hAnsi="Verdana" w:cs="Verdana"/>
          <w:sz w:val="20"/>
        </w:rPr>
        <w:t>lo</w:t>
      </w:r>
      <w:r w:rsidRPr="009D5EA7">
        <w:rPr>
          <w:rFonts w:ascii="Verdana" w:eastAsia="Verdana" w:hAnsi="Verdana" w:cs="Verdana"/>
          <w:sz w:val="20"/>
        </w:rPr>
        <w:t xml:space="preserve"> fuere necesario entrar a considerar previamente el fondo de un caso, </w:t>
      </w:r>
      <w:r w:rsidR="00C05383">
        <w:rPr>
          <w:rFonts w:ascii="Verdana" w:eastAsia="Verdana" w:hAnsi="Verdana" w:cs="Verdana"/>
          <w:sz w:val="20"/>
        </w:rPr>
        <w:t>el mismo perdería</w:t>
      </w:r>
      <w:r w:rsidRPr="009D5EA7">
        <w:rPr>
          <w:rFonts w:ascii="Verdana" w:eastAsia="Verdana" w:hAnsi="Verdana" w:cs="Verdana"/>
          <w:sz w:val="20"/>
        </w:rPr>
        <w:t xml:space="preserve"> su </w:t>
      </w:r>
      <w:r w:rsidR="00C05383">
        <w:rPr>
          <w:rFonts w:ascii="Verdana" w:eastAsia="Verdana" w:hAnsi="Verdana" w:cs="Verdana"/>
          <w:sz w:val="20"/>
        </w:rPr>
        <w:t xml:space="preserve">carácter preliminar y no podría ser </w:t>
      </w:r>
      <w:r w:rsidR="00C05383" w:rsidRPr="008F3689">
        <w:rPr>
          <w:rFonts w:ascii="Verdana" w:eastAsia="Verdana" w:hAnsi="Verdana" w:cs="Verdana"/>
          <w:sz w:val="20"/>
        </w:rPr>
        <w:t>analizado</w:t>
      </w:r>
      <w:r w:rsidRPr="008F3689">
        <w:rPr>
          <w:rFonts w:ascii="Verdana" w:eastAsia="Verdana" w:hAnsi="Verdana" w:cs="Verdana"/>
          <w:sz w:val="20"/>
        </w:rPr>
        <w:t xml:space="preserve"> como </w:t>
      </w:r>
      <w:r w:rsidR="009D5EA7" w:rsidRPr="008F3689">
        <w:rPr>
          <w:rFonts w:ascii="Verdana" w:eastAsia="Verdana" w:hAnsi="Verdana" w:cs="Verdana"/>
          <w:sz w:val="20"/>
        </w:rPr>
        <w:t>tal</w:t>
      </w:r>
      <w:r w:rsidRPr="008F3689">
        <w:rPr>
          <w:rFonts w:ascii="Verdana" w:eastAsia="Verdana" w:hAnsi="Verdana" w:cs="Verdana"/>
          <w:sz w:val="20"/>
          <w:vertAlign w:val="superscript"/>
        </w:rPr>
        <w:footnoteReference w:id="14"/>
      </w:r>
      <w:r w:rsidRPr="008F3689">
        <w:rPr>
          <w:rFonts w:ascii="Verdana" w:eastAsia="Verdana" w:hAnsi="Verdana" w:cs="Verdana"/>
          <w:sz w:val="20"/>
        </w:rPr>
        <w:t>.</w:t>
      </w:r>
      <w:r w:rsidRPr="009D5EA7">
        <w:rPr>
          <w:rFonts w:ascii="Verdana" w:eastAsia="Verdana" w:hAnsi="Verdana" w:cs="Verdana"/>
          <w:sz w:val="20"/>
        </w:rPr>
        <w:t xml:space="preserve"> </w:t>
      </w:r>
    </w:p>
    <w:p w14:paraId="044B3EB9" w14:textId="77777777" w:rsidR="00742242" w:rsidRPr="009D5EA7" w:rsidRDefault="00742242" w:rsidP="000137AC">
      <w:pPr>
        <w:pStyle w:val="Prrafodelista"/>
        <w:ind w:left="0"/>
        <w:jc w:val="both"/>
        <w:rPr>
          <w:rFonts w:ascii="Verdana" w:hAnsi="Verdana"/>
          <w:sz w:val="20"/>
        </w:rPr>
      </w:pPr>
    </w:p>
    <w:p w14:paraId="75D8BFC7" w14:textId="5D500514" w:rsidR="00742242" w:rsidRPr="009D5EA7" w:rsidRDefault="00742242" w:rsidP="00667F79">
      <w:pPr>
        <w:pStyle w:val="Prrafodelista"/>
        <w:numPr>
          <w:ilvl w:val="0"/>
          <w:numId w:val="5"/>
        </w:numPr>
        <w:ind w:left="0" w:firstLine="0"/>
        <w:jc w:val="both"/>
        <w:rPr>
          <w:rFonts w:ascii="Verdana" w:hAnsi="Verdana"/>
          <w:sz w:val="20"/>
        </w:rPr>
      </w:pPr>
      <w:r w:rsidRPr="009D5EA7">
        <w:rPr>
          <w:rFonts w:ascii="Verdana" w:hAnsi="Verdana"/>
          <w:sz w:val="20"/>
        </w:rPr>
        <w:t xml:space="preserve">En el presente caso, la Corte hace notar que </w:t>
      </w:r>
      <w:r w:rsidR="00B47C25" w:rsidRPr="009D5EA7">
        <w:rPr>
          <w:rFonts w:ascii="Verdana" w:hAnsi="Verdana"/>
          <w:sz w:val="20"/>
        </w:rPr>
        <w:t xml:space="preserve">los planteamientos del Estado </w:t>
      </w:r>
      <w:r w:rsidRPr="009D5EA7">
        <w:rPr>
          <w:rFonts w:ascii="Verdana" w:hAnsi="Verdana"/>
          <w:sz w:val="20"/>
        </w:rPr>
        <w:t xml:space="preserve">se refieren al alcance del marco fáctico del presente caso; </w:t>
      </w:r>
      <w:r w:rsidR="000137AC" w:rsidRPr="009D5EA7">
        <w:rPr>
          <w:rFonts w:ascii="Verdana" w:hAnsi="Verdana"/>
          <w:sz w:val="20"/>
        </w:rPr>
        <w:t xml:space="preserve">a </w:t>
      </w:r>
      <w:r w:rsidRPr="009D5EA7">
        <w:rPr>
          <w:rFonts w:ascii="Verdana" w:hAnsi="Verdana"/>
          <w:sz w:val="20"/>
        </w:rPr>
        <w:t xml:space="preserve">cuestionamientos sobre admisibilidad de determinados elementos documentales; </w:t>
      </w:r>
      <w:r w:rsidR="000137AC" w:rsidRPr="009D5EA7">
        <w:rPr>
          <w:rFonts w:ascii="Verdana" w:hAnsi="Verdana"/>
          <w:sz w:val="20"/>
        </w:rPr>
        <w:t xml:space="preserve">a </w:t>
      </w:r>
      <w:r w:rsidRPr="009D5EA7">
        <w:rPr>
          <w:rFonts w:ascii="Verdana" w:hAnsi="Verdana"/>
          <w:sz w:val="20"/>
        </w:rPr>
        <w:t>inconformidad</w:t>
      </w:r>
      <w:r w:rsidR="000137AC" w:rsidRPr="009D5EA7">
        <w:rPr>
          <w:rFonts w:ascii="Verdana" w:hAnsi="Verdana"/>
          <w:sz w:val="20"/>
        </w:rPr>
        <w:t>es suyas</w:t>
      </w:r>
      <w:r w:rsidRPr="009D5EA7">
        <w:rPr>
          <w:rFonts w:ascii="Verdana" w:hAnsi="Verdana"/>
          <w:sz w:val="20"/>
        </w:rPr>
        <w:t xml:space="preserve"> con la caracterización de los h</w:t>
      </w:r>
      <w:r w:rsidR="00B47C25" w:rsidRPr="009D5EA7">
        <w:rPr>
          <w:rFonts w:ascii="Verdana" w:hAnsi="Verdana"/>
          <w:sz w:val="20"/>
        </w:rPr>
        <w:t xml:space="preserve">echos por parte de la Comisión </w:t>
      </w:r>
      <w:r w:rsidRPr="009D5EA7">
        <w:rPr>
          <w:rFonts w:ascii="Verdana" w:hAnsi="Verdana"/>
          <w:sz w:val="20"/>
        </w:rPr>
        <w:t xml:space="preserve">y con </w:t>
      </w:r>
      <w:r w:rsidR="00B47C25" w:rsidRPr="009D5EA7">
        <w:rPr>
          <w:rFonts w:ascii="Verdana" w:hAnsi="Verdana"/>
          <w:sz w:val="20"/>
        </w:rPr>
        <w:t>recomendaciones</w:t>
      </w:r>
      <w:r w:rsidRPr="009D5EA7">
        <w:rPr>
          <w:rFonts w:ascii="Verdana" w:hAnsi="Verdana"/>
          <w:sz w:val="20"/>
        </w:rPr>
        <w:t xml:space="preserve"> de ésta al respecto</w:t>
      </w:r>
      <w:r w:rsidR="000137AC" w:rsidRPr="009D5EA7">
        <w:rPr>
          <w:rFonts w:ascii="Verdana" w:hAnsi="Verdana"/>
          <w:sz w:val="20"/>
        </w:rPr>
        <w:t>; así como a</w:t>
      </w:r>
      <w:r w:rsidRPr="009D5EA7">
        <w:rPr>
          <w:rFonts w:ascii="Verdana" w:hAnsi="Verdana"/>
          <w:sz w:val="20"/>
        </w:rPr>
        <w:t xml:space="preserve"> un alegado error en el litigio por parte del representante legal de la señora Acosta en el proceso penal interno. En esos términos, </w:t>
      </w:r>
      <w:r w:rsidR="000137AC" w:rsidRPr="009D5EA7">
        <w:rPr>
          <w:rFonts w:ascii="Verdana" w:hAnsi="Verdana"/>
          <w:sz w:val="20"/>
        </w:rPr>
        <w:t xml:space="preserve">y de conformidad con </w:t>
      </w:r>
      <w:r w:rsidRPr="009D5EA7">
        <w:rPr>
          <w:rFonts w:ascii="Verdana" w:hAnsi="Verdana"/>
          <w:sz w:val="20"/>
        </w:rPr>
        <w:t xml:space="preserve">su jurisprudencia reiterada, la Corte considera que tales planteamientos no tienen carácter de excepción preliminar, por lo cual los declara improcedentes. Los alegatos del Estado serán resueltos en los capítulos correspondientes de prueba, consideraciones previas, fondo y reparaciones de la presente sentencia, en cuanto ello sea pertinente. </w:t>
      </w:r>
    </w:p>
    <w:p w14:paraId="174235CC" w14:textId="77777777" w:rsidR="00742242" w:rsidRPr="009D5EA7" w:rsidRDefault="00742242" w:rsidP="00742242">
      <w:pPr>
        <w:pStyle w:val="Prrafodelista"/>
        <w:ind w:left="0"/>
        <w:jc w:val="both"/>
        <w:rPr>
          <w:rFonts w:ascii="Verdana" w:hAnsi="Verdana"/>
          <w:sz w:val="20"/>
        </w:rPr>
      </w:pPr>
    </w:p>
    <w:p w14:paraId="6D90303B" w14:textId="0474EEF2" w:rsidR="00742242" w:rsidRPr="009D5EA7" w:rsidRDefault="00742242" w:rsidP="00742242">
      <w:pPr>
        <w:pStyle w:val="Ttulo1"/>
        <w:spacing w:before="0" w:after="0" w:line="240" w:lineRule="auto"/>
        <w:jc w:val="center"/>
        <w:rPr>
          <w:rFonts w:ascii="Verdana" w:hAnsi="Verdana" w:cs="Verdana"/>
          <w:caps/>
          <w:snapToGrid w:val="0"/>
          <w:sz w:val="20"/>
          <w:szCs w:val="20"/>
          <w:lang w:val="es-ES_tradnl" w:eastAsia="es-ES"/>
        </w:rPr>
      </w:pPr>
      <w:bookmarkStart w:id="7" w:name="_Toc476251450"/>
      <w:r w:rsidRPr="009D5EA7">
        <w:rPr>
          <w:rFonts w:ascii="Verdana" w:hAnsi="Verdana" w:cs="Verdana"/>
          <w:caps/>
          <w:snapToGrid w:val="0"/>
          <w:sz w:val="20"/>
          <w:szCs w:val="20"/>
          <w:lang w:val="es-ES_tradnl" w:eastAsia="es-ES"/>
        </w:rPr>
        <w:t>V</w:t>
      </w:r>
      <w:r w:rsidRPr="009D5EA7">
        <w:rPr>
          <w:rFonts w:ascii="Verdana" w:hAnsi="Verdana" w:cs="Verdana"/>
          <w:caps/>
          <w:snapToGrid w:val="0"/>
          <w:sz w:val="20"/>
          <w:szCs w:val="20"/>
          <w:lang w:val="es-ES_tradnl" w:eastAsia="es-ES"/>
        </w:rPr>
        <w:br/>
        <w:t>PRUEBA</w:t>
      </w:r>
      <w:bookmarkEnd w:id="7"/>
    </w:p>
    <w:p w14:paraId="4F973940" w14:textId="77777777" w:rsidR="00742242" w:rsidRPr="009D5EA7" w:rsidRDefault="00742242" w:rsidP="00742242">
      <w:pPr>
        <w:spacing w:after="0" w:line="240" w:lineRule="auto"/>
        <w:jc w:val="center"/>
        <w:rPr>
          <w:rFonts w:ascii="Verdana" w:hAnsi="Verdana" w:cs="Times New Roman"/>
          <w:b/>
          <w:sz w:val="20"/>
          <w:szCs w:val="20"/>
          <w:lang w:val="es-ES_tradnl"/>
        </w:rPr>
      </w:pPr>
    </w:p>
    <w:p w14:paraId="777C22CA" w14:textId="77777777" w:rsidR="00742242" w:rsidRPr="009D5EA7" w:rsidRDefault="00742242" w:rsidP="00667F79">
      <w:pPr>
        <w:pStyle w:val="Ttulo2"/>
        <w:keepLines/>
        <w:numPr>
          <w:ilvl w:val="0"/>
          <w:numId w:val="8"/>
        </w:numPr>
        <w:rPr>
          <w:rFonts w:ascii="Verdana" w:hAnsi="Verdana"/>
          <w:b w:val="0"/>
          <w:i/>
          <w:sz w:val="20"/>
          <w:lang w:val="es-ES_tradnl"/>
        </w:rPr>
      </w:pPr>
      <w:bookmarkStart w:id="8" w:name="_Toc340752582"/>
      <w:bookmarkStart w:id="9" w:name="_Toc476251451"/>
      <w:r w:rsidRPr="009D5EA7">
        <w:rPr>
          <w:rFonts w:ascii="Verdana" w:hAnsi="Verdana"/>
          <w:i/>
          <w:sz w:val="20"/>
          <w:lang w:val="es-ES_tradnl"/>
        </w:rPr>
        <w:t>Prueba documental, testimonial y pericial</w:t>
      </w:r>
      <w:bookmarkEnd w:id="8"/>
      <w:bookmarkEnd w:id="9"/>
    </w:p>
    <w:p w14:paraId="704F97B7" w14:textId="77777777" w:rsidR="00742242" w:rsidRPr="009D5EA7" w:rsidRDefault="00742242" w:rsidP="00742242">
      <w:pPr>
        <w:spacing w:after="0" w:line="240" w:lineRule="auto"/>
        <w:jc w:val="both"/>
        <w:rPr>
          <w:rFonts w:ascii="Verdana" w:hAnsi="Verdana" w:cs="Times New Roman"/>
          <w:b/>
          <w:i/>
          <w:sz w:val="20"/>
          <w:szCs w:val="20"/>
          <w:lang w:val="es-ES_tradnl"/>
        </w:rPr>
      </w:pPr>
    </w:p>
    <w:p w14:paraId="387C3CE5" w14:textId="057C66A6" w:rsidR="00742242" w:rsidRPr="009D5EA7" w:rsidRDefault="00742242" w:rsidP="00667F79">
      <w:pPr>
        <w:pStyle w:val="Prrafodelista"/>
        <w:numPr>
          <w:ilvl w:val="0"/>
          <w:numId w:val="5"/>
        </w:numPr>
        <w:ind w:left="0" w:firstLine="0"/>
        <w:jc w:val="both"/>
        <w:rPr>
          <w:rFonts w:ascii="Verdana" w:hAnsi="Verdana"/>
          <w:sz w:val="20"/>
        </w:rPr>
      </w:pPr>
      <w:r w:rsidRPr="009D5EA7">
        <w:rPr>
          <w:rFonts w:ascii="Verdana" w:hAnsi="Verdana"/>
          <w:sz w:val="20"/>
        </w:rPr>
        <w:t>El Tribunal recibió diversos documentos presentados como prueba por la Comisión y las partes, adju</w:t>
      </w:r>
      <w:r w:rsidR="00283B8D" w:rsidRPr="009D5EA7">
        <w:rPr>
          <w:rFonts w:ascii="Verdana" w:hAnsi="Verdana"/>
          <w:sz w:val="20"/>
        </w:rPr>
        <w:t>ntos a sus escritos principales</w:t>
      </w:r>
      <w:r w:rsidRPr="009D5EA7">
        <w:rPr>
          <w:rFonts w:ascii="Verdana" w:hAnsi="Verdana"/>
          <w:sz w:val="20"/>
        </w:rPr>
        <w:t>,</w:t>
      </w:r>
      <w:r w:rsidR="00283B8D" w:rsidRPr="009D5EA7">
        <w:rPr>
          <w:rFonts w:ascii="Verdana" w:hAnsi="Verdana"/>
          <w:sz w:val="20"/>
        </w:rPr>
        <w:t xml:space="preserve"> así como</w:t>
      </w:r>
      <w:r w:rsidRPr="009D5EA7">
        <w:rPr>
          <w:rFonts w:ascii="Verdana" w:hAnsi="Verdana"/>
          <w:sz w:val="20"/>
        </w:rPr>
        <w:t xml:space="preserve"> las declaraciones por afidávit de </w:t>
      </w:r>
      <w:r w:rsidR="00283B8D" w:rsidRPr="009D5EA7">
        <w:rPr>
          <w:rFonts w:ascii="Verdana" w:hAnsi="Verdana"/>
          <w:sz w:val="20"/>
        </w:rPr>
        <w:t>las presuntas víctimas, testigo y peritos</w:t>
      </w:r>
      <w:r w:rsidR="009E11B4" w:rsidRPr="009D5EA7">
        <w:rPr>
          <w:rFonts w:ascii="Verdana" w:hAnsi="Verdana"/>
          <w:sz w:val="20"/>
        </w:rPr>
        <w:t>,</w:t>
      </w:r>
      <w:r w:rsidR="00283B8D" w:rsidRPr="009D5EA7">
        <w:rPr>
          <w:rFonts w:ascii="Verdana" w:hAnsi="Verdana"/>
          <w:sz w:val="20"/>
        </w:rPr>
        <w:t xml:space="preserve"> </w:t>
      </w:r>
      <w:r w:rsidR="009E11B4" w:rsidRPr="009D5EA7">
        <w:rPr>
          <w:rFonts w:ascii="Verdana" w:hAnsi="Verdana"/>
          <w:sz w:val="20"/>
        </w:rPr>
        <w:t>requeri</w:t>
      </w:r>
      <w:r w:rsidR="00283B8D" w:rsidRPr="009D5EA7">
        <w:rPr>
          <w:rFonts w:ascii="Verdana" w:hAnsi="Verdana"/>
          <w:sz w:val="20"/>
        </w:rPr>
        <w:t>das oportunamente</w:t>
      </w:r>
      <w:r w:rsidR="009E11B4" w:rsidRPr="009D5EA7">
        <w:rPr>
          <w:rFonts w:ascii="Verdana" w:hAnsi="Verdana"/>
          <w:sz w:val="20"/>
        </w:rPr>
        <w:t xml:space="preserve"> por el Presidente (</w:t>
      </w:r>
      <w:r w:rsidR="009E11B4" w:rsidRPr="009D5EA7">
        <w:rPr>
          <w:rFonts w:ascii="Verdana" w:hAnsi="Verdana"/>
          <w:i/>
          <w:sz w:val="20"/>
        </w:rPr>
        <w:t xml:space="preserve">supra </w:t>
      </w:r>
      <w:r w:rsidR="009E11B4" w:rsidRPr="009D5EA7">
        <w:rPr>
          <w:rFonts w:ascii="Verdana" w:hAnsi="Verdana"/>
          <w:sz w:val="20"/>
        </w:rPr>
        <w:t>párr. 10)</w:t>
      </w:r>
      <w:r w:rsidRPr="009D5EA7">
        <w:rPr>
          <w:rFonts w:ascii="Verdana" w:hAnsi="Verdana"/>
          <w:sz w:val="20"/>
        </w:rPr>
        <w:t xml:space="preserve">. </w:t>
      </w:r>
    </w:p>
    <w:p w14:paraId="1138E8F2" w14:textId="77777777" w:rsidR="00742242" w:rsidRPr="009D5EA7" w:rsidRDefault="00742242" w:rsidP="00742242">
      <w:pPr>
        <w:pStyle w:val="Prrafodelista"/>
        <w:ind w:left="0"/>
        <w:jc w:val="both"/>
        <w:rPr>
          <w:rFonts w:ascii="Verdana" w:hAnsi="Verdana"/>
          <w:sz w:val="20"/>
        </w:rPr>
      </w:pPr>
    </w:p>
    <w:p w14:paraId="4F4D57E4" w14:textId="77777777" w:rsidR="00742242" w:rsidRPr="009D5EA7" w:rsidRDefault="00742242" w:rsidP="00667F79">
      <w:pPr>
        <w:pStyle w:val="Ttulo2"/>
        <w:keepLines/>
        <w:numPr>
          <w:ilvl w:val="0"/>
          <w:numId w:val="8"/>
        </w:numPr>
        <w:rPr>
          <w:rFonts w:ascii="Verdana" w:hAnsi="Verdana"/>
          <w:i/>
          <w:sz w:val="20"/>
          <w:lang w:val="es-ES_tradnl"/>
        </w:rPr>
      </w:pPr>
      <w:r w:rsidRPr="009D5EA7">
        <w:rPr>
          <w:rFonts w:ascii="Verdana" w:hAnsi="Verdana"/>
          <w:i/>
          <w:sz w:val="20"/>
          <w:lang w:val="es-ES_tradnl"/>
        </w:rPr>
        <w:t xml:space="preserve"> </w:t>
      </w:r>
      <w:bookmarkStart w:id="10" w:name="_Toc340752583"/>
      <w:bookmarkStart w:id="11" w:name="_Toc476251452"/>
      <w:r w:rsidRPr="009D5EA7">
        <w:rPr>
          <w:rFonts w:ascii="Verdana" w:hAnsi="Verdana"/>
          <w:i/>
          <w:sz w:val="20"/>
          <w:lang w:val="es-ES_tradnl"/>
        </w:rPr>
        <w:t>Admisibilidad de la prueba</w:t>
      </w:r>
      <w:bookmarkEnd w:id="10"/>
      <w:bookmarkEnd w:id="11"/>
    </w:p>
    <w:p w14:paraId="6531A6B5" w14:textId="77777777" w:rsidR="00742242" w:rsidRPr="009D5EA7" w:rsidRDefault="00742242" w:rsidP="00742242">
      <w:pPr>
        <w:spacing w:after="0" w:line="240" w:lineRule="auto"/>
        <w:jc w:val="both"/>
        <w:rPr>
          <w:rFonts w:ascii="Verdana" w:hAnsi="Verdana" w:cs="Times New Roman"/>
          <w:b/>
          <w:i/>
          <w:sz w:val="20"/>
          <w:szCs w:val="20"/>
          <w:lang w:val="es-ES_tradnl"/>
        </w:rPr>
      </w:pPr>
    </w:p>
    <w:p w14:paraId="3CD568A3" w14:textId="77777777" w:rsidR="00742242" w:rsidRPr="009D5EA7" w:rsidRDefault="00742242" w:rsidP="00742242">
      <w:pPr>
        <w:ind w:left="708"/>
        <w:rPr>
          <w:rFonts w:ascii="Verdana" w:hAnsi="Verdana" w:cs="Times New Roman"/>
          <w:b/>
          <w:i/>
          <w:sz w:val="20"/>
          <w:szCs w:val="20"/>
          <w:lang w:val="es-ES_tradnl"/>
        </w:rPr>
      </w:pPr>
      <w:r w:rsidRPr="009D5EA7">
        <w:rPr>
          <w:rFonts w:ascii="Verdana" w:hAnsi="Verdana"/>
          <w:b/>
          <w:i/>
          <w:sz w:val="20"/>
          <w:szCs w:val="20"/>
          <w:lang w:val="es-ES_tradnl"/>
        </w:rPr>
        <w:t>B.1)</w:t>
      </w:r>
      <w:r w:rsidRPr="009D5EA7">
        <w:rPr>
          <w:rFonts w:ascii="Verdana" w:hAnsi="Verdana"/>
          <w:b/>
          <w:i/>
          <w:sz w:val="20"/>
          <w:szCs w:val="20"/>
          <w:lang w:val="es-ES_tradnl"/>
        </w:rPr>
        <w:tab/>
        <w:t xml:space="preserve"> Admisibilidad de la prueba documental</w:t>
      </w:r>
    </w:p>
    <w:p w14:paraId="621C0ADB" w14:textId="7E62DA29" w:rsidR="00742242" w:rsidRPr="009D5EA7" w:rsidRDefault="00742242" w:rsidP="00667F79">
      <w:pPr>
        <w:pStyle w:val="Prrafodelista"/>
        <w:numPr>
          <w:ilvl w:val="0"/>
          <w:numId w:val="5"/>
        </w:numPr>
        <w:ind w:left="0" w:firstLine="0"/>
        <w:jc w:val="both"/>
        <w:rPr>
          <w:rFonts w:ascii="Verdana" w:hAnsi="Verdana"/>
          <w:sz w:val="20"/>
        </w:rPr>
      </w:pPr>
      <w:r w:rsidRPr="009D5EA7">
        <w:rPr>
          <w:rFonts w:ascii="Verdana" w:hAnsi="Verdana"/>
          <w:sz w:val="20"/>
        </w:rPr>
        <w:t>En el presente caso, como en otros, la Corte admite los documentos presentados por las partes y la Comisión cuya admisibilidad no fue controvertida ni objetada</w:t>
      </w:r>
      <w:r w:rsidRPr="009D5EA7">
        <w:rPr>
          <w:rStyle w:val="Refdenotaalpie"/>
          <w:rFonts w:ascii="Verdana" w:hAnsi="Verdana"/>
          <w:sz w:val="20"/>
        </w:rPr>
        <w:footnoteReference w:id="15"/>
      </w:r>
      <w:r w:rsidRPr="009D5EA7">
        <w:rPr>
          <w:rFonts w:ascii="Verdana" w:hAnsi="Verdana"/>
          <w:sz w:val="20"/>
        </w:rPr>
        <w:t>. Sin perjuicio de ello, a continuación se realizan consideraciones puntuales y se resuelven las controversias planteadas sobre la admisibilidad de determinados documentos.</w:t>
      </w:r>
    </w:p>
    <w:p w14:paraId="44FB6C1C" w14:textId="77777777" w:rsidR="002B6402" w:rsidRPr="009D5EA7" w:rsidRDefault="002B6402" w:rsidP="002B6402">
      <w:pPr>
        <w:pStyle w:val="Prrafodelista"/>
        <w:ind w:left="0"/>
        <w:jc w:val="both"/>
        <w:rPr>
          <w:rFonts w:ascii="Verdana" w:hAnsi="Verdana"/>
          <w:sz w:val="20"/>
        </w:rPr>
      </w:pPr>
    </w:p>
    <w:p w14:paraId="1781E809" w14:textId="0D97A6DE" w:rsidR="00F15EE0" w:rsidRPr="009D5EA7" w:rsidRDefault="002B6402" w:rsidP="00667F79">
      <w:pPr>
        <w:pStyle w:val="Prrafodelista"/>
        <w:numPr>
          <w:ilvl w:val="0"/>
          <w:numId w:val="5"/>
        </w:numPr>
        <w:ind w:left="0" w:firstLine="0"/>
        <w:jc w:val="both"/>
        <w:rPr>
          <w:rFonts w:ascii="Verdana" w:hAnsi="Verdana"/>
          <w:sz w:val="20"/>
        </w:rPr>
      </w:pPr>
      <w:r w:rsidRPr="009D5EA7">
        <w:rPr>
          <w:rFonts w:ascii="Verdana" w:hAnsi="Verdana"/>
          <w:sz w:val="20"/>
        </w:rPr>
        <w:t xml:space="preserve">En su excepción preliminar, el Estado solicitó a la Corte no tomar en cuenta fotocopias de noticias y/o estados de opiniones publicados en algunos medios de comunicación, aportados por los representantes y reseñados por la Comisión, por considerarlos “subjetivas y parcializadas”. </w:t>
      </w:r>
      <w:r w:rsidR="00F15EE0" w:rsidRPr="009D5EA7">
        <w:rPr>
          <w:rFonts w:ascii="Verdana" w:hAnsi="Verdana"/>
          <w:sz w:val="20"/>
        </w:rPr>
        <w:t>En cuanto a las notas de prensa</w:t>
      </w:r>
      <w:r w:rsidR="00813AA8" w:rsidRPr="009D5EA7">
        <w:rPr>
          <w:rFonts w:ascii="Verdana" w:hAnsi="Verdana"/>
          <w:sz w:val="20"/>
        </w:rPr>
        <w:t xml:space="preserve"> aportadas</w:t>
      </w:r>
      <w:r w:rsidR="00F15EE0" w:rsidRPr="009D5EA7">
        <w:rPr>
          <w:rFonts w:ascii="Verdana" w:hAnsi="Verdana"/>
          <w:sz w:val="20"/>
        </w:rPr>
        <w:t>, la Corte</w:t>
      </w:r>
      <w:r w:rsidR="00813AA8" w:rsidRPr="009D5EA7">
        <w:rPr>
          <w:rFonts w:ascii="Verdana" w:hAnsi="Verdana"/>
          <w:sz w:val="20"/>
        </w:rPr>
        <w:t xml:space="preserve"> las admite y </w:t>
      </w:r>
      <w:r w:rsidR="00344E59">
        <w:rPr>
          <w:rFonts w:ascii="Verdana" w:hAnsi="Verdana"/>
          <w:sz w:val="20"/>
        </w:rPr>
        <w:t>las apreciará</w:t>
      </w:r>
      <w:r w:rsidR="00813AA8" w:rsidRPr="009D5EA7">
        <w:rPr>
          <w:rFonts w:ascii="Verdana" w:hAnsi="Verdana"/>
          <w:sz w:val="20"/>
        </w:rPr>
        <w:t xml:space="preserve">, según su jurisprudencia, </w:t>
      </w:r>
      <w:r w:rsidR="00F15EE0" w:rsidRPr="009D5EA7">
        <w:rPr>
          <w:rFonts w:ascii="Verdana" w:hAnsi="Verdana"/>
          <w:sz w:val="20"/>
        </w:rPr>
        <w:t>cuando recojan hechos públicos y notorios o declaraciones de funcionarios del Estado, o cuando corroboren aspectos relacionados con el caso</w:t>
      </w:r>
      <w:r w:rsidR="00F15EE0" w:rsidRPr="009D5EA7">
        <w:rPr>
          <w:rFonts w:ascii="Verdana" w:eastAsia="Batang" w:hAnsi="Verdana" w:cs="Verdana"/>
          <w:sz w:val="20"/>
        </w:rPr>
        <w:t>, siempre que se sea posible constatar su fuente y fecha de publicación</w:t>
      </w:r>
      <w:r w:rsidR="00F15EE0" w:rsidRPr="009D5EA7">
        <w:rPr>
          <w:rStyle w:val="Refdenotaalpie"/>
          <w:rFonts w:ascii="Verdana" w:eastAsia="Batang" w:hAnsi="Verdana" w:cs="Verdana"/>
          <w:sz w:val="20"/>
        </w:rPr>
        <w:footnoteReference w:id="16"/>
      </w:r>
      <w:r w:rsidR="00F15EE0" w:rsidRPr="009D5EA7">
        <w:rPr>
          <w:rFonts w:ascii="Verdana" w:eastAsia="Batang" w:hAnsi="Verdana" w:cs="Verdana"/>
          <w:sz w:val="20"/>
        </w:rPr>
        <w:t>.</w:t>
      </w:r>
      <w:r w:rsidR="00F15EE0" w:rsidRPr="009D5EA7">
        <w:rPr>
          <w:rFonts w:ascii="Verdana" w:eastAsiaTheme="minorHAnsi" w:hAnsi="Verdana"/>
          <w:sz w:val="20"/>
        </w:rPr>
        <w:t xml:space="preserve"> </w:t>
      </w:r>
      <w:r w:rsidR="00813AA8" w:rsidRPr="009D5EA7">
        <w:rPr>
          <w:rFonts w:ascii="Verdana" w:eastAsiaTheme="minorHAnsi" w:hAnsi="Verdana"/>
          <w:sz w:val="20"/>
        </w:rPr>
        <w:t xml:space="preserve"> </w:t>
      </w:r>
    </w:p>
    <w:p w14:paraId="6BBDEE73" w14:textId="77777777" w:rsidR="00F15EE0" w:rsidRPr="009D5EA7" w:rsidRDefault="00F15EE0" w:rsidP="00F15EE0">
      <w:pPr>
        <w:pStyle w:val="Prrafodelista"/>
        <w:ind w:left="0"/>
        <w:jc w:val="both"/>
        <w:rPr>
          <w:rFonts w:ascii="Times New Roman" w:eastAsiaTheme="minorHAnsi" w:hAnsi="Times New Roman"/>
        </w:rPr>
      </w:pPr>
    </w:p>
    <w:p w14:paraId="5B1C4031" w14:textId="2628BEF0" w:rsidR="00F15EE0" w:rsidRPr="009D5EA7" w:rsidRDefault="00F15EE0" w:rsidP="00667F79">
      <w:pPr>
        <w:pStyle w:val="Prrafodelista"/>
        <w:numPr>
          <w:ilvl w:val="0"/>
          <w:numId w:val="5"/>
        </w:numPr>
        <w:ind w:left="0" w:firstLine="0"/>
        <w:jc w:val="both"/>
        <w:rPr>
          <w:rFonts w:ascii="Times New Roman" w:eastAsiaTheme="minorHAnsi" w:hAnsi="Times New Roman"/>
        </w:rPr>
      </w:pPr>
      <w:r w:rsidRPr="009D5EA7">
        <w:rPr>
          <w:rFonts w:ascii="Verdana" w:hAnsi="Verdana"/>
          <w:sz w:val="20"/>
        </w:rPr>
        <w:t xml:space="preserve">Tanto las representantes como el Estado remitieron documentos fuera de la oportunidad procesal para la presentación de prueba documental, la cual, de conformidad con el artículo 57.2 del Reglamento, debe ser presentada, en general, junto con los escritos de sometimiento del caso, de solicitudes y argumentos o de contestación, según corresponda. La Corte recuerda que no es admisible la prueba remitida fuera de </w:t>
      </w:r>
      <w:r w:rsidR="00B608B8" w:rsidRPr="009D5EA7">
        <w:rPr>
          <w:rFonts w:ascii="Verdana" w:hAnsi="Verdana"/>
          <w:sz w:val="20"/>
        </w:rPr>
        <w:t>esas</w:t>
      </w:r>
      <w:r w:rsidRPr="009D5EA7">
        <w:rPr>
          <w:rFonts w:ascii="Verdana" w:hAnsi="Verdana"/>
          <w:sz w:val="20"/>
        </w:rPr>
        <w:t xml:space="preserve"> oportunidades procesales, salvo en las excepciones establecidas en el referi</w:t>
      </w:r>
      <w:r w:rsidR="00F800BF" w:rsidRPr="009D5EA7">
        <w:rPr>
          <w:rFonts w:ascii="Verdana" w:hAnsi="Verdana"/>
          <w:sz w:val="20"/>
        </w:rPr>
        <w:t>do artículo 57.2 del Reglamento (</w:t>
      </w:r>
      <w:r w:rsidRPr="009D5EA7">
        <w:rPr>
          <w:rFonts w:ascii="Verdana" w:hAnsi="Verdana"/>
          <w:sz w:val="20"/>
        </w:rPr>
        <w:t>a saber, fuerza mayor, impedimento grave</w:t>
      </w:r>
      <w:r w:rsidR="00F800BF" w:rsidRPr="009D5EA7">
        <w:rPr>
          <w:rFonts w:ascii="Verdana" w:hAnsi="Verdana"/>
          <w:sz w:val="20"/>
        </w:rPr>
        <w:t>)</w:t>
      </w:r>
      <w:r w:rsidRPr="009D5EA7">
        <w:rPr>
          <w:rFonts w:ascii="Verdana" w:hAnsi="Verdana"/>
          <w:sz w:val="20"/>
        </w:rPr>
        <w:t xml:space="preserve"> o </w:t>
      </w:r>
      <w:r w:rsidR="00F800BF" w:rsidRPr="009D5EA7">
        <w:rPr>
          <w:rFonts w:ascii="Verdana" w:hAnsi="Verdana"/>
          <w:sz w:val="20"/>
        </w:rPr>
        <w:t xml:space="preserve">salvo </w:t>
      </w:r>
      <w:r w:rsidRPr="009D5EA7">
        <w:rPr>
          <w:rFonts w:ascii="Verdana" w:hAnsi="Verdana"/>
          <w:sz w:val="20"/>
        </w:rPr>
        <w:t xml:space="preserve">si se tratare de un hecho </w:t>
      </w:r>
      <w:r w:rsidR="00B608B8" w:rsidRPr="009D5EA7">
        <w:rPr>
          <w:rFonts w:ascii="Verdana" w:hAnsi="Verdana"/>
          <w:sz w:val="20"/>
        </w:rPr>
        <w:t xml:space="preserve">superviniente, es decir, </w:t>
      </w:r>
      <w:r w:rsidRPr="009D5EA7">
        <w:rPr>
          <w:rFonts w:ascii="Verdana" w:hAnsi="Verdana"/>
          <w:sz w:val="20"/>
        </w:rPr>
        <w:t>ocurrido con posterioridad a los citados momentos procesales</w:t>
      </w:r>
      <w:r w:rsidRPr="009D5EA7">
        <w:rPr>
          <w:rFonts w:ascii="Verdana" w:hAnsi="Verdana"/>
          <w:sz w:val="20"/>
          <w:vertAlign w:val="superscript"/>
          <w:lang w:eastAsia="es-ES"/>
        </w:rPr>
        <w:footnoteReference w:id="17"/>
      </w:r>
      <w:r w:rsidRPr="009D5EA7">
        <w:rPr>
          <w:rFonts w:ascii="Verdana" w:hAnsi="Verdana"/>
          <w:sz w:val="20"/>
          <w:lang w:eastAsia="es-ES"/>
        </w:rPr>
        <w:t>.</w:t>
      </w:r>
      <w:r w:rsidRPr="009D5EA7">
        <w:rPr>
          <w:rFonts w:ascii="Times New Roman" w:eastAsiaTheme="minorHAnsi" w:hAnsi="Times New Roman"/>
        </w:rPr>
        <w:t xml:space="preserve"> </w:t>
      </w:r>
    </w:p>
    <w:p w14:paraId="215E1918" w14:textId="77777777" w:rsidR="00A0761E" w:rsidRPr="009D5EA7" w:rsidRDefault="00A0761E" w:rsidP="00A0761E">
      <w:pPr>
        <w:pStyle w:val="Prrafodelista"/>
        <w:ind w:left="0"/>
        <w:jc w:val="both"/>
        <w:rPr>
          <w:rFonts w:ascii="Verdana" w:hAnsi="Verdana"/>
          <w:sz w:val="20"/>
        </w:rPr>
      </w:pPr>
    </w:p>
    <w:p w14:paraId="2A7E4152" w14:textId="0C3E6DD6" w:rsidR="002B6402" w:rsidRPr="009D5EA7" w:rsidRDefault="00F15EE0" w:rsidP="00667F79">
      <w:pPr>
        <w:pStyle w:val="Prrafodelista"/>
        <w:numPr>
          <w:ilvl w:val="0"/>
          <w:numId w:val="5"/>
        </w:numPr>
        <w:ind w:left="0" w:firstLine="0"/>
        <w:jc w:val="both"/>
        <w:rPr>
          <w:rFonts w:ascii="Verdana" w:hAnsi="Verdana"/>
          <w:sz w:val="20"/>
        </w:rPr>
      </w:pPr>
      <w:r w:rsidRPr="009D5EA7">
        <w:rPr>
          <w:rFonts w:ascii="Verdana" w:hAnsi="Verdana"/>
          <w:sz w:val="20"/>
        </w:rPr>
        <w:t>En</w:t>
      </w:r>
      <w:r w:rsidR="00B608B8" w:rsidRPr="009D5EA7">
        <w:rPr>
          <w:rFonts w:ascii="Verdana" w:hAnsi="Verdana"/>
          <w:sz w:val="20"/>
        </w:rPr>
        <w:t xml:space="preserve"> ese sentido, </w:t>
      </w:r>
      <w:r w:rsidR="00344E59" w:rsidRPr="009D5EA7">
        <w:rPr>
          <w:rFonts w:ascii="Verdana" w:hAnsi="Verdana"/>
          <w:sz w:val="20"/>
        </w:rPr>
        <w:t xml:space="preserve">las representantes </w:t>
      </w:r>
      <w:r w:rsidR="00344E59">
        <w:rPr>
          <w:rFonts w:ascii="Verdana" w:hAnsi="Verdana"/>
          <w:sz w:val="20"/>
        </w:rPr>
        <w:t xml:space="preserve">presentaron </w:t>
      </w:r>
      <w:r w:rsidRPr="009D5EA7">
        <w:rPr>
          <w:rFonts w:ascii="Verdana" w:hAnsi="Verdana"/>
          <w:sz w:val="20"/>
        </w:rPr>
        <w:t>dos d</w:t>
      </w:r>
      <w:r w:rsidR="002B6402" w:rsidRPr="009D5EA7">
        <w:rPr>
          <w:rFonts w:ascii="Verdana" w:hAnsi="Verdana"/>
          <w:sz w:val="20"/>
        </w:rPr>
        <w:t xml:space="preserve">ocumentos </w:t>
      </w:r>
      <w:r w:rsidR="00B608B8" w:rsidRPr="009D5EA7">
        <w:rPr>
          <w:rFonts w:ascii="Verdana" w:hAnsi="Verdana"/>
          <w:sz w:val="20"/>
        </w:rPr>
        <w:t xml:space="preserve">durante la </w:t>
      </w:r>
      <w:r w:rsidR="002B6402" w:rsidRPr="009D5EA7">
        <w:rPr>
          <w:rFonts w:ascii="Verdana" w:hAnsi="Verdana"/>
          <w:sz w:val="20"/>
        </w:rPr>
        <w:t>reunión previa a la audiencia</w:t>
      </w:r>
      <w:r w:rsidR="00B608B8" w:rsidRPr="009D5EA7">
        <w:rPr>
          <w:rFonts w:ascii="Verdana" w:hAnsi="Verdana"/>
          <w:sz w:val="20"/>
        </w:rPr>
        <w:t>, referidos a la notificación de decisiones judiciales emitidas en relación con quejas disciplinarias presentadas p</w:t>
      </w:r>
      <w:r w:rsidR="00B408BD" w:rsidRPr="009D5EA7">
        <w:rPr>
          <w:rFonts w:ascii="Verdana" w:hAnsi="Verdana"/>
          <w:sz w:val="20"/>
        </w:rPr>
        <w:t>or la señora Acosta</w:t>
      </w:r>
      <w:r w:rsidR="00344E59">
        <w:rPr>
          <w:rFonts w:ascii="Verdana" w:hAnsi="Verdana"/>
          <w:sz w:val="20"/>
        </w:rPr>
        <w:t>. Al respecto</w:t>
      </w:r>
      <w:r w:rsidR="00B408BD" w:rsidRPr="009D5EA7">
        <w:rPr>
          <w:rFonts w:ascii="Verdana" w:hAnsi="Verdana"/>
          <w:sz w:val="20"/>
        </w:rPr>
        <w:t>, la</w:t>
      </w:r>
      <w:r w:rsidR="00B608B8" w:rsidRPr="009D5EA7">
        <w:rPr>
          <w:rFonts w:ascii="Verdana" w:hAnsi="Verdana"/>
          <w:sz w:val="20"/>
        </w:rPr>
        <w:t xml:space="preserve"> Corte considera que son admisibles en cuanto son sust</w:t>
      </w:r>
      <w:r w:rsidR="004521F8" w:rsidRPr="009D5EA7">
        <w:rPr>
          <w:rFonts w:ascii="Verdana" w:hAnsi="Verdana"/>
          <w:sz w:val="20"/>
        </w:rPr>
        <w:t>ento de hecho</w:t>
      </w:r>
      <w:r w:rsidR="006B5E3F">
        <w:rPr>
          <w:rFonts w:ascii="Verdana" w:hAnsi="Verdana"/>
          <w:sz w:val="20"/>
        </w:rPr>
        <w:t>s</w:t>
      </w:r>
      <w:r w:rsidR="004521F8" w:rsidRPr="009D5EA7">
        <w:rPr>
          <w:rFonts w:ascii="Verdana" w:hAnsi="Verdana"/>
          <w:sz w:val="20"/>
        </w:rPr>
        <w:t xml:space="preserve"> superviniente</w:t>
      </w:r>
      <w:r w:rsidR="006B5E3F">
        <w:rPr>
          <w:rFonts w:ascii="Verdana" w:hAnsi="Verdana"/>
          <w:sz w:val="20"/>
        </w:rPr>
        <w:t>s</w:t>
      </w:r>
      <w:r w:rsidR="004521F8" w:rsidRPr="009D5EA7">
        <w:rPr>
          <w:rFonts w:ascii="Verdana" w:hAnsi="Verdana"/>
          <w:sz w:val="20"/>
        </w:rPr>
        <w:t xml:space="preserve"> respecto de</w:t>
      </w:r>
      <w:r w:rsidR="00B608B8" w:rsidRPr="009D5EA7">
        <w:rPr>
          <w:rFonts w:ascii="Verdana" w:hAnsi="Verdana"/>
          <w:sz w:val="20"/>
        </w:rPr>
        <w:t xml:space="preserve"> hechos que conforman el marco fáctico de este caso</w:t>
      </w:r>
      <w:r w:rsidR="006B5E3F">
        <w:rPr>
          <w:rFonts w:ascii="Verdana" w:hAnsi="Verdana"/>
          <w:sz w:val="20"/>
        </w:rPr>
        <w:t xml:space="preserve"> (</w:t>
      </w:r>
      <w:r w:rsidR="006B5E3F">
        <w:rPr>
          <w:rFonts w:ascii="Verdana" w:hAnsi="Verdana"/>
          <w:i/>
          <w:sz w:val="20"/>
        </w:rPr>
        <w:t xml:space="preserve">infra </w:t>
      </w:r>
      <w:r w:rsidR="006B5E3F">
        <w:rPr>
          <w:rFonts w:ascii="Verdana" w:hAnsi="Verdana"/>
          <w:sz w:val="20"/>
        </w:rPr>
        <w:t>párrs. 123 y 124)</w:t>
      </w:r>
      <w:r w:rsidR="002B6402" w:rsidRPr="009D5EA7">
        <w:rPr>
          <w:rFonts w:ascii="Verdana" w:hAnsi="Verdana"/>
          <w:sz w:val="20"/>
        </w:rPr>
        <w:t>.</w:t>
      </w:r>
      <w:r w:rsidR="00B608B8" w:rsidRPr="009D5EA7">
        <w:rPr>
          <w:rFonts w:ascii="Verdana" w:hAnsi="Verdana"/>
          <w:sz w:val="20"/>
        </w:rPr>
        <w:t xml:space="preserve"> En cuanto a un documento aportado por el Estado como a</w:t>
      </w:r>
      <w:r w:rsidR="002B6402" w:rsidRPr="009D5EA7">
        <w:rPr>
          <w:rFonts w:ascii="Verdana" w:hAnsi="Verdana"/>
          <w:sz w:val="20"/>
        </w:rPr>
        <w:t xml:space="preserve">nexo </w:t>
      </w:r>
      <w:r w:rsidR="00B608B8" w:rsidRPr="009D5EA7">
        <w:rPr>
          <w:rFonts w:ascii="Verdana" w:hAnsi="Verdana"/>
          <w:sz w:val="20"/>
        </w:rPr>
        <w:t>a sus a</w:t>
      </w:r>
      <w:r w:rsidR="002B6402" w:rsidRPr="009D5EA7">
        <w:rPr>
          <w:rFonts w:ascii="Verdana" w:hAnsi="Verdana"/>
          <w:sz w:val="20"/>
        </w:rPr>
        <w:t xml:space="preserve">legatos </w:t>
      </w:r>
      <w:r w:rsidR="00B608B8" w:rsidRPr="009D5EA7">
        <w:rPr>
          <w:rFonts w:ascii="Verdana" w:hAnsi="Verdana"/>
          <w:sz w:val="20"/>
        </w:rPr>
        <w:t>f</w:t>
      </w:r>
      <w:r w:rsidR="002B6402" w:rsidRPr="009D5EA7">
        <w:rPr>
          <w:rFonts w:ascii="Verdana" w:hAnsi="Verdana"/>
          <w:sz w:val="20"/>
        </w:rPr>
        <w:t>inales</w:t>
      </w:r>
      <w:r w:rsidR="00B608B8" w:rsidRPr="009D5EA7">
        <w:rPr>
          <w:rStyle w:val="Refdenotaalpie"/>
          <w:rFonts w:ascii="Verdana" w:hAnsi="Verdana"/>
          <w:sz w:val="20"/>
        </w:rPr>
        <w:footnoteReference w:id="18"/>
      </w:r>
      <w:r w:rsidR="00B608B8" w:rsidRPr="009D5EA7">
        <w:rPr>
          <w:rFonts w:ascii="Verdana" w:hAnsi="Verdana"/>
          <w:sz w:val="20"/>
        </w:rPr>
        <w:t xml:space="preserve">, la Corte lo admite en tanto fue presentado como respuesta a una pregunta de los jueces durante la audiencia. Respecto de este documento, las </w:t>
      </w:r>
      <w:r w:rsidR="00B608B8" w:rsidRPr="009D5EA7">
        <w:rPr>
          <w:rFonts w:ascii="Verdana" w:hAnsi="Verdana"/>
          <w:sz w:val="20"/>
        </w:rPr>
        <w:lastRenderedPageBreak/>
        <w:t>r</w:t>
      </w:r>
      <w:r w:rsidR="002B6402" w:rsidRPr="009D5EA7">
        <w:rPr>
          <w:rFonts w:ascii="Verdana" w:hAnsi="Verdana"/>
          <w:sz w:val="20"/>
        </w:rPr>
        <w:t xml:space="preserve">epresentantes presentaron observaciones </w:t>
      </w:r>
      <w:r w:rsidR="00B608B8" w:rsidRPr="009D5EA7">
        <w:rPr>
          <w:rFonts w:ascii="Verdana" w:hAnsi="Verdana"/>
          <w:sz w:val="20"/>
        </w:rPr>
        <w:t>y un documento</w:t>
      </w:r>
      <w:r w:rsidR="00B608B8" w:rsidRPr="009D5EA7">
        <w:rPr>
          <w:rStyle w:val="Refdenotaalpie"/>
          <w:rFonts w:ascii="Verdana" w:hAnsi="Verdana"/>
          <w:sz w:val="20"/>
        </w:rPr>
        <w:footnoteReference w:id="19"/>
      </w:r>
      <w:r w:rsidR="00B608B8" w:rsidRPr="009D5EA7">
        <w:rPr>
          <w:rFonts w:ascii="Verdana" w:hAnsi="Verdana"/>
          <w:sz w:val="20"/>
        </w:rPr>
        <w:t xml:space="preserve"> </w:t>
      </w:r>
      <w:r w:rsidR="002B6402" w:rsidRPr="009D5EA7">
        <w:rPr>
          <w:rFonts w:ascii="Verdana" w:hAnsi="Verdana"/>
          <w:sz w:val="20"/>
        </w:rPr>
        <w:t xml:space="preserve">en relación con otro caso tramitado ante la Comisión o con otros hechos, los cuales exceden el </w:t>
      </w:r>
      <w:r w:rsidR="00B608B8" w:rsidRPr="009D5EA7">
        <w:rPr>
          <w:rFonts w:ascii="Verdana" w:hAnsi="Verdana"/>
          <w:sz w:val="20"/>
        </w:rPr>
        <w:t>objeto del presente caso, por lo cual el Tribunal</w:t>
      </w:r>
      <w:r w:rsidR="002B6402" w:rsidRPr="009D5EA7">
        <w:rPr>
          <w:rFonts w:ascii="Verdana" w:hAnsi="Verdana"/>
          <w:sz w:val="20"/>
        </w:rPr>
        <w:t xml:space="preserve"> no se pronuncia</w:t>
      </w:r>
      <w:r w:rsidR="00B608B8" w:rsidRPr="009D5EA7">
        <w:rPr>
          <w:rFonts w:ascii="Verdana" w:hAnsi="Verdana"/>
          <w:sz w:val="20"/>
        </w:rPr>
        <w:t>rá</w:t>
      </w:r>
      <w:r w:rsidR="002B6402" w:rsidRPr="009D5EA7">
        <w:rPr>
          <w:rFonts w:ascii="Verdana" w:hAnsi="Verdana"/>
          <w:sz w:val="20"/>
        </w:rPr>
        <w:t xml:space="preserve"> al respecto</w:t>
      </w:r>
      <w:r w:rsidR="004521F8" w:rsidRPr="009D5EA7">
        <w:rPr>
          <w:rFonts w:ascii="Verdana" w:hAnsi="Verdana"/>
          <w:sz w:val="20"/>
        </w:rPr>
        <w:t xml:space="preserve">, ni admite </w:t>
      </w:r>
      <w:r w:rsidR="00DE5E1F" w:rsidRPr="009D5EA7">
        <w:rPr>
          <w:rFonts w:ascii="Verdana" w:hAnsi="Verdana"/>
          <w:sz w:val="20"/>
        </w:rPr>
        <w:t>este</w:t>
      </w:r>
      <w:r w:rsidR="004521F8" w:rsidRPr="009D5EA7">
        <w:rPr>
          <w:rFonts w:ascii="Verdana" w:hAnsi="Verdana"/>
          <w:sz w:val="20"/>
        </w:rPr>
        <w:t xml:space="preserve"> documento</w:t>
      </w:r>
      <w:r w:rsidR="002B6402" w:rsidRPr="009D5EA7">
        <w:rPr>
          <w:rFonts w:ascii="Verdana" w:hAnsi="Verdana"/>
          <w:sz w:val="20"/>
        </w:rPr>
        <w:t>.</w:t>
      </w:r>
      <w:r w:rsidR="00B608B8" w:rsidRPr="009D5EA7">
        <w:rPr>
          <w:rFonts w:ascii="Verdana" w:hAnsi="Verdana"/>
          <w:sz w:val="20"/>
        </w:rPr>
        <w:t xml:space="preserve"> </w:t>
      </w:r>
      <w:r w:rsidR="002B6402" w:rsidRPr="009D5EA7">
        <w:rPr>
          <w:rFonts w:ascii="Verdana" w:hAnsi="Verdana"/>
          <w:sz w:val="20"/>
        </w:rPr>
        <w:t xml:space="preserve"> </w:t>
      </w:r>
    </w:p>
    <w:p w14:paraId="6874E7DC" w14:textId="77777777" w:rsidR="00742242" w:rsidRPr="009D5EA7" w:rsidRDefault="00742242" w:rsidP="00742242">
      <w:pPr>
        <w:spacing w:after="0" w:line="240" w:lineRule="auto"/>
        <w:jc w:val="both"/>
        <w:rPr>
          <w:rFonts w:ascii="Verdana" w:hAnsi="Verdana" w:cs="Times New Roman"/>
          <w:sz w:val="20"/>
          <w:szCs w:val="20"/>
          <w:lang w:val="es-ES_tradnl"/>
        </w:rPr>
      </w:pPr>
    </w:p>
    <w:p w14:paraId="67EFC78C" w14:textId="77777777" w:rsidR="00742242" w:rsidRPr="009D5EA7" w:rsidRDefault="00742242" w:rsidP="00742242">
      <w:pPr>
        <w:ind w:firstLine="708"/>
        <w:rPr>
          <w:rFonts w:ascii="Verdana" w:hAnsi="Verdana"/>
          <w:b/>
          <w:i/>
          <w:sz w:val="20"/>
          <w:szCs w:val="20"/>
          <w:lang w:val="es-ES_tradnl"/>
        </w:rPr>
      </w:pPr>
      <w:r w:rsidRPr="009D5EA7">
        <w:rPr>
          <w:rFonts w:ascii="Verdana" w:hAnsi="Verdana"/>
          <w:b/>
          <w:i/>
          <w:sz w:val="20"/>
          <w:szCs w:val="20"/>
          <w:lang w:val="es-ES_tradnl"/>
        </w:rPr>
        <w:t>B.2)</w:t>
      </w:r>
      <w:r w:rsidRPr="009D5EA7">
        <w:rPr>
          <w:rFonts w:ascii="Verdana" w:hAnsi="Verdana"/>
          <w:b/>
          <w:i/>
          <w:sz w:val="20"/>
          <w:szCs w:val="20"/>
          <w:lang w:val="es-ES_tradnl"/>
        </w:rPr>
        <w:tab/>
        <w:t xml:space="preserve"> Admisibilidad de la prueba testimonial y pericial</w:t>
      </w:r>
    </w:p>
    <w:p w14:paraId="3CFA60AF" w14:textId="29C3F09F" w:rsidR="00742242" w:rsidRPr="009D5EA7" w:rsidRDefault="00742242" w:rsidP="00667F79">
      <w:pPr>
        <w:pStyle w:val="Prrafodelista"/>
        <w:numPr>
          <w:ilvl w:val="0"/>
          <w:numId w:val="5"/>
        </w:numPr>
        <w:ind w:left="0" w:firstLine="0"/>
        <w:jc w:val="both"/>
        <w:rPr>
          <w:rFonts w:ascii="Verdana" w:hAnsi="Verdana"/>
          <w:sz w:val="20"/>
        </w:rPr>
      </w:pPr>
      <w:r w:rsidRPr="009D5EA7">
        <w:rPr>
          <w:rFonts w:ascii="Verdana" w:hAnsi="Verdana"/>
          <w:sz w:val="20"/>
        </w:rPr>
        <w:t>En cuanto a las declaraciones rendidas ante fedatario público y evacuadas durante la audiencia pública, la Corte las admite en cuanto se ajusten al objeto definido por el Presidente del Tribunal en la Resolución que ordenó recibirlas y al objeto del presente caso.</w:t>
      </w:r>
      <w:r w:rsidR="008A5DC9" w:rsidRPr="009D5EA7">
        <w:rPr>
          <w:rFonts w:ascii="Verdana" w:hAnsi="Verdana"/>
          <w:sz w:val="20"/>
        </w:rPr>
        <w:t xml:space="preserve"> </w:t>
      </w:r>
      <w:r w:rsidRPr="009D5EA7">
        <w:rPr>
          <w:rFonts w:ascii="Verdana" w:hAnsi="Verdana"/>
          <w:sz w:val="20"/>
        </w:rPr>
        <w:t xml:space="preserve">En cuanto a las observaciones del </w:t>
      </w:r>
      <w:r w:rsidR="008A5DC9" w:rsidRPr="009D5EA7">
        <w:rPr>
          <w:rFonts w:ascii="Verdana" w:hAnsi="Verdana"/>
          <w:sz w:val="20"/>
        </w:rPr>
        <w:t xml:space="preserve">Estado </w:t>
      </w:r>
      <w:r w:rsidRPr="009D5EA7">
        <w:rPr>
          <w:rFonts w:ascii="Verdana" w:hAnsi="Verdana"/>
          <w:sz w:val="20"/>
        </w:rPr>
        <w:t xml:space="preserve">sobre </w:t>
      </w:r>
      <w:r w:rsidR="008A5DC9" w:rsidRPr="009D5EA7">
        <w:rPr>
          <w:rFonts w:ascii="Verdana" w:hAnsi="Verdana"/>
          <w:sz w:val="20"/>
        </w:rPr>
        <w:t>las declaraciones de las presuntas víctimas y testigo y sobre los dictá</w:t>
      </w:r>
      <w:r w:rsidRPr="009D5EA7">
        <w:rPr>
          <w:rFonts w:ascii="Verdana" w:hAnsi="Verdana"/>
          <w:sz w:val="20"/>
        </w:rPr>
        <w:t>men</w:t>
      </w:r>
      <w:r w:rsidR="008A5DC9" w:rsidRPr="009D5EA7">
        <w:rPr>
          <w:rFonts w:ascii="Verdana" w:hAnsi="Verdana"/>
          <w:sz w:val="20"/>
        </w:rPr>
        <w:t>es de peritos</w:t>
      </w:r>
      <w:r w:rsidRPr="009D5EA7">
        <w:rPr>
          <w:rFonts w:ascii="Verdana" w:hAnsi="Verdana"/>
          <w:sz w:val="20"/>
        </w:rPr>
        <w:t xml:space="preserve">, </w:t>
      </w:r>
      <w:r w:rsidR="008A5DC9" w:rsidRPr="009D5EA7">
        <w:rPr>
          <w:rFonts w:ascii="Verdana" w:hAnsi="Verdana"/>
          <w:sz w:val="20"/>
        </w:rPr>
        <w:t xml:space="preserve">el </w:t>
      </w:r>
      <w:r w:rsidRPr="009D5EA7">
        <w:rPr>
          <w:rFonts w:ascii="Verdana" w:hAnsi="Verdana"/>
          <w:sz w:val="20"/>
        </w:rPr>
        <w:t xml:space="preserve">Tribunal nota que versan sobre el contenido </w:t>
      </w:r>
      <w:r w:rsidR="008A5DC9" w:rsidRPr="009D5EA7">
        <w:rPr>
          <w:rFonts w:ascii="Verdana" w:hAnsi="Verdana"/>
          <w:sz w:val="20"/>
        </w:rPr>
        <w:t>de los mismos</w:t>
      </w:r>
      <w:r w:rsidRPr="009D5EA7">
        <w:rPr>
          <w:rFonts w:ascii="Verdana" w:hAnsi="Verdana"/>
          <w:sz w:val="20"/>
        </w:rPr>
        <w:t xml:space="preserve"> y, por ende, pueden impactar en la valoración de su peso probatorio, pero no afectan su admisibilidad</w:t>
      </w:r>
      <w:r w:rsidRPr="009D5EA7">
        <w:rPr>
          <w:rStyle w:val="Refdenotaalpie"/>
          <w:rFonts w:ascii="Verdana" w:hAnsi="Verdana"/>
          <w:sz w:val="20"/>
        </w:rPr>
        <w:footnoteReference w:id="20"/>
      </w:r>
      <w:r w:rsidRPr="009D5EA7">
        <w:rPr>
          <w:rFonts w:ascii="Verdana" w:hAnsi="Verdana"/>
          <w:sz w:val="20"/>
        </w:rPr>
        <w:t>.</w:t>
      </w:r>
    </w:p>
    <w:p w14:paraId="6C5BE3E7" w14:textId="77777777" w:rsidR="00742242" w:rsidRPr="009D5EA7" w:rsidRDefault="00742242" w:rsidP="00742242">
      <w:pPr>
        <w:pStyle w:val="Prrafodelista"/>
        <w:ind w:left="0"/>
        <w:jc w:val="both"/>
        <w:rPr>
          <w:rFonts w:ascii="Verdana" w:hAnsi="Verdana"/>
          <w:sz w:val="20"/>
        </w:rPr>
      </w:pPr>
    </w:p>
    <w:p w14:paraId="1C42F5F4" w14:textId="77777777" w:rsidR="00742242" w:rsidRPr="009D5EA7" w:rsidRDefault="00742242" w:rsidP="00667F79">
      <w:pPr>
        <w:pStyle w:val="Ttulo2"/>
        <w:keepLines/>
        <w:numPr>
          <w:ilvl w:val="0"/>
          <w:numId w:val="8"/>
        </w:numPr>
        <w:rPr>
          <w:rFonts w:ascii="Verdana" w:hAnsi="Verdana"/>
          <w:b w:val="0"/>
          <w:i/>
          <w:sz w:val="20"/>
          <w:lang w:val="es-ES_tradnl"/>
        </w:rPr>
      </w:pPr>
      <w:r w:rsidRPr="009D5EA7">
        <w:rPr>
          <w:rFonts w:ascii="Verdana" w:hAnsi="Verdana"/>
          <w:i/>
          <w:sz w:val="20"/>
          <w:lang w:val="es-ES_tradnl"/>
        </w:rPr>
        <w:t xml:space="preserve"> </w:t>
      </w:r>
      <w:bookmarkStart w:id="12" w:name="_Toc340752584"/>
      <w:bookmarkStart w:id="13" w:name="_Toc476251453"/>
      <w:r w:rsidRPr="009D5EA7">
        <w:rPr>
          <w:rFonts w:ascii="Verdana" w:hAnsi="Verdana"/>
          <w:i/>
          <w:sz w:val="20"/>
          <w:lang w:val="es-ES_tradnl"/>
        </w:rPr>
        <w:t>Valoración de la prueba</w:t>
      </w:r>
      <w:bookmarkEnd w:id="12"/>
      <w:bookmarkEnd w:id="13"/>
    </w:p>
    <w:p w14:paraId="4FE24DCF" w14:textId="77777777" w:rsidR="00742242" w:rsidRPr="009D5EA7" w:rsidRDefault="00742242" w:rsidP="00742242">
      <w:pPr>
        <w:spacing w:after="0" w:line="240" w:lineRule="auto"/>
        <w:jc w:val="both"/>
        <w:rPr>
          <w:rFonts w:ascii="Verdana" w:hAnsi="Verdana" w:cs="Times New Roman"/>
          <w:b/>
          <w:sz w:val="20"/>
          <w:szCs w:val="20"/>
          <w:lang w:val="es-ES_tradnl"/>
        </w:rPr>
      </w:pPr>
    </w:p>
    <w:p w14:paraId="37CFD292" w14:textId="67261140" w:rsidR="00742242" w:rsidRPr="009D5EA7" w:rsidRDefault="00742242" w:rsidP="00667F79">
      <w:pPr>
        <w:pStyle w:val="Prrafodelista"/>
        <w:numPr>
          <w:ilvl w:val="0"/>
          <w:numId w:val="5"/>
        </w:numPr>
        <w:ind w:left="0" w:firstLine="0"/>
        <w:jc w:val="both"/>
        <w:rPr>
          <w:rFonts w:ascii="Verdana" w:hAnsi="Verdana"/>
          <w:sz w:val="20"/>
        </w:rPr>
      </w:pPr>
      <w:r w:rsidRPr="009D5EA7">
        <w:rPr>
          <w:rFonts w:ascii="Verdana" w:hAnsi="Verdana"/>
          <w:sz w:val="20"/>
        </w:rPr>
        <w:t xml:space="preserve">De acuerdo con lo establecido en los artículos 46, 47, 48, 50, 51, 57 y 58 del Reglamento, así como en </w:t>
      </w:r>
      <w:r w:rsidR="004521F8" w:rsidRPr="009D5EA7">
        <w:rPr>
          <w:rFonts w:ascii="Verdana" w:hAnsi="Verdana"/>
          <w:sz w:val="20"/>
        </w:rPr>
        <w:t>la</w:t>
      </w:r>
      <w:r w:rsidRPr="009D5EA7">
        <w:rPr>
          <w:rFonts w:ascii="Verdana" w:hAnsi="Verdana"/>
          <w:sz w:val="20"/>
        </w:rPr>
        <w:t xml:space="preserve"> jurisprudencia constante en materia de prueba y su apreciación, al establecer los hechos del caso y pronunciarse sobre el fondo la Corte examinará y valorará los elementos probatorios documentales remitidos por las partes y la Comisión en los momentos procesales oportunos,</w:t>
      </w:r>
      <w:r w:rsidR="004521F8" w:rsidRPr="009D5EA7">
        <w:rPr>
          <w:rFonts w:ascii="Verdana" w:hAnsi="Verdana"/>
          <w:sz w:val="20"/>
        </w:rPr>
        <w:t xml:space="preserve"> así como</w:t>
      </w:r>
      <w:r w:rsidRPr="009D5EA7">
        <w:rPr>
          <w:rFonts w:ascii="Verdana" w:hAnsi="Verdana"/>
          <w:sz w:val="20"/>
        </w:rPr>
        <w:t xml:space="preserve"> las declaraciones, dictámenes y testimonios rendidos mediante afidávit y en la audiencia pública. Para ello se sujeta a los principios de la sana crítica, dentro del marco normativo correspondiente</w:t>
      </w:r>
      <w:r w:rsidR="00344E59">
        <w:rPr>
          <w:rFonts w:ascii="Verdana" w:hAnsi="Verdana"/>
          <w:sz w:val="20"/>
        </w:rPr>
        <w:t>,</w:t>
      </w:r>
      <w:r w:rsidRPr="009D5EA7">
        <w:rPr>
          <w:rFonts w:ascii="Verdana" w:hAnsi="Verdana"/>
          <w:sz w:val="20"/>
        </w:rPr>
        <w:t xml:space="preserve"> teniendo en cuenta el conjunto del acervo probatorio y lo alegado en la causa</w:t>
      </w:r>
      <w:r w:rsidRPr="009D5EA7">
        <w:rPr>
          <w:rStyle w:val="Refdenotaalpie"/>
          <w:rFonts w:ascii="Verdana" w:hAnsi="Verdana"/>
          <w:sz w:val="20"/>
        </w:rPr>
        <w:footnoteReference w:id="21"/>
      </w:r>
      <w:r w:rsidRPr="009D5EA7">
        <w:rPr>
          <w:rFonts w:ascii="Verdana" w:hAnsi="Verdana"/>
          <w:sz w:val="20"/>
        </w:rPr>
        <w:t xml:space="preserve">. </w:t>
      </w:r>
      <w:r w:rsidR="004521F8" w:rsidRPr="009D5EA7">
        <w:rPr>
          <w:rFonts w:ascii="Verdana" w:hAnsi="Verdana"/>
          <w:sz w:val="20"/>
        </w:rPr>
        <w:t xml:space="preserve">En cuanto a las declaraciones rendidas por las presuntas víctimas, </w:t>
      </w:r>
      <w:r w:rsidR="007A474D" w:rsidRPr="009D5EA7">
        <w:rPr>
          <w:rFonts w:ascii="Verdana" w:hAnsi="Verdana"/>
          <w:sz w:val="20"/>
        </w:rPr>
        <w:t xml:space="preserve">conforme a </w:t>
      </w:r>
      <w:r w:rsidR="004521F8" w:rsidRPr="009D5EA7">
        <w:rPr>
          <w:rFonts w:ascii="Verdana" w:hAnsi="Verdana"/>
          <w:sz w:val="20"/>
        </w:rPr>
        <w:t xml:space="preserve">su jurisprudencia, el </w:t>
      </w:r>
      <w:r w:rsidR="007A474D" w:rsidRPr="009D5EA7">
        <w:rPr>
          <w:rFonts w:ascii="Verdana" w:hAnsi="Verdana"/>
          <w:sz w:val="20"/>
        </w:rPr>
        <w:t>Tribunal</w:t>
      </w:r>
      <w:r w:rsidR="004521F8" w:rsidRPr="009D5EA7">
        <w:rPr>
          <w:rFonts w:ascii="Verdana" w:hAnsi="Verdana"/>
          <w:sz w:val="20"/>
        </w:rPr>
        <w:t xml:space="preserve"> reitera que </w:t>
      </w:r>
      <w:r w:rsidRPr="009D5EA7">
        <w:rPr>
          <w:rFonts w:ascii="Verdana" w:hAnsi="Verdana"/>
          <w:sz w:val="20"/>
        </w:rPr>
        <w:t xml:space="preserve">pueden ser valoradas </w:t>
      </w:r>
      <w:r w:rsidR="004521F8" w:rsidRPr="009D5EA7">
        <w:rPr>
          <w:rFonts w:ascii="Verdana" w:hAnsi="Verdana"/>
          <w:sz w:val="20"/>
        </w:rPr>
        <w:t xml:space="preserve">en la medida en que pueden proporcionar mayor información sobre las alegadas violaciones y sus consecuencias, pero no </w:t>
      </w:r>
      <w:r w:rsidRPr="009D5EA7">
        <w:rPr>
          <w:rFonts w:ascii="Verdana" w:hAnsi="Verdana"/>
          <w:sz w:val="20"/>
        </w:rPr>
        <w:t>aisladamente sino dentro del conj</w:t>
      </w:r>
      <w:r w:rsidR="004521F8" w:rsidRPr="009D5EA7">
        <w:rPr>
          <w:rFonts w:ascii="Verdana" w:hAnsi="Verdana"/>
          <w:sz w:val="20"/>
        </w:rPr>
        <w:t>unto de las pruebas del proceso</w:t>
      </w:r>
      <w:r w:rsidRPr="009D5EA7">
        <w:rPr>
          <w:rStyle w:val="Refdenotaalpie"/>
          <w:rFonts w:ascii="Verdana" w:hAnsi="Verdana"/>
          <w:sz w:val="20"/>
        </w:rPr>
        <w:footnoteReference w:id="22"/>
      </w:r>
      <w:r w:rsidRPr="009D5EA7">
        <w:rPr>
          <w:rFonts w:ascii="Verdana" w:hAnsi="Verdana"/>
          <w:sz w:val="20"/>
        </w:rPr>
        <w:t>.</w:t>
      </w:r>
    </w:p>
    <w:p w14:paraId="3ACDF2BF" w14:textId="77777777" w:rsidR="00742242" w:rsidRPr="009D5EA7" w:rsidRDefault="00742242" w:rsidP="00742242">
      <w:pPr>
        <w:pStyle w:val="Prrafodelista"/>
        <w:ind w:left="0"/>
        <w:jc w:val="both"/>
        <w:rPr>
          <w:rFonts w:ascii="Verdana" w:hAnsi="Verdana"/>
          <w:sz w:val="20"/>
        </w:rPr>
      </w:pPr>
    </w:p>
    <w:p w14:paraId="09E65CB6" w14:textId="77777777" w:rsidR="00742242" w:rsidRPr="009D5EA7" w:rsidRDefault="00742242" w:rsidP="00742242">
      <w:pPr>
        <w:pStyle w:val="Prrafodelista"/>
        <w:ind w:left="0"/>
        <w:jc w:val="both"/>
        <w:rPr>
          <w:rFonts w:ascii="Verdana" w:hAnsi="Verdana"/>
          <w:sz w:val="20"/>
        </w:rPr>
      </w:pPr>
    </w:p>
    <w:p w14:paraId="657F64FE" w14:textId="159AFCB2" w:rsidR="00742242" w:rsidRPr="009D5EA7" w:rsidRDefault="00742242" w:rsidP="00742242">
      <w:pPr>
        <w:pStyle w:val="Ttulo1"/>
        <w:spacing w:before="0" w:after="0" w:line="240" w:lineRule="auto"/>
        <w:jc w:val="center"/>
        <w:rPr>
          <w:rFonts w:ascii="Verdana" w:hAnsi="Verdana" w:cs="Verdana"/>
          <w:caps/>
          <w:snapToGrid w:val="0"/>
          <w:sz w:val="20"/>
          <w:szCs w:val="20"/>
          <w:lang w:val="es-ES_tradnl" w:eastAsia="es-ES"/>
        </w:rPr>
      </w:pPr>
      <w:bookmarkStart w:id="14" w:name="_Toc476251454"/>
      <w:r w:rsidRPr="009D5EA7">
        <w:rPr>
          <w:rFonts w:ascii="Verdana" w:hAnsi="Verdana" w:cs="Verdana"/>
          <w:caps/>
          <w:snapToGrid w:val="0"/>
          <w:sz w:val="20"/>
          <w:szCs w:val="20"/>
          <w:lang w:val="es-ES_tradnl" w:eastAsia="es-ES"/>
        </w:rPr>
        <w:t>V</w:t>
      </w:r>
      <w:r w:rsidR="003B4849" w:rsidRPr="009D5EA7">
        <w:rPr>
          <w:rFonts w:ascii="Verdana" w:hAnsi="Verdana" w:cs="Verdana"/>
          <w:caps/>
          <w:snapToGrid w:val="0"/>
          <w:sz w:val="20"/>
          <w:szCs w:val="20"/>
          <w:lang w:val="es-ES_tradnl" w:eastAsia="es-ES"/>
        </w:rPr>
        <w:t>I</w:t>
      </w:r>
      <w:r w:rsidR="00911B07" w:rsidRPr="009D5EA7">
        <w:rPr>
          <w:rFonts w:ascii="Verdana" w:hAnsi="Verdana" w:cs="Verdana"/>
          <w:caps/>
          <w:snapToGrid w:val="0"/>
          <w:sz w:val="20"/>
          <w:szCs w:val="20"/>
          <w:lang w:val="es-ES_tradnl" w:eastAsia="es-ES"/>
        </w:rPr>
        <w:br/>
        <w:t>CONSIDERACIón</w:t>
      </w:r>
      <w:r w:rsidRPr="009D5EA7">
        <w:rPr>
          <w:rFonts w:ascii="Verdana" w:hAnsi="Verdana" w:cs="Verdana"/>
          <w:caps/>
          <w:snapToGrid w:val="0"/>
          <w:sz w:val="20"/>
          <w:szCs w:val="20"/>
          <w:lang w:val="es-ES_tradnl" w:eastAsia="es-ES"/>
        </w:rPr>
        <w:t xml:space="preserve"> PREVIA</w:t>
      </w:r>
      <w:bookmarkEnd w:id="14"/>
    </w:p>
    <w:p w14:paraId="63524AEC" w14:textId="77777777" w:rsidR="00742242" w:rsidRPr="009D5EA7" w:rsidRDefault="00742242" w:rsidP="003B4849">
      <w:pPr>
        <w:pStyle w:val="Prrafodelista"/>
        <w:ind w:left="0"/>
        <w:jc w:val="both"/>
        <w:rPr>
          <w:rFonts w:ascii="Verdana" w:hAnsi="Verdana"/>
          <w:sz w:val="20"/>
        </w:rPr>
      </w:pPr>
    </w:p>
    <w:p w14:paraId="6362E337" w14:textId="6F998DEC" w:rsidR="003B4849" w:rsidRPr="009D5EA7" w:rsidRDefault="003B4849" w:rsidP="00667F79">
      <w:pPr>
        <w:pStyle w:val="Prrafodelista"/>
        <w:numPr>
          <w:ilvl w:val="0"/>
          <w:numId w:val="5"/>
        </w:numPr>
        <w:ind w:left="0" w:firstLine="0"/>
        <w:jc w:val="both"/>
        <w:rPr>
          <w:rFonts w:ascii="Verdana" w:hAnsi="Verdana"/>
          <w:sz w:val="20"/>
        </w:rPr>
      </w:pPr>
      <w:r w:rsidRPr="009D5EA7">
        <w:rPr>
          <w:rFonts w:ascii="Verdana" w:hAnsi="Verdana"/>
          <w:sz w:val="20"/>
        </w:rPr>
        <w:t>En relación con lo planteado por el Estado en forma de excepción preliminar (</w:t>
      </w:r>
      <w:r w:rsidRPr="009D5EA7">
        <w:rPr>
          <w:rFonts w:ascii="Verdana" w:hAnsi="Verdana"/>
          <w:i/>
          <w:sz w:val="20"/>
        </w:rPr>
        <w:t>supra</w:t>
      </w:r>
      <w:r w:rsidRPr="009D5EA7">
        <w:rPr>
          <w:rFonts w:ascii="Verdana" w:hAnsi="Verdana"/>
          <w:sz w:val="20"/>
        </w:rPr>
        <w:t xml:space="preserve"> párr. 16), el Estado alegó que las representantes incorporaron a su escrito temas que no conforman </w:t>
      </w:r>
      <w:r w:rsidR="00344E59">
        <w:rPr>
          <w:rFonts w:ascii="Verdana" w:hAnsi="Verdana"/>
          <w:sz w:val="20"/>
        </w:rPr>
        <w:t xml:space="preserve">el </w:t>
      </w:r>
      <w:r w:rsidRPr="009D5EA7">
        <w:rPr>
          <w:rFonts w:ascii="Verdana" w:hAnsi="Verdana"/>
          <w:sz w:val="20"/>
        </w:rPr>
        <w:t>marco fáctico del presente caso</w:t>
      </w:r>
      <w:r w:rsidR="00F6063A" w:rsidRPr="009D5EA7">
        <w:rPr>
          <w:rStyle w:val="Refdenotaalpie"/>
          <w:rFonts w:ascii="Verdana" w:hAnsi="Verdana"/>
          <w:sz w:val="20"/>
        </w:rPr>
        <w:footnoteReference w:id="23"/>
      </w:r>
      <w:r w:rsidRPr="009D5EA7">
        <w:rPr>
          <w:rFonts w:ascii="Verdana" w:hAnsi="Verdana"/>
          <w:sz w:val="20"/>
        </w:rPr>
        <w:t xml:space="preserve">. </w:t>
      </w:r>
    </w:p>
    <w:p w14:paraId="63B3932A" w14:textId="77777777" w:rsidR="003B4849" w:rsidRPr="009D5EA7" w:rsidRDefault="003B4849" w:rsidP="003B4849">
      <w:pPr>
        <w:pStyle w:val="Prrafodelista"/>
        <w:ind w:left="0"/>
        <w:jc w:val="both"/>
        <w:rPr>
          <w:rFonts w:ascii="Verdana" w:hAnsi="Verdana"/>
          <w:sz w:val="20"/>
        </w:rPr>
      </w:pPr>
    </w:p>
    <w:p w14:paraId="7B219875" w14:textId="146EA2EF" w:rsidR="003B4849" w:rsidRPr="009D5EA7" w:rsidRDefault="003B4849" w:rsidP="00667F79">
      <w:pPr>
        <w:pStyle w:val="Prrafodelista"/>
        <w:numPr>
          <w:ilvl w:val="0"/>
          <w:numId w:val="5"/>
        </w:numPr>
        <w:ind w:left="0" w:firstLine="0"/>
        <w:jc w:val="both"/>
        <w:rPr>
          <w:rFonts w:ascii="Verdana" w:hAnsi="Verdana"/>
          <w:sz w:val="20"/>
        </w:rPr>
      </w:pPr>
      <w:r w:rsidRPr="009D5EA7">
        <w:rPr>
          <w:rFonts w:ascii="Verdana" w:hAnsi="Verdana"/>
          <w:sz w:val="20"/>
        </w:rPr>
        <w:t>Al respecto, las representantes argumentaron que los temas fueron desarrollados en mayor o menor medida durante el proceso penal en la jurisdicción nacional y en</w:t>
      </w:r>
      <w:r w:rsidR="00C05383">
        <w:rPr>
          <w:rFonts w:ascii="Verdana" w:hAnsi="Verdana"/>
          <w:sz w:val="20"/>
        </w:rPr>
        <w:t xml:space="preserve"> la petición ante la Comisión; </w:t>
      </w:r>
      <w:r w:rsidRPr="009D5EA7">
        <w:rPr>
          <w:rFonts w:ascii="Verdana" w:hAnsi="Verdana"/>
          <w:sz w:val="20"/>
        </w:rPr>
        <w:t>que, como representantes, tienen la a</w:t>
      </w:r>
      <w:r w:rsidR="009D5EA7">
        <w:rPr>
          <w:rFonts w:ascii="Verdana" w:hAnsi="Verdana"/>
          <w:sz w:val="20"/>
        </w:rPr>
        <w:t>utonomía y potestad de explicar y</w:t>
      </w:r>
      <w:r w:rsidRPr="009D5EA7">
        <w:rPr>
          <w:rFonts w:ascii="Verdana" w:hAnsi="Verdana"/>
          <w:sz w:val="20"/>
        </w:rPr>
        <w:t xml:space="preserve"> contextualizar hechos relacionados con el </w:t>
      </w:r>
      <w:r w:rsidR="00C05383">
        <w:rPr>
          <w:rFonts w:ascii="Verdana" w:hAnsi="Verdana"/>
          <w:sz w:val="20"/>
        </w:rPr>
        <w:t xml:space="preserve">caso para dimensionarlos mejor; y que incluyeron </w:t>
      </w:r>
      <w:r w:rsidR="00344E59">
        <w:rPr>
          <w:rFonts w:ascii="Verdana" w:hAnsi="Verdana"/>
          <w:sz w:val="20"/>
        </w:rPr>
        <w:t>esos</w:t>
      </w:r>
      <w:r w:rsidRPr="009D5EA7">
        <w:rPr>
          <w:rFonts w:ascii="Verdana" w:hAnsi="Verdana"/>
          <w:sz w:val="20"/>
        </w:rPr>
        <w:t xml:space="preserve"> temas como parte del contexto social, cultural y político en el que se desarrolla la labor de defensora de derechos humanos de la señora Acosta y el asesinato de su esposo, lo cual está </w:t>
      </w:r>
      <w:r w:rsidRPr="009D5EA7">
        <w:rPr>
          <w:rFonts w:ascii="Verdana" w:hAnsi="Verdana"/>
          <w:sz w:val="20"/>
        </w:rPr>
        <w:lastRenderedPageBreak/>
        <w:t>contenido o relaci</w:t>
      </w:r>
      <w:r w:rsidR="00C05383">
        <w:rPr>
          <w:rFonts w:ascii="Verdana" w:hAnsi="Verdana"/>
          <w:sz w:val="20"/>
        </w:rPr>
        <w:t>onado con el Informe de fondo. Además, s</w:t>
      </w:r>
      <w:r w:rsidRPr="009D5EA7">
        <w:rPr>
          <w:rFonts w:ascii="Verdana" w:hAnsi="Verdana"/>
          <w:sz w:val="20"/>
        </w:rPr>
        <w:t>eñalaron que el Estado ha tenido plenas oportunidades de contradecirlos y que, al no hacerlo, los ha aceptado.</w:t>
      </w:r>
    </w:p>
    <w:p w14:paraId="52E2B76A" w14:textId="77777777" w:rsidR="003B4849" w:rsidRPr="009D5EA7" w:rsidRDefault="003B4849" w:rsidP="003B4849">
      <w:pPr>
        <w:pStyle w:val="Prrafodelista"/>
        <w:ind w:left="0"/>
        <w:jc w:val="both"/>
        <w:rPr>
          <w:rFonts w:ascii="Verdana" w:hAnsi="Verdana"/>
          <w:sz w:val="20"/>
        </w:rPr>
      </w:pPr>
    </w:p>
    <w:p w14:paraId="5EA34189" w14:textId="42EB7E1A" w:rsidR="003B4849" w:rsidRPr="009D5EA7" w:rsidRDefault="003B4849" w:rsidP="00667F79">
      <w:pPr>
        <w:pStyle w:val="Prrafodelista"/>
        <w:numPr>
          <w:ilvl w:val="0"/>
          <w:numId w:val="5"/>
        </w:numPr>
        <w:ind w:left="0" w:firstLine="0"/>
        <w:jc w:val="both"/>
        <w:rPr>
          <w:rFonts w:ascii="Verdana" w:hAnsi="Verdana"/>
          <w:sz w:val="20"/>
        </w:rPr>
      </w:pPr>
      <w:r w:rsidRPr="009D5EA7">
        <w:rPr>
          <w:rFonts w:ascii="Verdana" w:hAnsi="Verdana"/>
          <w:sz w:val="20"/>
        </w:rPr>
        <w:t xml:space="preserve">Por su parte, la Comisión notó que los hechos controvertidos por el Estado se encuentran en el apartado de “contexto” del escrito de las representantes, lo cual tiene por objeto aportar elementos para que, conforme a </w:t>
      </w:r>
      <w:r w:rsidR="00344E59">
        <w:rPr>
          <w:rFonts w:ascii="Verdana" w:hAnsi="Verdana"/>
          <w:sz w:val="20"/>
        </w:rPr>
        <w:t>su</w:t>
      </w:r>
      <w:r w:rsidRPr="009D5EA7">
        <w:rPr>
          <w:rFonts w:ascii="Verdana" w:hAnsi="Verdana"/>
          <w:sz w:val="20"/>
        </w:rPr>
        <w:t xml:space="preserve"> práctica</w:t>
      </w:r>
      <w:r w:rsidR="00344E59">
        <w:rPr>
          <w:rFonts w:ascii="Verdana" w:hAnsi="Verdana"/>
          <w:sz w:val="20"/>
        </w:rPr>
        <w:t>,</w:t>
      </w:r>
      <w:r w:rsidRPr="009D5EA7">
        <w:rPr>
          <w:rFonts w:ascii="Verdana" w:hAnsi="Verdana"/>
          <w:sz w:val="20"/>
        </w:rPr>
        <w:t xml:space="preserve"> la Corte analice el contexto en el cual se </w:t>
      </w:r>
      <w:r w:rsidR="00344E59">
        <w:rPr>
          <w:rFonts w:ascii="Verdana" w:hAnsi="Verdana"/>
          <w:sz w:val="20"/>
        </w:rPr>
        <w:t>dieron</w:t>
      </w:r>
      <w:r w:rsidRPr="009D5EA7">
        <w:rPr>
          <w:rFonts w:ascii="Verdana" w:hAnsi="Verdana"/>
          <w:sz w:val="20"/>
        </w:rPr>
        <w:t xml:space="preserve"> los hechos violatorios. </w:t>
      </w:r>
      <w:r w:rsidR="00344E59">
        <w:rPr>
          <w:rFonts w:ascii="Verdana" w:hAnsi="Verdana"/>
          <w:sz w:val="20"/>
        </w:rPr>
        <w:t>C</w:t>
      </w:r>
      <w:r w:rsidRPr="009D5EA7">
        <w:rPr>
          <w:rFonts w:ascii="Verdana" w:hAnsi="Verdana"/>
          <w:sz w:val="20"/>
        </w:rPr>
        <w:t xml:space="preserve">onsideró que las representantes presentaron argumentos sobre como tal información </w:t>
      </w:r>
      <w:r w:rsidR="000A4ADA" w:rsidRPr="009D5EA7">
        <w:rPr>
          <w:rFonts w:ascii="Verdana" w:hAnsi="Verdana"/>
          <w:sz w:val="20"/>
        </w:rPr>
        <w:t>hace</w:t>
      </w:r>
      <w:r w:rsidRPr="009D5EA7">
        <w:rPr>
          <w:rFonts w:ascii="Verdana" w:hAnsi="Verdana"/>
          <w:sz w:val="20"/>
        </w:rPr>
        <w:t xml:space="preserve"> parte del marco fáctico del mismo,</w:t>
      </w:r>
      <w:r w:rsidR="000A4ADA" w:rsidRPr="009D5EA7">
        <w:rPr>
          <w:rFonts w:ascii="Verdana" w:hAnsi="Verdana"/>
          <w:sz w:val="20"/>
        </w:rPr>
        <w:t xml:space="preserve"> pues permitiría</w:t>
      </w:r>
      <w:r w:rsidRPr="009D5EA7">
        <w:rPr>
          <w:rFonts w:ascii="Verdana" w:hAnsi="Verdana"/>
          <w:sz w:val="20"/>
        </w:rPr>
        <w:t xml:space="preserve"> a la Corte apreciar la manera en que los hechos representan una situación emblemática de la intimidación y criminalización de defensores de derechos humanos, de la falta de debida diligencia que ocasiona impunidad y del alcance y procedencia de las garantías de no repetición que sean pertinentes para el caso.</w:t>
      </w:r>
    </w:p>
    <w:p w14:paraId="3816116B" w14:textId="77777777" w:rsidR="003B4849" w:rsidRPr="009D5EA7" w:rsidRDefault="003B4849" w:rsidP="000A4ADA">
      <w:pPr>
        <w:pStyle w:val="Prrafodelista"/>
        <w:ind w:left="0"/>
        <w:jc w:val="both"/>
        <w:rPr>
          <w:rFonts w:ascii="Verdana" w:hAnsi="Verdana"/>
          <w:sz w:val="20"/>
        </w:rPr>
      </w:pPr>
    </w:p>
    <w:p w14:paraId="41A6F7E2" w14:textId="324F1DBE" w:rsidR="003B4849" w:rsidRPr="009D5EA7" w:rsidRDefault="003B4849" w:rsidP="00667F79">
      <w:pPr>
        <w:pStyle w:val="Prrafodelista"/>
        <w:numPr>
          <w:ilvl w:val="0"/>
          <w:numId w:val="5"/>
        </w:numPr>
        <w:ind w:left="0" w:firstLine="0"/>
        <w:jc w:val="both"/>
        <w:rPr>
          <w:rFonts w:ascii="Verdana" w:hAnsi="Verdana" w:cs="Verdana"/>
          <w:spacing w:val="-2"/>
          <w:sz w:val="20"/>
        </w:rPr>
      </w:pPr>
      <w:r w:rsidRPr="009D5EA7">
        <w:rPr>
          <w:rFonts w:ascii="Verdana" w:hAnsi="Verdana"/>
          <w:sz w:val="20"/>
        </w:rPr>
        <w:t>El marco fáctico del proceso ante la Corte se encuentra constituido por los hechos contenidos en el Informe de Fondo sometidos a su consideración. En consecuencia, no es admisible que las partes aleguen nuevos hechos distintos de los contenidos en dicho informe, sin perjuicio de exponer aquellos que permitan explicar, aclarar o desestimar los que hayan sido mencionados en el mismo y hayan sido sometidos a consideración de la Corte</w:t>
      </w:r>
      <w:r w:rsidRPr="009D5EA7">
        <w:rPr>
          <w:rFonts w:ascii="Verdana" w:hAnsi="Verdana"/>
          <w:spacing w:val="-2"/>
          <w:sz w:val="20"/>
          <w:lang w:eastAsia="es-CR"/>
        </w:rPr>
        <w:t xml:space="preserve">. </w:t>
      </w:r>
      <w:r w:rsidRPr="009D5EA7">
        <w:rPr>
          <w:rFonts w:ascii="Verdana" w:hAnsi="Verdana" w:cs="Arial"/>
          <w:sz w:val="20"/>
        </w:rPr>
        <w:t>La excepción a este principio son los hechos que se califican como supervinientes o cuando se tenga conocimiento de</w:t>
      </w:r>
      <w:r w:rsidR="00AA7AEA">
        <w:rPr>
          <w:rFonts w:ascii="Verdana" w:hAnsi="Verdana" w:cs="Arial"/>
          <w:sz w:val="20"/>
        </w:rPr>
        <w:t xml:space="preserve"> esos</w:t>
      </w:r>
      <w:r w:rsidRPr="009D5EA7">
        <w:rPr>
          <w:rFonts w:ascii="Verdana" w:hAnsi="Verdana" w:cs="Arial"/>
          <w:sz w:val="20"/>
        </w:rPr>
        <w:t xml:space="preserve"> hechos o acceso a las pruebas sobre los mismos con posterioridad, siempre que se encuentren ligados a los hechos del proceso</w:t>
      </w:r>
      <w:r w:rsidR="00764F62" w:rsidRPr="009D5EA7">
        <w:rPr>
          <w:rFonts w:ascii="Verdana" w:hAnsi="Verdana"/>
          <w:spacing w:val="-2"/>
          <w:sz w:val="20"/>
          <w:vertAlign w:val="superscript"/>
          <w:lang w:eastAsia="es-CR"/>
        </w:rPr>
        <w:footnoteReference w:id="24"/>
      </w:r>
      <w:r w:rsidRPr="009D5EA7">
        <w:rPr>
          <w:rFonts w:ascii="Verdana" w:hAnsi="Verdana" w:cs="Arial"/>
          <w:sz w:val="20"/>
        </w:rPr>
        <w:t>. Asimismo, las presuntas víctimas y sus representantes pueden invocar la violación de otros derechos distintos a los comprendidos en el Informe de Fondo, siempre y cuando se atengan a los hecho</w:t>
      </w:r>
      <w:r w:rsidR="00D27FD8" w:rsidRPr="009D5EA7">
        <w:rPr>
          <w:rFonts w:ascii="Verdana" w:hAnsi="Verdana" w:cs="Arial"/>
          <w:sz w:val="20"/>
        </w:rPr>
        <w:t>s contenidos en dicho documento</w:t>
      </w:r>
      <w:r w:rsidRPr="009D5EA7">
        <w:rPr>
          <w:rFonts w:ascii="Verdana" w:hAnsi="Verdana" w:cs="Verdana"/>
          <w:spacing w:val="-2"/>
          <w:sz w:val="20"/>
          <w:vertAlign w:val="superscript"/>
        </w:rPr>
        <w:footnoteReference w:id="25"/>
      </w:r>
      <w:r w:rsidRPr="009D5EA7">
        <w:rPr>
          <w:rFonts w:ascii="Verdana" w:hAnsi="Verdana" w:cs="Verdana"/>
          <w:spacing w:val="-2"/>
          <w:sz w:val="20"/>
        </w:rPr>
        <w:t>.</w:t>
      </w:r>
      <w:r w:rsidRPr="009D5EA7">
        <w:rPr>
          <w:rFonts w:ascii="Verdana" w:hAnsi="Verdana" w:cs="Arial"/>
          <w:sz w:val="20"/>
        </w:rPr>
        <w:t xml:space="preserve"> En definitiva, corresponde a la Corte decidir en cada caso acerca de la procedencia de alegatos relativos al marco fáctico en resguardo del equilibrio procesal de las partes</w:t>
      </w:r>
      <w:r w:rsidRPr="009D5EA7">
        <w:rPr>
          <w:rFonts w:ascii="Verdana" w:hAnsi="Verdana" w:cs="Verdana"/>
          <w:spacing w:val="-2"/>
          <w:sz w:val="20"/>
          <w:vertAlign w:val="superscript"/>
        </w:rPr>
        <w:footnoteReference w:id="26"/>
      </w:r>
      <w:r w:rsidRPr="009D5EA7">
        <w:rPr>
          <w:rFonts w:ascii="Verdana" w:hAnsi="Verdana" w:cs="Verdana"/>
          <w:spacing w:val="-2"/>
          <w:sz w:val="20"/>
        </w:rPr>
        <w:t>.</w:t>
      </w:r>
    </w:p>
    <w:p w14:paraId="3D8073EA" w14:textId="77777777" w:rsidR="003B4849" w:rsidRPr="009D5EA7" w:rsidRDefault="003B4849" w:rsidP="002834CB">
      <w:pPr>
        <w:pStyle w:val="Prrafodelista"/>
        <w:ind w:left="0"/>
        <w:jc w:val="both"/>
        <w:rPr>
          <w:rFonts w:ascii="Verdana" w:hAnsi="Verdana" w:cs="Arial"/>
          <w:sz w:val="20"/>
        </w:rPr>
      </w:pPr>
    </w:p>
    <w:p w14:paraId="07D122AE" w14:textId="115C06C4" w:rsidR="00F94B9B" w:rsidRPr="00344E59" w:rsidRDefault="003B4849" w:rsidP="00667F79">
      <w:pPr>
        <w:pStyle w:val="Prrafodelista"/>
        <w:numPr>
          <w:ilvl w:val="0"/>
          <w:numId w:val="5"/>
        </w:numPr>
        <w:ind w:left="0" w:firstLine="0"/>
        <w:jc w:val="both"/>
        <w:rPr>
          <w:rFonts w:ascii="Verdana" w:hAnsi="Verdana" w:cs="Arial"/>
          <w:sz w:val="20"/>
        </w:rPr>
      </w:pPr>
      <w:r w:rsidRPr="00344E59">
        <w:rPr>
          <w:rFonts w:ascii="Verdana" w:hAnsi="Verdana" w:cs="Arial"/>
          <w:sz w:val="20"/>
        </w:rPr>
        <w:t xml:space="preserve">Con base en lo anterior, la Corte </w:t>
      </w:r>
      <w:r w:rsidR="00B408BD" w:rsidRPr="00344E59">
        <w:rPr>
          <w:rFonts w:ascii="Verdana" w:hAnsi="Verdana" w:cs="Arial"/>
          <w:sz w:val="20"/>
        </w:rPr>
        <w:t>considera</w:t>
      </w:r>
      <w:r w:rsidR="00C05383" w:rsidRPr="00344E59">
        <w:rPr>
          <w:rFonts w:ascii="Verdana" w:hAnsi="Verdana" w:cs="Arial"/>
          <w:sz w:val="20"/>
        </w:rPr>
        <w:t xml:space="preserve">rá únicamente los hechos </w:t>
      </w:r>
      <w:r w:rsidR="00FA6331" w:rsidRPr="00344E59">
        <w:rPr>
          <w:rFonts w:ascii="Verdana" w:hAnsi="Verdana" w:cs="Arial"/>
          <w:sz w:val="20"/>
        </w:rPr>
        <w:t xml:space="preserve">probados </w:t>
      </w:r>
      <w:r w:rsidR="00C05383" w:rsidRPr="00344E59">
        <w:rPr>
          <w:rFonts w:ascii="Verdana" w:hAnsi="Verdana" w:cs="Arial"/>
          <w:sz w:val="20"/>
        </w:rPr>
        <w:t>que</w:t>
      </w:r>
      <w:r w:rsidR="00FA6331" w:rsidRPr="00344E59">
        <w:rPr>
          <w:rFonts w:ascii="Verdana" w:hAnsi="Verdana" w:cs="Arial"/>
          <w:sz w:val="20"/>
        </w:rPr>
        <w:t xml:space="preserve"> sean</w:t>
      </w:r>
      <w:r w:rsidR="00C05383" w:rsidRPr="00344E59">
        <w:rPr>
          <w:rFonts w:ascii="Verdana" w:hAnsi="Verdana" w:cs="Arial"/>
          <w:sz w:val="20"/>
        </w:rPr>
        <w:t xml:space="preserve"> complementarios </w:t>
      </w:r>
      <w:r w:rsidR="007F401D" w:rsidRPr="00344E59">
        <w:rPr>
          <w:rFonts w:ascii="Verdana" w:hAnsi="Verdana" w:cs="Arial"/>
          <w:sz w:val="20"/>
        </w:rPr>
        <w:t xml:space="preserve">a los </w:t>
      </w:r>
      <w:r w:rsidR="00C05383" w:rsidRPr="00344E59">
        <w:rPr>
          <w:rFonts w:ascii="Verdana" w:hAnsi="Verdana" w:cs="Arial"/>
          <w:sz w:val="20"/>
        </w:rPr>
        <w:t>establecido</w:t>
      </w:r>
      <w:r w:rsidR="007F401D" w:rsidRPr="00344E59">
        <w:rPr>
          <w:rFonts w:ascii="Verdana" w:hAnsi="Verdana" w:cs="Arial"/>
          <w:sz w:val="20"/>
        </w:rPr>
        <w:t>s</w:t>
      </w:r>
      <w:r w:rsidR="00C05383" w:rsidRPr="00344E59">
        <w:rPr>
          <w:rFonts w:ascii="Verdana" w:hAnsi="Verdana" w:cs="Arial"/>
          <w:sz w:val="20"/>
        </w:rPr>
        <w:t xml:space="preserve"> en el marco fáctico del presente caso.</w:t>
      </w:r>
      <w:r w:rsidR="00813AA8" w:rsidRPr="00344E59">
        <w:rPr>
          <w:rFonts w:ascii="Verdana" w:hAnsi="Verdana" w:cs="Arial"/>
          <w:sz w:val="20"/>
        </w:rPr>
        <w:t xml:space="preserve"> </w:t>
      </w:r>
    </w:p>
    <w:p w14:paraId="2942158F" w14:textId="77777777" w:rsidR="009A4633" w:rsidRPr="009D5EA7" w:rsidRDefault="009A4633" w:rsidP="00911B07">
      <w:pPr>
        <w:suppressAutoHyphens/>
        <w:spacing w:after="0" w:line="240" w:lineRule="auto"/>
        <w:jc w:val="both"/>
        <w:rPr>
          <w:rFonts w:ascii="Verdana" w:eastAsia="Times New Roman" w:hAnsi="Verdana" w:cs="Tahoma"/>
          <w:sz w:val="20"/>
          <w:szCs w:val="20"/>
          <w:lang w:val="es-ES_tradnl"/>
        </w:rPr>
      </w:pPr>
    </w:p>
    <w:p w14:paraId="6741EA5C" w14:textId="77777777" w:rsidR="009A4633" w:rsidRPr="009D5EA7" w:rsidRDefault="009A4633" w:rsidP="00911B07">
      <w:pPr>
        <w:suppressAutoHyphens/>
        <w:spacing w:after="0" w:line="240" w:lineRule="auto"/>
        <w:jc w:val="both"/>
        <w:rPr>
          <w:rFonts w:ascii="Verdana" w:eastAsia="Times New Roman" w:hAnsi="Verdana" w:cs="Tahoma"/>
          <w:sz w:val="20"/>
          <w:szCs w:val="20"/>
          <w:lang w:val="es-ES_tradnl"/>
        </w:rPr>
      </w:pPr>
    </w:p>
    <w:p w14:paraId="147FDC01" w14:textId="57F82EE6" w:rsidR="00911B07" w:rsidRPr="009D5EA7" w:rsidRDefault="00911B07" w:rsidP="00911B07">
      <w:pPr>
        <w:pStyle w:val="Ttulo1"/>
        <w:spacing w:before="0" w:after="0" w:line="240" w:lineRule="auto"/>
        <w:jc w:val="center"/>
        <w:rPr>
          <w:rFonts w:ascii="Verdana" w:hAnsi="Verdana" w:cs="Verdana"/>
          <w:b w:val="0"/>
          <w:bCs w:val="0"/>
          <w:caps/>
          <w:snapToGrid w:val="0"/>
          <w:sz w:val="20"/>
          <w:szCs w:val="20"/>
          <w:lang w:val="es-ES_tradnl"/>
        </w:rPr>
      </w:pPr>
      <w:bookmarkStart w:id="15" w:name="_Toc476251455"/>
      <w:r w:rsidRPr="009D5EA7">
        <w:rPr>
          <w:rFonts w:ascii="Verdana" w:hAnsi="Verdana" w:cs="Verdana"/>
          <w:caps/>
          <w:snapToGrid w:val="0"/>
          <w:sz w:val="20"/>
          <w:szCs w:val="20"/>
          <w:lang w:val="es-ES_tradnl" w:eastAsia="es-ES"/>
        </w:rPr>
        <w:t>VI</w:t>
      </w:r>
      <w:r w:rsidR="00FA50D9" w:rsidRPr="009D5EA7">
        <w:rPr>
          <w:rFonts w:ascii="Verdana" w:hAnsi="Verdana" w:cs="Verdana"/>
          <w:caps/>
          <w:snapToGrid w:val="0"/>
          <w:sz w:val="20"/>
          <w:szCs w:val="20"/>
          <w:lang w:val="es-ES_tradnl" w:eastAsia="es-ES"/>
        </w:rPr>
        <w:t>I</w:t>
      </w:r>
      <w:r w:rsidRPr="009D5EA7">
        <w:rPr>
          <w:rFonts w:ascii="Verdana" w:hAnsi="Verdana" w:cs="Verdana"/>
          <w:caps/>
          <w:snapToGrid w:val="0"/>
          <w:sz w:val="20"/>
          <w:szCs w:val="20"/>
          <w:lang w:val="es-ES_tradnl" w:eastAsia="es-ES"/>
        </w:rPr>
        <w:br/>
        <w:t>hechos</w:t>
      </w:r>
      <w:bookmarkEnd w:id="15"/>
      <w:r w:rsidRPr="009D5EA7">
        <w:rPr>
          <w:rFonts w:ascii="Verdana" w:hAnsi="Verdana" w:cs="Verdana"/>
          <w:caps/>
          <w:snapToGrid w:val="0"/>
          <w:sz w:val="20"/>
          <w:szCs w:val="20"/>
          <w:lang w:val="es-ES_tradnl" w:eastAsia="es-ES"/>
        </w:rPr>
        <w:t xml:space="preserve"> </w:t>
      </w:r>
    </w:p>
    <w:p w14:paraId="550F3606" w14:textId="77777777" w:rsidR="009A4633" w:rsidRPr="009D5EA7" w:rsidRDefault="009A4633" w:rsidP="009A4633">
      <w:pPr>
        <w:jc w:val="both"/>
        <w:rPr>
          <w:rFonts w:ascii="Verdana" w:hAnsi="Verdana" w:cs="Arial"/>
          <w:sz w:val="20"/>
          <w:szCs w:val="20"/>
          <w:u w:val="single"/>
          <w:lang w:val="es-ES_tradnl"/>
        </w:rPr>
      </w:pPr>
    </w:p>
    <w:p w14:paraId="439857A6" w14:textId="77777777" w:rsidR="009A4633" w:rsidRPr="009D5EA7" w:rsidRDefault="009A4633" w:rsidP="007A3724">
      <w:pPr>
        <w:pStyle w:val="Prrafodelista"/>
        <w:numPr>
          <w:ilvl w:val="0"/>
          <w:numId w:val="13"/>
        </w:numPr>
        <w:ind w:left="714" w:hanging="357"/>
        <w:jc w:val="both"/>
        <w:rPr>
          <w:rFonts w:ascii="Verdana" w:hAnsi="Verdana" w:cs="Arial"/>
          <w:b/>
          <w:sz w:val="20"/>
        </w:rPr>
      </w:pPr>
      <w:r w:rsidRPr="009D5EA7">
        <w:rPr>
          <w:rFonts w:ascii="Verdana" w:hAnsi="Verdana" w:cs="Arial"/>
          <w:b/>
          <w:sz w:val="20"/>
        </w:rPr>
        <w:t>Sobre la labor de la señora María Luisa Acosta Castellón</w:t>
      </w:r>
    </w:p>
    <w:p w14:paraId="4667627B" w14:textId="77777777" w:rsidR="009A4633" w:rsidRPr="009D5EA7" w:rsidRDefault="009A4633" w:rsidP="009A4633">
      <w:pPr>
        <w:pStyle w:val="Prrafodelista"/>
        <w:ind w:left="1080"/>
        <w:jc w:val="both"/>
        <w:rPr>
          <w:rFonts w:ascii="Verdana" w:hAnsi="Verdana" w:cs="Arial"/>
          <w:b/>
          <w:sz w:val="20"/>
        </w:rPr>
      </w:pPr>
    </w:p>
    <w:p w14:paraId="02B83558" w14:textId="371A9C52"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La señora María Luisa Acosta Castellón es reconocida en foros nacionales e internacionales como abogada defensora de derechos humanos, particularmente en la defensa de derechos de pueblos indígenas en Nicaragua. Es coordinadora del Centro de Asistencia Legal p</w:t>
      </w:r>
      <w:r w:rsidR="00002CB4" w:rsidRPr="009D5EA7">
        <w:rPr>
          <w:rFonts w:ascii="Verdana" w:hAnsi="Verdana" w:cs="Arial"/>
          <w:sz w:val="20"/>
        </w:rPr>
        <w:t>ara Pueblos Indígenas (“CALPI”)</w:t>
      </w:r>
      <w:r w:rsidRPr="009D5EA7">
        <w:rPr>
          <w:rStyle w:val="Refdenotaalpie"/>
          <w:rFonts w:ascii="Verdana" w:hAnsi="Verdana" w:cs="Arial"/>
          <w:sz w:val="20"/>
        </w:rPr>
        <w:footnoteReference w:id="27"/>
      </w:r>
      <w:r w:rsidRPr="009D5EA7">
        <w:rPr>
          <w:rFonts w:ascii="Verdana" w:hAnsi="Verdana" w:cs="Arial"/>
          <w:sz w:val="20"/>
        </w:rPr>
        <w:t xml:space="preserve">. </w:t>
      </w:r>
      <w:r w:rsidRPr="009D5EA7">
        <w:rPr>
          <w:rFonts w:ascii="Verdana" w:hAnsi="Verdana"/>
          <w:sz w:val="20"/>
        </w:rPr>
        <w:t xml:space="preserve">Desde el año 2000 la señora Acosta asumió la </w:t>
      </w:r>
      <w:r w:rsidRPr="009D5EA7">
        <w:rPr>
          <w:rFonts w:ascii="Verdana" w:hAnsi="Verdana"/>
          <w:sz w:val="20"/>
        </w:rPr>
        <w:lastRenderedPageBreak/>
        <w:t>representación de pueblos indígenas de la Cuenca de Laguna de Perlas, en diversos litigios administrativos y judiciales para reivindicar sus derechos de posesión y uso de tierras ancestrales</w:t>
      </w:r>
      <w:r w:rsidRPr="009D5EA7">
        <w:rPr>
          <w:rFonts w:ascii="Verdana" w:hAnsi="Verdana" w:cs="Helvetica"/>
          <w:sz w:val="20"/>
        </w:rPr>
        <w:t xml:space="preserve">. </w:t>
      </w:r>
      <w:r w:rsidRPr="009D5EA7">
        <w:rPr>
          <w:rFonts w:ascii="Verdana" w:hAnsi="Verdana" w:cs="Arial"/>
          <w:sz w:val="20"/>
        </w:rPr>
        <w:t xml:space="preserve"> La señora Acosta también ha denunciado públicamente lo que acontecía con estos pueblos</w:t>
      </w:r>
      <w:r w:rsidRPr="009D5EA7">
        <w:rPr>
          <w:rStyle w:val="Refdenotaalpie"/>
          <w:rFonts w:ascii="Verdana" w:hAnsi="Verdana" w:cs="Arial"/>
          <w:sz w:val="20"/>
        </w:rPr>
        <w:footnoteReference w:id="28"/>
      </w:r>
      <w:r w:rsidRPr="009D5EA7">
        <w:rPr>
          <w:rFonts w:ascii="Verdana" w:hAnsi="Verdana" w:cs="Arial"/>
          <w:sz w:val="20"/>
        </w:rPr>
        <w:t xml:space="preserve">. </w:t>
      </w:r>
    </w:p>
    <w:p w14:paraId="75875747" w14:textId="77777777" w:rsidR="009A4633" w:rsidRPr="009D5EA7" w:rsidRDefault="009A4633" w:rsidP="009A4633">
      <w:pPr>
        <w:pStyle w:val="Prrafodelista"/>
        <w:ind w:left="0"/>
        <w:jc w:val="both"/>
        <w:rPr>
          <w:rFonts w:ascii="Verdana" w:hAnsi="Verdana" w:cs="Arial"/>
          <w:sz w:val="20"/>
        </w:rPr>
      </w:pPr>
    </w:p>
    <w:p w14:paraId="487EAF69" w14:textId="01619FA0"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Helvetica"/>
          <w:sz w:val="20"/>
        </w:rPr>
        <w:t xml:space="preserve">Es un hecho no controvertido que, conforme a información de conocimiento público, diversos litigios administrativos y judiciales habían sido interpuestos </w:t>
      </w:r>
      <w:r w:rsidRPr="009D5EA7">
        <w:rPr>
          <w:rFonts w:ascii="Verdana" w:hAnsi="Verdana"/>
          <w:sz w:val="20"/>
        </w:rPr>
        <w:t xml:space="preserve">contra el corredor de bienes raíces </w:t>
      </w:r>
      <w:r w:rsidR="00FB2B82" w:rsidRPr="009D5EA7">
        <w:rPr>
          <w:rStyle w:val="st1"/>
          <w:rFonts w:ascii="Verdana" w:hAnsi="Verdana" w:cs="Arial"/>
          <w:sz w:val="20"/>
        </w:rPr>
        <w:t>PT</w:t>
      </w:r>
      <w:r w:rsidRPr="009D5EA7">
        <w:rPr>
          <w:rStyle w:val="st1"/>
          <w:rFonts w:ascii="Verdana" w:hAnsi="Verdana" w:cs="Arial"/>
          <w:sz w:val="20"/>
        </w:rPr>
        <w:t xml:space="preserve">, </w:t>
      </w:r>
      <w:r w:rsidRPr="009D5EA7">
        <w:rPr>
          <w:rFonts w:ascii="Verdana" w:hAnsi="Verdana"/>
          <w:sz w:val="20"/>
        </w:rPr>
        <w:t xml:space="preserve">de nacionalidad griega y estadounidense, quien habría comprado siete de los veintidós Cayos Perlas, los cuales presuntamente constituían tierras ancestrales de los pueblos indígenas que las habitaban. </w:t>
      </w:r>
      <w:r w:rsidRPr="009D5EA7">
        <w:rPr>
          <w:rStyle w:val="nfasis"/>
          <w:rFonts w:ascii="Verdana" w:eastAsia="Calibri" w:hAnsi="Verdana" w:cs="Arial"/>
          <w:i w:val="0"/>
          <w:sz w:val="20"/>
        </w:rPr>
        <w:t>Según</w:t>
      </w:r>
      <w:r w:rsidRPr="009D5EA7">
        <w:rPr>
          <w:rFonts w:ascii="Verdana" w:hAnsi="Verdana"/>
          <w:b/>
          <w:sz w:val="20"/>
        </w:rPr>
        <w:t xml:space="preserve"> </w:t>
      </w:r>
      <w:r w:rsidRPr="009D5EA7">
        <w:rPr>
          <w:rFonts w:ascii="Verdana" w:hAnsi="Verdana"/>
          <w:sz w:val="20"/>
        </w:rPr>
        <w:t xml:space="preserve">lo señalado por prensa nacional e internacional, la compra de los referidos cayos se </w:t>
      </w:r>
      <w:r w:rsidRPr="009D5EA7">
        <w:rPr>
          <w:rFonts w:ascii="Verdana" w:hAnsi="Verdana" w:cs="Helvetica"/>
          <w:sz w:val="20"/>
        </w:rPr>
        <w:t xml:space="preserve">habría realizado de forma ilegal, ya que </w:t>
      </w:r>
      <w:r w:rsidRPr="009D5EA7">
        <w:rPr>
          <w:rFonts w:ascii="Verdana" w:hAnsi="Verdana"/>
          <w:sz w:val="20"/>
        </w:rPr>
        <w:t xml:space="preserve">la Constitución nicaragüense y el </w:t>
      </w:r>
      <w:r w:rsidRPr="009D5EA7">
        <w:rPr>
          <w:rStyle w:val="nfasis"/>
          <w:rFonts w:ascii="Verdana" w:eastAsia="Calibri" w:hAnsi="Verdana" w:cs="Arial"/>
          <w:i w:val="0"/>
          <w:sz w:val="20"/>
        </w:rPr>
        <w:t>Estatuto de Autonomía de las Regiones de la Costa Atlántica, garantizaban que la propiedad de los pueblos indígenas no fuera objeto de enajenación privada</w:t>
      </w:r>
      <w:r w:rsidRPr="009D5EA7">
        <w:rPr>
          <w:rStyle w:val="nfasis"/>
          <w:rFonts w:ascii="Verdana" w:eastAsia="Calibri" w:hAnsi="Verdana" w:cs="Arial"/>
          <w:sz w:val="20"/>
        </w:rPr>
        <w:t xml:space="preserve">. </w:t>
      </w:r>
      <w:r w:rsidRPr="009D5EA7">
        <w:rPr>
          <w:rFonts w:ascii="Verdana" w:hAnsi="Verdana"/>
          <w:sz w:val="20"/>
        </w:rPr>
        <w:t xml:space="preserve">También fue difundido que </w:t>
      </w:r>
      <w:r w:rsidR="00FB2B82" w:rsidRPr="009D5EA7">
        <w:rPr>
          <w:rFonts w:ascii="Verdana" w:hAnsi="Verdana"/>
          <w:sz w:val="20"/>
        </w:rPr>
        <w:t>PT</w:t>
      </w:r>
      <w:r w:rsidRPr="009D5EA7">
        <w:rPr>
          <w:rFonts w:ascii="Verdana" w:hAnsi="Verdana"/>
          <w:sz w:val="20"/>
        </w:rPr>
        <w:t xml:space="preserve"> y su abogado y socio </w:t>
      </w:r>
      <w:r w:rsidR="0023621A" w:rsidRPr="009D5EA7">
        <w:rPr>
          <w:rFonts w:ascii="Verdana" w:hAnsi="Verdana"/>
          <w:sz w:val="20"/>
        </w:rPr>
        <w:t>PMF</w:t>
      </w:r>
      <w:r w:rsidRPr="009D5EA7">
        <w:rPr>
          <w:rFonts w:ascii="Verdana" w:hAnsi="Verdana"/>
          <w:sz w:val="20"/>
        </w:rPr>
        <w:t>, habrían vendido los cayos a compradores extranjeros y habrían contratado guardias armados y oficiales de la Policía Nacional para mantener a los pueblos indígenas alejados de su propia tierra, impidiéndoles realizar actividades tradicionales de subsistencia</w:t>
      </w:r>
      <w:r w:rsidR="00002CB4" w:rsidRPr="009D5EA7">
        <w:rPr>
          <w:rStyle w:val="Refdenotaalpie"/>
          <w:rFonts w:ascii="Verdana" w:hAnsi="Verdana" w:cs="Helvetica"/>
          <w:sz w:val="20"/>
        </w:rPr>
        <w:footnoteReference w:id="29"/>
      </w:r>
      <w:r w:rsidRPr="009D5EA7">
        <w:rPr>
          <w:rFonts w:ascii="Verdana" w:hAnsi="Verdana"/>
          <w:sz w:val="20"/>
        </w:rPr>
        <w:t>.</w:t>
      </w:r>
    </w:p>
    <w:p w14:paraId="37FB0A99" w14:textId="77777777" w:rsidR="009A4633" w:rsidRPr="009D5EA7" w:rsidRDefault="009A4633" w:rsidP="009A4633">
      <w:pPr>
        <w:pStyle w:val="Prrafodelista"/>
        <w:rPr>
          <w:rFonts w:ascii="Verdana" w:hAnsi="Verdana" w:cs="Arial"/>
          <w:sz w:val="20"/>
        </w:rPr>
      </w:pPr>
    </w:p>
    <w:p w14:paraId="0CDB0594" w14:textId="38595FCF"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En octubre de 2000</w:t>
      </w:r>
      <w:r w:rsidR="00002CB4" w:rsidRPr="009D5EA7">
        <w:rPr>
          <w:rFonts w:ascii="Verdana" w:hAnsi="Verdana" w:cs="Arial"/>
          <w:sz w:val="20"/>
        </w:rPr>
        <w:t xml:space="preserve"> las comunidades indígenas y étnicas de la Cuenca de la Laguna de Perlas, la comunidad indígena Miskitas de Raitipura, Awas, Kahkakbila, y las comunidades creoles de Laguna de Perlas, Brown Bank, Marshall Point y Set Net Point, del Municipio de Laguna de Perlas, Región Autónoma Atlántico Sur (RAAS)</w:t>
      </w:r>
      <w:r w:rsidRPr="009D5EA7">
        <w:rPr>
          <w:rFonts w:ascii="Verdana" w:hAnsi="Verdana" w:cs="Arial"/>
          <w:sz w:val="20"/>
        </w:rPr>
        <w:t>, asesorados por la señora Acosta, presentaron un recurso de amparo ante la Sala Civil del Tribunal de Apelaciones de Bluefields en contra del Comisionado de la Policía Nacional</w:t>
      </w:r>
      <w:r w:rsidRPr="009D5EA7">
        <w:rPr>
          <w:rFonts w:ascii="Verdana" w:hAnsi="Verdana"/>
          <w:sz w:val="20"/>
        </w:rPr>
        <w:t xml:space="preserve">, </w:t>
      </w:r>
      <w:r w:rsidRPr="009D5EA7">
        <w:rPr>
          <w:rFonts w:ascii="Verdana" w:hAnsi="Verdana" w:cs="Arial"/>
          <w:sz w:val="20"/>
        </w:rPr>
        <w:t xml:space="preserve">en su calidad de Jefe de la Policía Nacional en la Región Autónoma Atlántico Sur, y del Jefe de la Policía Nacional en el Municipio de Laguna de Perlas, por supuestamente enviar y mantener a miembros de la Policía Nacional de Nicaragua en los Cayos Perlas como una fuerza de vigilancia privada al servicio de </w:t>
      </w:r>
      <w:r w:rsidR="00FB2B82" w:rsidRPr="009D5EA7">
        <w:rPr>
          <w:rFonts w:ascii="Verdana" w:hAnsi="Verdana" w:cs="Arial"/>
          <w:sz w:val="20"/>
        </w:rPr>
        <w:t>PT</w:t>
      </w:r>
      <w:r w:rsidRPr="009D5EA7">
        <w:rPr>
          <w:rStyle w:val="Refdenotaalpie"/>
          <w:rFonts w:ascii="Verdana" w:hAnsi="Verdana" w:cs="Arial"/>
          <w:sz w:val="20"/>
        </w:rPr>
        <w:footnoteReference w:id="30"/>
      </w:r>
      <w:r w:rsidRPr="009D5EA7">
        <w:rPr>
          <w:rFonts w:ascii="Verdana" w:hAnsi="Verdana" w:cs="Arial"/>
          <w:sz w:val="20"/>
        </w:rPr>
        <w:t>. El 2 de mayo de 2001 la Sala Civil del Tribunal de Apelaciones ordenó a las autoridades retirar inmediatamente y abstenerse de enviar y mantener miembros de la Policía Nacional en los Cayos Perlas</w:t>
      </w:r>
      <w:r w:rsidRPr="009D5EA7">
        <w:rPr>
          <w:rStyle w:val="Refdenotaalpie"/>
          <w:rFonts w:ascii="Verdana" w:hAnsi="Verdana" w:cs="Arial"/>
          <w:sz w:val="20"/>
        </w:rPr>
        <w:footnoteReference w:id="31"/>
      </w:r>
      <w:r w:rsidRPr="009D5EA7">
        <w:rPr>
          <w:rFonts w:ascii="Verdana" w:hAnsi="Verdana" w:cs="Arial"/>
          <w:sz w:val="20"/>
        </w:rPr>
        <w:t xml:space="preserve">. </w:t>
      </w:r>
    </w:p>
    <w:p w14:paraId="2BEF0DC1" w14:textId="77777777" w:rsidR="009A4633" w:rsidRPr="009D5EA7" w:rsidRDefault="009A4633" w:rsidP="009A4633">
      <w:pPr>
        <w:pStyle w:val="Prrafodelista"/>
        <w:ind w:left="0"/>
        <w:jc w:val="both"/>
        <w:rPr>
          <w:rFonts w:ascii="Verdana" w:hAnsi="Verdana" w:cs="Arial"/>
          <w:sz w:val="20"/>
        </w:rPr>
      </w:pPr>
    </w:p>
    <w:p w14:paraId="3416D0C1" w14:textId="02C83174"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lastRenderedPageBreak/>
        <w:t xml:space="preserve">El 18 de octubre de 2000, con base en denuncias presentadas por la señora Acosta ante el Ministerio del Ambiente y Recursos Naturales de Nicaragua (MARENA), la Procuraduría para la Defensa del Medio Ambiente y los Recursos Naturales </w:t>
      </w:r>
      <w:r w:rsidR="00763DCA" w:rsidRPr="009D5EA7">
        <w:rPr>
          <w:rFonts w:ascii="Verdana" w:hAnsi="Verdana" w:cs="Arial"/>
          <w:sz w:val="20"/>
        </w:rPr>
        <w:t>informaron</w:t>
      </w:r>
      <w:r w:rsidRPr="009D5EA7">
        <w:rPr>
          <w:rFonts w:ascii="Verdana" w:hAnsi="Verdana" w:cs="Arial"/>
          <w:sz w:val="20"/>
        </w:rPr>
        <w:t xml:space="preserve"> al señor </w:t>
      </w:r>
      <w:r w:rsidR="00FB2B82" w:rsidRPr="009D5EA7">
        <w:rPr>
          <w:rFonts w:ascii="Verdana" w:hAnsi="Verdana" w:cs="Arial"/>
          <w:sz w:val="20"/>
        </w:rPr>
        <w:t>PT</w:t>
      </w:r>
      <w:r w:rsidRPr="009D5EA7">
        <w:rPr>
          <w:rFonts w:ascii="Verdana" w:hAnsi="Verdana" w:cs="Arial"/>
          <w:sz w:val="20"/>
        </w:rPr>
        <w:t xml:space="preserve"> que se recibió una denuncia en su contra por parte del MARENA por obstaculizar e impedir la entrada a los Cayos Perlas, principalmente al Cayo Crawl, en el desarrollo del </w:t>
      </w:r>
      <w:r w:rsidRPr="009D5EA7">
        <w:rPr>
          <w:rFonts w:ascii="Verdana" w:hAnsi="Verdana" w:cs="Arial"/>
          <w:i/>
          <w:sz w:val="20"/>
        </w:rPr>
        <w:t>“Proyecto de Conservación de la Tortuga Carey”</w:t>
      </w:r>
      <w:r w:rsidRPr="009D5EA7">
        <w:rPr>
          <w:rFonts w:ascii="Verdana" w:hAnsi="Verdana" w:cs="Arial"/>
          <w:sz w:val="20"/>
        </w:rPr>
        <w:t xml:space="preserve"> de la ONG </w:t>
      </w:r>
      <w:r w:rsidRPr="009D5EA7">
        <w:rPr>
          <w:rFonts w:ascii="Verdana" w:hAnsi="Verdana" w:cs="Arial"/>
          <w:i/>
          <w:sz w:val="20"/>
        </w:rPr>
        <w:t xml:space="preserve">Wildlife Conservation Society </w:t>
      </w:r>
      <w:r w:rsidRPr="009D5EA7">
        <w:rPr>
          <w:rFonts w:ascii="Verdana" w:hAnsi="Verdana" w:cs="Arial"/>
          <w:sz w:val="20"/>
        </w:rPr>
        <w:t>(WCS). De acuerdo al comunicado del Ministerio, la denuncia fue motivada por la imposición de restricciones ilegales a la observación y</w:t>
      </w:r>
      <w:r w:rsidR="00FD3D91">
        <w:rPr>
          <w:rFonts w:ascii="Verdana" w:hAnsi="Verdana" w:cs="Arial"/>
          <w:sz w:val="20"/>
        </w:rPr>
        <w:t xml:space="preserve"> protección de los nidos de la t</w:t>
      </w:r>
      <w:r w:rsidRPr="009D5EA7">
        <w:rPr>
          <w:rFonts w:ascii="Verdana" w:hAnsi="Verdana" w:cs="Arial"/>
          <w:sz w:val="20"/>
        </w:rPr>
        <w:t xml:space="preserve">ortuga </w:t>
      </w:r>
      <w:r w:rsidR="00FD3D91">
        <w:rPr>
          <w:rFonts w:ascii="Verdana" w:hAnsi="Verdana" w:cs="Arial"/>
          <w:sz w:val="20"/>
        </w:rPr>
        <w:t>c</w:t>
      </w:r>
      <w:r w:rsidRPr="009D5EA7">
        <w:rPr>
          <w:rFonts w:ascii="Verdana" w:hAnsi="Verdana" w:cs="Arial"/>
          <w:sz w:val="20"/>
        </w:rPr>
        <w:t>arey en la zona. El Mini</w:t>
      </w:r>
      <w:r w:rsidR="0039126A" w:rsidRPr="009D5EA7">
        <w:rPr>
          <w:rFonts w:ascii="Verdana" w:hAnsi="Verdana" w:cs="Arial"/>
          <w:sz w:val="20"/>
        </w:rPr>
        <w:t xml:space="preserve">sterio exhortó a PT </w:t>
      </w:r>
      <w:r w:rsidRPr="009D5EA7">
        <w:rPr>
          <w:rFonts w:ascii="Verdana" w:hAnsi="Verdana" w:cs="Arial"/>
          <w:sz w:val="20"/>
        </w:rPr>
        <w:t>a cumplir con los ordenamientos jurídicos aplicables so pena de sanciones administrativas, civiles y penales</w:t>
      </w:r>
      <w:r w:rsidRPr="009D5EA7">
        <w:rPr>
          <w:rStyle w:val="Refdenotaalpie"/>
          <w:rFonts w:ascii="Verdana" w:hAnsi="Verdana" w:cs="Arial"/>
          <w:sz w:val="20"/>
        </w:rPr>
        <w:footnoteReference w:id="32"/>
      </w:r>
      <w:r w:rsidRPr="009D5EA7">
        <w:rPr>
          <w:rFonts w:ascii="Verdana" w:hAnsi="Verdana" w:cs="Arial"/>
          <w:sz w:val="20"/>
        </w:rPr>
        <w:t>.</w:t>
      </w:r>
    </w:p>
    <w:p w14:paraId="6A5350B4" w14:textId="77777777" w:rsidR="009A4633" w:rsidRPr="009D5EA7" w:rsidRDefault="009A4633" w:rsidP="009A4633">
      <w:pPr>
        <w:pStyle w:val="Prrafodelista"/>
        <w:jc w:val="both"/>
        <w:rPr>
          <w:rFonts w:ascii="Verdana" w:hAnsi="Verdana"/>
          <w:sz w:val="20"/>
        </w:rPr>
      </w:pPr>
    </w:p>
    <w:p w14:paraId="194C0C5E" w14:textId="1B9EC643"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sz w:val="20"/>
        </w:rPr>
        <w:t xml:space="preserve">El 30 de enero de 2002 la señora Acosta inició –en representación de las comunidades de Monkey Point y </w:t>
      </w:r>
      <w:r w:rsidRPr="009D5EA7">
        <w:rPr>
          <w:rFonts w:ascii="Verdana" w:hAnsi="Verdana" w:cs="Arial"/>
          <w:sz w:val="20"/>
        </w:rPr>
        <w:t>Rama</w:t>
      </w:r>
      <w:r w:rsidRPr="009D5EA7">
        <w:rPr>
          <w:rFonts w:ascii="Verdana" w:hAnsi="Verdana"/>
          <w:sz w:val="20"/>
        </w:rPr>
        <w:t xml:space="preserve">– otro proceso contra </w:t>
      </w:r>
      <w:r w:rsidR="00FB2B82" w:rsidRPr="009D5EA7">
        <w:rPr>
          <w:rFonts w:ascii="Verdana" w:hAnsi="Verdana"/>
          <w:sz w:val="20"/>
        </w:rPr>
        <w:t>PT</w:t>
      </w:r>
      <w:r w:rsidRPr="009D5EA7">
        <w:rPr>
          <w:rFonts w:ascii="Verdana" w:hAnsi="Verdana"/>
          <w:sz w:val="20"/>
        </w:rPr>
        <w:t xml:space="preserve">, mediante la presentación de una querella de restitución y amparo ante el Juzgado de Distrito de lo Civil de Bluefields, alegando que aquél había puesto a varios hombres armados en la tierra comunal de la Comunidad de Punta Aguilar (de Águila/Cane Creek). </w:t>
      </w:r>
      <w:r w:rsidRPr="009D5EA7">
        <w:rPr>
          <w:rFonts w:ascii="Verdana" w:hAnsi="Verdana" w:cs="Arial"/>
          <w:sz w:val="20"/>
        </w:rPr>
        <w:t>El 6 de febrero de 2002 dicho Juzgado notificó el inicio de procedimiento en relación con la demanda de interdicto de querella y le ordenó abstenerse de seguir perturbando la propiedad (ofreciendo ventas de los lotes, entre otras) mientras se ventilara el litigio</w:t>
      </w:r>
      <w:r w:rsidRPr="009D5EA7">
        <w:rPr>
          <w:rStyle w:val="Refdenotaalpie"/>
          <w:rFonts w:ascii="Verdana" w:hAnsi="Verdana" w:cs="Arial"/>
          <w:sz w:val="20"/>
        </w:rPr>
        <w:footnoteReference w:id="33"/>
      </w:r>
      <w:r w:rsidRPr="009D5EA7">
        <w:rPr>
          <w:rFonts w:ascii="Verdana" w:hAnsi="Verdana" w:cs="Arial"/>
          <w:sz w:val="20"/>
        </w:rPr>
        <w:t>.</w:t>
      </w:r>
    </w:p>
    <w:p w14:paraId="1583391C" w14:textId="77777777" w:rsidR="009A4633" w:rsidRPr="009D5EA7" w:rsidRDefault="009A4633" w:rsidP="009A4633">
      <w:pPr>
        <w:pStyle w:val="Prrafodelista"/>
        <w:jc w:val="both"/>
        <w:rPr>
          <w:rFonts w:ascii="Verdana" w:hAnsi="Verdana" w:cs="Arial"/>
          <w:sz w:val="20"/>
        </w:rPr>
      </w:pPr>
    </w:p>
    <w:p w14:paraId="66329B2C" w14:textId="7EDDD681"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Es un hecho no controvertido que el 16 de marzo de 2002 los representantes de las comunidades de </w:t>
      </w:r>
      <w:r w:rsidRPr="009D5EA7">
        <w:rPr>
          <w:rFonts w:ascii="Verdana" w:hAnsi="Verdana"/>
          <w:sz w:val="20"/>
        </w:rPr>
        <w:t>Laguna</w:t>
      </w:r>
      <w:r w:rsidRPr="009D5EA7">
        <w:rPr>
          <w:rFonts w:ascii="Verdana" w:hAnsi="Verdana" w:cs="Arial"/>
          <w:sz w:val="20"/>
        </w:rPr>
        <w:t xml:space="preserve"> de Perlas, Awas, Raitipura y Halouver otorgaron un poder general judicial a la señora Acosta, tal como era de conocimiento público, para la representación de sus intereses con respecto a una demanda de restitución de 80 manzanas de un territorio reclamado por pueblos indígenas, cuya propiedad era ostentada por el señor </w:t>
      </w:r>
      <w:r w:rsidR="0023621A" w:rsidRPr="009D5EA7">
        <w:rPr>
          <w:rFonts w:ascii="Verdana" w:hAnsi="Verdana" w:cs="Arial"/>
          <w:sz w:val="20"/>
        </w:rPr>
        <w:t>PMF</w:t>
      </w:r>
      <w:r w:rsidRPr="009D5EA7">
        <w:rPr>
          <w:rFonts w:ascii="Verdana" w:hAnsi="Verdana" w:cs="Arial"/>
          <w:sz w:val="20"/>
        </w:rPr>
        <w:t xml:space="preserve">, socio de </w:t>
      </w:r>
      <w:r w:rsidR="00FB2B82" w:rsidRPr="009D5EA7">
        <w:rPr>
          <w:rFonts w:ascii="Verdana" w:hAnsi="Verdana" w:cs="Arial"/>
          <w:sz w:val="20"/>
        </w:rPr>
        <w:t>PT</w:t>
      </w:r>
      <w:r w:rsidRPr="009D5EA7">
        <w:rPr>
          <w:rStyle w:val="Refdenotaalpie"/>
          <w:rFonts w:ascii="Verdana" w:hAnsi="Verdana"/>
          <w:sz w:val="20"/>
        </w:rPr>
        <w:footnoteReference w:id="34"/>
      </w:r>
      <w:r w:rsidRPr="009D5EA7">
        <w:rPr>
          <w:rFonts w:ascii="Verdana" w:hAnsi="Verdana" w:cs="Arial"/>
          <w:sz w:val="20"/>
        </w:rPr>
        <w:t>.</w:t>
      </w:r>
    </w:p>
    <w:p w14:paraId="3E77C312" w14:textId="77777777" w:rsidR="009A4633" w:rsidRPr="009D5EA7" w:rsidRDefault="009A4633" w:rsidP="009A4633">
      <w:pPr>
        <w:pStyle w:val="Prrafodelista"/>
        <w:jc w:val="both"/>
        <w:rPr>
          <w:rFonts w:ascii="Verdana" w:hAnsi="Verdana" w:cs="Arial"/>
          <w:sz w:val="20"/>
        </w:rPr>
      </w:pPr>
    </w:p>
    <w:p w14:paraId="13836C73" w14:textId="77777777" w:rsidR="009A4633" w:rsidRPr="009D5EA7" w:rsidRDefault="009A4633" w:rsidP="009A4633">
      <w:pPr>
        <w:pStyle w:val="Prrafodelista"/>
        <w:jc w:val="both"/>
        <w:rPr>
          <w:rFonts w:ascii="Verdana" w:hAnsi="Verdana" w:cs="Arial"/>
          <w:sz w:val="20"/>
        </w:rPr>
      </w:pPr>
    </w:p>
    <w:p w14:paraId="33E42243" w14:textId="6A7C3BCE" w:rsidR="009A4633" w:rsidRPr="009D5EA7" w:rsidRDefault="009A4633" w:rsidP="007A3724">
      <w:pPr>
        <w:pStyle w:val="Prrafodelista"/>
        <w:numPr>
          <w:ilvl w:val="0"/>
          <w:numId w:val="13"/>
        </w:numPr>
        <w:ind w:left="714" w:hanging="357"/>
        <w:jc w:val="both"/>
        <w:rPr>
          <w:rFonts w:ascii="Verdana" w:hAnsi="Verdana" w:cs="Arial"/>
          <w:b/>
          <w:sz w:val="20"/>
        </w:rPr>
      </w:pPr>
      <w:r w:rsidRPr="009D5EA7">
        <w:rPr>
          <w:rFonts w:ascii="Verdana" w:hAnsi="Verdana" w:cs="Arial"/>
          <w:b/>
          <w:sz w:val="20"/>
        </w:rPr>
        <w:t xml:space="preserve">El </w:t>
      </w:r>
      <w:r w:rsidR="00C05383" w:rsidRPr="007B184F">
        <w:rPr>
          <w:rFonts w:ascii="Verdana" w:hAnsi="Verdana" w:cs="Arial"/>
          <w:b/>
          <w:sz w:val="20"/>
        </w:rPr>
        <w:t>homicidio</w:t>
      </w:r>
      <w:r w:rsidR="004E1E07">
        <w:rPr>
          <w:rStyle w:val="Refdenotaalpie"/>
          <w:rFonts w:ascii="Verdana" w:hAnsi="Verdana" w:cs="Arial"/>
          <w:sz w:val="20"/>
        </w:rPr>
        <w:footnoteReference w:id="35"/>
      </w:r>
      <w:r w:rsidRPr="009D5EA7">
        <w:rPr>
          <w:rFonts w:ascii="Verdana" w:hAnsi="Verdana" w:cs="Arial"/>
          <w:b/>
          <w:sz w:val="20"/>
        </w:rPr>
        <w:t xml:space="preserve"> del señor Francisco José García Valle</w:t>
      </w:r>
    </w:p>
    <w:p w14:paraId="52033DCE" w14:textId="77777777" w:rsidR="009A4633" w:rsidRPr="009D5EA7" w:rsidRDefault="009A4633" w:rsidP="009A4633">
      <w:pPr>
        <w:pStyle w:val="Prrafodelista"/>
        <w:jc w:val="both"/>
        <w:rPr>
          <w:rFonts w:ascii="Verdana" w:hAnsi="Verdana" w:cs="Arial"/>
          <w:sz w:val="20"/>
        </w:rPr>
      </w:pPr>
    </w:p>
    <w:p w14:paraId="6166DD07" w14:textId="60FF77BF"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8 de abril de 2002 la señora María Luisa Acosta Castellón encontró a su esposo, el señor Francisco José García Valle, muerto en su domicilio</w:t>
      </w:r>
      <w:r w:rsidRPr="009D5EA7">
        <w:rPr>
          <w:rStyle w:val="Refdenotaalpie"/>
          <w:rFonts w:ascii="Verdana" w:hAnsi="Verdana" w:cs="Arial"/>
          <w:sz w:val="20"/>
        </w:rPr>
        <w:footnoteReference w:id="36"/>
      </w:r>
      <w:r w:rsidRPr="009D5EA7">
        <w:rPr>
          <w:rFonts w:ascii="Verdana" w:hAnsi="Verdana" w:cs="Arial"/>
          <w:sz w:val="20"/>
        </w:rPr>
        <w:t>. El señor García Valle tenía 44 años de edad,</w:t>
      </w:r>
      <w:r w:rsidR="00DE5E1F" w:rsidRPr="009D5EA7">
        <w:rPr>
          <w:rFonts w:ascii="Verdana" w:hAnsi="Verdana" w:cs="Arial"/>
          <w:sz w:val="20"/>
        </w:rPr>
        <w:t xml:space="preserve"> daba clases en universidades</w:t>
      </w:r>
      <w:r w:rsidRPr="009D5EA7">
        <w:rPr>
          <w:rFonts w:ascii="Verdana" w:hAnsi="Verdana" w:cs="Arial"/>
          <w:sz w:val="20"/>
        </w:rPr>
        <w:t xml:space="preserve"> y era propietario de un almacén de telas, de una carpintería y tapicería y de una funeraria. La señora Acosta y su esposo residían en el Barrio San Rosa de la ciudad de Bluefields, junto con </w:t>
      </w:r>
      <w:r w:rsidR="00FD3D91">
        <w:rPr>
          <w:rFonts w:ascii="Verdana" w:hAnsi="Verdana" w:cs="Arial"/>
          <w:sz w:val="20"/>
        </w:rPr>
        <w:t>los</w:t>
      </w:r>
      <w:r w:rsidRPr="009D5EA7">
        <w:rPr>
          <w:rFonts w:ascii="Verdana" w:hAnsi="Verdana" w:cs="Arial"/>
          <w:sz w:val="20"/>
        </w:rPr>
        <w:t xml:space="preserve"> dos hijos </w:t>
      </w:r>
      <w:r w:rsidR="00FD3D91">
        <w:rPr>
          <w:rFonts w:ascii="Verdana" w:hAnsi="Verdana" w:cs="Arial"/>
          <w:sz w:val="20"/>
        </w:rPr>
        <w:t xml:space="preserve">de ella: </w:t>
      </w:r>
      <w:r w:rsidRPr="009D5EA7">
        <w:rPr>
          <w:rFonts w:ascii="Verdana" w:hAnsi="Verdana" w:cs="Arial"/>
          <w:sz w:val="20"/>
        </w:rPr>
        <w:t xml:space="preserve">Ana María Vergara Acosta y Álvaro Arístides Vergara Acosta. El señor García Valle era hijo de la señora </w:t>
      </w:r>
      <w:r w:rsidRPr="009D5EA7">
        <w:rPr>
          <w:rFonts w:ascii="Verdana" w:eastAsiaTheme="minorHAnsi" w:hAnsi="Verdana" w:cs="Arial"/>
          <w:sz w:val="20"/>
        </w:rPr>
        <w:t>María Leonor Valle Estrada (conocida como Leonor del Carmen Valle de García) y del señor Rodolfo García Solari.</w:t>
      </w:r>
    </w:p>
    <w:p w14:paraId="423A438A" w14:textId="77777777" w:rsidR="009A4633" w:rsidRPr="009D5EA7" w:rsidRDefault="009A4633" w:rsidP="009A4633">
      <w:pPr>
        <w:pStyle w:val="Prrafodelista"/>
        <w:jc w:val="both"/>
        <w:rPr>
          <w:rFonts w:ascii="Verdana" w:hAnsi="Verdana" w:cs="Arial"/>
          <w:sz w:val="20"/>
        </w:rPr>
      </w:pPr>
    </w:p>
    <w:p w14:paraId="503DD17C" w14:textId="23A31045"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sz w:val="20"/>
        </w:rPr>
        <w:t xml:space="preserve">A las 10:50 pm de ese día </w:t>
      </w:r>
      <w:r w:rsidRPr="009D5EA7">
        <w:rPr>
          <w:rFonts w:ascii="Verdana" w:hAnsi="Verdana" w:cs="Arial"/>
          <w:sz w:val="20"/>
        </w:rPr>
        <w:t>8 de abril de 2002</w:t>
      </w:r>
      <w:r w:rsidRPr="009D5EA7">
        <w:rPr>
          <w:rFonts w:ascii="Verdana" w:hAnsi="Verdana"/>
          <w:sz w:val="20"/>
        </w:rPr>
        <w:t>, la Policía Nacional recibió una llamada anónima en la que se le informaba que</w:t>
      </w:r>
      <w:r w:rsidR="001F0A42" w:rsidRPr="009D5EA7">
        <w:rPr>
          <w:rFonts w:ascii="Verdana" w:hAnsi="Verdana"/>
          <w:sz w:val="20"/>
        </w:rPr>
        <w:t>,</w:t>
      </w:r>
      <w:r w:rsidRPr="009D5EA7">
        <w:rPr>
          <w:rFonts w:ascii="Verdana" w:hAnsi="Verdana"/>
          <w:sz w:val="20"/>
        </w:rPr>
        <w:t xml:space="preserve"> en la casa de la señora Acosta y de su esposo, se </w:t>
      </w:r>
      <w:r w:rsidRPr="009D5EA7">
        <w:rPr>
          <w:rFonts w:ascii="Verdana" w:hAnsi="Verdana"/>
          <w:sz w:val="20"/>
        </w:rPr>
        <w:lastRenderedPageBreak/>
        <w:t xml:space="preserve">encontraba una persona </w:t>
      </w:r>
      <w:r w:rsidRPr="009D5EA7">
        <w:rPr>
          <w:rFonts w:ascii="Verdana" w:hAnsi="Verdana" w:cs="Arial"/>
          <w:sz w:val="20"/>
        </w:rPr>
        <w:t>amarrada</w:t>
      </w:r>
      <w:r w:rsidRPr="009D5EA7">
        <w:rPr>
          <w:rFonts w:ascii="Verdana" w:hAnsi="Verdana"/>
          <w:sz w:val="20"/>
        </w:rPr>
        <w:t xml:space="preserve"> que probablemente se encontraba sin vida</w:t>
      </w:r>
      <w:r w:rsidRPr="009D5EA7">
        <w:rPr>
          <w:rStyle w:val="Refdenotaalpie"/>
          <w:rFonts w:ascii="Verdana" w:hAnsi="Verdana"/>
          <w:sz w:val="20"/>
        </w:rPr>
        <w:footnoteReference w:id="37"/>
      </w:r>
      <w:r w:rsidRPr="009D5EA7">
        <w:rPr>
          <w:rFonts w:ascii="Verdana" w:hAnsi="Verdana"/>
          <w:sz w:val="20"/>
        </w:rPr>
        <w:t xml:space="preserve">. A las 11:00 p.m. la Policía Nacional y la médico forense suplente encontraron en la planta superior norte de la casa, el cuerpo de Francisco José García Valle, quien según la documentación policial, fue asesinado entre las 7 p.m. y 8 p.m.  </w:t>
      </w:r>
      <w:r w:rsidRPr="009D5EA7">
        <w:rPr>
          <w:rFonts w:ascii="Verdana" w:hAnsi="Verdana" w:cs="Arial"/>
          <w:sz w:val="20"/>
        </w:rPr>
        <w:t>El cadáver del señor García Valle fue encontrado atado de pies y manos, amordazado, y con una herida por arma de fuego en el tercer espacio intercostal izquierdo, junto al esternón, con trayectoria hacia corazón y pulmón izquierdo, sin encontrarse orificio de salida del proyectil, determi</w:t>
      </w:r>
      <w:r w:rsidR="002C71B8" w:rsidRPr="009D5EA7">
        <w:rPr>
          <w:rFonts w:ascii="Verdana" w:hAnsi="Verdana" w:cs="Arial"/>
          <w:sz w:val="20"/>
        </w:rPr>
        <w:t>nada como causante de su muerte</w:t>
      </w:r>
      <w:r w:rsidRPr="009D5EA7">
        <w:rPr>
          <w:rStyle w:val="Refdenotaalpie"/>
          <w:rFonts w:ascii="Verdana" w:hAnsi="Verdana" w:cs="Arial"/>
          <w:sz w:val="20"/>
        </w:rPr>
        <w:footnoteReference w:id="38"/>
      </w:r>
      <w:r w:rsidRPr="009D5EA7">
        <w:rPr>
          <w:rFonts w:ascii="Verdana" w:hAnsi="Verdana" w:cs="Arial"/>
          <w:sz w:val="20"/>
        </w:rPr>
        <w:t>.</w:t>
      </w:r>
    </w:p>
    <w:p w14:paraId="6E9A5F68" w14:textId="77777777" w:rsidR="009A4633" w:rsidRPr="009D5EA7" w:rsidRDefault="009A4633" w:rsidP="009A4633">
      <w:pPr>
        <w:pStyle w:val="Prrafodelista"/>
        <w:jc w:val="both"/>
        <w:rPr>
          <w:rFonts w:ascii="Verdana" w:hAnsi="Verdana" w:cs="Arial"/>
          <w:sz w:val="20"/>
        </w:rPr>
      </w:pPr>
    </w:p>
    <w:p w14:paraId="334AFF0F" w14:textId="49B47E00" w:rsidR="009A4633" w:rsidRPr="009D5EA7" w:rsidRDefault="007B184F" w:rsidP="00667F79">
      <w:pPr>
        <w:pStyle w:val="Prrafodelista"/>
        <w:numPr>
          <w:ilvl w:val="0"/>
          <w:numId w:val="5"/>
        </w:numPr>
        <w:ind w:left="0" w:firstLine="0"/>
        <w:jc w:val="both"/>
        <w:rPr>
          <w:rFonts w:ascii="Verdana" w:hAnsi="Verdana" w:cs="Arial"/>
          <w:sz w:val="20"/>
        </w:rPr>
      </w:pPr>
      <w:r>
        <w:rPr>
          <w:rFonts w:ascii="Verdana" w:hAnsi="Verdana" w:cs="Arial"/>
          <w:sz w:val="20"/>
        </w:rPr>
        <w:t xml:space="preserve">Ese día </w:t>
      </w:r>
      <w:r w:rsidR="009A4633" w:rsidRPr="009D5EA7">
        <w:rPr>
          <w:rFonts w:ascii="Verdana" w:hAnsi="Verdana" w:cs="Arial"/>
          <w:sz w:val="20"/>
        </w:rPr>
        <w:t>Ivan Argüello</w:t>
      </w:r>
      <w:r w:rsidR="002C71B8" w:rsidRPr="009D5EA7">
        <w:rPr>
          <w:rFonts w:ascii="Verdana" w:hAnsi="Verdana" w:cs="Arial"/>
          <w:sz w:val="20"/>
        </w:rPr>
        <w:t xml:space="preserve"> y</w:t>
      </w:r>
      <w:r w:rsidR="009A4633" w:rsidRPr="009D5EA7">
        <w:rPr>
          <w:rFonts w:ascii="Verdana" w:hAnsi="Verdana" w:cs="Arial"/>
          <w:sz w:val="20"/>
        </w:rPr>
        <w:t xml:space="preserve"> Wilberth Ochoa escalaron la parte trasera de la vivienda de la señora Acosta y el señor García; rompieron la puerta</w:t>
      </w:r>
      <w:r w:rsidR="002C71B8" w:rsidRPr="009D5EA7">
        <w:rPr>
          <w:rFonts w:ascii="Verdana" w:hAnsi="Verdana" w:cs="Arial"/>
          <w:sz w:val="20"/>
        </w:rPr>
        <w:t xml:space="preserve"> e</w:t>
      </w:r>
      <w:r w:rsidR="009A4633" w:rsidRPr="009D5EA7">
        <w:rPr>
          <w:rFonts w:ascii="Verdana" w:hAnsi="Verdana" w:cs="Arial"/>
          <w:sz w:val="20"/>
        </w:rPr>
        <w:t xml:space="preserve"> ingresaron a la residencia, amarraron al señor García de pies y manos, le colocaron una mordaza en la boca, acabaron con su vida con un disparo de arma de fuego calibre .25, a la altura del pecho, luego de lo cual abandonaron el lugar para darse a la fuga.  </w:t>
      </w:r>
      <w:r w:rsidR="009A4633" w:rsidRPr="009D5EA7">
        <w:rPr>
          <w:rFonts w:ascii="Verdana" w:hAnsi="Verdana"/>
          <w:sz w:val="20"/>
        </w:rPr>
        <w:t>Un día antes, el domingo 7 de abril de 2002, la señora Acosta había alquilado, por un mes,</w:t>
      </w:r>
      <w:r w:rsidR="009A4633" w:rsidRPr="009D5EA7">
        <w:rPr>
          <w:rStyle w:val="Refdenotaalpie"/>
          <w:rFonts w:ascii="Verdana" w:hAnsi="Verdana"/>
          <w:sz w:val="20"/>
        </w:rPr>
        <w:t xml:space="preserve"> </w:t>
      </w:r>
      <w:r w:rsidR="009A4633" w:rsidRPr="009D5EA7">
        <w:rPr>
          <w:rFonts w:ascii="Verdana" w:hAnsi="Verdana"/>
          <w:sz w:val="20"/>
        </w:rPr>
        <w:t xml:space="preserve"> la planta baja de la casa habitación </w:t>
      </w:r>
      <w:r w:rsidR="00F13BCC" w:rsidRPr="009D5EA7">
        <w:rPr>
          <w:rFonts w:ascii="Verdana" w:hAnsi="Verdana"/>
          <w:sz w:val="20"/>
        </w:rPr>
        <w:t>a Iván Argüello y</w:t>
      </w:r>
      <w:r w:rsidR="009A4633" w:rsidRPr="009D5EA7">
        <w:rPr>
          <w:rFonts w:ascii="Verdana" w:hAnsi="Verdana"/>
          <w:sz w:val="20"/>
        </w:rPr>
        <w:t xml:space="preserve"> </w:t>
      </w:r>
      <w:r w:rsidR="00F13BCC" w:rsidRPr="009D5EA7">
        <w:rPr>
          <w:rFonts w:ascii="Verdana" w:hAnsi="Verdana"/>
          <w:sz w:val="20"/>
        </w:rPr>
        <w:t xml:space="preserve">a </w:t>
      </w:r>
      <w:r w:rsidR="009A4633" w:rsidRPr="009D5EA7">
        <w:rPr>
          <w:rFonts w:ascii="Verdana" w:hAnsi="Verdana"/>
          <w:sz w:val="20"/>
        </w:rPr>
        <w:t>Wilberth Ochoa. E</w:t>
      </w:r>
      <w:r w:rsidR="009A4633" w:rsidRPr="009D5EA7">
        <w:rPr>
          <w:rFonts w:ascii="Verdana" w:hAnsi="Verdana" w:cs="Arial Narrow"/>
          <w:spacing w:val="-2"/>
          <w:sz w:val="20"/>
        </w:rPr>
        <w:t xml:space="preserve">n </w:t>
      </w:r>
      <w:r w:rsidR="00E21161" w:rsidRPr="009D5EA7">
        <w:rPr>
          <w:rFonts w:ascii="Verdana" w:hAnsi="Verdana" w:cs="Arial Narrow"/>
          <w:spacing w:val="-2"/>
          <w:sz w:val="20"/>
        </w:rPr>
        <w:t xml:space="preserve">una columna de </w:t>
      </w:r>
      <w:r w:rsidR="009A4633" w:rsidRPr="009D5EA7">
        <w:rPr>
          <w:rFonts w:ascii="Verdana" w:hAnsi="Verdana" w:cs="Arial Narrow"/>
          <w:spacing w:val="-2"/>
          <w:sz w:val="20"/>
        </w:rPr>
        <w:t xml:space="preserve">la parte trasera de la </w:t>
      </w:r>
      <w:r w:rsidR="00E21161" w:rsidRPr="009D5EA7">
        <w:rPr>
          <w:rFonts w:ascii="Verdana" w:hAnsi="Verdana" w:cs="Arial Narrow"/>
          <w:spacing w:val="-2"/>
          <w:sz w:val="20"/>
        </w:rPr>
        <w:t>vivienda había un trozo de madera con manchas de sangre (</w:t>
      </w:r>
      <w:r w:rsidR="009A4633" w:rsidRPr="009D5EA7">
        <w:rPr>
          <w:rFonts w:ascii="Verdana" w:hAnsi="Verdana" w:cs="Arial Narrow"/>
          <w:spacing w:val="-2"/>
          <w:sz w:val="20"/>
        </w:rPr>
        <w:t>“una huella de arrastre”</w:t>
      </w:r>
      <w:r w:rsidR="00E21161" w:rsidRPr="009D5EA7">
        <w:rPr>
          <w:rFonts w:ascii="Verdana" w:hAnsi="Verdana" w:cs="Arial Narrow"/>
          <w:spacing w:val="-2"/>
          <w:sz w:val="20"/>
        </w:rPr>
        <w:t>)</w:t>
      </w:r>
      <w:r w:rsidR="00E61800" w:rsidRPr="009D5EA7">
        <w:rPr>
          <w:rStyle w:val="Refdenotaalpie"/>
          <w:rFonts w:ascii="Verdana" w:hAnsi="Verdana" w:cs="Arial"/>
          <w:sz w:val="20"/>
        </w:rPr>
        <w:footnoteReference w:id="39"/>
      </w:r>
      <w:r w:rsidR="009A4633" w:rsidRPr="009D5EA7">
        <w:rPr>
          <w:rFonts w:ascii="Verdana" w:hAnsi="Verdana" w:cs="Arial Narrow"/>
          <w:spacing w:val="-2"/>
          <w:sz w:val="20"/>
        </w:rPr>
        <w:t xml:space="preserve">. La misma noche </w:t>
      </w:r>
      <w:r w:rsidR="009A4633" w:rsidRPr="009D5EA7">
        <w:rPr>
          <w:rFonts w:ascii="Verdana" w:hAnsi="Verdana"/>
          <w:sz w:val="20"/>
        </w:rPr>
        <w:t>la Policía Nacional solicitó un examen médico del cuerpo e interrogó a la señora Acosta</w:t>
      </w:r>
      <w:r w:rsidR="009A4633" w:rsidRPr="009D5EA7">
        <w:rPr>
          <w:rStyle w:val="Refdenotaalpie"/>
          <w:rFonts w:ascii="Verdana" w:hAnsi="Verdana"/>
          <w:sz w:val="20"/>
        </w:rPr>
        <w:footnoteReference w:id="40"/>
      </w:r>
      <w:r w:rsidR="009A4633" w:rsidRPr="009D5EA7">
        <w:rPr>
          <w:rFonts w:ascii="Verdana" w:hAnsi="Verdana"/>
          <w:sz w:val="20"/>
        </w:rPr>
        <w:t>.</w:t>
      </w:r>
    </w:p>
    <w:p w14:paraId="5F27BA0A" w14:textId="77777777" w:rsidR="009A4633" w:rsidRPr="009D5EA7" w:rsidRDefault="009A4633" w:rsidP="009A4633">
      <w:pPr>
        <w:pStyle w:val="Prrafodelista"/>
        <w:jc w:val="both"/>
        <w:rPr>
          <w:rFonts w:ascii="Verdana" w:hAnsi="Verdana" w:cs="Arial"/>
          <w:sz w:val="20"/>
        </w:rPr>
      </w:pPr>
    </w:p>
    <w:p w14:paraId="1218F870" w14:textId="21CC1D2D"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w:t>
      </w:r>
      <w:r w:rsidR="00DA1CE9">
        <w:rPr>
          <w:rFonts w:ascii="Verdana" w:hAnsi="Verdana" w:cs="Arial"/>
          <w:sz w:val="20"/>
        </w:rPr>
        <w:t>homicidio</w:t>
      </w:r>
      <w:r w:rsidRPr="009D5EA7">
        <w:rPr>
          <w:rFonts w:ascii="Verdana" w:hAnsi="Verdana" w:cs="Arial"/>
          <w:sz w:val="20"/>
        </w:rPr>
        <w:t xml:space="preserve"> del señor </w:t>
      </w:r>
      <w:r w:rsidR="00437056" w:rsidRPr="009D5EA7">
        <w:rPr>
          <w:rFonts w:ascii="Verdana" w:hAnsi="Verdana" w:cs="Arial"/>
          <w:sz w:val="20"/>
        </w:rPr>
        <w:t>García Valle</w:t>
      </w:r>
      <w:r w:rsidRPr="009D5EA7">
        <w:rPr>
          <w:rFonts w:ascii="Verdana" w:hAnsi="Verdana" w:cs="Arial"/>
          <w:sz w:val="20"/>
        </w:rPr>
        <w:t xml:space="preserve"> recibió amplia cobertura mediática. En su mayor parte, esta cobertura hacía referencia explícita a la labor de la señora Acosta como defensora de derechos humanos en beneficio de las comunidades indígenas de la región. Diversas organizaciones condenaron el hecho y pidieron seguridad para la señora Acosta en su calidad de activista de derechos humanos</w:t>
      </w:r>
      <w:r w:rsidRPr="009D5EA7">
        <w:rPr>
          <w:rStyle w:val="Refdenotaalpie"/>
          <w:rFonts w:ascii="Verdana" w:hAnsi="Verdana" w:cs="Arial"/>
          <w:sz w:val="20"/>
        </w:rPr>
        <w:footnoteReference w:id="41"/>
      </w:r>
      <w:r w:rsidRPr="009D5EA7">
        <w:rPr>
          <w:rFonts w:ascii="Verdana" w:hAnsi="Verdana" w:cs="Arial"/>
          <w:sz w:val="20"/>
        </w:rPr>
        <w:t xml:space="preserve">. </w:t>
      </w:r>
      <w:r w:rsidRPr="009D5EA7">
        <w:rPr>
          <w:rFonts w:ascii="Verdana" w:hAnsi="Verdana"/>
          <w:sz w:val="20"/>
        </w:rPr>
        <w:t xml:space="preserve">El Procurador para la Defensa de los Derechos </w:t>
      </w:r>
      <w:r w:rsidR="00713C0A">
        <w:rPr>
          <w:rFonts w:ascii="Verdana" w:hAnsi="Verdana"/>
          <w:sz w:val="20"/>
        </w:rPr>
        <w:t xml:space="preserve">Humanos </w:t>
      </w:r>
      <w:r w:rsidRPr="009D5EA7">
        <w:rPr>
          <w:rFonts w:ascii="Verdana" w:hAnsi="Verdana"/>
          <w:sz w:val="20"/>
        </w:rPr>
        <w:t>de Nicaragua “</w:t>
      </w:r>
      <w:r w:rsidRPr="009D5EA7">
        <w:rPr>
          <w:rStyle w:val="st1"/>
          <w:rFonts w:ascii="Verdana" w:hAnsi="Verdana" w:cs="Arial"/>
          <w:sz w:val="20"/>
        </w:rPr>
        <w:t>s</w:t>
      </w:r>
      <w:r w:rsidRPr="009D5EA7">
        <w:rPr>
          <w:rFonts w:ascii="Verdana" w:hAnsi="Verdana"/>
          <w:sz w:val="20"/>
        </w:rPr>
        <w:t>olicit</w:t>
      </w:r>
      <w:r w:rsidRPr="009D5EA7">
        <w:rPr>
          <w:rStyle w:val="st1"/>
          <w:rFonts w:ascii="Verdana" w:hAnsi="Verdana" w:cs="Arial"/>
          <w:sz w:val="20"/>
        </w:rPr>
        <w:t>[ó</w:t>
      </w:r>
      <w:r w:rsidR="007B184F">
        <w:rPr>
          <w:rStyle w:val="st1"/>
          <w:rFonts w:ascii="Verdana" w:hAnsi="Verdana" w:cs="Arial"/>
          <w:sz w:val="20"/>
        </w:rPr>
        <w:t xml:space="preserve"> a la Policía</w:t>
      </w:r>
      <w:r w:rsidRPr="009D5EA7">
        <w:rPr>
          <w:rStyle w:val="st1"/>
          <w:rFonts w:ascii="Verdana" w:hAnsi="Verdana" w:cs="Arial"/>
          <w:sz w:val="20"/>
        </w:rPr>
        <w:t>]</w:t>
      </w:r>
      <w:r w:rsidRPr="009D5EA7">
        <w:rPr>
          <w:rFonts w:ascii="Verdana" w:hAnsi="Verdana"/>
          <w:sz w:val="20"/>
        </w:rPr>
        <w:t xml:space="preserve"> destin</w:t>
      </w:r>
      <w:r w:rsidRPr="009D5EA7">
        <w:rPr>
          <w:rStyle w:val="st1"/>
          <w:rFonts w:ascii="Verdana" w:hAnsi="Verdana" w:cs="Arial"/>
          <w:sz w:val="20"/>
        </w:rPr>
        <w:t>[ar]</w:t>
      </w:r>
      <w:r w:rsidRPr="009D5EA7">
        <w:rPr>
          <w:rFonts w:ascii="Verdana" w:hAnsi="Verdana"/>
          <w:sz w:val="20"/>
        </w:rPr>
        <w:t xml:space="preserve"> sus mejores esfuerzos, a fin de que en el menor tiempo posible sea esclarecido este caso”</w:t>
      </w:r>
      <w:r w:rsidRPr="009D5EA7">
        <w:rPr>
          <w:rStyle w:val="Refdenotaalpie"/>
          <w:rFonts w:ascii="Verdana" w:hAnsi="Verdana"/>
          <w:sz w:val="20"/>
        </w:rPr>
        <w:footnoteReference w:id="42"/>
      </w:r>
      <w:r w:rsidRPr="009D5EA7">
        <w:rPr>
          <w:rFonts w:ascii="Verdana" w:hAnsi="Verdana"/>
          <w:sz w:val="20"/>
        </w:rPr>
        <w:t xml:space="preserve">. En varios de estos pronunciamientos se hizo referencia a que el objetivo del </w:t>
      </w:r>
      <w:r w:rsidR="00DA1CE9">
        <w:rPr>
          <w:rFonts w:ascii="Verdana" w:hAnsi="Verdana"/>
          <w:sz w:val="20"/>
        </w:rPr>
        <w:t>homicidio</w:t>
      </w:r>
      <w:r w:rsidRPr="009D5EA7">
        <w:rPr>
          <w:rFonts w:ascii="Verdana" w:hAnsi="Verdana"/>
          <w:sz w:val="20"/>
        </w:rPr>
        <w:t xml:space="preserve"> del señor García Valle era intimidar a </w:t>
      </w:r>
      <w:r w:rsidR="007B184F">
        <w:rPr>
          <w:rFonts w:ascii="Verdana" w:hAnsi="Verdana"/>
          <w:sz w:val="20"/>
        </w:rPr>
        <w:t>la señora</w:t>
      </w:r>
      <w:r w:rsidRPr="009D5EA7">
        <w:rPr>
          <w:rFonts w:ascii="Verdana" w:hAnsi="Verdana"/>
          <w:sz w:val="20"/>
        </w:rPr>
        <w:t xml:space="preserve"> Acosta </w:t>
      </w:r>
      <w:r w:rsidRPr="009D5EA7">
        <w:rPr>
          <w:rFonts w:ascii="Verdana" w:hAnsi="Verdana"/>
          <w:sz w:val="20"/>
        </w:rPr>
        <w:lastRenderedPageBreak/>
        <w:t xml:space="preserve">por la labor que realizaba. </w:t>
      </w:r>
      <w:r w:rsidR="00E61800" w:rsidRPr="009D5EA7">
        <w:rPr>
          <w:rFonts w:ascii="Verdana" w:hAnsi="Verdana"/>
          <w:sz w:val="20"/>
        </w:rPr>
        <w:t xml:space="preserve">La señora </w:t>
      </w:r>
      <w:r w:rsidRPr="009D5EA7">
        <w:rPr>
          <w:rFonts w:ascii="Verdana" w:hAnsi="Verdana"/>
          <w:sz w:val="20"/>
        </w:rPr>
        <w:t>Acosta también se manifestó públicamente en este sentido el 19 de abril de 2002</w:t>
      </w:r>
      <w:r w:rsidRPr="009D5EA7">
        <w:rPr>
          <w:rStyle w:val="Refdenotaalpie"/>
          <w:rFonts w:ascii="Verdana" w:hAnsi="Verdana"/>
          <w:sz w:val="20"/>
        </w:rPr>
        <w:footnoteReference w:id="43"/>
      </w:r>
      <w:r w:rsidRPr="009D5EA7">
        <w:rPr>
          <w:rFonts w:ascii="Verdana" w:hAnsi="Verdana"/>
          <w:sz w:val="20"/>
        </w:rPr>
        <w:t>.</w:t>
      </w:r>
    </w:p>
    <w:p w14:paraId="23ED900B" w14:textId="77777777" w:rsidR="009A4633" w:rsidRPr="009D5EA7" w:rsidRDefault="009A4633" w:rsidP="009A4633">
      <w:pPr>
        <w:pStyle w:val="Prrafodelista"/>
        <w:jc w:val="both"/>
        <w:rPr>
          <w:rFonts w:ascii="Arial" w:hAnsi="Arial" w:cs="Arial"/>
        </w:rPr>
      </w:pPr>
    </w:p>
    <w:p w14:paraId="6BBBC652" w14:textId="77777777" w:rsidR="009A4633" w:rsidRPr="009D5EA7" w:rsidRDefault="009A4633" w:rsidP="009A4633">
      <w:pPr>
        <w:pStyle w:val="Prrafodelista"/>
        <w:jc w:val="both"/>
        <w:rPr>
          <w:rFonts w:ascii="Arial" w:hAnsi="Arial" w:cs="Arial"/>
        </w:rPr>
      </w:pPr>
    </w:p>
    <w:p w14:paraId="1DB41DD8" w14:textId="5507F128" w:rsidR="009A4633" w:rsidRPr="009D5EA7" w:rsidRDefault="009A4633" w:rsidP="007A3724">
      <w:pPr>
        <w:pStyle w:val="Prrafodelista"/>
        <w:numPr>
          <w:ilvl w:val="0"/>
          <w:numId w:val="13"/>
        </w:numPr>
        <w:ind w:left="714" w:hanging="357"/>
        <w:jc w:val="both"/>
        <w:rPr>
          <w:rFonts w:ascii="Verdana" w:hAnsi="Verdana" w:cs="Arial"/>
          <w:sz w:val="20"/>
        </w:rPr>
      </w:pPr>
      <w:r w:rsidRPr="009D5EA7">
        <w:rPr>
          <w:rFonts w:ascii="Verdana" w:hAnsi="Verdana" w:cs="Arial"/>
          <w:b/>
          <w:sz w:val="20"/>
        </w:rPr>
        <w:t xml:space="preserve">Investigación policial inicial del </w:t>
      </w:r>
      <w:r w:rsidR="00DA1CE9" w:rsidRPr="007B184F">
        <w:rPr>
          <w:rFonts w:ascii="Verdana" w:hAnsi="Verdana"/>
          <w:b/>
          <w:sz w:val="20"/>
        </w:rPr>
        <w:t>homicidio</w:t>
      </w:r>
      <w:r w:rsidR="00DA1CE9" w:rsidRPr="009D5EA7">
        <w:rPr>
          <w:rFonts w:ascii="Verdana" w:hAnsi="Verdana"/>
          <w:sz w:val="20"/>
        </w:rPr>
        <w:t xml:space="preserve"> </w:t>
      </w:r>
      <w:r w:rsidRPr="009D5EA7">
        <w:rPr>
          <w:rFonts w:ascii="Verdana" w:hAnsi="Verdana" w:cs="Arial"/>
          <w:b/>
          <w:sz w:val="20"/>
        </w:rPr>
        <w:t>del señor García Valle y etapa instructiva del proceso penal (expediente No. 110-2002)</w:t>
      </w:r>
    </w:p>
    <w:p w14:paraId="5630D1B4" w14:textId="77777777" w:rsidR="006039AE" w:rsidRPr="009D5EA7" w:rsidRDefault="006039AE" w:rsidP="009A4633">
      <w:pPr>
        <w:pStyle w:val="Prrafodelista"/>
        <w:ind w:left="0"/>
        <w:jc w:val="both"/>
        <w:rPr>
          <w:rFonts w:ascii="Verdana" w:hAnsi="Verdana"/>
          <w:sz w:val="20"/>
        </w:rPr>
      </w:pPr>
    </w:p>
    <w:p w14:paraId="4E160FF6" w14:textId="05BC12BC" w:rsidR="00E61800" w:rsidRPr="009D5EA7" w:rsidRDefault="00E61800" w:rsidP="00E61800">
      <w:pPr>
        <w:pStyle w:val="Prrafodelista"/>
        <w:numPr>
          <w:ilvl w:val="0"/>
          <w:numId w:val="5"/>
        </w:numPr>
        <w:ind w:left="0" w:firstLine="0"/>
        <w:jc w:val="both"/>
        <w:rPr>
          <w:rFonts w:ascii="Verdana" w:hAnsi="Verdana"/>
          <w:sz w:val="20"/>
        </w:rPr>
      </w:pPr>
      <w:r w:rsidRPr="009D5EA7">
        <w:rPr>
          <w:rFonts w:ascii="Verdana" w:hAnsi="Verdana" w:cs="Arial"/>
          <w:sz w:val="20"/>
        </w:rPr>
        <w:t xml:space="preserve">Inmediatamente dio inicio una investigación policial sobre el referido </w:t>
      </w:r>
      <w:r w:rsidR="00DA1CE9">
        <w:rPr>
          <w:rFonts w:ascii="Verdana" w:hAnsi="Verdana"/>
          <w:sz w:val="20"/>
        </w:rPr>
        <w:t>homicidio</w:t>
      </w:r>
      <w:r w:rsidRPr="009D5EA7">
        <w:rPr>
          <w:rFonts w:ascii="Verdana" w:hAnsi="Verdana" w:cs="Arial"/>
          <w:sz w:val="20"/>
        </w:rPr>
        <w:t xml:space="preserve">, en el marco de la cual fueron realizadas una serie de diligencias en los siguientes meses. Unos días después se dio inicio a la fase instructiva de un proceso penal, en el cual </w:t>
      </w:r>
      <w:r w:rsidR="00C05383" w:rsidRPr="007B184F">
        <w:rPr>
          <w:rFonts w:ascii="Verdana" w:hAnsi="Verdana" w:cs="Arial"/>
          <w:sz w:val="20"/>
        </w:rPr>
        <w:t>posteriormente</w:t>
      </w:r>
      <w:r w:rsidRPr="009D5EA7">
        <w:rPr>
          <w:rFonts w:ascii="Verdana" w:hAnsi="Verdana" w:cs="Arial"/>
          <w:sz w:val="20"/>
        </w:rPr>
        <w:t xml:space="preserve"> fueron condenadas dos personas como autores materiales del </w:t>
      </w:r>
      <w:r w:rsidR="00C05383">
        <w:rPr>
          <w:rFonts w:ascii="Verdana" w:hAnsi="Verdana" w:cs="Arial"/>
          <w:sz w:val="20"/>
        </w:rPr>
        <w:t>homicidio</w:t>
      </w:r>
      <w:r w:rsidRPr="009D5EA7">
        <w:rPr>
          <w:rFonts w:ascii="Verdana" w:hAnsi="Verdana" w:cs="Arial"/>
          <w:sz w:val="20"/>
        </w:rPr>
        <w:t xml:space="preserve">. Además, si bien la señora Acosta declaró inicialmente como parte ofendida, posteriormente el juez cambió su calidad a imputada o indagada por encubrimiento del </w:t>
      </w:r>
      <w:r w:rsidR="00FF0373" w:rsidRPr="009D5EA7">
        <w:rPr>
          <w:rFonts w:ascii="Verdana" w:hAnsi="Verdana" w:cs="Arial"/>
          <w:sz w:val="20"/>
        </w:rPr>
        <w:t>hecho</w:t>
      </w:r>
      <w:r w:rsidRPr="009D5EA7">
        <w:rPr>
          <w:rFonts w:ascii="Verdana" w:hAnsi="Verdana" w:cs="Arial"/>
          <w:sz w:val="20"/>
        </w:rPr>
        <w:t xml:space="preserve"> y también fueron indagadas tres personas como presuntos partícipes en el hecho, </w:t>
      </w:r>
      <w:r w:rsidR="00FF0373" w:rsidRPr="009D5EA7">
        <w:rPr>
          <w:rFonts w:ascii="Verdana" w:hAnsi="Verdana" w:cs="Arial"/>
          <w:sz w:val="20"/>
        </w:rPr>
        <w:t>ya fuere como autores material o intelectuales</w:t>
      </w:r>
      <w:r w:rsidRPr="009D5EA7">
        <w:rPr>
          <w:rFonts w:ascii="Verdana" w:hAnsi="Verdana" w:cs="Arial"/>
          <w:sz w:val="20"/>
        </w:rPr>
        <w:t xml:space="preserve">. Posteriormente fue dictado un sobreseimiento definitivo </w:t>
      </w:r>
      <w:r w:rsidR="00FF0373" w:rsidRPr="009D5EA7">
        <w:rPr>
          <w:rFonts w:ascii="Verdana" w:hAnsi="Verdana" w:cs="Arial"/>
          <w:sz w:val="20"/>
        </w:rPr>
        <w:t>a favor de estos últimos</w:t>
      </w:r>
      <w:r w:rsidRPr="009D5EA7">
        <w:rPr>
          <w:rFonts w:ascii="Verdana" w:hAnsi="Verdana" w:cs="Arial"/>
          <w:sz w:val="20"/>
        </w:rPr>
        <w:t>.</w:t>
      </w:r>
      <w:r w:rsidR="00FF0373" w:rsidRPr="009D5EA7">
        <w:rPr>
          <w:rFonts w:ascii="Verdana" w:hAnsi="Verdana" w:cs="Arial"/>
          <w:sz w:val="20"/>
        </w:rPr>
        <w:t xml:space="preserve"> A continuación se describen las diligencias y actos procesales más relevantes según la controversia planteada.</w:t>
      </w:r>
    </w:p>
    <w:p w14:paraId="389BDA64" w14:textId="77777777" w:rsidR="00E61800" w:rsidRPr="009D5EA7" w:rsidRDefault="00E61800" w:rsidP="009A4633">
      <w:pPr>
        <w:pStyle w:val="Prrafodelista"/>
        <w:ind w:left="0"/>
        <w:jc w:val="both"/>
        <w:rPr>
          <w:rFonts w:ascii="Verdana" w:hAnsi="Verdana"/>
          <w:sz w:val="20"/>
        </w:rPr>
      </w:pPr>
    </w:p>
    <w:p w14:paraId="21E9AA3B" w14:textId="751709F0" w:rsidR="009A4633" w:rsidRPr="009D5EA7" w:rsidRDefault="009A4633" w:rsidP="00667F79">
      <w:pPr>
        <w:pStyle w:val="Prrafodelista"/>
        <w:numPr>
          <w:ilvl w:val="0"/>
          <w:numId w:val="5"/>
        </w:numPr>
        <w:ind w:left="0" w:firstLine="0"/>
        <w:jc w:val="both"/>
        <w:rPr>
          <w:rFonts w:ascii="Verdana" w:hAnsi="Verdana"/>
          <w:sz w:val="20"/>
        </w:rPr>
      </w:pPr>
      <w:r w:rsidRPr="009D5EA7">
        <w:rPr>
          <w:rFonts w:ascii="Verdana" w:hAnsi="Verdana" w:cs="Arial"/>
          <w:sz w:val="20"/>
        </w:rPr>
        <w:t>El 9 de abril de 2002</w:t>
      </w:r>
      <w:r w:rsidRPr="009D5EA7">
        <w:rPr>
          <w:rFonts w:ascii="Verdana" w:hAnsi="Verdana"/>
          <w:sz w:val="20"/>
        </w:rPr>
        <w:t xml:space="preserve"> el Médico Forense Suplente de la Zona Espectal 11 </w:t>
      </w:r>
      <w:r w:rsidRPr="009D5EA7">
        <w:rPr>
          <w:rFonts w:ascii="Verdana" w:hAnsi="Verdana" w:cstheme="minorBidi"/>
          <w:sz w:val="20"/>
        </w:rPr>
        <w:t>emitió dictamen médico legal</w:t>
      </w:r>
      <w:r w:rsidRPr="009D5EA7">
        <w:rPr>
          <w:rFonts w:ascii="Verdana" w:hAnsi="Verdana"/>
          <w:sz w:val="20"/>
        </w:rPr>
        <w:t>,</w:t>
      </w:r>
      <w:r w:rsidRPr="009D5EA7">
        <w:rPr>
          <w:rFonts w:ascii="Verdana" w:hAnsi="Verdana" w:cstheme="minorBidi"/>
          <w:sz w:val="20"/>
        </w:rPr>
        <w:t xml:space="preserve"> </w:t>
      </w:r>
      <w:r w:rsidRPr="009D5EA7">
        <w:rPr>
          <w:rFonts w:ascii="Verdana" w:hAnsi="Verdana"/>
          <w:sz w:val="20"/>
        </w:rPr>
        <w:t xml:space="preserve">en el que estableció las causas de </w:t>
      </w:r>
      <w:r w:rsidR="00FF0373" w:rsidRPr="009D5EA7">
        <w:rPr>
          <w:rFonts w:ascii="Verdana" w:hAnsi="Verdana"/>
          <w:sz w:val="20"/>
        </w:rPr>
        <w:t xml:space="preserve">muerte </w:t>
      </w:r>
      <w:r w:rsidRPr="009D5EA7">
        <w:rPr>
          <w:rFonts w:ascii="Verdana" w:hAnsi="Verdana" w:cstheme="minorBidi"/>
          <w:sz w:val="20"/>
        </w:rPr>
        <w:t xml:space="preserve">y otros datos de interés. </w:t>
      </w:r>
      <w:r w:rsidR="00FF0373" w:rsidRPr="009D5EA7">
        <w:rPr>
          <w:rFonts w:ascii="Verdana" w:hAnsi="Verdana" w:cs="Arial"/>
          <w:sz w:val="20"/>
        </w:rPr>
        <w:t>Ese mismo día, el médico forense extrajo el proyectil del cadáver del difunto y lo envió al Jefe de Investigaciones Criminales de la Delegación Policial de la Región Autónoma Atlántico Sur por considerar que era “de mucha importancia para continuar las investigaciones pertinentes del caso”</w:t>
      </w:r>
      <w:r w:rsidRPr="009D5EA7">
        <w:rPr>
          <w:rStyle w:val="Refdenotaalpie"/>
          <w:rFonts w:ascii="Verdana" w:hAnsi="Verdana" w:cs="Arial"/>
          <w:sz w:val="20"/>
        </w:rPr>
        <w:footnoteReference w:id="44"/>
      </w:r>
      <w:r w:rsidRPr="009D5EA7">
        <w:rPr>
          <w:rFonts w:ascii="Verdana" w:hAnsi="Verdana" w:cs="Arial"/>
          <w:sz w:val="20"/>
        </w:rPr>
        <w:t>.</w:t>
      </w:r>
    </w:p>
    <w:p w14:paraId="1C346D35" w14:textId="77777777" w:rsidR="009A4633" w:rsidRPr="009D5EA7" w:rsidRDefault="009A4633" w:rsidP="009A4633">
      <w:pPr>
        <w:pStyle w:val="Prrafodelista"/>
        <w:ind w:left="0"/>
        <w:jc w:val="both"/>
        <w:rPr>
          <w:rFonts w:ascii="Verdana" w:hAnsi="Verdana"/>
          <w:sz w:val="20"/>
        </w:rPr>
      </w:pPr>
    </w:p>
    <w:p w14:paraId="48E756FC" w14:textId="56A52E46" w:rsidR="00B7721D" w:rsidRPr="009D5EA7" w:rsidRDefault="009A4633" w:rsidP="00B7721D">
      <w:pPr>
        <w:pStyle w:val="Prrafodelista"/>
        <w:numPr>
          <w:ilvl w:val="0"/>
          <w:numId w:val="5"/>
        </w:numPr>
        <w:ind w:left="0" w:firstLine="0"/>
        <w:jc w:val="both"/>
        <w:rPr>
          <w:rFonts w:ascii="Verdana" w:hAnsi="Verdana" w:cs="Arial"/>
          <w:sz w:val="20"/>
        </w:rPr>
      </w:pPr>
      <w:r w:rsidRPr="009D5EA7">
        <w:rPr>
          <w:rFonts w:ascii="Verdana" w:hAnsi="Verdana"/>
          <w:sz w:val="20"/>
        </w:rPr>
        <w:t>Entre el 9 y 12 de abril de 2002, la Policía Nacional</w:t>
      </w:r>
      <w:r w:rsidR="00FF0373" w:rsidRPr="009D5EA7">
        <w:rPr>
          <w:rFonts w:ascii="Verdana" w:hAnsi="Verdana" w:cstheme="minorBidi"/>
          <w:sz w:val="20"/>
        </w:rPr>
        <w:t xml:space="preserve"> realizó una “foto-tabla ilustrativa”, inspección ocular,</w:t>
      </w:r>
      <w:r w:rsidR="00FF0373" w:rsidRPr="009D5EA7">
        <w:rPr>
          <w:rFonts w:ascii="Verdana" w:hAnsi="Verdana"/>
          <w:sz w:val="20"/>
        </w:rPr>
        <w:t xml:space="preserve"> </w:t>
      </w:r>
      <w:r w:rsidRPr="009D5EA7">
        <w:rPr>
          <w:rFonts w:ascii="Verdana" w:hAnsi="Verdana"/>
          <w:sz w:val="20"/>
        </w:rPr>
        <w:t xml:space="preserve">interrogó a </w:t>
      </w:r>
      <w:r w:rsidR="00FF0373" w:rsidRPr="009D5EA7">
        <w:rPr>
          <w:rFonts w:ascii="Verdana" w:hAnsi="Verdana"/>
          <w:sz w:val="20"/>
        </w:rPr>
        <w:t>varias</w:t>
      </w:r>
      <w:r w:rsidRPr="009D5EA7">
        <w:rPr>
          <w:rFonts w:ascii="Verdana" w:hAnsi="Verdana"/>
          <w:sz w:val="20"/>
        </w:rPr>
        <w:t xml:space="preserve"> personas</w:t>
      </w:r>
      <w:r w:rsidR="00FF0373" w:rsidRPr="009D5EA7">
        <w:rPr>
          <w:rFonts w:ascii="Verdana" w:hAnsi="Verdana"/>
          <w:sz w:val="20"/>
        </w:rPr>
        <w:t>, entre otras diligencias</w:t>
      </w:r>
      <w:r w:rsidRPr="009D5EA7">
        <w:rPr>
          <w:rFonts w:ascii="Verdana" w:hAnsi="Verdana"/>
          <w:sz w:val="20"/>
        </w:rPr>
        <w:t xml:space="preserve">. </w:t>
      </w:r>
      <w:r w:rsidR="00FF0373" w:rsidRPr="009D5EA7">
        <w:rPr>
          <w:rFonts w:ascii="Verdana" w:hAnsi="Verdana"/>
          <w:sz w:val="20"/>
        </w:rPr>
        <w:t xml:space="preserve"> </w:t>
      </w:r>
      <w:r w:rsidR="00B7721D" w:rsidRPr="009D5EA7">
        <w:rPr>
          <w:rFonts w:ascii="Verdana" w:hAnsi="Verdana" w:cs="Arial"/>
          <w:sz w:val="20"/>
        </w:rPr>
        <w:t>Entre el</w:t>
      </w:r>
      <w:r w:rsidRPr="009D5EA7">
        <w:rPr>
          <w:rFonts w:ascii="Verdana" w:hAnsi="Verdana" w:cs="Arial"/>
          <w:sz w:val="20"/>
        </w:rPr>
        <w:t xml:space="preserve"> 15 </w:t>
      </w:r>
      <w:r w:rsidRPr="009D5EA7">
        <w:rPr>
          <w:rFonts w:ascii="Verdana" w:hAnsi="Verdana"/>
          <w:sz w:val="20"/>
        </w:rPr>
        <w:t>de</w:t>
      </w:r>
      <w:r w:rsidRPr="009D5EA7">
        <w:rPr>
          <w:rFonts w:ascii="Verdana" w:hAnsi="Verdana" w:cs="Arial"/>
          <w:sz w:val="20"/>
        </w:rPr>
        <w:t xml:space="preserve"> abril </w:t>
      </w:r>
      <w:r w:rsidR="00B7721D" w:rsidRPr="009D5EA7">
        <w:rPr>
          <w:rFonts w:ascii="Verdana" w:hAnsi="Verdana" w:cs="Arial"/>
          <w:sz w:val="20"/>
        </w:rPr>
        <w:t xml:space="preserve">y el 6 de mayo </w:t>
      </w:r>
      <w:r w:rsidRPr="009D5EA7">
        <w:rPr>
          <w:rFonts w:ascii="Verdana" w:hAnsi="Verdana" w:cs="Arial"/>
          <w:sz w:val="20"/>
        </w:rPr>
        <w:t xml:space="preserve">de 2002 el Jefe de Investigaciones Criminales de la Delegación Policial de la Región Autónoma Atlántico Sur </w:t>
      </w:r>
      <w:r w:rsidR="00B830E7" w:rsidRPr="009D5EA7">
        <w:rPr>
          <w:rFonts w:ascii="Verdana" w:hAnsi="Verdana" w:cs="Arial"/>
          <w:sz w:val="20"/>
        </w:rPr>
        <w:t>remitió</w:t>
      </w:r>
      <w:r w:rsidRPr="009D5EA7">
        <w:rPr>
          <w:rFonts w:ascii="Verdana" w:hAnsi="Verdana" w:cs="Arial"/>
          <w:sz w:val="20"/>
        </w:rPr>
        <w:t xml:space="preserve"> al Juez de Distrito del Crimen de Bluefields varias diligencias llevadas a cabo</w:t>
      </w:r>
      <w:r w:rsidR="00B7721D" w:rsidRPr="009D5EA7">
        <w:rPr>
          <w:rFonts w:ascii="Verdana" w:hAnsi="Verdana" w:cs="Arial"/>
          <w:sz w:val="20"/>
        </w:rPr>
        <w:t>;</w:t>
      </w:r>
      <w:r w:rsidRPr="009D5EA7">
        <w:rPr>
          <w:rFonts w:ascii="Verdana" w:hAnsi="Verdana" w:cs="Arial"/>
          <w:sz w:val="20"/>
        </w:rPr>
        <w:t xml:space="preserve"> solicitó al juez orden de allanamiento y registro domiciliar para la captura del investigado Iván Argüello Rivera por estar involucrado en el crimen</w:t>
      </w:r>
      <w:r w:rsidR="00B7721D" w:rsidRPr="009D5EA7">
        <w:rPr>
          <w:rFonts w:ascii="Verdana" w:hAnsi="Verdana" w:cs="Arial"/>
          <w:sz w:val="20"/>
        </w:rPr>
        <w:t>; y presentó un informe pericial relacionado con la investigación de sangre encontrada en el lugar de los hechos</w:t>
      </w:r>
      <w:r w:rsidR="00B7721D" w:rsidRPr="009D5EA7">
        <w:rPr>
          <w:rStyle w:val="Refdenotaalpie"/>
          <w:rFonts w:ascii="Verdana" w:hAnsi="Verdana" w:cs="Arial"/>
          <w:sz w:val="20"/>
        </w:rPr>
        <w:footnoteReference w:id="45"/>
      </w:r>
      <w:r w:rsidR="00B7721D" w:rsidRPr="009D5EA7">
        <w:rPr>
          <w:rFonts w:ascii="Verdana" w:hAnsi="Verdana" w:cs="Arial"/>
          <w:sz w:val="20"/>
        </w:rPr>
        <w:t xml:space="preserve">. </w:t>
      </w:r>
    </w:p>
    <w:p w14:paraId="44636FF5" w14:textId="77777777" w:rsidR="009A4633" w:rsidRPr="009D5EA7" w:rsidRDefault="009A4633" w:rsidP="009A4633">
      <w:pPr>
        <w:pStyle w:val="Prrafodelista"/>
        <w:ind w:left="0"/>
        <w:jc w:val="both"/>
        <w:rPr>
          <w:rFonts w:ascii="Verdana" w:hAnsi="Verdana" w:cs="Arial"/>
          <w:sz w:val="20"/>
        </w:rPr>
      </w:pPr>
    </w:p>
    <w:p w14:paraId="35CAE963" w14:textId="3F785575"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15 de abril de 2002 el Juzgado de Distrito del Crimen de Bluefields, </w:t>
      </w:r>
      <w:r w:rsidR="007B184F">
        <w:rPr>
          <w:rFonts w:ascii="Verdana" w:hAnsi="Verdana" w:cs="Arial"/>
          <w:sz w:val="20"/>
        </w:rPr>
        <w:t>entonces a cargo</w:t>
      </w:r>
      <w:r w:rsidR="006039AE" w:rsidRPr="009D5EA7">
        <w:rPr>
          <w:rFonts w:ascii="Verdana" w:hAnsi="Verdana" w:cs="Arial"/>
          <w:sz w:val="20"/>
        </w:rPr>
        <w:t xml:space="preserve"> </w:t>
      </w:r>
      <w:r w:rsidR="007B184F">
        <w:rPr>
          <w:rFonts w:ascii="Verdana" w:hAnsi="Verdana" w:cs="Arial"/>
          <w:sz w:val="20"/>
        </w:rPr>
        <w:t>d</w:t>
      </w:r>
      <w:r w:rsidR="006039AE" w:rsidRPr="009D5EA7">
        <w:rPr>
          <w:rFonts w:ascii="Verdana" w:hAnsi="Verdana" w:cs="Arial"/>
          <w:sz w:val="20"/>
        </w:rPr>
        <w:t xml:space="preserve">el </w:t>
      </w:r>
      <w:r w:rsidRPr="009D5EA7">
        <w:rPr>
          <w:rFonts w:ascii="Verdana" w:hAnsi="Verdana" w:cs="Arial"/>
          <w:sz w:val="20"/>
        </w:rPr>
        <w:t>juez Julio Acuña Cambronero, dictó auto cabeza del proceso, en el cual decretó arre</w:t>
      </w:r>
      <w:r w:rsidR="00437056" w:rsidRPr="009D5EA7">
        <w:rPr>
          <w:rFonts w:ascii="Verdana" w:hAnsi="Verdana" w:cs="Arial"/>
          <w:sz w:val="20"/>
        </w:rPr>
        <w:t>sto provisional contra Iván Argü</w:t>
      </w:r>
      <w:r w:rsidRPr="009D5EA7">
        <w:rPr>
          <w:rFonts w:ascii="Verdana" w:hAnsi="Verdana" w:cs="Arial"/>
          <w:sz w:val="20"/>
        </w:rPr>
        <w:t xml:space="preserve">ello Rivera; ordenó la práctica de allanamiento y registro domiciliar en donde se </w:t>
      </w:r>
      <w:r w:rsidR="00FF0373" w:rsidRPr="009D5EA7">
        <w:rPr>
          <w:rFonts w:ascii="Verdana" w:hAnsi="Verdana" w:cs="Arial"/>
          <w:sz w:val="20"/>
        </w:rPr>
        <w:t>encontrare</w:t>
      </w:r>
      <w:r w:rsidRPr="009D5EA7">
        <w:rPr>
          <w:rFonts w:ascii="Verdana" w:hAnsi="Verdana" w:cs="Arial"/>
          <w:sz w:val="20"/>
        </w:rPr>
        <w:t xml:space="preserve"> el procesado; fijó </w:t>
      </w:r>
      <w:r w:rsidRPr="009D5EA7">
        <w:rPr>
          <w:rFonts w:ascii="Verdana" w:hAnsi="Verdana"/>
          <w:sz w:val="20"/>
        </w:rPr>
        <w:t>fechas</w:t>
      </w:r>
      <w:r w:rsidRPr="009D5EA7">
        <w:rPr>
          <w:rFonts w:ascii="Verdana" w:hAnsi="Verdana" w:cs="Arial"/>
          <w:sz w:val="20"/>
        </w:rPr>
        <w:t xml:space="preserve"> para recibir diversas declaraciones testificales; ordenó el allanamiento y registro domiciliar de la funeraria “La Paz”, negocio propiedad del difunto señor García Valle, con el fin de incautar cualquier documentación que se encontrare vinculada al proceso; y, asimismo, dispuso “téngase como parte ofendida en el presente proceso a la doctora María Luisa Acosta y concédasele intervención de ley y discernimiento del cargo”</w:t>
      </w:r>
      <w:r w:rsidRPr="009D5EA7">
        <w:rPr>
          <w:rStyle w:val="Refdenotaalpie"/>
          <w:rFonts w:ascii="Verdana" w:hAnsi="Verdana" w:cs="Arial"/>
          <w:sz w:val="20"/>
        </w:rPr>
        <w:footnoteReference w:id="46"/>
      </w:r>
      <w:r w:rsidRPr="009D5EA7">
        <w:rPr>
          <w:rFonts w:ascii="Verdana" w:hAnsi="Verdana" w:cs="Arial"/>
          <w:sz w:val="20"/>
        </w:rPr>
        <w:t xml:space="preserve">. </w:t>
      </w:r>
      <w:r w:rsidR="007B184F">
        <w:rPr>
          <w:rFonts w:ascii="Verdana" w:hAnsi="Verdana" w:cs="Arial"/>
          <w:sz w:val="20"/>
        </w:rPr>
        <w:lastRenderedPageBreak/>
        <w:t>L</w:t>
      </w:r>
      <w:r w:rsidR="00FF0373" w:rsidRPr="009D5EA7">
        <w:rPr>
          <w:rFonts w:ascii="Verdana" w:hAnsi="Verdana" w:cs="Arial"/>
          <w:sz w:val="20"/>
        </w:rPr>
        <w:t>a fase instructiva d</w:t>
      </w:r>
      <w:r w:rsidRPr="009D5EA7">
        <w:rPr>
          <w:rFonts w:ascii="Verdana" w:hAnsi="Verdana" w:cs="Arial"/>
          <w:sz w:val="20"/>
        </w:rPr>
        <w:t xml:space="preserve">el proceso abierto por el </w:t>
      </w:r>
      <w:r w:rsidR="008B0E36">
        <w:rPr>
          <w:rFonts w:ascii="Verdana" w:hAnsi="Verdana"/>
          <w:sz w:val="20"/>
        </w:rPr>
        <w:t>homicidio</w:t>
      </w:r>
      <w:r w:rsidR="008B0E36" w:rsidRPr="009D5EA7">
        <w:rPr>
          <w:rFonts w:ascii="Verdana" w:hAnsi="Verdana"/>
          <w:sz w:val="20"/>
        </w:rPr>
        <w:t xml:space="preserve"> </w:t>
      </w:r>
      <w:r w:rsidRPr="009D5EA7">
        <w:rPr>
          <w:rFonts w:ascii="Verdana" w:hAnsi="Verdana" w:cs="Arial"/>
          <w:sz w:val="20"/>
        </w:rPr>
        <w:t xml:space="preserve">del señor García Valle se realizó bajo el procedimiento de carácter </w:t>
      </w:r>
      <w:r w:rsidRPr="009D5EA7">
        <w:rPr>
          <w:rFonts w:ascii="Verdana" w:hAnsi="Verdana"/>
          <w:sz w:val="20"/>
        </w:rPr>
        <w:t xml:space="preserve">inquisitivo </w:t>
      </w:r>
      <w:r w:rsidRPr="009D5EA7">
        <w:rPr>
          <w:rFonts w:ascii="Verdana" w:hAnsi="Verdana" w:cs="Arial"/>
          <w:sz w:val="20"/>
        </w:rPr>
        <w:t xml:space="preserve">establecido </w:t>
      </w:r>
      <w:r w:rsidRPr="009D5EA7">
        <w:rPr>
          <w:rFonts w:ascii="Verdana" w:hAnsi="Verdana"/>
          <w:sz w:val="20"/>
        </w:rPr>
        <w:t>en el Código de Instrucción Criminal (IN), que estuvo vigente hasta el 23 de diciembre de 2002.</w:t>
      </w:r>
    </w:p>
    <w:p w14:paraId="44685D92" w14:textId="77777777" w:rsidR="009A4633" w:rsidRPr="009D5EA7" w:rsidRDefault="009A4633" w:rsidP="009A4633">
      <w:pPr>
        <w:pStyle w:val="Prrafodelista"/>
        <w:ind w:left="0"/>
        <w:jc w:val="both"/>
        <w:rPr>
          <w:rFonts w:ascii="Verdana" w:hAnsi="Verdana" w:cs="Arial"/>
          <w:sz w:val="20"/>
        </w:rPr>
      </w:pPr>
    </w:p>
    <w:p w14:paraId="72DA8560" w14:textId="227026B8"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En su declaración </w:t>
      </w:r>
      <w:r w:rsidRPr="009D5EA7">
        <w:rPr>
          <w:rFonts w:ascii="Verdana" w:hAnsi="Verdana" w:cs="Arial"/>
          <w:i/>
          <w:sz w:val="20"/>
        </w:rPr>
        <w:t>ad-inquirendum</w:t>
      </w:r>
      <w:r w:rsidRPr="009D5EA7">
        <w:rPr>
          <w:rFonts w:ascii="Verdana" w:hAnsi="Verdana" w:cs="Arial"/>
          <w:sz w:val="20"/>
        </w:rPr>
        <w:t xml:space="preserve"> de 16 de abril de 2002, la señora Acosta </w:t>
      </w:r>
      <w:r w:rsidR="00FF0373" w:rsidRPr="009D5EA7">
        <w:rPr>
          <w:rFonts w:ascii="Verdana" w:hAnsi="Verdana" w:cs="Arial"/>
          <w:sz w:val="20"/>
        </w:rPr>
        <w:t>manifestó</w:t>
      </w:r>
      <w:r w:rsidRPr="009D5EA7">
        <w:rPr>
          <w:rFonts w:ascii="Verdana" w:hAnsi="Verdana" w:cs="Arial"/>
          <w:sz w:val="20"/>
        </w:rPr>
        <w:t xml:space="preserve"> que su marid</w:t>
      </w:r>
      <w:r w:rsidR="00FF0373" w:rsidRPr="009D5EA7">
        <w:rPr>
          <w:rFonts w:ascii="Verdana" w:hAnsi="Verdana" w:cs="Arial"/>
          <w:sz w:val="20"/>
        </w:rPr>
        <w:t>o no tenía problemas con nadie;</w:t>
      </w:r>
      <w:r w:rsidRPr="009D5EA7">
        <w:rPr>
          <w:rFonts w:ascii="Verdana" w:hAnsi="Verdana" w:cs="Arial"/>
          <w:sz w:val="20"/>
        </w:rPr>
        <w:t xml:space="preserve"> que probablemente la razón del </w:t>
      </w:r>
      <w:r w:rsidR="008B0E36">
        <w:rPr>
          <w:rFonts w:ascii="Verdana" w:hAnsi="Verdana"/>
          <w:sz w:val="20"/>
        </w:rPr>
        <w:t>homicidio</w:t>
      </w:r>
      <w:r w:rsidR="008B0E36" w:rsidRPr="009D5EA7">
        <w:rPr>
          <w:rFonts w:ascii="Verdana" w:hAnsi="Verdana"/>
          <w:sz w:val="20"/>
        </w:rPr>
        <w:t xml:space="preserve"> </w:t>
      </w:r>
      <w:r w:rsidRPr="009D5EA7">
        <w:rPr>
          <w:rFonts w:ascii="Verdana" w:hAnsi="Verdana" w:cs="Arial"/>
          <w:sz w:val="20"/>
        </w:rPr>
        <w:t xml:space="preserve">es que querían matarla a </w:t>
      </w:r>
      <w:r w:rsidR="00FF0373" w:rsidRPr="009D5EA7">
        <w:rPr>
          <w:rFonts w:ascii="Verdana" w:hAnsi="Verdana" w:cs="Arial"/>
          <w:sz w:val="20"/>
        </w:rPr>
        <w:t>ella y no la habían encontrado; s</w:t>
      </w:r>
      <w:r w:rsidRPr="009D5EA7">
        <w:rPr>
          <w:rFonts w:ascii="Verdana" w:hAnsi="Verdana" w:cs="Arial"/>
          <w:sz w:val="20"/>
        </w:rPr>
        <w:t xml:space="preserve">eñaló a </w:t>
      </w:r>
      <w:r w:rsidR="00FB2B82" w:rsidRPr="009D5EA7">
        <w:rPr>
          <w:rFonts w:ascii="Verdana" w:hAnsi="Verdana" w:cs="Arial"/>
          <w:sz w:val="20"/>
        </w:rPr>
        <w:t>PT</w:t>
      </w:r>
      <w:r w:rsidRPr="009D5EA7">
        <w:rPr>
          <w:rFonts w:ascii="Verdana" w:hAnsi="Verdana" w:cs="Arial"/>
          <w:sz w:val="20"/>
        </w:rPr>
        <w:t xml:space="preserve"> y </w:t>
      </w:r>
      <w:r w:rsidR="0023621A" w:rsidRPr="009D5EA7">
        <w:rPr>
          <w:rFonts w:ascii="Verdana" w:hAnsi="Verdana" w:cs="Arial"/>
          <w:sz w:val="20"/>
        </w:rPr>
        <w:t>PMF</w:t>
      </w:r>
      <w:r w:rsidRPr="009D5EA7">
        <w:rPr>
          <w:rFonts w:ascii="Verdana" w:hAnsi="Verdana" w:cs="Arial"/>
          <w:sz w:val="20"/>
        </w:rPr>
        <w:t xml:space="preserve"> como posibles autores intelectuales del </w:t>
      </w:r>
      <w:r w:rsidR="008B0E36">
        <w:rPr>
          <w:rFonts w:ascii="Verdana" w:hAnsi="Verdana" w:cs="Arial"/>
          <w:sz w:val="20"/>
        </w:rPr>
        <w:t>hecho, en relación con</w:t>
      </w:r>
      <w:r w:rsidRPr="009D5EA7">
        <w:rPr>
          <w:rFonts w:ascii="Verdana" w:hAnsi="Verdana" w:cs="Arial"/>
          <w:sz w:val="20"/>
        </w:rPr>
        <w:t xml:space="preserve"> la asesoría legal que ella brindaba a comunidades </w:t>
      </w:r>
      <w:r w:rsidR="00FF0373" w:rsidRPr="009D5EA7">
        <w:rPr>
          <w:rFonts w:ascii="Verdana" w:hAnsi="Verdana" w:cs="Arial"/>
          <w:sz w:val="20"/>
        </w:rPr>
        <w:t>indígenas</w:t>
      </w:r>
      <w:r w:rsidRPr="009D5EA7">
        <w:rPr>
          <w:rFonts w:ascii="Verdana" w:hAnsi="Verdana" w:cs="Arial"/>
          <w:sz w:val="20"/>
        </w:rPr>
        <w:t xml:space="preserve">, contrarias a los intereses de </w:t>
      </w:r>
      <w:r w:rsidR="00FF0373" w:rsidRPr="009D5EA7">
        <w:rPr>
          <w:rFonts w:ascii="Verdana" w:hAnsi="Verdana" w:cs="Arial"/>
          <w:sz w:val="20"/>
        </w:rPr>
        <w:t>aquéllos; y s</w:t>
      </w:r>
      <w:r w:rsidRPr="009D5EA7">
        <w:rPr>
          <w:rFonts w:ascii="Verdana" w:hAnsi="Verdana"/>
          <w:sz w:val="20"/>
        </w:rPr>
        <w:t xml:space="preserve">eñaló que una persona de nombre </w:t>
      </w:r>
      <w:r w:rsidR="00FF0373" w:rsidRPr="009D5EA7">
        <w:rPr>
          <w:rFonts w:ascii="Verdana" w:hAnsi="Verdana"/>
          <w:sz w:val="20"/>
        </w:rPr>
        <w:t>CJP</w:t>
      </w:r>
      <w:r w:rsidRPr="009D5EA7">
        <w:rPr>
          <w:rFonts w:ascii="Verdana" w:hAnsi="Verdana"/>
          <w:sz w:val="20"/>
        </w:rPr>
        <w:t xml:space="preserve"> podría estar vinculado</w:t>
      </w:r>
      <w:r w:rsidR="00FF0373" w:rsidRPr="009D5EA7">
        <w:rPr>
          <w:rStyle w:val="Refdenotaalpie"/>
          <w:rFonts w:ascii="Verdana" w:hAnsi="Verdana" w:cs="Arial"/>
          <w:sz w:val="20"/>
        </w:rPr>
        <w:footnoteReference w:id="47"/>
      </w:r>
      <w:r w:rsidRPr="009D5EA7">
        <w:rPr>
          <w:rFonts w:ascii="Verdana" w:hAnsi="Verdana"/>
          <w:sz w:val="20"/>
        </w:rPr>
        <w:t xml:space="preserve">. </w:t>
      </w:r>
    </w:p>
    <w:p w14:paraId="443B9DD3" w14:textId="77777777" w:rsidR="009A4633" w:rsidRPr="009D5EA7" w:rsidRDefault="009A4633" w:rsidP="009A4633">
      <w:pPr>
        <w:pStyle w:val="Prrafodelista"/>
        <w:rPr>
          <w:rFonts w:ascii="Verdana" w:hAnsi="Verdana" w:cs="Arial"/>
          <w:sz w:val="20"/>
        </w:rPr>
      </w:pPr>
    </w:p>
    <w:p w14:paraId="48C6B4D7" w14:textId="7BB3D6D6" w:rsidR="009A4633" w:rsidRPr="009D5EA7" w:rsidRDefault="00B830E7" w:rsidP="00667F79">
      <w:pPr>
        <w:pStyle w:val="Prrafodelista"/>
        <w:numPr>
          <w:ilvl w:val="0"/>
          <w:numId w:val="5"/>
        </w:numPr>
        <w:ind w:left="0" w:firstLine="0"/>
        <w:jc w:val="both"/>
        <w:rPr>
          <w:rFonts w:ascii="Verdana" w:hAnsi="Verdana" w:cs="Arial"/>
          <w:sz w:val="20"/>
        </w:rPr>
      </w:pPr>
      <w:r w:rsidRPr="009D5EA7">
        <w:rPr>
          <w:rFonts w:ascii="Verdana" w:hAnsi="Verdana"/>
          <w:sz w:val="20"/>
        </w:rPr>
        <w:t>Entre el 13 y el 19</w:t>
      </w:r>
      <w:r w:rsidR="009A4633" w:rsidRPr="009D5EA7">
        <w:rPr>
          <w:rFonts w:ascii="Verdana" w:hAnsi="Verdana"/>
          <w:sz w:val="20"/>
        </w:rPr>
        <w:t xml:space="preserve"> de abril de 2002, el juez recibió declaraciones de cuatro </w:t>
      </w:r>
      <w:r w:rsidR="008E1FFF" w:rsidRPr="009D5EA7">
        <w:rPr>
          <w:rFonts w:ascii="Verdana" w:hAnsi="Verdana"/>
          <w:sz w:val="20"/>
        </w:rPr>
        <w:t>testigos y la</w:t>
      </w:r>
      <w:r w:rsidR="009A4633" w:rsidRPr="009D5EA7">
        <w:rPr>
          <w:rFonts w:ascii="Verdana" w:hAnsi="Verdana"/>
          <w:sz w:val="20"/>
        </w:rPr>
        <w:t xml:space="preserve"> </w:t>
      </w:r>
      <w:r w:rsidR="008E1FFF" w:rsidRPr="009D5EA7">
        <w:rPr>
          <w:rFonts w:ascii="Verdana" w:hAnsi="Verdana"/>
          <w:sz w:val="20"/>
        </w:rPr>
        <w:t xml:space="preserve">indagatoria </w:t>
      </w:r>
      <w:r w:rsidR="009A4633" w:rsidRPr="009D5EA7">
        <w:rPr>
          <w:rFonts w:ascii="Verdana" w:hAnsi="Verdana"/>
          <w:sz w:val="20"/>
        </w:rPr>
        <w:t xml:space="preserve">de </w:t>
      </w:r>
      <w:r w:rsidR="008E1FFF" w:rsidRPr="009D5EA7">
        <w:rPr>
          <w:rFonts w:ascii="Verdana" w:hAnsi="Verdana"/>
          <w:sz w:val="20"/>
        </w:rPr>
        <w:t>CJP</w:t>
      </w:r>
      <w:r w:rsidR="009A4633" w:rsidRPr="009D5EA7">
        <w:rPr>
          <w:rFonts w:ascii="Verdana" w:hAnsi="Verdana"/>
          <w:sz w:val="20"/>
        </w:rPr>
        <w:t xml:space="preserve">, quien manifestó que </w:t>
      </w:r>
      <w:r w:rsidR="009A4633" w:rsidRPr="009D5EA7">
        <w:rPr>
          <w:rFonts w:ascii="Verdana" w:hAnsi="Verdana" w:cs="Garamond"/>
          <w:sz w:val="20"/>
        </w:rPr>
        <w:t xml:space="preserve">no sabía nada del </w:t>
      </w:r>
      <w:r w:rsidR="008B0E36">
        <w:rPr>
          <w:rFonts w:ascii="Verdana" w:hAnsi="Verdana"/>
          <w:sz w:val="20"/>
        </w:rPr>
        <w:t>homicidio</w:t>
      </w:r>
      <w:r w:rsidRPr="009D5EA7">
        <w:rPr>
          <w:rFonts w:ascii="Verdana" w:hAnsi="Verdana" w:cs="Garamond"/>
          <w:sz w:val="20"/>
        </w:rPr>
        <w:t>;</w:t>
      </w:r>
      <w:r w:rsidRPr="009D5EA7">
        <w:rPr>
          <w:rFonts w:ascii="Verdana" w:hAnsi="Verdana" w:cs="Arial"/>
          <w:sz w:val="20"/>
        </w:rPr>
        <w:t xml:space="preserve"> llevó a cabo una inspección ocular en el domicilio de la señora Acosta (acompañado por la Fiscal Auxiliar de Justicia, la señora Acosta como la parte ofendida del proceso y PMF como indagado)</w:t>
      </w:r>
      <w:r w:rsidR="00C65D09">
        <w:rPr>
          <w:rStyle w:val="Refdenotaalpie"/>
          <w:rFonts w:ascii="Verdana" w:hAnsi="Verdana" w:cs="Arial"/>
          <w:sz w:val="20"/>
        </w:rPr>
        <w:footnoteReference w:id="48"/>
      </w:r>
      <w:r w:rsidRPr="009D5EA7">
        <w:rPr>
          <w:rFonts w:ascii="Verdana" w:hAnsi="Verdana" w:cs="Garamond"/>
          <w:sz w:val="20"/>
        </w:rPr>
        <w:t xml:space="preserve">; </w:t>
      </w:r>
      <w:r w:rsidRPr="009D5EA7">
        <w:rPr>
          <w:rFonts w:ascii="Verdana" w:hAnsi="Verdana" w:cs="Arial"/>
          <w:sz w:val="20"/>
        </w:rPr>
        <w:t xml:space="preserve">y ordenó </w:t>
      </w:r>
      <w:r w:rsidR="009A4633" w:rsidRPr="009D5EA7">
        <w:rPr>
          <w:rFonts w:ascii="Verdana" w:hAnsi="Verdana" w:cs="Arial"/>
          <w:sz w:val="20"/>
        </w:rPr>
        <w:t xml:space="preserve">a dos entidades bancarias y a la compañía telefónica que </w:t>
      </w:r>
      <w:r w:rsidRPr="009D5EA7">
        <w:rPr>
          <w:rFonts w:ascii="Verdana" w:hAnsi="Verdana" w:cs="Arial"/>
          <w:sz w:val="20"/>
        </w:rPr>
        <w:t>presentaran información sobre</w:t>
      </w:r>
      <w:r w:rsidR="009A4633" w:rsidRPr="009D5EA7">
        <w:rPr>
          <w:rFonts w:ascii="Verdana" w:hAnsi="Verdana" w:cs="Arial"/>
          <w:sz w:val="20"/>
        </w:rPr>
        <w:t xml:space="preserve"> movimientos ba</w:t>
      </w:r>
      <w:r w:rsidR="00437056" w:rsidRPr="009D5EA7">
        <w:rPr>
          <w:rFonts w:ascii="Verdana" w:hAnsi="Verdana" w:cs="Arial"/>
          <w:sz w:val="20"/>
        </w:rPr>
        <w:t>ncario</w:t>
      </w:r>
      <w:r w:rsidRPr="009D5EA7">
        <w:rPr>
          <w:rFonts w:ascii="Verdana" w:hAnsi="Verdana" w:cs="Arial"/>
          <w:sz w:val="20"/>
        </w:rPr>
        <w:t>s y registros telefónicos</w:t>
      </w:r>
      <w:r w:rsidR="00F207A5" w:rsidRPr="009D5EA7">
        <w:rPr>
          <w:rFonts w:ascii="Verdana" w:hAnsi="Verdana" w:cs="Arial"/>
          <w:sz w:val="20"/>
        </w:rPr>
        <w:t xml:space="preserve"> realizados por Ivan Argü</w:t>
      </w:r>
      <w:r w:rsidR="009A4633" w:rsidRPr="009D5EA7">
        <w:rPr>
          <w:rFonts w:ascii="Verdana" w:hAnsi="Verdana" w:cs="Arial"/>
          <w:sz w:val="20"/>
        </w:rPr>
        <w:t>ello, así como registros de ingresos de llamadas a los teléfonos de la señora Acosta y su esposo</w:t>
      </w:r>
      <w:r w:rsidR="009A4633" w:rsidRPr="009D5EA7">
        <w:rPr>
          <w:rStyle w:val="Refdenotaalpie"/>
          <w:rFonts w:ascii="Verdana" w:hAnsi="Verdana" w:cs="Arial"/>
          <w:sz w:val="20"/>
        </w:rPr>
        <w:footnoteReference w:id="49"/>
      </w:r>
      <w:r w:rsidR="009A4633" w:rsidRPr="009D5EA7">
        <w:rPr>
          <w:rFonts w:ascii="Verdana" w:hAnsi="Verdana" w:cs="Arial"/>
          <w:sz w:val="20"/>
        </w:rPr>
        <w:t>.</w:t>
      </w:r>
    </w:p>
    <w:p w14:paraId="0A14792C" w14:textId="77777777" w:rsidR="009A4633" w:rsidRPr="009D5EA7" w:rsidRDefault="009A4633" w:rsidP="009A4633">
      <w:pPr>
        <w:pStyle w:val="Prrafodelista"/>
        <w:rPr>
          <w:rFonts w:ascii="Verdana" w:hAnsi="Verdana" w:cs="Arial"/>
          <w:sz w:val="20"/>
        </w:rPr>
      </w:pPr>
    </w:p>
    <w:p w14:paraId="4E793106" w14:textId="1A2342DD" w:rsidR="009A4633" w:rsidRPr="00DA1CE9" w:rsidRDefault="00DA1CE9" w:rsidP="007A3724">
      <w:pPr>
        <w:spacing w:after="0" w:line="240" w:lineRule="auto"/>
        <w:ind w:left="2115" w:hanging="697"/>
        <w:jc w:val="both"/>
        <w:rPr>
          <w:rFonts w:ascii="Verdana" w:hAnsi="Verdana" w:cs="Arial"/>
          <w:b/>
          <w:i/>
          <w:sz w:val="20"/>
        </w:rPr>
      </w:pPr>
      <w:r>
        <w:rPr>
          <w:rFonts w:ascii="Verdana" w:hAnsi="Verdana" w:cs="Arial"/>
          <w:b/>
          <w:i/>
          <w:sz w:val="20"/>
        </w:rPr>
        <w:t>C.1</w:t>
      </w:r>
      <w:r>
        <w:rPr>
          <w:rFonts w:ascii="Verdana" w:hAnsi="Verdana" w:cs="Arial"/>
          <w:b/>
          <w:i/>
          <w:sz w:val="20"/>
        </w:rPr>
        <w:tab/>
      </w:r>
      <w:r w:rsidR="009A4633" w:rsidRPr="00DA1CE9">
        <w:rPr>
          <w:rFonts w:ascii="Verdana" w:hAnsi="Verdana" w:cs="Arial"/>
          <w:b/>
          <w:i/>
          <w:sz w:val="20"/>
        </w:rPr>
        <w:t xml:space="preserve">Imputación contra la señora Acosta por el delito de encubrimiento en la </w:t>
      </w:r>
      <w:r w:rsidR="000F3423" w:rsidRPr="00DA1CE9">
        <w:rPr>
          <w:rFonts w:ascii="Verdana" w:hAnsi="Verdana" w:cs="Arial"/>
          <w:b/>
          <w:i/>
          <w:sz w:val="20"/>
        </w:rPr>
        <w:t xml:space="preserve">misma </w:t>
      </w:r>
      <w:r w:rsidR="009A4633" w:rsidRPr="00DA1CE9">
        <w:rPr>
          <w:rFonts w:ascii="Verdana" w:hAnsi="Verdana" w:cs="Arial"/>
          <w:b/>
          <w:i/>
          <w:sz w:val="20"/>
        </w:rPr>
        <w:t xml:space="preserve">instrucción </w:t>
      </w:r>
      <w:r w:rsidR="000F3423" w:rsidRPr="00DA1CE9">
        <w:rPr>
          <w:rFonts w:ascii="Verdana" w:hAnsi="Verdana" w:cs="Arial"/>
          <w:b/>
          <w:i/>
          <w:sz w:val="20"/>
        </w:rPr>
        <w:t>por el homicidio</w:t>
      </w:r>
    </w:p>
    <w:p w14:paraId="1A5A9B2F" w14:textId="77777777" w:rsidR="009A4633" w:rsidRPr="009D5EA7" w:rsidRDefault="009A4633" w:rsidP="009A4633">
      <w:pPr>
        <w:pStyle w:val="Prrafodelista"/>
        <w:ind w:left="1440"/>
        <w:jc w:val="both"/>
        <w:rPr>
          <w:rFonts w:ascii="Verdana" w:hAnsi="Verdana" w:cs="Arial"/>
          <w:sz w:val="20"/>
        </w:rPr>
      </w:pPr>
    </w:p>
    <w:p w14:paraId="7E941B04" w14:textId="1BA17375" w:rsidR="009A4633" w:rsidRPr="009D5EA7" w:rsidRDefault="0007717D" w:rsidP="006E7B81">
      <w:pPr>
        <w:pStyle w:val="Prrafodelista"/>
        <w:numPr>
          <w:ilvl w:val="0"/>
          <w:numId w:val="5"/>
        </w:numPr>
        <w:ind w:left="0" w:firstLine="0"/>
        <w:jc w:val="both"/>
        <w:rPr>
          <w:rFonts w:ascii="Verdana" w:hAnsi="Verdana" w:cs="Arial"/>
          <w:sz w:val="20"/>
        </w:rPr>
      </w:pPr>
      <w:r>
        <w:rPr>
          <w:rFonts w:ascii="Verdana" w:hAnsi="Verdana" w:cs="Arial"/>
          <w:sz w:val="20"/>
        </w:rPr>
        <w:t>A las 2:30 p.m. de</w:t>
      </w:r>
      <w:r w:rsidR="009A4633" w:rsidRPr="009D5EA7">
        <w:rPr>
          <w:rFonts w:ascii="Verdana" w:hAnsi="Verdana" w:cs="Arial"/>
          <w:sz w:val="20"/>
        </w:rPr>
        <w:t>l 19 de abril de 2002</w:t>
      </w:r>
      <w:r>
        <w:rPr>
          <w:rFonts w:ascii="Verdana" w:hAnsi="Verdana" w:cs="Arial"/>
          <w:sz w:val="20"/>
        </w:rPr>
        <w:t>,</w:t>
      </w:r>
      <w:r w:rsidR="009A4633" w:rsidRPr="009D5EA7">
        <w:rPr>
          <w:rFonts w:ascii="Verdana" w:hAnsi="Verdana" w:cs="Arial"/>
          <w:sz w:val="20"/>
        </w:rPr>
        <w:t xml:space="preserve"> </w:t>
      </w:r>
      <w:r w:rsidR="00FB2B82" w:rsidRPr="009D5EA7">
        <w:rPr>
          <w:rFonts w:ascii="Verdana" w:hAnsi="Verdana" w:cs="Arial"/>
          <w:sz w:val="20"/>
        </w:rPr>
        <w:t>PT</w:t>
      </w:r>
      <w:r w:rsidR="009A4633" w:rsidRPr="009D5EA7">
        <w:rPr>
          <w:rFonts w:ascii="Verdana" w:hAnsi="Verdana" w:cs="Arial"/>
          <w:sz w:val="20"/>
        </w:rPr>
        <w:t xml:space="preserve"> y </w:t>
      </w:r>
      <w:r w:rsidR="000F3423" w:rsidRPr="009D5EA7">
        <w:rPr>
          <w:rFonts w:ascii="Verdana" w:hAnsi="Verdana" w:cs="Arial"/>
          <w:sz w:val="20"/>
        </w:rPr>
        <w:t>PMF</w:t>
      </w:r>
      <w:r w:rsidR="009A4633" w:rsidRPr="009D5EA7">
        <w:rPr>
          <w:rFonts w:ascii="Verdana" w:hAnsi="Verdana" w:cs="Arial"/>
          <w:sz w:val="20"/>
        </w:rPr>
        <w:t xml:space="preserve"> rindieron su declaración indagatoria ante el Juez de Distrito del Crimen de Bluefields y ambos se declararon inocentes en el </w:t>
      </w:r>
      <w:r w:rsidR="008B0E36">
        <w:rPr>
          <w:rFonts w:ascii="Verdana" w:hAnsi="Verdana"/>
          <w:sz w:val="20"/>
        </w:rPr>
        <w:t>homicidio</w:t>
      </w:r>
      <w:r w:rsidR="008B0E36" w:rsidRPr="009D5EA7">
        <w:rPr>
          <w:rFonts w:ascii="Verdana" w:hAnsi="Verdana"/>
          <w:sz w:val="20"/>
        </w:rPr>
        <w:t xml:space="preserve"> </w:t>
      </w:r>
      <w:r w:rsidR="009A4633" w:rsidRPr="009D5EA7">
        <w:rPr>
          <w:rFonts w:ascii="Verdana" w:hAnsi="Verdana" w:cs="Arial"/>
          <w:sz w:val="20"/>
        </w:rPr>
        <w:t>del señor García</w:t>
      </w:r>
      <w:r w:rsidR="007B184F">
        <w:rPr>
          <w:rFonts w:ascii="Verdana" w:hAnsi="Verdana" w:cs="Arial"/>
          <w:sz w:val="20"/>
        </w:rPr>
        <w:t xml:space="preserve"> Valle</w:t>
      </w:r>
      <w:r w:rsidR="009A4633" w:rsidRPr="009D5EA7">
        <w:rPr>
          <w:rFonts w:ascii="Verdana" w:hAnsi="Verdana" w:cs="Arial"/>
          <w:sz w:val="20"/>
        </w:rPr>
        <w:t xml:space="preserve">. </w:t>
      </w:r>
      <w:r w:rsidR="00C65D09">
        <w:rPr>
          <w:rFonts w:ascii="Verdana" w:hAnsi="Verdana" w:cs="Arial"/>
          <w:sz w:val="20"/>
        </w:rPr>
        <w:t xml:space="preserve">La señora Acosta solicitó al juez que ordenara </w:t>
      </w:r>
      <w:r>
        <w:rPr>
          <w:rFonts w:ascii="Verdana" w:hAnsi="Verdana" w:cs="Arial"/>
          <w:sz w:val="20"/>
        </w:rPr>
        <w:t xml:space="preserve">la retención migratoria de PT y PMF y el juez así lo dispuso respecto de PT. En su declaración, </w:t>
      </w:r>
      <w:r w:rsidR="0023621A" w:rsidRPr="009D5EA7">
        <w:rPr>
          <w:rFonts w:ascii="Verdana" w:hAnsi="Verdana" w:cs="Arial"/>
          <w:sz w:val="20"/>
        </w:rPr>
        <w:t>PMF</w:t>
      </w:r>
      <w:r w:rsidR="009A4633" w:rsidRPr="009D5EA7">
        <w:rPr>
          <w:rFonts w:ascii="Verdana" w:hAnsi="Verdana" w:cs="Arial"/>
          <w:sz w:val="20"/>
        </w:rPr>
        <w:t xml:space="preserve"> </w:t>
      </w:r>
      <w:r w:rsidR="006E7B81" w:rsidRPr="009D5EA7">
        <w:rPr>
          <w:rFonts w:ascii="Verdana" w:hAnsi="Verdana" w:cs="Arial"/>
          <w:sz w:val="20"/>
        </w:rPr>
        <w:t xml:space="preserve">solicitó al juez que </w:t>
      </w:r>
      <w:r w:rsidR="009A4633" w:rsidRPr="009D5EA7">
        <w:rPr>
          <w:rFonts w:ascii="Verdana" w:hAnsi="Verdana" w:cs="Arial"/>
          <w:sz w:val="20"/>
        </w:rPr>
        <w:t>citar</w:t>
      </w:r>
      <w:r w:rsidR="006E7B81" w:rsidRPr="009D5EA7">
        <w:rPr>
          <w:rFonts w:ascii="Verdana" w:hAnsi="Verdana" w:cs="Arial"/>
          <w:sz w:val="20"/>
        </w:rPr>
        <w:t>a</w:t>
      </w:r>
      <w:r w:rsidR="009A4633" w:rsidRPr="009D5EA7">
        <w:rPr>
          <w:rFonts w:ascii="Verdana" w:hAnsi="Verdana" w:cs="Arial"/>
          <w:sz w:val="20"/>
        </w:rPr>
        <w:t xml:space="preserve"> a </w:t>
      </w:r>
      <w:r w:rsidR="006E7B81" w:rsidRPr="009D5EA7">
        <w:rPr>
          <w:rFonts w:ascii="Verdana" w:hAnsi="Verdana" w:cs="Arial"/>
          <w:sz w:val="20"/>
        </w:rPr>
        <w:t xml:space="preserve">la señora </w:t>
      </w:r>
      <w:r w:rsidR="009A4633" w:rsidRPr="009D5EA7">
        <w:rPr>
          <w:rFonts w:ascii="Verdana" w:hAnsi="Verdana" w:cs="Arial"/>
          <w:sz w:val="20"/>
        </w:rPr>
        <w:t xml:space="preserve">Acosta </w:t>
      </w:r>
      <w:r w:rsidR="006E7B81" w:rsidRPr="009D5EA7">
        <w:rPr>
          <w:rFonts w:ascii="Verdana" w:hAnsi="Verdana" w:cs="Arial"/>
          <w:sz w:val="20"/>
        </w:rPr>
        <w:t xml:space="preserve">para </w:t>
      </w:r>
      <w:r w:rsidR="009A4633" w:rsidRPr="009D5EA7">
        <w:rPr>
          <w:rFonts w:ascii="Verdana" w:hAnsi="Verdana" w:cs="Arial"/>
          <w:sz w:val="20"/>
        </w:rPr>
        <w:t>que rindiera declaración en calidad de indagada como encubridora de los criminales que cometieron el homicidio</w:t>
      </w:r>
      <w:r w:rsidR="009A4633" w:rsidRPr="009D5EA7">
        <w:rPr>
          <w:rStyle w:val="Refdenotaalpie"/>
          <w:rFonts w:ascii="Verdana" w:hAnsi="Verdana" w:cs="Arial"/>
          <w:sz w:val="20"/>
        </w:rPr>
        <w:footnoteReference w:id="50"/>
      </w:r>
      <w:r w:rsidR="009A4633" w:rsidRPr="009D5EA7">
        <w:rPr>
          <w:rFonts w:ascii="Verdana" w:hAnsi="Verdana" w:cs="Arial"/>
          <w:sz w:val="20"/>
        </w:rPr>
        <w:t>.</w:t>
      </w:r>
      <w:r w:rsidR="006E7B81" w:rsidRPr="009D5EA7">
        <w:rPr>
          <w:rFonts w:ascii="Verdana" w:hAnsi="Verdana" w:cs="Arial"/>
          <w:sz w:val="20"/>
        </w:rPr>
        <w:t xml:space="preserve"> </w:t>
      </w:r>
      <w:r>
        <w:rPr>
          <w:rFonts w:ascii="Verdana" w:hAnsi="Verdana" w:cs="Arial"/>
          <w:sz w:val="20"/>
        </w:rPr>
        <w:t xml:space="preserve">Mediante auto dictado por la tarde de </w:t>
      </w:r>
      <w:r w:rsidRPr="009D5EA7">
        <w:rPr>
          <w:rFonts w:ascii="Verdana" w:hAnsi="Verdana" w:cs="Arial"/>
          <w:sz w:val="20"/>
        </w:rPr>
        <w:t>ese mismo día</w:t>
      </w:r>
      <w:r w:rsidR="009A4633" w:rsidRPr="009D5EA7">
        <w:rPr>
          <w:rFonts w:ascii="Verdana" w:hAnsi="Verdana" w:cs="Arial"/>
          <w:sz w:val="20"/>
        </w:rPr>
        <w:t xml:space="preserve">, el </w:t>
      </w:r>
      <w:r w:rsidR="006E7B81" w:rsidRPr="009D5EA7">
        <w:rPr>
          <w:rFonts w:ascii="Verdana" w:hAnsi="Verdana" w:cs="Arial"/>
          <w:sz w:val="20"/>
        </w:rPr>
        <w:t>juez así lo</w:t>
      </w:r>
      <w:r w:rsidR="009A4633" w:rsidRPr="009D5EA7">
        <w:rPr>
          <w:rFonts w:ascii="Verdana" w:hAnsi="Verdana" w:cs="Arial"/>
          <w:sz w:val="20"/>
        </w:rPr>
        <w:t xml:space="preserve"> ordenó, fijando el 22 de abril de 2002 como fecha para </w:t>
      </w:r>
      <w:r>
        <w:rPr>
          <w:rFonts w:ascii="Verdana" w:hAnsi="Verdana" w:cs="Arial"/>
          <w:sz w:val="20"/>
        </w:rPr>
        <w:t>que ella rindiera indagatoria</w:t>
      </w:r>
      <w:r w:rsidR="009A4633" w:rsidRPr="009D5EA7">
        <w:rPr>
          <w:rFonts w:ascii="Verdana" w:hAnsi="Verdana" w:cs="Arial"/>
          <w:sz w:val="20"/>
        </w:rPr>
        <w:t xml:space="preserve">, </w:t>
      </w:r>
      <w:r w:rsidR="009A4633" w:rsidRPr="009D5EA7">
        <w:rPr>
          <w:rFonts w:ascii="Verdana" w:hAnsi="Verdana" w:cs="Garamond"/>
          <w:sz w:val="20"/>
        </w:rPr>
        <w:t>previniéndosele para que nombrara un defensor o, en caso contrario, se le nombraría uno de oficio</w:t>
      </w:r>
      <w:r>
        <w:rPr>
          <w:rFonts w:ascii="Verdana" w:hAnsi="Verdana" w:cs="Garamond"/>
          <w:sz w:val="20"/>
        </w:rPr>
        <w:t>. En es</w:t>
      </w:r>
      <w:r w:rsidR="00A93821">
        <w:rPr>
          <w:rFonts w:ascii="Verdana" w:hAnsi="Verdana" w:cs="Garamond"/>
          <w:sz w:val="20"/>
        </w:rPr>
        <w:t>t</w:t>
      </w:r>
      <w:r>
        <w:rPr>
          <w:rFonts w:ascii="Verdana" w:hAnsi="Verdana" w:cs="Garamond"/>
          <w:sz w:val="20"/>
        </w:rPr>
        <w:t xml:space="preserve">e mismo auto, y </w:t>
      </w:r>
      <w:r w:rsidRPr="009D5EA7">
        <w:rPr>
          <w:rFonts w:ascii="Verdana" w:hAnsi="Verdana" w:cs="Garamond"/>
          <w:sz w:val="20"/>
        </w:rPr>
        <w:t xml:space="preserve">a solicitud de </w:t>
      </w:r>
      <w:r>
        <w:rPr>
          <w:rFonts w:ascii="Verdana" w:hAnsi="Verdana" w:cs="Arial"/>
          <w:sz w:val="20"/>
        </w:rPr>
        <w:t>la Fiscal Auxiliar de Justicia,</w:t>
      </w:r>
      <w:r>
        <w:rPr>
          <w:rFonts w:ascii="Verdana" w:hAnsi="Verdana" w:cs="Garamond"/>
          <w:sz w:val="20"/>
        </w:rPr>
        <w:t xml:space="preserve"> ordenó realizar</w:t>
      </w:r>
      <w:r w:rsidRPr="007B184F">
        <w:rPr>
          <w:rFonts w:ascii="Verdana" w:hAnsi="Verdana" w:cs="Arial"/>
          <w:sz w:val="20"/>
        </w:rPr>
        <w:t xml:space="preserve"> </w:t>
      </w:r>
      <w:r w:rsidRPr="009D5EA7">
        <w:rPr>
          <w:rFonts w:ascii="Verdana" w:hAnsi="Verdana" w:cs="Arial"/>
          <w:sz w:val="20"/>
        </w:rPr>
        <w:t xml:space="preserve">allanamiento y registro </w:t>
      </w:r>
      <w:r>
        <w:rPr>
          <w:rFonts w:ascii="Verdana" w:hAnsi="Verdana" w:cs="Arial"/>
          <w:sz w:val="20"/>
        </w:rPr>
        <w:t>domiciliar</w:t>
      </w:r>
      <w:r w:rsidRPr="009D5EA7">
        <w:rPr>
          <w:rFonts w:ascii="Verdana" w:hAnsi="Verdana" w:cs="Arial"/>
          <w:sz w:val="20"/>
        </w:rPr>
        <w:t xml:space="preserve"> </w:t>
      </w:r>
      <w:r>
        <w:rPr>
          <w:rFonts w:ascii="Verdana" w:hAnsi="Verdana" w:cs="Arial"/>
          <w:sz w:val="20"/>
        </w:rPr>
        <w:t xml:space="preserve">en la residencia </w:t>
      </w:r>
      <w:r w:rsidRPr="009D5EA7">
        <w:rPr>
          <w:rFonts w:ascii="Verdana" w:hAnsi="Verdana" w:cs="Arial"/>
          <w:sz w:val="20"/>
        </w:rPr>
        <w:t>de PT</w:t>
      </w:r>
      <w:r w:rsidR="009A4633" w:rsidRPr="009D5EA7">
        <w:rPr>
          <w:rStyle w:val="Refdenotaalpie"/>
          <w:rFonts w:ascii="Verdana" w:hAnsi="Verdana" w:cs="Arial"/>
          <w:sz w:val="20"/>
        </w:rPr>
        <w:footnoteReference w:id="51"/>
      </w:r>
      <w:r w:rsidR="009A4633" w:rsidRPr="009D5EA7">
        <w:rPr>
          <w:rFonts w:ascii="Verdana" w:hAnsi="Verdana" w:cs="Garamond"/>
          <w:sz w:val="20"/>
        </w:rPr>
        <w:t>.</w:t>
      </w:r>
    </w:p>
    <w:p w14:paraId="12DD7386" w14:textId="77777777" w:rsidR="009A4633" w:rsidRPr="009D5EA7" w:rsidRDefault="009A4633" w:rsidP="009A4633">
      <w:pPr>
        <w:pStyle w:val="Prrafodelista"/>
        <w:ind w:left="0"/>
        <w:jc w:val="both"/>
        <w:rPr>
          <w:rFonts w:ascii="Verdana" w:hAnsi="Verdana" w:cs="Arial"/>
          <w:sz w:val="20"/>
        </w:rPr>
      </w:pPr>
    </w:p>
    <w:p w14:paraId="54A593F3" w14:textId="36DA1223"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Preocupada por su seguridad, la señora Acosta y sus hijos salieron de Bluefields e</w:t>
      </w:r>
      <w:r w:rsidR="0007717D">
        <w:rPr>
          <w:rFonts w:ascii="Verdana" w:hAnsi="Verdana" w:cs="Arial"/>
          <w:sz w:val="20"/>
        </w:rPr>
        <w:t>se mismo</w:t>
      </w:r>
      <w:r w:rsidRPr="009D5EA7">
        <w:rPr>
          <w:rFonts w:ascii="Verdana" w:hAnsi="Verdana" w:cs="Arial"/>
          <w:sz w:val="20"/>
        </w:rPr>
        <w:t xml:space="preserve"> 19 de abril de 2002 </w:t>
      </w:r>
      <w:r w:rsidR="0007717D">
        <w:rPr>
          <w:rFonts w:ascii="Verdana" w:hAnsi="Verdana" w:cs="Arial"/>
          <w:sz w:val="20"/>
        </w:rPr>
        <w:t>custodiada por un agente</w:t>
      </w:r>
      <w:r w:rsidRPr="009D5EA7">
        <w:rPr>
          <w:rFonts w:ascii="Verdana" w:hAnsi="Verdana" w:cs="Arial"/>
          <w:sz w:val="20"/>
        </w:rPr>
        <w:t xml:space="preserve"> por la Policía Nacional</w:t>
      </w:r>
      <w:r w:rsidR="00262BEF" w:rsidRPr="009D5EA7">
        <w:rPr>
          <w:rFonts w:ascii="Verdana" w:hAnsi="Verdana" w:cs="Arial"/>
          <w:sz w:val="20"/>
        </w:rPr>
        <w:t xml:space="preserve"> y c</w:t>
      </w:r>
      <w:r w:rsidRPr="009D5EA7">
        <w:rPr>
          <w:rFonts w:ascii="Verdana" w:hAnsi="Verdana"/>
          <w:sz w:val="20"/>
        </w:rPr>
        <w:t>ambiaron su domicilio a la ciudad de Chinandega</w:t>
      </w:r>
      <w:r w:rsidRPr="009D5EA7">
        <w:rPr>
          <w:rStyle w:val="Refdenotaalpie"/>
          <w:rFonts w:ascii="Verdana" w:hAnsi="Verdana" w:cs="Arial Narrow"/>
          <w:sz w:val="20"/>
        </w:rPr>
        <w:footnoteReference w:id="52"/>
      </w:r>
      <w:r w:rsidRPr="009D5EA7">
        <w:rPr>
          <w:rFonts w:ascii="Verdana" w:hAnsi="Verdana"/>
          <w:sz w:val="20"/>
        </w:rPr>
        <w:t>.</w:t>
      </w:r>
      <w:r w:rsidRPr="009D5EA7">
        <w:rPr>
          <w:rFonts w:ascii="Verdana" w:hAnsi="Verdana" w:cs="Arial"/>
          <w:sz w:val="20"/>
        </w:rPr>
        <w:t xml:space="preserve"> Esta circunstancia fue informada al </w:t>
      </w:r>
      <w:r w:rsidR="00262BEF" w:rsidRPr="009D5EA7">
        <w:rPr>
          <w:rFonts w:ascii="Verdana" w:hAnsi="Verdana" w:cs="Arial"/>
          <w:sz w:val="20"/>
        </w:rPr>
        <w:t>juez</w:t>
      </w:r>
      <w:r w:rsidRPr="009D5EA7">
        <w:rPr>
          <w:rFonts w:ascii="Verdana" w:hAnsi="Verdana" w:cs="Arial"/>
          <w:sz w:val="20"/>
        </w:rPr>
        <w:t xml:space="preserve"> por la Fiscal </w:t>
      </w:r>
      <w:r w:rsidRPr="009D5EA7">
        <w:rPr>
          <w:rFonts w:ascii="Verdana" w:hAnsi="Verdana" w:cs="Arial"/>
          <w:sz w:val="20"/>
        </w:rPr>
        <w:lastRenderedPageBreak/>
        <w:t>Auxiliar de Justicia al Juez de Distrito del Crimen de Bluefields</w:t>
      </w:r>
      <w:r w:rsidR="00262BEF" w:rsidRPr="009D5EA7">
        <w:rPr>
          <w:rFonts w:ascii="Verdana" w:hAnsi="Verdana" w:cs="Arial"/>
          <w:sz w:val="20"/>
        </w:rPr>
        <w:t xml:space="preserve"> el 24 de abril siguiente</w:t>
      </w:r>
      <w:r w:rsidRPr="009D5EA7">
        <w:rPr>
          <w:rFonts w:ascii="Verdana" w:hAnsi="Verdana" w:cs="Arial"/>
          <w:sz w:val="20"/>
        </w:rPr>
        <w:t xml:space="preserve">, </w:t>
      </w:r>
      <w:r w:rsidR="00262BEF" w:rsidRPr="009D5EA7">
        <w:rPr>
          <w:rFonts w:ascii="Verdana" w:hAnsi="Verdana" w:cs="Arial"/>
          <w:sz w:val="20"/>
        </w:rPr>
        <w:t>quien</w:t>
      </w:r>
      <w:r w:rsidR="001C4273" w:rsidRPr="009D5EA7">
        <w:rPr>
          <w:rFonts w:ascii="Verdana" w:hAnsi="Verdana" w:cs="Arial"/>
          <w:sz w:val="20"/>
        </w:rPr>
        <w:t xml:space="preserve"> le</w:t>
      </w:r>
      <w:r w:rsidR="00262BEF" w:rsidRPr="009D5EA7">
        <w:rPr>
          <w:rFonts w:ascii="Verdana" w:hAnsi="Verdana" w:cs="Arial"/>
          <w:sz w:val="20"/>
        </w:rPr>
        <w:t xml:space="preserve"> solicitó </w:t>
      </w:r>
      <w:r w:rsidRPr="009D5EA7">
        <w:rPr>
          <w:rFonts w:ascii="Verdana" w:hAnsi="Verdana" w:cs="Arial"/>
          <w:sz w:val="20"/>
        </w:rPr>
        <w:t xml:space="preserve">que recibiera </w:t>
      </w:r>
      <w:r w:rsidR="00262BEF" w:rsidRPr="009D5EA7">
        <w:rPr>
          <w:rFonts w:ascii="Verdana" w:hAnsi="Verdana" w:cs="Arial"/>
          <w:sz w:val="20"/>
        </w:rPr>
        <w:t>la</w:t>
      </w:r>
      <w:r w:rsidRPr="009D5EA7">
        <w:rPr>
          <w:rFonts w:ascii="Verdana" w:hAnsi="Verdana" w:cs="Arial"/>
          <w:sz w:val="20"/>
        </w:rPr>
        <w:t xml:space="preserve"> declaración indagatoria</w:t>
      </w:r>
      <w:r w:rsidR="00262BEF" w:rsidRPr="009D5EA7">
        <w:rPr>
          <w:rFonts w:ascii="Verdana" w:hAnsi="Verdana" w:cs="Arial"/>
          <w:sz w:val="20"/>
        </w:rPr>
        <w:t xml:space="preserve"> de ella</w:t>
      </w:r>
      <w:r w:rsidRPr="009D5EA7">
        <w:rPr>
          <w:rFonts w:ascii="Verdana" w:hAnsi="Verdana" w:cs="Arial"/>
          <w:sz w:val="20"/>
        </w:rPr>
        <w:t xml:space="preserve">, mediante exhorto, ante el Juez de Distrito del Crimen </w:t>
      </w:r>
      <w:r w:rsidR="00262BEF" w:rsidRPr="009D5EA7">
        <w:rPr>
          <w:rFonts w:ascii="Verdana" w:hAnsi="Verdana" w:cs="Arial"/>
          <w:sz w:val="20"/>
        </w:rPr>
        <w:t>del Departamento de Chinandega</w:t>
      </w:r>
      <w:r w:rsidRPr="009D5EA7">
        <w:rPr>
          <w:rStyle w:val="Refdenotaalpie"/>
          <w:rFonts w:ascii="Verdana" w:hAnsi="Verdana" w:cs="Arial"/>
          <w:sz w:val="20"/>
        </w:rPr>
        <w:footnoteReference w:id="53"/>
      </w:r>
      <w:r w:rsidRPr="009D5EA7">
        <w:rPr>
          <w:rFonts w:ascii="Verdana" w:hAnsi="Verdana" w:cs="Arial"/>
          <w:sz w:val="20"/>
        </w:rPr>
        <w:t>.</w:t>
      </w:r>
    </w:p>
    <w:p w14:paraId="064C5470" w14:textId="77777777" w:rsidR="009A4633" w:rsidRPr="009D5EA7" w:rsidRDefault="009A4633" w:rsidP="009A4633">
      <w:pPr>
        <w:pStyle w:val="Prrafodelista"/>
        <w:rPr>
          <w:rFonts w:ascii="Verdana" w:hAnsi="Verdana" w:cs="Arial"/>
          <w:sz w:val="20"/>
        </w:rPr>
      </w:pPr>
    </w:p>
    <w:p w14:paraId="394FFDD7" w14:textId="3A293643"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23 de abril de 2002 el Jefe de Investigaciones Criminales de la Delegación Policial de la Región Autónoma Atlántico Sur informó al </w:t>
      </w:r>
      <w:r w:rsidR="000250E5" w:rsidRPr="009D5EA7">
        <w:rPr>
          <w:rFonts w:ascii="Verdana" w:hAnsi="Verdana" w:cs="Arial"/>
          <w:sz w:val="20"/>
        </w:rPr>
        <w:t>juez</w:t>
      </w:r>
      <w:r w:rsidR="007B184F">
        <w:rPr>
          <w:rFonts w:ascii="Verdana" w:hAnsi="Verdana" w:cs="Arial"/>
          <w:sz w:val="20"/>
        </w:rPr>
        <w:t xml:space="preserve"> los resultados del registro de</w:t>
      </w:r>
      <w:r w:rsidRPr="009D5EA7">
        <w:rPr>
          <w:rFonts w:ascii="Verdana" w:hAnsi="Verdana" w:cs="Arial"/>
          <w:sz w:val="20"/>
        </w:rPr>
        <w:t xml:space="preserve"> la funeraria “La Paz” y </w:t>
      </w:r>
      <w:r w:rsidR="007B184F">
        <w:rPr>
          <w:rFonts w:ascii="Verdana" w:hAnsi="Verdana" w:cs="Arial"/>
          <w:sz w:val="20"/>
        </w:rPr>
        <w:t>de</w:t>
      </w:r>
      <w:r w:rsidRPr="009D5EA7">
        <w:rPr>
          <w:rFonts w:ascii="Verdana" w:hAnsi="Verdana" w:cs="Arial"/>
          <w:sz w:val="20"/>
        </w:rPr>
        <w:t xml:space="preserve">l domicilio de </w:t>
      </w:r>
      <w:r w:rsidR="00FB2B82" w:rsidRPr="009D5EA7">
        <w:rPr>
          <w:rFonts w:ascii="Verdana" w:hAnsi="Verdana" w:cs="Arial"/>
          <w:sz w:val="20"/>
        </w:rPr>
        <w:t>PT</w:t>
      </w:r>
      <w:r w:rsidRPr="009D5EA7">
        <w:rPr>
          <w:rFonts w:ascii="Verdana" w:hAnsi="Verdana" w:cs="Arial"/>
          <w:sz w:val="20"/>
        </w:rPr>
        <w:t>, los cuales fueron calificados como que “no [eran] de interés policial”</w:t>
      </w:r>
      <w:r w:rsidRPr="009D5EA7">
        <w:rPr>
          <w:rStyle w:val="Refdenotaalpie"/>
          <w:rFonts w:ascii="Verdana" w:hAnsi="Verdana" w:cs="Arial"/>
          <w:sz w:val="20"/>
        </w:rPr>
        <w:footnoteReference w:id="54"/>
      </w:r>
      <w:r w:rsidRPr="009D5EA7">
        <w:rPr>
          <w:rFonts w:ascii="Verdana" w:hAnsi="Verdana" w:cs="Arial"/>
          <w:sz w:val="20"/>
        </w:rPr>
        <w:t xml:space="preserve">. </w:t>
      </w:r>
    </w:p>
    <w:p w14:paraId="4CCA00F0" w14:textId="77777777" w:rsidR="009A4633" w:rsidRPr="009D5EA7" w:rsidRDefault="009A4633" w:rsidP="009A4633">
      <w:pPr>
        <w:pStyle w:val="Prrafodelista"/>
        <w:rPr>
          <w:rFonts w:ascii="Verdana" w:hAnsi="Verdana" w:cs="Arial"/>
          <w:sz w:val="20"/>
        </w:rPr>
      </w:pPr>
    </w:p>
    <w:p w14:paraId="577B429F" w14:textId="0C713EFC"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25 de abril de 2002 el juez declaró improcedente lo solicitado por la Fiscal Auxiliar con respecto a la </w:t>
      </w:r>
      <w:r w:rsidR="000250E5" w:rsidRPr="009D5EA7">
        <w:rPr>
          <w:rFonts w:ascii="Verdana" w:hAnsi="Verdana" w:cs="Arial"/>
          <w:sz w:val="20"/>
        </w:rPr>
        <w:t>declaración de la señora Acosta</w:t>
      </w:r>
      <w:r w:rsidRPr="009D5EA7">
        <w:rPr>
          <w:rFonts w:ascii="Verdana" w:hAnsi="Verdana" w:cs="Arial"/>
          <w:sz w:val="20"/>
        </w:rPr>
        <w:t>.</w:t>
      </w:r>
      <w:r w:rsidR="000250E5" w:rsidRPr="009D5EA7">
        <w:rPr>
          <w:rFonts w:ascii="Verdana" w:hAnsi="Verdana" w:cs="Arial"/>
          <w:sz w:val="20"/>
        </w:rPr>
        <w:t xml:space="preserve"> Al día siguiente</w:t>
      </w:r>
      <w:r w:rsidRPr="009D5EA7">
        <w:rPr>
          <w:rFonts w:ascii="Verdana" w:hAnsi="Verdana" w:cs="Arial"/>
          <w:sz w:val="20"/>
        </w:rPr>
        <w:t>, en vista de que ella no había comparecido, el juez ordenó a la fuerza pública presentar a la señora Acosta ante el Juzgado para que rindiera su declaración indagatoria el día 30 de abril</w:t>
      </w:r>
      <w:r w:rsidR="00D44472">
        <w:rPr>
          <w:rFonts w:ascii="Verdana" w:hAnsi="Verdana" w:cs="Arial"/>
          <w:sz w:val="20"/>
        </w:rPr>
        <w:t xml:space="preserve"> siguiente</w:t>
      </w:r>
      <w:r w:rsidRPr="009D5EA7">
        <w:rPr>
          <w:rStyle w:val="Refdenotaalpie"/>
          <w:rFonts w:ascii="Verdana" w:hAnsi="Verdana" w:cs="Arial"/>
          <w:sz w:val="20"/>
        </w:rPr>
        <w:footnoteReference w:id="55"/>
      </w:r>
      <w:r w:rsidR="00D44472">
        <w:rPr>
          <w:rFonts w:ascii="Verdana" w:hAnsi="Verdana" w:cs="Arial"/>
          <w:sz w:val="20"/>
        </w:rPr>
        <w:t>, lo cual no se hizo efectivo</w:t>
      </w:r>
      <w:r w:rsidRPr="009D5EA7">
        <w:rPr>
          <w:rFonts w:ascii="Verdana" w:hAnsi="Verdana" w:cs="Arial"/>
          <w:sz w:val="20"/>
        </w:rPr>
        <w:t>.</w:t>
      </w:r>
    </w:p>
    <w:p w14:paraId="2EB7B9A9" w14:textId="77777777" w:rsidR="009A4633" w:rsidRPr="009D5EA7" w:rsidRDefault="009A4633" w:rsidP="009A4633">
      <w:pPr>
        <w:pStyle w:val="Prrafodelista"/>
        <w:jc w:val="both"/>
        <w:rPr>
          <w:rFonts w:ascii="Verdana" w:hAnsi="Verdana" w:cs="Arial"/>
          <w:sz w:val="20"/>
        </w:rPr>
      </w:pPr>
    </w:p>
    <w:p w14:paraId="595A5173" w14:textId="0EA7FAC8"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29 de abril de 2002 el señor Silvio Adolfo Lacayo Ortiz compareció por escrito ante el Juzgado de Distrito del Crimen de Bluefields, en su calidad de apoderado generalísimo de la señora Acosta Castellón; solicitó que se le otorgara intervención de ley en el proceso como su representante legal y pre</w:t>
      </w:r>
      <w:r w:rsidR="00437056" w:rsidRPr="009D5EA7">
        <w:rPr>
          <w:rFonts w:ascii="Verdana" w:hAnsi="Verdana" w:cs="Arial"/>
          <w:sz w:val="20"/>
        </w:rPr>
        <w:t>sentó acusación contra Iván Argü</w:t>
      </w:r>
      <w:r w:rsidRPr="009D5EA7">
        <w:rPr>
          <w:rFonts w:ascii="Verdana" w:hAnsi="Verdana" w:cs="Arial"/>
          <w:sz w:val="20"/>
        </w:rPr>
        <w:t xml:space="preserve">ello Rivera por el delito de asesinato en perjuicio del señor Francisco José García Valle y </w:t>
      </w:r>
      <w:r w:rsidR="000250E5" w:rsidRPr="009D5EA7">
        <w:rPr>
          <w:rFonts w:ascii="Verdana" w:hAnsi="Verdana" w:cs="Arial"/>
          <w:sz w:val="20"/>
        </w:rPr>
        <w:t>contr</w:t>
      </w:r>
      <w:r w:rsidRPr="009D5EA7">
        <w:rPr>
          <w:rFonts w:ascii="Verdana" w:hAnsi="Verdana" w:cs="Arial"/>
          <w:sz w:val="20"/>
        </w:rPr>
        <w:t>a cualquier otra p</w:t>
      </w:r>
      <w:r w:rsidR="00D44472">
        <w:rPr>
          <w:rFonts w:ascii="Verdana" w:hAnsi="Verdana" w:cs="Arial"/>
          <w:sz w:val="20"/>
        </w:rPr>
        <w:t>ersona que resultare involucrada</w:t>
      </w:r>
      <w:r w:rsidRPr="009D5EA7">
        <w:rPr>
          <w:rFonts w:ascii="Verdana" w:hAnsi="Verdana" w:cs="Arial"/>
          <w:sz w:val="20"/>
        </w:rPr>
        <w:t xml:space="preserve"> a lo largo del proceso criminal</w:t>
      </w:r>
      <w:r w:rsidRPr="009D5EA7">
        <w:rPr>
          <w:rStyle w:val="Refdenotaalpie"/>
          <w:rFonts w:ascii="Verdana" w:hAnsi="Verdana" w:cs="Arial"/>
          <w:sz w:val="20"/>
        </w:rPr>
        <w:footnoteReference w:id="56"/>
      </w:r>
      <w:r w:rsidRPr="009D5EA7">
        <w:rPr>
          <w:rFonts w:ascii="Verdana" w:hAnsi="Verdana" w:cs="Arial"/>
          <w:sz w:val="20"/>
        </w:rPr>
        <w:t>.</w:t>
      </w:r>
    </w:p>
    <w:p w14:paraId="78F3866F" w14:textId="77777777" w:rsidR="009A4633" w:rsidRPr="009D5EA7" w:rsidRDefault="009A4633" w:rsidP="009A4633">
      <w:pPr>
        <w:pStyle w:val="Prrafodelista"/>
        <w:jc w:val="both"/>
        <w:rPr>
          <w:rFonts w:ascii="Verdana" w:hAnsi="Verdana" w:cs="Arial"/>
          <w:sz w:val="20"/>
        </w:rPr>
      </w:pPr>
    </w:p>
    <w:p w14:paraId="3179527A" w14:textId="0FAB561A"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2 de mayo de 2002 el juez declaró improcedente la acusación del señor Lacayo Ortiz en representación de la señora Acosta, por considerar que el poder presentado no contemplaba las facultades necesarias para acusar, debiendo presentar un poder especialísimo y no generalísimo para tal acto. En el mismo auto, el juez decretó arresto provisional de la señora Acosta por no haber comparecido a declarar en las dos ocasiones en las que fue requerida. Al día siguiente, emitió una orden de captura en su contra</w:t>
      </w:r>
      <w:r w:rsidRPr="009D5EA7">
        <w:rPr>
          <w:rStyle w:val="Refdenotaalpie"/>
          <w:rFonts w:ascii="Verdana" w:hAnsi="Verdana" w:cs="Garamond"/>
          <w:sz w:val="20"/>
        </w:rPr>
        <w:footnoteReference w:id="57"/>
      </w:r>
      <w:r w:rsidR="00EB1396" w:rsidRPr="009D5EA7">
        <w:rPr>
          <w:rFonts w:ascii="Verdana" w:hAnsi="Verdana" w:cs="Arial"/>
          <w:sz w:val="20"/>
        </w:rPr>
        <w:t>, la cual no se hizo efectiva.</w:t>
      </w:r>
    </w:p>
    <w:p w14:paraId="165DD96E" w14:textId="77777777" w:rsidR="009A4633" w:rsidRPr="009D5EA7" w:rsidRDefault="009A4633" w:rsidP="009A4633">
      <w:pPr>
        <w:pStyle w:val="Prrafodelista"/>
        <w:jc w:val="both"/>
        <w:rPr>
          <w:rFonts w:ascii="Verdana" w:hAnsi="Verdana" w:cs="Arial"/>
          <w:sz w:val="20"/>
        </w:rPr>
      </w:pPr>
    </w:p>
    <w:p w14:paraId="15FB3B13" w14:textId="77777777" w:rsidR="00764688" w:rsidRPr="009D5EA7" w:rsidRDefault="00B7721D" w:rsidP="00764688">
      <w:pPr>
        <w:pStyle w:val="Prrafodelista"/>
        <w:numPr>
          <w:ilvl w:val="0"/>
          <w:numId w:val="5"/>
        </w:numPr>
        <w:ind w:left="0" w:firstLine="0"/>
        <w:jc w:val="both"/>
        <w:rPr>
          <w:rFonts w:ascii="Verdana" w:hAnsi="Verdana" w:cs="Arial"/>
          <w:sz w:val="20"/>
        </w:rPr>
      </w:pPr>
      <w:r w:rsidRPr="009D5EA7">
        <w:rPr>
          <w:rFonts w:ascii="Verdana" w:hAnsi="Verdana" w:cs="Arial"/>
          <w:sz w:val="20"/>
        </w:rPr>
        <w:t>Al día siguiente,</w:t>
      </w:r>
      <w:r w:rsidR="009A4633" w:rsidRPr="009D5EA7">
        <w:rPr>
          <w:rFonts w:ascii="Verdana" w:hAnsi="Verdana" w:cs="Arial"/>
          <w:sz w:val="20"/>
        </w:rPr>
        <w:t xml:space="preserve"> el señor Lacayo Ortiz interpuso recurso de apelación contra la </w:t>
      </w:r>
      <w:r w:rsidRPr="009D5EA7">
        <w:rPr>
          <w:rFonts w:ascii="Verdana" w:hAnsi="Verdana" w:cs="Arial"/>
          <w:sz w:val="20"/>
        </w:rPr>
        <w:t xml:space="preserve">decisión del juez </w:t>
      </w:r>
      <w:r w:rsidR="009A4633" w:rsidRPr="009D5EA7">
        <w:rPr>
          <w:rFonts w:ascii="Verdana" w:hAnsi="Verdana" w:cs="Arial"/>
          <w:sz w:val="20"/>
        </w:rPr>
        <w:t xml:space="preserve">de </w:t>
      </w:r>
      <w:r w:rsidRPr="009D5EA7">
        <w:rPr>
          <w:rFonts w:ascii="Verdana" w:hAnsi="Verdana" w:cs="Arial"/>
          <w:sz w:val="20"/>
        </w:rPr>
        <w:t xml:space="preserve">no </w:t>
      </w:r>
      <w:r w:rsidR="009A4633" w:rsidRPr="009D5EA7">
        <w:rPr>
          <w:rFonts w:ascii="Verdana" w:hAnsi="Verdana" w:cs="Arial"/>
          <w:sz w:val="20"/>
        </w:rPr>
        <w:t>dar trámite a la acusación. El 6 de mayo siguiente, el juez declaró improcedente el recurso, por considerar que no era parte en el proceso (al no tener las facultades necesarias para ello conforme el poder presentado)</w:t>
      </w:r>
      <w:r w:rsidR="009A4633" w:rsidRPr="009D5EA7">
        <w:rPr>
          <w:rStyle w:val="Refdenotaalpie"/>
          <w:rFonts w:ascii="Verdana" w:hAnsi="Verdana" w:cs="Arial"/>
          <w:sz w:val="20"/>
        </w:rPr>
        <w:footnoteReference w:id="58"/>
      </w:r>
      <w:r w:rsidR="009A4633" w:rsidRPr="009D5EA7">
        <w:rPr>
          <w:rFonts w:ascii="Verdana" w:hAnsi="Verdana" w:cs="Arial"/>
          <w:sz w:val="20"/>
        </w:rPr>
        <w:t>.</w:t>
      </w:r>
    </w:p>
    <w:p w14:paraId="7FAA31CC" w14:textId="77777777" w:rsidR="00764688" w:rsidRPr="009D5EA7" w:rsidRDefault="00764688" w:rsidP="00764688">
      <w:pPr>
        <w:pStyle w:val="Prrafodelista"/>
        <w:rPr>
          <w:rFonts w:ascii="Verdana" w:hAnsi="Verdana" w:cs="Arial"/>
          <w:sz w:val="20"/>
        </w:rPr>
      </w:pPr>
    </w:p>
    <w:p w14:paraId="35A2C1A7" w14:textId="4ADDFD43" w:rsidR="00764688" w:rsidRPr="009D5EA7" w:rsidRDefault="00764688" w:rsidP="00764688">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6 de mayo de 2002 la señora Acosta interpuso una queja disciplinaria contra el juez </w:t>
      </w:r>
      <w:r w:rsidR="00437056" w:rsidRPr="009D5EA7">
        <w:rPr>
          <w:rFonts w:ascii="Verdana" w:hAnsi="Verdana" w:cs="Arial"/>
          <w:sz w:val="20"/>
        </w:rPr>
        <w:t xml:space="preserve">Julio Acuña Cambronero </w:t>
      </w:r>
      <w:r w:rsidRPr="009D5EA7">
        <w:rPr>
          <w:rFonts w:ascii="Verdana" w:hAnsi="Verdana" w:cs="Arial"/>
          <w:sz w:val="20"/>
        </w:rPr>
        <w:t>(</w:t>
      </w:r>
      <w:r w:rsidRPr="009D5EA7">
        <w:rPr>
          <w:rFonts w:ascii="Verdana" w:hAnsi="Verdana" w:cs="Arial"/>
          <w:i/>
          <w:sz w:val="20"/>
        </w:rPr>
        <w:t xml:space="preserve">infra </w:t>
      </w:r>
      <w:r w:rsidR="00D44472">
        <w:rPr>
          <w:rFonts w:ascii="Verdana" w:hAnsi="Verdana" w:cs="Arial"/>
          <w:sz w:val="20"/>
        </w:rPr>
        <w:t>párrs.113 a 124</w:t>
      </w:r>
      <w:r w:rsidRPr="009D5EA7">
        <w:rPr>
          <w:rFonts w:ascii="Verdana" w:hAnsi="Verdana" w:cs="Arial"/>
          <w:sz w:val="20"/>
        </w:rPr>
        <w:t>).</w:t>
      </w:r>
    </w:p>
    <w:p w14:paraId="0514870F" w14:textId="77777777" w:rsidR="00764688" w:rsidRPr="009D5EA7" w:rsidRDefault="00764688" w:rsidP="00764688">
      <w:pPr>
        <w:pStyle w:val="Prrafodelista"/>
        <w:ind w:left="0"/>
        <w:jc w:val="both"/>
        <w:rPr>
          <w:rFonts w:ascii="Verdana" w:hAnsi="Verdana" w:cs="Arial"/>
          <w:sz w:val="20"/>
        </w:rPr>
      </w:pPr>
    </w:p>
    <w:p w14:paraId="44BE5C6D" w14:textId="01A60A67"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10 de mayo de 2002 el señor Silvio Adolfo Lacayo Ortiz compareció por escrito ante el </w:t>
      </w:r>
      <w:r w:rsidR="00B7721D" w:rsidRPr="009D5EA7">
        <w:rPr>
          <w:rFonts w:ascii="Verdana" w:hAnsi="Verdana" w:cs="Arial"/>
          <w:sz w:val="20"/>
        </w:rPr>
        <w:t>juez</w:t>
      </w:r>
      <w:r w:rsidRPr="009D5EA7">
        <w:rPr>
          <w:rFonts w:ascii="Verdana" w:hAnsi="Verdana" w:cs="Arial"/>
          <w:sz w:val="20"/>
        </w:rPr>
        <w:t xml:space="preserve">, con un poder especial para acusar en juicio criminal, en representación de la señora </w:t>
      </w:r>
      <w:r w:rsidRPr="009D5EA7">
        <w:rPr>
          <w:rFonts w:ascii="Verdana" w:hAnsi="Verdana" w:cs="Arial"/>
          <w:sz w:val="20"/>
        </w:rPr>
        <w:lastRenderedPageBreak/>
        <w:t xml:space="preserve">Acosta, e interpuso formal acusación </w:t>
      </w:r>
      <w:r w:rsidR="00B7721D" w:rsidRPr="009D5EA7">
        <w:rPr>
          <w:rFonts w:ascii="Verdana" w:hAnsi="Verdana" w:cs="Arial"/>
          <w:sz w:val="20"/>
        </w:rPr>
        <w:t>en los mismos términos</w:t>
      </w:r>
      <w:r w:rsidRPr="009D5EA7">
        <w:rPr>
          <w:rFonts w:ascii="Verdana" w:hAnsi="Verdana" w:cs="Arial"/>
          <w:sz w:val="20"/>
        </w:rPr>
        <w:t xml:space="preserve">. </w:t>
      </w:r>
      <w:r w:rsidR="00F51678">
        <w:rPr>
          <w:rFonts w:ascii="Verdana" w:hAnsi="Verdana" w:cs="Arial"/>
          <w:sz w:val="20"/>
        </w:rPr>
        <w:t xml:space="preserve">No obstante, no fue sino </w:t>
      </w:r>
      <w:r w:rsidR="001671B2">
        <w:rPr>
          <w:rFonts w:ascii="Verdana" w:hAnsi="Verdana" w:cs="Arial"/>
          <w:sz w:val="20"/>
        </w:rPr>
        <w:t>mediante auto de las 1</w:t>
      </w:r>
      <w:r w:rsidR="008B3A6F">
        <w:rPr>
          <w:rFonts w:ascii="Verdana" w:hAnsi="Verdana" w:cs="Arial"/>
          <w:sz w:val="20"/>
        </w:rPr>
        <w:t>0</w:t>
      </w:r>
      <w:r w:rsidR="001671B2">
        <w:rPr>
          <w:rFonts w:ascii="Verdana" w:hAnsi="Verdana" w:cs="Arial"/>
          <w:sz w:val="20"/>
        </w:rPr>
        <w:t>:</w:t>
      </w:r>
      <w:r w:rsidR="008B3A6F">
        <w:rPr>
          <w:rFonts w:ascii="Verdana" w:hAnsi="Verdana" w:cs="Arial"/>
          <w:sz w:val="20"/>
        </w:rPr>
        <w:t>10</w:t>
      </w:r>
      <w:r w:rsidR="001671B2">
        <w:rPr>
          <w:rFonts w:ascii="Verdana" w:hAnsi="Verdana" w:cs="Arial"/>
          <w:sz w:val="20"/>
        </w:rPr>
        <w:t xml:space="preserve"> am d</w:t>
      </w:r>
      <w:r w:rsidR="00F51678">
        <w:rPr>
          <w:rFonts w:ascii="Verdana" w:hAnsi="Verdana" w:cs="Arial"/>
          <w:sz w:val="20"/>
        </w:rPr>
        <w:t>e</w:t>
      </w:r>
      <w:r w:rsidRPr="009D5EA7">
        <w:rPr>
          <w:rFonts w:ascii="Verdana" w:hAnsi="Verdana" w:cs="Garamond"/>
          <w:spacing w:val="-2"/>
          <w:sz w:val="20"/>
        </w:rPr>
        <w:t xml:space="preserve">l </w:t>
      </w:r>
      <w:r w:rsidRPr="009D5EA7">
        <w:rPr>
          <w:rFonts w:ascii="Verdana" w:hAnsi="Verdana" w:cs="Garamond"/>
          <w:sz w:val="20"/>
        </w:rPr>
        <w:t xml:space="preserve">13 de mayo </w:t>
      </w:r>
      <w:r w:rsidRPr="009D5EA7">
        <w:rPr>
          <w:rFonts w:ascii="Verdana" w:hAnsi="Verdana" w:cs="Arial"/>
          <w:sz w:val="20"/>
        </w:rPr>
        <w:t>siguiente</w:t>
      </w:r>
      <w:r w:rsidRPr="009D5EA7">
        <w:rPr>
          <w:rFonts w:ascii="Verdana" w:hAnsi="Verdana" w:cs="Garamond"/>
          <w:sz w:val="20"/>
        </w:rPr>
        <w:t xml:space="preserve"> </w:t>
      </w:r>
      <w:r w:rsidR="00F51678">
        <w:rPr>
          <w:rFonts w:ascii="Verdana" w:hAnsi="Verdana" w:cs="Garamond"/>
          <w:sz w:val="20"/>
        </w:rPr>
        <w:t xml:space="preserve">que </w:t>
      </w:r>
      <w:r w:rsidRPr="009D5EA7">
        <w:rPr>
          <w:rFonts w:ascii="Verdana" w:hAnsi="Verdana" w:cs="Garamond"/>
          <w:sz w:val="20"/>
        </w:rPr>
        <w:t xml:space="preserve">el juez admitió esta acusación y </w:t>
      </w:r>
      <w:r w:rsidR="00B7721D" w:rsidRPr="009D5EA7">
        <w:rPr>
          <w:rFonts w:ascii="Verdana" w:hAnsi="Verdana" w:cs="Garamond"/>
          <w:sz w:val="20"/>
        </w:rPr>
        <w:t xml:space="preserve">le </w:t>
      </w:r>
      <w:r w:rsidRPr="009D5EA7">
        <w:rPr>
          <w:rFonts w:ascii="Verdana" w:hAnsi="Verdana" w:cs="Garamond"/>
          <w:sz w:val="20"/>
        </w:rPr>
        <w:t>otorgó intervención de ley en el proceso</w:t>
      </w:r>
      <w:r w:rsidRPr="009D5EA7">
        <w:rPr>
          <w:rStyle w:val="Refdenotaalpie"/>
          <w:rFonts w:ascii="Verdana" w:hAnsi="Verdana" w:cs="Garamond"/>
          <w:sz w:val="20"/>
        </w:rPr>
        <w:footnoteReference w:id="59"/>
      </w:r>
      <w:r w:rsidR="00F51678">
        <w:rPr>
          <w:rFonts w:ascii="Verdana" w:hAnsi="Verdana" w:cs="Garamond"/>
          <w:sz w:val="20"/>
        </w:rPr>
        <w:t>.</w:t>
      </w:r>
    </w:p>
    <w:p w14:paraId="55ECA181" w14:textId="77777777" w:rsidR="009A4633" w:rsidRPr="009D5EA7" w:rsidRDefault="009A4633" w:rsidP="009A4633">
      <w:pPr>
        <w:pStyle w:val="Prrafodelista"/>
        <w:rPr>
          <w:rFonts w:ascii="Verdana" w:hAnsi="Verdana" w:cs="Arial"/>
          <w:sz w:val="20"/>
        </w:rPr>
      </w:pPr>
    </w:p>
    <w:p w14:paraId="71FCBEE2" w14:textId="37B1E1CD" w:rsidR="009A4633" w:rsidRPr="00DA1CE9" w:rsidRDefault="00DA1CE9" w:rsidP="007A3724">
      <w:pPr>
        <w:spacing w:after="0" w:line="240" w:lineRule="auto"/>
        <w:ind w:left="2115" w:hanging="697"/>
        <w:jc w:val="both"/>
        <w:rPr>
          <w:rFonts w:ascii="Verdana" w:hAnsi="Verdana" w:cs="Arial"/>
          <w:b/>
          <w:i/>
          <w:sz w:val="20"/>
          <w:u w:val="single"/>
        </w:rPr>
      </w:pPr>
      <w:r>
        <w:rPr>
          <w:rFonts w:ascii="Verdana" w:hAnsi="Verdana" w:cs="Arial"/>
          <w:b/>
          <w:i/>
          <w:sz w:val="20"/>
        </w:rPr>
        <w:t>C.2</w:t>
      </w:r>
      <w:r>
        <w:rPr>
          <w:rFonts w:ascii="Verdana" w:hAnsi="Verdana" w:cs="Arial"/>
          <w:b/>
          <w:i/>
          <w:sz w:val="20"/>
        </w:rPr>
        <w:tab/>
      </w:r>
      <w:r w:rsidR="009A4633" w:rsidRPr="00DA1CE9">
        <w:rPr>
          <w:rFonts w:ascii="Verdana" w:hAnsi="Verdana" w:cs="Arial"/>
          <w:b/>
          <w:i/>
          <w:sz w:val="20"/>
        </w:rPr>
        <w:t xml:space="preserve">Incidente “de nulidad perpetua” </w:t>
      </w:r>
      <w:r w:rsidR="009A4633" w:rsidRPr="007A3724">
        <w:rPr>
          <w:rFonts w:ascii="Verdana" w:hAnsi="Verdana" w:cs="Arial"/>
          <w:b/>
          <w:i/>
          <w:sz w:val="20"/>
        </w:rPr>
        <w:t>con respecto a todo lo actuado desde el auto dictado el 19 de abril del 2002</w:t>
      </w:r>
    </w:p>
    <w:p w14:paraId="0833C8F5" w14:textId="77777777" w:rsidR="009A4633" w:rsidRPr="009D5EA7" w:rsidRDefault="009A4633" w:rsidP="009A4633">
      <w:pPr>
        <w:pStyle w:val="Prrafodelista"/>
        <w:ind w:left="1080"/>
        <w:rPr>
          <w:rFonts w:ascii="Verdana" w:hAnsi="Verdana" w:cs="Arial"/>
          <w:sz w:val="20"/>
        </w:rPr>
      </w:pPr>
    </w:p>
    <w:p w14:paraId="45B1255D" w14:textId="26A304A6"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 En el mismo escrito </w:t>
      </w:r>
      <w:r w:rsidRPr="009D5EA7">
        <w:rPr>
          <w:rFonts w:ascii="Verdana" w:hAnsi="Verdana" w:cs="Garamond"/>
          <w:sz w:val="20"/>
        </w:rPr>
        <w:t>referido</w:t>
      </w:r>
      <w:r w:rsidRPr="009D5EA7">
        <w:rPr>
          <w:rFonts w:ascii="Verdana" w:hAnsi="Verdana" w:cs="Arial"/>
          <w:sz w:val="20"/>
        </w:rPr>
        <w:t xml:space="preserve"> en el párrafo anterior, el representante de la señora Acosta promovió un “incidente de nulidad perpetua” con respecto a todo lo actuado desde el auto dictado </w:t>
      </w:r>
      <w:r w:rsidR="00B7721D" w:rsidRPr="009D5EA7">
        <w:rPr>
          <w:rFonts w:ascii="Verdana" w:hAnsi="Verdana" w:cs="Arial"/>
          <w:sz w:val="20"/>
        </w:rPr>
        <w:t xml:space="preserve">por el juez </w:t>
      </w:r>
      <w:r w:rsidRPr="009D5EA7">
        <w:rPr>
          <w:rFonts w:ascii="Verdana" w:hAnsi="Verdana" w:cs="Arial"/>
          <w:sz w:val="20"/>
        </w:rPr>
        <w:t>el 19 de abril del 2002</w:t>
      </w:r>
      <w:r w:rsidR="00B7721D" w:rsidRPr="009D5EA7">
        <w:rPr>
          <w:rFonts w:ascii="Verdana" w:hAnsi="Verdana" w:cs="Arial"/>
          <w:sz w:val="20"/>
        </w:rPr>
        <w:t>,</w:t>
      </w:r>
      <w:r w:rsidRPr="009D5EA7">
        <w:rPr>
          <w:rFonts w:ascii="Verdana" w:hAnsi="Verdana" w:cs="Arial"/>
          <w:sz w:val="20"/>
        </w:rPr>
        <w:t xml:space="preserve"> por considerar que diversas actuaciones judiciales debían ser nulas porque, entre otras razones, </w:t>
      </w:r>
      <w:r w:rsidR="00B7721D" w:rsidRPr="009D5EA7">
        <w:rPr>
          <w:rFonts w:ascii="Verdana" w:hAnsi="Verdana" w:cs="Arial"/>
          <w:sz w:val="20"/>
        </w:rPr>
        <w:t>dicho</w:t>
      </w:r>
      <w:r w:rsidRPr="009D5EA7">
        <w:rPr>
          <w:rFonts w:ascii="Verdana" w:hAnsi="Verdana" w:cs="Arial"/>
          <w:sz w:val="20"/>
        </w:rPr>
        <w:t xml:space="preserve"> auto -en que se manda a recibir declaración indagatoria a la señora Acosta- carece de fundamento fáctico, al no existir ningún indicio o presunción en contra de ella; no </w:t>
      </w:r>
      <w:r w:rsidR="00D6676A" w:rsidRPr="009D5EA7">
        <w:rPr>
          <w:rFonts w:ascii="Verdana" w:hAnsi="Verdana" w:cs="Arial"/>
          <w:sz w:val="20"/>
        </w:rPr>
        <w:t xml:space="preserve">le </w:t>
      </w:r>
      <w:r w:rsidRPr="009D5EA7">
        <w:rPr>
          <w:rFonts w:ascii="Verdana" w:hAnsi="Verdana" w:cs="Arial"/>
          <w:sz w:val="20"/>
        </w:rPr>
        <w:t>fue notificado personalmente y no se le nombró defensor de oficio a ella.</w:t>
      </w:r>
    </w:p>
    <w:p w14:paraId="37F329C4" w14:textId="77777777" w:rsidR="009A4633" w:rsidRPr="009D5EA7" w:rsidRDefault="009A4633" w:rsidP="00BF5B40">
      <w:pPr>
        <w:pStyle w:val="Prrafodelista"/>
        <w:ind w:left="1080"/>
        <w:rPr>
          <w:rFonts w:ascii="Arial" w:hAnsi="Arial" w:cs="Arial"/>
        </w:rPr>
      </w:pPr>
    </w:p>
    <w:p w14:paraId="06961AE6" w14:textId="2A3C71AF" w:rsidR="009A4633" w:rsidRPr="00DA1CE9" w:rsidRDefault="00DA1CE9" w:rsidP="00BF5B40">
      <w:pPr>
        <w:spacing w:after="0"/>
        <w:ind w:left="708" w:firstLine="708"/>
        <w:jc w:val="both"/>
        <w:rPr>
          <w:rFonts w:ascii="Verdana" w:hAnsi="Verdana" w:cs="Arial"/>
          <w:b/>
          <w:sz w:val="20"/>
        </w:rPr>
      </w:pPr>
      <w:r>
        <w:rPr>
          <w:rFonts w:ascii="Verdana" w:hAnsi="Verdana" w:cs="Arial"/>
          <w:b/>
          <w:i/>
          <w:sz w:val="20"/>
        </w:rPr>
        <w:t>C.3</w:t>
      </w:r>
      <w:r>
        <w:rPr>
          <w:rFonts w:ascii="Verdana" w:hAnsi="Verdana" w:cs="Arial"/>
          <w:b/>
          <w:i/>
          <w:sz w:val="20"/>
        </w:rPr>
        <w:tab/>
      </w:r>
      <w:r w:rsidR="009A4633" w:rsidRPr="00DA1CE9">
        <w:rPr>
          <w:rFonts w:ascii="Verdana" w:hAnsi="Verdana" w:cs="Arial"/>
          <w:b/>
          <w:i/>
          <w:sz w:val="20"/>
        </w:rPr>
        <w:t>Publicación en medio de prensa de declaraciones del juez instructor</w:t>
      </w:r>
    </w:p>
    <w:p w14:paraId="4792A319" w14:textId="77777777" w:rsidR="009A4633" w:rsidRPr="009D5EA7" w:rsidRDefault="009A4633" w:rsidP="00BF5B40">
      <w:pPr>
        <w:pStyle w:val="Prrafodelista"/>
        <w:ind w:left="1080"/>
        <w:rPr>
          <w:rFonts w:ascii="Verdana" w:hAnsi="Verdana" w:cs="Arial"/>
          <w:sz w:val="20"/>
        </w:rPr>
      </w:pPr>
    </w:p>
    <w:p w14:paraId="5F87E31A" w14:textId="23E385FE" w:rsidR="009A4633" w:rsidRPr="009D5EA7" w:rsidRDefault="00DA1CE9" w:rsidP="00667F79">
      <w:pPr>
        <w:pStyle w:val="Prrafodelista"/>
        <w:numPr>
          <w:ilvl w:val="0"/>
          <w:numId w:val="5"/>
        </w:numPr>
        <w:ind w:left="0" w:firstLine="0"/>
        <w:jc w:val="both"/>
        <w:rPr>
          <w:rFonts w:ascii="Verdana" w:hAnsi="Verdana" w:cs="Arial"/>
          <w:sz w:val="20"/>
        </w:rPr>
      </w:pPr>
      <w:r>
        <w:rPr>
          <w:rFonts w:ascii="Verdana" w:hAnsi="Verdana" w:cs="Arial"/>
          <w:sz w:val="20"/>
        </w:rPr>
        <w:t xml:space="preserve">El 12 de mayo de 2002 </w:t>
      </w:r>
      <w:r w:rsidR="009A4633" w:rsidRPr="009D5EA7">
        <w:rPr>
          <w:rFonts w:ascii="Verdana" w:hAnsi="Verdana" w:cs="Arial"/>
          <w:sz w:val="20"/>
        </w:rPr>
        <w:t xml:space="preserve">el diario </w:t>
      </w:r>
      <w:r w:rsidR="009A4633" w:rsidRPr="009D5EA7">
        <w:rPr>
          <w:rFonts w:ascii="Verdana" w:hAnsi="Verdana" w:cs="Arial"/>
          <w:i/>
          <w:sz w:val="20"/>
        </w:rPr>
        <w:t xml:space="preserve">La Prensa </w:t>
      </w:r>
      <w:r w:rsidR="009A4633" w:rsidRPr="009D5EA7">
        <w:rPr>
          <w:rFonts w:ascii="Verdana" w:hAnsi="Verdana" w:cs="Arial"/>
          <w:sz w:val="20"/>
        </w:rPr>
        <w:t>de Nicaragua publicó declaraciones del Juez de Distrito del Crimen de Bluefields en relación con la investigación y proceso que tenía a cargo por el homicidio del señor García Valle, en los siguientes términos:</w:t>
      </w:r>
    </w:p>
    <w:p w14:paraId="01C094D2" w14:textId="77777777" w:rsidR="009A4633" w:rsidRPr="009D5EA7" w:rsidRDefault="009A4633" w:rsidP="009A4633">
      <w:pPr>
        <w:shd w:val="clear" w:color="auto" w:fill="FFFFFF"/>
        <w:spacing w:after="0" w:line="240" w:lineRule="auto"/>
        <w:ind w:left="720"/>
        <w:jc w:val="both"/>
        <w:rPr>
          <w:rFonts w:ascii="Verdana" w:hAnsi="Verdana"/>
          <w:color w:val="000000"/>
          <w:sz w:val="16"/>
          <w:szCs w:val="16"/>
          <w:lang w:val="es-ES_tradnl"/>
        </w:rPr>
      </w:pPr>
    </w:p>
    <w:p w14:paraId="7B20414C" w14:textId="77777777" w:rsidR="009A4633" w:rsidRPr="009D5EA7" w:rsidRDefault="009A4633" w:rsidP="009A4633">
      <w:pPr>
        <w:shd w:val="clear" w:color="auto" w:fill="FFFFFF"/>
        <w:spacing w:after="0" w:line="240" w:lineRule="auto"/>
        <w:ind w:left="720"/>
        <w:jc w:val="both"/>
        <w:rPr>
          <w:rFonts w:ascii="Verdana" w:hAnsi="Verdana"/>
          <w:color w:val="000000"/>
          <w:sz w:val="16"/>
          <w:szCs w:val="16"/>
          <w:lang w:val="es-ES_tradnl"/>
        </w:rPr>
      </w:pPr>
      <w:r w:rsidRPr="009D5EA7">
        <w:rPr>
          <w:rFonts w:ascii="Verdana" w:hAnsi="Verdana"/>
          <w:color w:val="000000"/>
          <w:sz w:val="16"/>
          <w:szCs w:val="16"/>
          <w:lang w:val="es-ES_tradnl"/>
        </w:rPr>
        <w:t>El juez de distrito del crimen de la ciudad de Bluefields, licenciado Julio Acuña Cambronero, afirmó que la señora María Luisa Acosta, en el juicio que se le sigue a Iván Argüello Rivera, por el asesinato perpetrado en contra de su esposo Francisco García Valle, declaró que una de las personas que dio muerte a su marido se había cortado el dedo, lo tenía vendado, que sabía quién era y que lo tenía localizado.</w:t>
      </w:r>
    </w:p>
    <w:p w14:paraId="1F75ED2F" w14:textId="77777777" w:rsidR="009A4633" w:rsidRPr="009D5EA7" w:rsidRDefault="009A4633" w:rsidP="009A4633">
      <w:pPr>
        <w:spacing w:after="0" w:line="240" w:lineRule="auto"/>
        <w:ind w:left="720"/>
        <w:jc w:val="both"/>
        <w:rPr>
          <w:rFonts w:ascii="Verdana" w:hAnsi="Verdana"/>
          <w:sz w:val="16"/>
          <w:szCs w:val="16"/>
          <w:lang w:val="es-ES_tradnl"/>
        </w:rPr>
      </w:pPr>
      <w:r w:rsidRPr="009D5EA7">
        <w:rPr>
          <w:rFonts w:ascii="Verdana" w:hAnsi="Verdana"/>
          <w:color w:val="000000"/>
          <w:sz w:val="16"/>
          <w:szCs w:val="16"/>
          <w:shd w:val="clear" w:color="auto" w:fill="FFFFFF"/>
          <w:lang w:val="es-ES_tradnl"/>
        </w:rPr>
        <w:t>“Esta declaración de María Luisa Acosta perfectamente encuadra en señalarla como encubridora del asesinato de su esposo, e incluso la misma fiscalía le preguntó por qué no había dado esa información, y ella respondió que eso no era de su incumbencia”, afirmó el juez Acuña.</w:t>
      </w:r>
    </w:p>
    <w:p w14:paraId="0A18DF32" w14:textId="77777777" w:rsidR="009A4633" w:rsidRPr="009D5EA7" w:rsidRDefault="009A4633" w:rsidP="009A4633">
      <w:pPr>
        <w:spacing w:after="0" w:line="240" w:lineRule="auto"/>
        <w:ind w:left="720"/>
        <w:jc w:val="both"/>
        <w:rPr>
          <w:rFonts w:ascii="Verdana" w:hAnsi="Verdana"/>
          <w:color w:val="000000"/>
          <w:sz w:val="16"/>
          <w:szCs w:val="16"/>
          <w:shd w:val="clear" w:color="auto" w:fill="FFFFFF"/>
          <w:lang w:val="es-ES_tradnl"/>
        </w:rPr>
      </w:pPr>
      <w:r w:rsidRPr="009D5EA7">
        <w:rPr>
          <w:rFonts w:ascii="Verdana" w:hAnsi="Verdana"/>
          <w:color w:val="000000"/>
          <w:sz w:val="16"/>
          <w:szCs w:val="16"/>
          <w:shd w:val="clear" w:color="auto" w:fill="FFFFFF"/>
          <w:lang w:val="es-ES_tradnl"/>
        </w:rPr>
        <w:t>“Yo no entiendo cómo a ella, como parte ofendida, no le interesa dar con el paradero del supuesto hechor del crimen”, se preguntó el juez.</w:t>
      </w:r>
    </w:p>
    <w:p w14:paraId="773740B3" w14:textId="77777777" w:rsidR="009A4633" w:rsidRPr="009D5EA7" w:rsidRDefault="009A4633" w:rsidP="009A4633">
      <w:pPr>
        <w:spacing w:after="0" w:line="240" w:lineRule="auto"/>
        <w:ind w:left="720"/>
        <w:jc w:val="both"/>
        <w:rPr>
          <w:rFonts w:ascii="Verdana" w:hAnsi="Verdana"/>
          <w:sz w:val="16"/>
          <w:szCs w:val="16"/>
          <w:lang w:val="es-ES_tradnl"/>
        </w:rPr>
      </w:pPr>
      <w:r w:rsidRPr="009D5EA7">
        <w:rPr>
          <w:rFonts w:ascii="Verdana" w:hAnsi="Verdana"/>
          <w:color w:val="000000"/>
          <w:sz w:val="16"/>
          <w:szCs w:val="16"/>
          <w:shd w:val="clear" w:color="auto" w:fill="FFFFFF"/>
          <w:lang w:val="es-ES_tradnl"/>
        </w:rPr>
        <w:t>El juez del distrito del crimen de Bluefields, aseguró: “El único interés que tengo es tratar de aclarar las cosas y encontrar a los responsables del delito, hasta el momento solamente existen sospechas e imputaciones”, afirmo.</w:t>
      </w:r>
    </w:p>
    <w:p w14:paraId="1DBA146E" w14:textId="77777777" w:rsidR="009A4633" w:rsidRPr="009D5EA7" w:rsidRDefault="009A4633" w:rsidP="009A4633">
      <w:pPr>
        <w:spacing w:after="0" w:line="240" w:lineRule="auto"/>
        <w:ind w:left="720"/>
        <w:jc w:val="both"/>
        <w:rPr>
          <w:rFonts w:ascii="Verdana" w:hAnsi="Verdana"/>
          <w:sz w:val="16"/>
          <w:szCs w:val="16"/>
          <w:lang w:val="es-ES_tradnl"/>
        </w:rPr>
      </w:pPr>
      <w:r w:rsidRPr="009D5EA7">
        <w:rPr>
          <w:rFonts w:ascii="Verdana" w:hAnsi="Verdana"/>
          <w:color w:val="000000"/>
          <w:sz w:val="16"/>
          <w:szCs w:val="16"/>
          <w:shd w:val="clear" w:color="auto" w:fill="FFFFFF"/>
          <w:lang w:val="es-ES_tradnl"/>
        </w:rPr>
        <w:t>Julio Acuña Cambronero aseguró a LA PRENSA que inicialmente citó a María Luisa Acosta para que viniera a aclarar las situaciones que se están planteando, sin embargo, ella ha hecho caso omiso de las citatorias que se le han girado.</w:t>
      </w:r>
    </w:p>
    <w:p w14:paraId="06AE8E1D" w14:textId="77777777" w:rsidR="009A4633" w:rsidRPr="009D5EA7" w:rsidRDefault="009A4633" w:rsidP="009A4633">
      <w:pPr>
        <w:spacing w:after="0" w:line="240" w:lineRule="auto"/>
        <w:ind w:left="720"/>
        <w:jc w:val="both"/>
        <w:rPr>
          <w:rFonts w:ascii="Verdana" w:hAnsi="Verdana"/>
          <w:sz w:val="16"/>
          <w:szCs w:val="16"/>
          <w:lang w:val="es-ES_tradnl"/>
        </w:rPr>
      </w:pPr>
      <w:r w:rsidRPr="009D5EA7">
        <w:rPr>
          <w:rFonts w:ascii="Verdana" w:hAnsi="Verdana"/>
          <w:color w:val="000000"/>
          <w:sz w:val="16"/>
          <w:szCs w:val="16"/>
          <w:shd w:val="clear" w:color="auto" w:fill="FFFFFF"/>
          <w:lang w:val="es-ES_tradnl"/>
        </w:rPr>
        <w:t>“La licenciada Acosta no me dejó otra opción que hacer uso de la fuerza pública, porque aquí nadie está exento de comparecer ante el llamamiento que le hace un juez, todos estamos obligados a comparecer, excepto algunos que claramente señala la ley”, manifestó.</w:t>
      </w:r>
    </w:p>
    <w:p w14:paraId="718EB351" w14:textId="77777777" w:rsidR="009A4633" w:rsidRPr="009D5EA7" w:rsidRDefault="009A4633" w:rsidP="009A4633">
      <w:pPr>
        <w:spacing w:after="0" w:line="240" w:lineRule="auto"/>
        <w:ind w:left="720"/>
        <w:jc w:val="both"/>
        <w:rPr>
          <w:rFonts w:ascii="Verdana" w:hAnsi="Verdana"/>
          <w:sz w:val="16"/>
          <w:szCs w:val="16"/>
          <w:lang w:val="es-ES_tradnl"/>
        </w:rPr>
      </w:pPr>
      <w:r w:rsidRPr="009D5EA7">
        <w:rPr>
          <w:rFonts w:ascii="Verdana" w:hAnsi="Verdana"/>
          <w:color w:val="000000"/>
          <w:sz w:val="16"/>
          <w:szCs w:val="16"/>
          <w:shd w:val="clear" w:color="auto" w:fill="FFFFFF"/>
          <w:lang w:val="es-ES_tradnl"/>
        </w:rPr>
        <w:t>“Su afirmación es aventurera. Ella como estudiosa del derecho sabe que me puede recusar, si cree que estoy siendo parcial que proceda, pero que lo haga aquí, ya que los juicios se ganan o se pierden en los Juzgados no en los medios de comunicación”, sentenció el juez Julio Acuña Cambronero.</w:t>
      </w:r>
    </w:p>
    <w:p w14:paraId="0A8220E4" w14:textId="77777777" w:rsidR="009A4633" w:rsidRPr="009D5EA7" w:rsidRDefault="009A4633" w:rsidP="009A4633">
      <w:pPr>
        <w:spacing w:after="0" w:line="240" w:lineRule="auto"/>
        <w:ind w:left="720"/>
        <w:jc w:val="both"/>
        <w:rPr>
          <w:rFonts w:ascii="Verdana" w:hAnsi="Verdana"/>
          <w:i/>
          <w:sz w:val="16"/>
          <w:szCs w:val="16"/>
          <w:lang w:val="es-ES_tradnl"/>
        </w:rPr>
      </w:pPr>
      <w:r w:rsidRPr="009D5EA7">
        <w:rPr>
          <w:rFonts w:ascii="Verdana" w:hAnsi="Verdana"/>
          <w:color w:val="000000"/>
          <w:sz w:val="16"/>
          <w:szCs w:val="16"/>
          <w:shd w:val="clear" w:color="auto" w:fill="FFFFFF"/>
          <w:lang w:val="es-ES_tradnl"/>
        </w:rPr>
        <w:t>LA PRENSA conoció que el pasado viernes10 de mayo el juez del distrito del crimen de la ciudad de Bluefields, Julio Acuña Cambronero fue citado a comparecer ante la Magistrado Yadira Centeno, Presidente de la Comisión Disciplinaria de la Corte Suprema de Justicia, para responder a señalamientos hechos en su contra por la doctora María Luisa Acosta</w:t>
      </w:r>
      <w:r w:rsidRPr="009D5EA7">
        <w:rPr>
          <w:rStyle w:val="Refdenotaalpie"/>
          <w:rFonts w:ascii="Verdana" w:hAnsi="Verdana" w:cs="Arial"/>
          <w:sz w:val="16"/>
          <w:szCs w:val="16"/>
          <w:lang w:val="es-ES_tradnl"/>
        </w:rPr>
        <w:footnoteReference w:id="60"/>
      </w:r>
      <w:r w:rsidRPr="009D5EA7">
        <w:rPr>
          <w:rFonts w:ascii="Verdana" w:hAnsi="Verdana"/>
          <w:color w:val="000000"/>
          <w:sz w:val="16"/>
          <w:szCs w:val="16"/>
          <w:shd w:val="clear" w:color="auto" w:fill="FFFFFF"/>
          <w:lang w:val="es-ES_tradnl"/>
        </w:rPr>
        <w:t>.</w:t>
      </w:r>
    </w:p>
    <w:p w14:paraId="75FED55F" w14:textId="2054AB73" w:rsidR="009A4633" w:rsidRPr="009D5EA7" w:rsidRDefault="009A4633" w:rsidP="009A4633">
      <w:pPr>
        <w:pStyle w:val="Prrafodelista"/>
        <w:jc w:val="both"/>
        <w:rPr>
          <w:rFonts w:ascii="Verdana" w:hAnsi="Verdana" w:cs="Arial"/>
          <w:sz w:val="20"/>
        </w:rPr>
      </w:pPr>
      <w:r w:rsidRPr="009D5EA7">
        <w:rPr>
          <w:rFonts w:ascii="Verdana" w:hAnsi="Verdana"/>
          <w:sz w:val="20"/>
        </w:rPr>
        <w:t xml:space="preserve"> </w:t>
      </w:r>
    </w:p>
    <w:p w14:paraId="58672BA2" w14:textId="77777777" w:rsidR="009A4633" w:rsidRPr="009D5EA7" w:rsidRDefault="009A4633" w:rsidP="009A4633">
      <w:pPr>
        <w:pStyle w:val="Prrafodelista"/>
        <w:rPr>
          <w:rFonts w:ascii="Verdana" w:hAnsi="Verdana" w:cs="Arial"/>
          <w:sz w:val="20"/>
        </w:rPr>
      </w:pPr>
    </w:p>
    <w:p w14:paraId="0901D0C7" w14:textId="600FCA1F" w:rsidR="009A4633" w:rsidRPr="00DA1CE9" w:rsidRDefault="00DA1CE9" w:rsidP="007A3724">
      <w:pPr>
        <w:spacing w:after="0" w:line="240" w:lineRule="auto"/>
        <w:ind w:left="2115" w:hanging="697"/>
        <w:jc w:val="both"/>
        <w:rPr>
          <w:rFonts w:ascii="Verdana" w:hAnsi="Verdana" w:cs="Arial"/>
          <w:b/>
          <w:i/>
          <w:sz w:val="20"/>
        </w:rPr>
      </w:pPr>
      <w:r>
        <w:rPr>
          <w:rFonts w:ascii="Verdana" w:hAnsi="Verdana" w:cs="Arial"/>
          <w:b/>
          <w:i/>
          <w:sz w:val="20"/>
        </w:rPr>
        <w:t>C.4</w:t>
      </w:r>
      <w:r>
        <w:rPr>
          <w:rFonts w:ascii="Verdana" w:hAnsi="Verdana" w:cs="Arial"/>
          <w:b/>
          <w:i/>
          <w:sz w:val="20"/>
        </w:rPr>
        <w:tab/>
      </w:r>
      <w:r w:rsidR="009A4633" w:rsidRPr="00DA1CE9">
        <w:rPr>
          <w:rFonts w:ascii="Verdana" w:hAnsi="Verdana" w:cs="Arial"/>
          <w:b/>
          <w:i/>
          <w:sz w:val="20"/>
        </w:rPr>
        <w:t>Sentencia inter</w:t>
      </w:r>
      <w:r w:rsidR="001B447E" w:rsidRPr="00DA1CE9">
        <w:rPr>
          <w:rFonts w:ascii="Verdana" w:hAnsi="Verdana" w:cs="Arial"/>
          <w:b/>
          <w:i/>
          <w:sz w:val="20"/>
        </w:rPr>
        <w:t>locutoria de 13 de mayo de 2002:</w:t>
      </w:r>
      <w:r w:rsidR="009A4633" w:rsidRPr="00DA1CE9">
        <w:rPr>
          <w:rFonts w:ascii="Verdana" w:hAnsi="Verdana" w:cs="Arial"/>
          <w:b/>
          <w:i/>
          <w:sz w:val="20"/>
        </w:rPr>
        <w:t xml:space="preserve"> sobreseimiento definitivo a favor de </w:t>
      </w:r>
      <w:r w:rsidR="00572E54" w:rsidRPr="00DA1CE9">
        <w:rPr>
          <w:rFonts w:ascii="Verdana" w:hAnsi="Verdana" w:cs="Arial"/>
          <w:b/>
          <w:i/>
          <w:sz w:val="20"/>
        </w:rPr>
        <w:t>PT</w:t>
      </w:r>
      <w:r w:rsidR="009A4633" w:rsidRPr="00DA1CE9">
        <w:rPr>
          <w:rFonts w:ascii="Verdana" w:hAnsi="Verdana" w:cs="Arial"/>
          <w:b/>
          <w:i/>
          <w:sz w:val="20"/>
        </w:rPr>
        <w:t xml:space="preserve"> y </w:t>
      </w:r>
      <w:r w:rsidR="00572E54" w:rsidRPr="00DA1CE9">
        <w:rPr>
          <w:rFonts w:ascii="Verdana" w:hAnsi="Verdana" w:cs="Arial"/>
          <w:b/>
          <w:i/>
          <w:sz w:val="20"/>
        </w:rPr>
        <w:t>PMF</w:t>
      </w:r>
      <w:r w:rsidR="009A4633" w:rsidRPr="00DA1CE9">
        <w:rPr>
          <w:rFonts w:ascii="Verdana" w:hAnsi="Verdana" w:cs="Arial"/>
          <w:b/>
          <w:i/>
          <w:sz w:val="20"/>
        </w:rPr>
        <w:t xml:space="preserve"> como presuntos autores intelectuales</w:t>
      </w:r>
      <w:r w:rsidR="001671B2">
        <w:rPr>
          <w:rFonts w:ascii="Verdana" w:hAnsi="Verdana" w:cs="Arial"/>
          <w:b/>
          <w:i/>
          <w:sz w:val="20"/>
        </w:rPr>
        <w:t>, de CJP como presunto autor material</w:t>
      </w:r>
      <w:r w:rsidR="009A4633" w:rsidRPr="00DA1CE9">
        <w:rPr>
          <w:rFonts w:ascii="Verdana" w:hAnsi="Verdana" w:cs="Arial"/>
          <w:b/>
          <w:i/>
          <w:sz w:val="20"/>
        </w:rPr>
        <w:t xml:space="preserve"> y de la señora Acosta como presunta encubridora </w:t>
      </w:r>
    </w:p>
    <w:p w14:paraId="25B31D7D" w14:textId="77777777" w:rsidR="009A4633" w:rsidRPr="009D5EA7" w:rsidRDefault="009A4633" w:rsidP="009A4633">
      <w:pPr>
        <w:pStyle w:val="Prrafodelista"/>
        <w:jc w:val="both"/>
        <w:rPr>
          <w:rFonts w:ascii="Verdana" w:hAnsi="Verdana" w:cs="Arial"/>
          <w:sz w:val="20"/>
        </w:rPr>
      </w:pPr>
    </w:p>
    <w:p w14:paraId="7CC1D554" w14:textId="618C5495" w:rsidR="009A4633" w:rsidRPr="009D5EA7" w:rsidRDefault="001671B2" w:rsidP="00667F79">
      <w:pPr>
        <w:pStyle w:val="Prrafodelista"/>
        <w:numPr>
          <w:ilvl w:val="0"/>
          <w:numId w:val="5"/>
        </w:numPr>
        <w:ind w:left="0" w:firstLine="0"/>
        <w:jc w:val="both"/>
        <w:rPr>
          <w:rFonts w:ascii="Verdana" w:hAnsi="Verdana" w:cs="Arial"/>
          <w:sz w:val="20"/>
        </w:rPr>
      </w:pPr>
      <w:r>
        <w:rPr>
          <w:rFonts w:ascii="Verdana" w:hAnsi="Verdana" w:cs="Arial"/>
          <w:sz w:val="20"/>
        </w:rPr>
        <w:lastRenderedPageBreak/>
        <w:t>A las 4:50 p.m. de</w:t>
      </w:r>
      <w:r w:rsidR="009A4633" w:rsidRPr="009D5EA7">
        <w:rPr>
          <w:rFonts w:ascii="Verdana" w:hAnsi="Verdana" w:cs="Arial"/>
          <w:sz w:val="20"/>
        </w:rPr>
        <w:t xml:space="preserve">l 13 de mayo de 2002 el </w:t>
      </w:r>
      <w:r w:rsidR="00F51678">
        <w:rPr>
          <w:rFonts w:ascii="Verdana" w:hAnsi="Verdana" w:cs="Arial"/>
          <w:sz w:val="20"/>
        </w:rPr>
        <w:t>Juez</w:t>
      </w:r>
      <w:r w:rsidR="009A4633" w:rsidRPr="009D5EA7">
        <w:rPr>
          <w:rFonts w:ascii="Verdana" w:hAnsi="Verdana" w:cs="Arial"/>
          <w:sz w:val="20"/>
        </w:rPr>
        <w:t xml:space="preserve"> de Distrito del Crimen de Bluefields dictó sentencia interlocutoria en el expediente judicial número 110-02, en que resolvió poner en segura y forma</w:t>
      </w:r>
      <w:r w:rsidR="001B447E" w:rsidRPr="009D5EA7">
        <w:rPr>
          <w:rFonts w:ascii="Verdana" w:hAnsi="Verdana" w:cs="Arial"/>
          <w:sz w:val="20"/>
        </w:rPr>
        <w:t>l prisión al procesado Iván Argü</w:t>
      </w:r>
      <w:r w:rsidR="009A4633" w:rsidRPr="009D5EA7">
        <w:rPr>
          <w:rFonts w:ascii="Verdana" w:hAnsi="Verdana" w:cs="Arial"/>
          <w:sz w:val="20"/>
        </w:rPr>
        <w:t xml:space="preserve">ello Rivera; sobreseer definitivamente a los procesados </w:t>
      </w:r>
      <w:r w:rsidR="001B447E" w:rsidRPr="009D5EA7">
        <w:rPr>
          <w:rFonts w:ascii="Verdana" w:hAnsi="Verdana" w:cs="Arial"/>
          <w:sz w:val="20"/>
        </w:rPr>
        <w:t>CJP</w:t>
      </w:r>
      <w:r w:rsidR="009A4633" w:rsidRPr="009D5EA7">
        <w:rPr>
          <w:rFonts w:ascii="Verdana" w:hAnsi="Verdana" w:cs="Arial"/>
          <w:sz w:val="20"/>
        </w:rPr>
        <w:t xml:space="preserve">, </w:t>
      </w:r>
      <w:r w:rsidR="0023621A" w:rsidRPr="009D5EA7">
        <w:rPr>
          <w:rFonts w:ascii="Verdana" w:hAnsi="Verdana" w:cs="Arial"/>
          <w:sz w:val="20"/>
        </w:rPr>
        <w:t>PMF</w:t>
      </w:r>
      <w:r w:rsidR="009A4633" w:rsidRPr="009D5EA7">
        <w:rPr>
          <w:rFonts w:ascii="Verdana" w:hAnsi="Verdana" w:cs="Arial"/>
          <w:sz w:val="20"/>
        </w:rPr>
        <w:t xml:space="preserve">, </w:t>
      </w:r>
      <w:r w:rsidR="00FB2B82" w:rsidRPr="009D5EA7">
        <w:rPr>
          <w:rFonts w:ascii="Verdana" w:hAnsi="Verdana" w:cs="Arial"/>
          <w:sz w:val="20"/>
        </w:rPr>
        <w:t>PT</w:t>
      </w:r>
      <w:r w:rsidR="009A4633" w:rsidRPr="009D5EA7">
        <w:rPr>
          <w:rFonts w:ascii="Verdana" w:hAnsi="Verdana" w:cs="Arial"/>
          <w:sz w:val="20"/>
        </w:rPr>
        <w:t xml:space="preserve"> por el delito de asesinato; sobreseer definitivamente a </w:t>
      </w:r>
      <w:r w:rsidR="001B447E" w:rsidRPr="009D5EA7">
        <w:rPr>
          <w:rFonts w:ascii="Verdana" w:hAnsi="Verdana" w:cs="Arial"/>
          <w:sz w:val="20"/>
        </w:rPr>
        <w:t xml:space="preserve">la señora </w:t>
      </w:r>
      <w:r w:rsidR="009A4633" w:rsidRPr="009D5EA7">
        <w:rPr>
          <w:rFonts w:ascii="Verdana" w:hAnsi="Verdana" w:cs="Arial"/>
          <w:sz w:val="20"/>
        </w:rPr>
        <w:t>Acosta por encubrimiento</w:t>
      </w:r>
      <w:r w:rsidR="009250A4">
        <w:rPr>
          <w:rFonts w:ascii="Verdana" w:hAnsi="Verdana" w:cs="Arial"/>
          <w:sz w:val="20"/>
        </w:rPr>
        <w:t xml:space="preserve"> de ese delito</w:t>
      </w:r>
      <w:r w:rsidR="009A4633" w:rsidRPr="009D5EA7">
        <w:rPr>
          <w:rFonts w:ascii="Verdana" w:hAnsi="Verdana" w:cs="Arial"/>
          <w:sz w:val="20"/>
        </w:rPr>
        <w:t xml:space="preserve">; embargar bienes a </w:t>
      </w:r>
      <w:r w:rsidR="001B447E" w:rsidRPr="009D5EA7">
        <w:rPr>
          <w:rFonts w:ascii="Verdana" w:hAnsi="Verdana" w:cs="Arial"/>
          <w:sz w:val="20"/>
        </w:rPr>
        <w:t>Argü</w:t>
      </w:r>
      <w:r w:rsidR="009A4633" w:rsidRPr="009D5EA7">
        <w:rPr>
          <w:rFonts w:ascii="Verdana" w:hAnsi="Verdana" w:cs="Arial"/>
          <w:sz w:val="20"/>
        </w:rPr>
        <w:t>ello para que respond</w:t>
      </w:r>
      <w:r w:rsidR="00F51678">
        <w:rPr>
          <w:rFonts w:ascii="Verdana" w:hAnsi="Verdana" w:cs="Arial"/>
          <w:sz w:val="20"/>
        </w:rPr>
        <w:t>ier</w:t>
      </w:r>
      <w:r w:rsidR="009A4633" w:rsidRPr="009D5EA7">
        <w:rPr>
          <w:rFonts w:ascii="Verdana" w:hAnsi="Verdana" w:cs="Arial"/>
          <w:sz w:val="20"/>
        </w:rPr>
        <w:t>a por las resultas del juicio; levan</w:t>
      </w:r>
      <w:r w:rsidR="00F51678">
        <w:rPr>
          <w:rFonts w:ascii="Verdana" w:hAnsi="Verdana" w:cs="Arial"/>
          <w:sz w:val="20"/>
        </w:rPr>
        <w:t xml:space="preserve">tar la retención migratoria de </w:t>
      </w:r>
      <w:r w:rsidR="00FB2B82" w:rsidRPr="009D5EA7">
        <w:rPr>
          <w:rFonts w:ascii="Verdana" w:hAnsi="Verdana" w:cs="Arial"/>
          <w:sz w:val="20"/>
        </w:rPr>
        <w:t>PT</w:t>
      </w:r>
      <w:r w:rsidR="009A4633" w:rsidRPr="009D5EA7">
        <w:rPr>
          <w:rFonts w:ascii="Verdana" w:hAnsi="Verdana" w:cs="Arial"/>
          <w:sz w:val="20"/>
        </w:rPr>
        <w:t xml:space="preserve">; </w:t>
      </w:r>
      <w:r w:rsidR="001B447E" w:rsidRPr="009D5EA7">
        <w:rPr>
          <w:rFonts w:ascii="Verdana" w:hAnsi="Verdana" w:cs="Arial"/>
          <w:sz w:val="20"/>
        </w:rPr>
        <w:t xml:space="preserve">y </w:t>
      </w:r>
      <w:r w:rsidR="009A4633" w:rsidRPr="009D5EA7">
        <w:rPr>
          <w:rFonts w:ascii="Verdana" w:hAnsi="Verdana" w:cs="Arial"/>
          <w:sz w:val="20"/>
        </w:rPr>
        <w:t>levantar la orden de captura de Acosta</w:t>
      </w:r>
      <w:r w:rsidR="009A4633" w:rsidRPr="009D5EA7">
        <w:rPr>
          <w:rStyle w:val="Refdenotaalpie"/>
          <w:rFonts w:ascii="Verdana" w:hAnsi="Verdana" w:cs="Arial"/>
          <w:sz w:val="20"/>
        </w:rPr>
        <w:footnoteReference w:id="61"/>
      </w:r>
      <w:r w:rsidR="001B447E" w:rsidRPr="009D5EA7">
        <w:rPr>
          <w:rFonts w:ascii="Verdana" w:hAnsi="Verdana" w:cs="Arial"/>
          <w:sz w:val="20"/>
        </w:rPr>
        <w:t>.</w:t>
      </w:r>
      <w:r w:rsidR="00BF279B" w:rsidRPr="009D5EA7">
        <w:rPr>
          <w:rFonts w:ascii="Verdana" w:hAnsi="Verdana" w:cs="Arial"/>
          <w:sz w:val="20"/>
        </w:rPr>
        <w:t xml:space="preserve"> </w:t>
      </w:r>
      <w:r w:rsidR="009A4633" w:rsidRPr="009D5EA7">
        <w:rPr>
          <w:rFonts w:ascii="Verdana" w:hAnsi="Verdana" w:cs="Arial"/>
          <w:sz w:val="20"/>
        </w:rPr>
        <w:t xml:space="preserve">En el considerando séptimo de la sentencia referida, el juez </w:t>
      </w:r>
      <w:r w:rsidR="00BF279B" w:rsidRPr="009D5EA7">
        <w:rPr>
          <w:rFonts w:ascii="Verdana" w:hAnsi="Verdana" w:cs="Arial"/>
          <w:sz w:val="20"/>
        </w:rPr>
        <w:t>rechazó</w:t>
      </w:r>
      <w:r w:rsidR="009A4633" w:rsidRPr="009D5EA7">
        <w:rPr>
          <w:rFonts w:ascii="Verdana" w:hAnsi="Verdana" w:cs="Arial"/>
          <w:sz w:val="20"/>
        </w:rPr>
        <w:t xml:space="preserve"> el incidente de nulidad perpetua presentado por el representante de la señora Acosta (</w:t>
      </w:r>
      <w:r w:rsidR="009A4633" w:rsidRPr="009D5EA7">
        <w:rPr>
          <w:rFonts w:ascii="Verdana" w:hAnsi="Verdana" w:cs="Arial"/>
          <w:i/>
          <w:sz w:val="20"/>
        </w:rPr>
        <w:t>supra</w:t>
      </w:r>
      <w:r w:rsidR="00FF54E0" w:rsidRPr="009D5EA7">
        <w:rPr>
          <w:rFonts w:ascii="Verdana" w:hAnsi="Verdana" w:cs="Arial"/>
          <w:sz w:val="20"/>
        </w:rPr>
        <w:t xml:space="preserve"> párr.57</w:t>
      </w:r>
      <w:r w:rsidR="00BF279B" w:rsidRPr="009D5EA7">
        <w:rPr>
          <w:rFonts w:ascii="Verdana" w:hAnsi="Verdana" w:cs="Arial"/>
          <w:sz w:val="20"/>
        </w:rPr>
        <w:t>)</w:t>
      </w:r>
      <w:r w:rsidR="009A4633" w:rsidRPr="009D5EA7">
        <w:rPr>
          <w:rStyle w:val="Refdenotaalpie"/>
          <w:rFonts w:ascii="Arial" w:hAnsi="Arial" w:cs="Arial"/>
        </w:rPr>
        <w:footnoteReference w:id="62"/>
      </w:r>
      <w:r w:rsidR="009A4633" w:rsidRPr="009D5EA7">
        <w:rPr>
          <w:rFonts w:ascii="Verdana" w:hAnsi="Verdana" w:cs="Arial"/>
          <w:sz w:val="20"/>
        </w:rPr>
        <w:t>.</w:t>
      </w:r>
    </w:p>
    <w:p w14:paraId="3321FE8A" w14:textId="77777777" w:rsidR="009A4633" w:rsidRPr="009D5EA7" w:rsidRDefault="009A4633" w:rsidP="009A4633">
      <w:pPr>
        <w:pStyle w:val="Prrafodelista"/>
        <w:rPr>
          <w:rFonts w:ascii="Verdana" w:hAnsi="Verdana" w:cs="Arial"/>
          <w:sz w:val="20"/>
        </w:rPr>
      </w:pPr>
    </w:p>
    <w:p w14:paraId="3A2EB3E6" w14:textId="684FF60A"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Los días 15 y 30 de mayo de 2002 </w:t>
      </w:r>
      <w:r w:rsidR="0023621A" w:rsidRPr="009D5EA7">
        <w:rPr>
          <w:rFonts w:ascii="Verdana" w:hAnsi="Verdana" w:cs="Arial"/>
          <w:sz w:val="20"/>
        </w:rPr>
        <w:t>PMF</w:t>
      </w:r>
      <w:r w:rsidRPr="009D5EA7">
        <w:rPr>
          <w:rFonts w:ascii="Verdana" w:hAnsi="Verdana" w:cs="Arial"/>
          <w:sz w:val="20"/>
        </w:rPr>
        <w:t xml:space="preserve">, en representación propia y de </w:t>
      </w:r>
      <w:r w:rsidR="00FB2B82" w:rsidRPr="009D5EA7">
        <w:rPr>
          <w:rFonts w:ascii="Verdana" w:hAnsi="Verdana" w:cs="Arial"/>
          <w:sz w:val="20"/>
        </w:rPr>
        <w:t>PT</w:t>
      </w:r>
      <w:r w:rsidRPr="009D5EA7">
        <w:rPr>
          <w:rFonts w:ascii="Verdana" w:hAnsi="Verdana" w:cs="Arial"/>
          <w:sz w:val="20"/>
        </w:rPr>
        <w:t>, presentó una solicitud de embargo preventivo y una demanda por daños y perjuicios contra la señora Acosta ante el Juzgado de lo Civil de Bluefields (</w:t>
      </w:r>
      <w:r w:rsidRPr="009D5EA7">
        <w:rPr>
          <w:rFonts w:ascii="Verdana" w:hAnsi="Verdana" w:cs="Arial"/>
          <w:i/>
          <w:sz w:val="20"/>
        </w:rPr>
        <w:t xml:space="preserve">infra </w:t>
      </w:r>
      <w:r w:rsidR="00F51678">
        <w:rPr>
          <w:rFonts w:ascii="Verdana" w:hAnsi="Verdana" w:cs="Arial"/>
          <w:sz w:val="20"/>
        </w:rPr>
        <w:t>párrs. 102 y 103</w:t>
      </w:r>
      <w:r w:rsidRPr="009D5EA7">
        <w:rPr>
          <w:rFonts w:ascii="Verdana" w:hAnsi="Verdana" w:cs="Arial"/>
          <w:sz w:val="20"/>
        </w:rPr>
        <w:t>).</w:t>
      </w:r>
    </w:p>
    <w:p w14:paraId="2CB84823" w14:textId="77777777" w:rsidR="009A4633" w:rsidRPr="009D5EA7" w:rsidRDefault="009A4633" w:rsidP="009A4633">
      <w:pPr>
        <w:pStyle w:val="Prrafodelista"/>
        <w:ind w:left="0"/>
        <w:jc w:val="both"/>
        <w:rPr>
          <w:rFonts w:ascii="Verdana" w:hAnsi="Verdana" w:cs="Arial"/>
          <w:sz w:val="20"/>
        </w:rPr>
      </w:pPr>
    </w:p>
    <w:p w14:paraId="34B4286E" w14:textId="4115FB7B" w:rsidR="009A4633" w:rsidRPr="009D5EA7" w:rsidRDefault="007E2BF6" w:rsidP="00667F79">
      <w:pPr>
        <w:pStyle w:val="Prrafodelista"/>
        <w:numPr>
          <w:ilvl w:val="0"/>
          <w:numId w:val="5"/>
        </w:numPr>
        <w:ind w:left="0" w:firstLine="0"/>
        <w:jc w:val="both"/>
        <w:rPr>
          <w:rFonts w:ascii="Verdana" w:hAnsi="Verdana" w:cs="Arial"/>
          <w:sz w:val="20"/>
        </w:rPr>
      </w:pPr>
      <w:r w:rsidRPr="009D5EA7">
        <w:rPr>
          <w:rFonts w:ascii="Verdana" w:hAnsi="Verdana" w:cs="Arial"/>
          <w:i/>
          <w:sz w:val="20"/>
        </w:rPr>
        <w:t xml:space="preserve">Recurso de apelación.- </w:t>
      </w:r>
      <w:r w:rsidR="009A4633" w:rsidRPr="009D5EA7">
        <w:rPr>
          <w:rFonts w:ascii="Verdana" w:hAnsi="Verdana" w:cs="Arial"/>
          <w:sz w:val="20"/>
        </w:rPr>
        <w:t xml:space="preserve">El 16 de mayo de 2002 el </w:t>
      </w:r>
      <w:r w:rsidR="00F51678">
        <w:rPr>
          <w:rFonts w:ascii="Verdana" w:hAnsi="Verdana" w:cs="Arial"/>
          <w:sz w:val="20"/>
        </w:rPr>
        <w:t>representante de la señora Acosta</w:t>
      </w:r>
      <w:r w:rsidR="009A4633" w:rsidRPr="009D5EA7">
        <w:rPr>
          <w:rFonts w:ascii="Verdana" w:hAnsi="Verdana" w:cs="Arial"/>
          <w:sz w:val="20"/>
        </w:rPr>
        <w:t xml:space="preserve"> interpuso formal recurso de apelación </w:t>
      </w:r>
      <w:r w:rsidR="00F51678">
        <w:rPr>
          <w:rFonts w:ascii="Verdana" w:hAnsi="Verdana" w:cs="Arial"/>
          <w:sz w:val="20"/>
        </w:rPr>
        <w:t>contra</w:t>
      </w:r>
      <w:r w:rsidR="009A4633" w:rsidRPr="009D5EA7">
        <w:rPr>
          <w:rFonts w:ascii="Verdana" w:hAnsi="Verdana" w:cs="Arial"/>
          <w:sz w:val="20"/>
        </w:rPr>
        <w:t xml:space="preserve"> la sentencia de 13 de mayo de 2002</w:t>
      </w:r>
      <w:r w:rsidR="009A4633" w:rsidRPr="009D5EA7">
        <w:rPr>
          <w:rStyle w:val="Refdenotaalpie"/>
          <w:rFonts w:ascii="Verdana" w:hAnsi="Verdana" w:cs="Arial"/>
          <w:sz w:val="20"/>
        </w:rPr>
        <w:footnoteReference w:id="63"/>
      </w:r>
      <w:r w:rsidR="009A4633" w:rsidRPr="009D5EA7">
        <w:rPr>
          <w:rFonts w:ascii="Verdana" w:hAnsi="Verdana" w:cs="Arial"/>
          <w:sz w:val="20"/>
        </w:rPr>
        <w:t xml:space="preserve">. Al día siguiente, el juez admitió la apelación y ordenó al recurrente que presentara en secretaría, </w:t>
      </w:r>
      <w:r w:rsidR="009A4633" w:rsidRPr="009D5EA7">
        <w:rPr>
          <w:rFonts w:ascii="Verdana" w:hAnsi="Verdana"/>
          <w:sz w:val="20"/>
        </w:rPr>
        <w:t>dentro del término de 24 horas, el papel correspondiente, o en su defecto el monto económico, para certificar diligencias y remitirlas al tribunal superior</w:t>
      </w:r>
      <w:r w:rsidR="009A4633" w:rsidRPr="009D5EA7">
        <w:rPr>
          <w:rFonts w:ascii="Verdana" w:hAnsi="Verdana" w:cs="Arial"/>
          <w:sz w:val="20"/>
        </w:rPr>
        <w:t>, en los términos del artículo 464 del Código Procesal Civil de Nicaragua vigente al momento de los hechos</w:t>
      </w:r>
      <w:r w:rsidR="009A4633" w:rsidRPr="009D5EA7">
        <w:rPr>
          <w:rStyle w:val="Refdenotaalpie"/>
          <w:rFonts w:ascii="Verdana" w:hAnsi="Verdana" w:cs="Arial"/>
          <w:sz w:val="20"/>
        </w:rPr>
        <w:footnoteReference w:id="64"/>
      </w:r>
      <w:r w:rsidR="009A4633" w:rsidRPr="009D5EA7">
        <w:rPr>
          <w:rFonts w:ascii="Verdana" w:hAnsi="Verdana" w:cs="Arial"/>
          <w:sz w:val="20"/>
        </w:rPr>
        <w:t xml:space="preserve">. Este auto fue notificado </w:t>
      </w:r>
      <w:r w:rsidR="00F51678">
        <w:rPr>
          <w:rFonts w:ascii="Verdana" w:hAnsi="Verdana" w:cs="Arial"/>
          <w:sz w:val="20"/>
        </w:rPr>
        <w:t>a dicho representante</w:t>
      </w:r>
      <w:r w:rsidR="009A4633" w:rsidRPr="009D5EA7">
        <w:rPr>
          <w:rFonts w:ascii="Verdana" w:hAnsi="Verdana" w:cs="Arial"/>
          <w:sz w:val="20"/>
        </w:rPr>
        <w:t xml:space="preserve"> el 21 de mayo de 2002 a las 9:50 a.m.</w:t>
      </w:r>
      <w:r w:rsidR="009A4633" w:rsidRPr="009D5EA7">
        <w:rPr>
          <w:rStyle w:val="Refdenotaalpie"/>
          <w:rFonts w:ascii="Verdana" w:hAnsi="Verdana" w:cs="Arial"/>
          <w:sz w:val="20"/>
        </w:rPr>
        <w:footnoteReference w:id="65"/>
      </w:r>
      <w:r w:rsidR="009A4633" w:rsidRPr="009D5EA7">
        <w:rPr>
          <w:rFonts w:ascii="Verdana" w:hAnsi="Verdana" w:cs="Arial"/>
          <w:sz w:val="20"/>
        </w:rPr>
        <w:t xml:space="preserve">. </w:t>
      </w:r>
    </w:p>
    <w:p w14:paraId="7E7FC2E6" w14:textId="77777777" w:rsidR="009A4633" w:rsidRPr="009D5EA7" w:rsidRDefault="009A4633" w:rsidP="009A4633">
      <w:pPr>
        <w:pStyle w:val="Prrafodelista"/>
        <w:rPr>
          <w:rFonts w:ascii="Verdana" w:hAnsi="Verdana" w:cs="Arial"/>
          <w:sz w:val="20"/>
        </w:rPr>
      </w:pPr>
    </w:p>
    <w:p w14:paraId="0664E194" w14:textId="19A5423B"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A las 10:00 am del 22 de mayo de 2002, </w:t>
      </w:r>
      <w:r w:rsidR="0023621A" w:rsidRPr="009D5EA7">
        <w:rPr>
          <w:rFonts w:ascii="Verdana" w:hAnsi="Verdana" w:cs="Arial"/>
          <w:sz w:val="20"/>
        </w:rPr>
        <w:t>PMF</w:t>
      </w:r>
      <w:r w:rsidRPr="009D5EA7">
        <w:rPr>
          <w:rFonts w:ascii="Verdana" w:hAnsi="Verdana" w:cs="Arial"/>
          <w:sz w:val="20"/>
        </w:rPr>
        <w:t xml:space="preserve"> presentó un escrito ante el juez para solicitar la deserción del recurso de apelación interpuesto por el representante de la señora Acosta, por haber transcurrido el plazo de 24 horas </w:t>
      </w:r>
      <w:r w:rsidR="00BF279B" w:rsidRPr="009D5EA7">
        <w:rPr>
          <w:rFonts w:ascii="Verdana" w:hAnsi="Verdana" w:cs="Arial"/>
          <w:sz w:val="20"/>
        </w:rPr>
        <w:t xml:space="preserve">que le fue otorgado </w:t>
      </w:r>
      <w:r w:rsidRPr="009D5EA7">
        <w:rPr>
          <w:rFonts w:ascii="Verdana" w:hAnsi="Verdana" w:cs="Arial"/>
          <w:sz w:val="20"/>
        </w:rPr>
        <w:t xml:space="preserve">para </w:t>
      </w:r>
      <w:r w:rsidR="00BF279B" w:rsidRPr="009D5EA7">
        <w:rPr>
          <w:rFonts w:ascii="Verdana" w:hAnsi="Verdana" w:cs="Arial"/>
          <w:sz w:val="20"/>
        </w:rPr>
        <w:t>presentar</w:t>
      </w:r>
      <w:r w:rsidRPr="009D5EA7">
        <w:rPr>
          <w:rFonts w:ascii="Verdana" w:hAnsi="Verdana" w:cs="Arial"/>
          <w:sz w:val="20"/>
        </w:rPr>
        <w:t xml:space="preserve"> el papel</w:t>
      </w:r>
      <w:r w:rsidRPr="009D5EA7">
        <w:rPr>
          <w:rStyle w:val="Refdenotaalpie"/>
          <w:rFonts w:ascii="Verdana" w:hAnsi="Verdana" w:cs="Arial"/>
          <w:sz w:val="20"/>
        </w:rPr>
        <w:footnoteReference w:id="66"/>
      </w:r>
      <w:r w:rsidRPr="009D5EA7">
        <w:rPr>
          <w:rFonts w:ascii="Verdana" w:hAnsi="Verdana" w:cs="Arial"/>
          <w:sz w:val="20"/>
        </w:rPr>
        <w:t xml:space="preserve">. </w:t>
      </w:r>
    </w:p>
    <w:p w14:paraId="672E8D28" w14:textId="77777777" w:rsidR="009A4633" w:rsidRPr="009D5EA7" w:rsidRDefault="009A4633" w:rsidP="009A4633">
      <w:pPr>
        <w:pStyle w:val="Prrafodelista"/>
        <w:rPr>
          <w:rFonts w:ascii="Verdana" w:hAnsi="Verdana"/>
          <w:i/>
          <w:sz w:val="20"/>
        </w:rPr>
      </w:pPr>
    </w:p>
    <w:p w14:paraId="7FEA1FAE" w14:textId="0DD06CC4"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sz w:val="20"/>
        </w:rPr>
        <w:t xml:space="preserve">Mediante auto de las 10:15 am de ese mismo día, el juez ordenó a la secretaría </w:t>
      </w:r>
      <w:r w:rsidR="006233D1">
        <w:rPr>
          <w:rFonts w:ascii="Verdana" w:hAnsi="Verdana"/>
          <w:sz w:val="20"/>
        </w:rPr>
        <w:t>“</w:t>
      </w:r>
      <w:r w:rsidRPr="009D5EA7">
        <w:rPr>
          <w:rFonts w:ascii="Verdana" w:hAnsi="Verdana"/>
          <w:sz w:val="20"/>
        </w:rPr>
        <w:t>verificar el térm</w:t>
      </w:r>
      <w:r w:rsidR="00BF279B" w:rsidRPr="009D5EA7">
        <w:rPr>
          <w:rFonts w:ascii="Verdana" w:hAnsi="Verdana"/>
          <w:sz w:val="20"/>
        </w:rPr>
        <w:t>ino fatal</w:t>
      </w:r>
      <w:r w:rsidR="006233D1">
        <w:rPr>
          <w:rFonts w:ascii="Verdana" w:hAnsi="Verdana"/>
          <w:sz w:val="20"/>
        </w:rPr>
        <w:t>”</w:t>
      </w:r>
      <w:r w:rsidR="00BF279B" w:rsidRPr="009D5EA7">
        <w:rPr>
          <w:rFonts w:ascii="Verdana" w:hAnsi="Verdana"/>
          <w:sz w:val="20"/>
        </w:rPr>
        <w:t xml:space="preserve"> y levantar constancia</w:t>
      </w:r>
      <w:r w:rsidRPr="009D5EA7">
        <w:rPr>
          <w:rFonts w:ascii="Verdana" w:hAnsi="Verdana"/>
          <w:sz w:val="20"/>
        </w:rPr>
        <w:t xml:space="preserve">. Este auto fue notificado al señor Lacayo a las 10:53 am de ese mismo día. </w:t>
      </w:r>
      <w:r w:rsidR="00BF279B" w:rsidRPr="009D5EA7">
        <w:rPr>
          <w:rFonts w:ascii="Verdana" w:hAnsi="Verdana" w:cs="Arial"/>
          <w:sz w:val="20"/>
        </w:rPr>
        <w:t>Ese mismo día</w:t>
      </w:r>
      <w:r w:rsidRPr="009D5EA7">
        <w:rPr>
          <w:rFonts w:ascii="Verdana" w:hAnsi="Verdana" w:cs="Arial"/>
          <w:sz w:val="20"/>
        </w:rPr>
        <w:t>, la secretaría del juzgado hizo constar que el representante de la señora Acosta no presentó el papel correspondiente para testimoniar el proceso ni tampoco presentó el monto correspondiente al valor de las fotocopias</w:t>
      </w:r>
      <w:r w:rsidRPr="009D5EA7">
        <w:rPr>
          <w:rStyle w:val="Refdenotaalpie"/>
          <w:rFonts w:ascii="Verdana" w:hAnsi="Verdana" w:cs="Arial"/>
          <w:sz w:val="20"/>
        </w:rPr>
        <w:footnoteReference w:id="67"/>
      </w:r>
      <w:r w:rsidRPr="009D5EA7">
        <w:rPr>
          <w:rFonts w:ascii="Verdana" w:hAnsi="Verdana" w:cs="Arial"/>
          <w:sz w:val="20"/>
        </w:rPr>
        <w:t xml:space="preserve">. </w:t>
      </w:r>
    </w:p>
    <w:p w14:paraId="6E91810D" w14:textId="77777777" w:rsidR="009A4633" w:rsidRPr="009D5EA7" w:rsidRDefault="009A4633" w:rsidP="009A4633">
      <w:pPr>
        <w:pStyle w:val="Prrafodelista"/>
        <w:rPr>
          <w:rFonts w:ascii="Verdana" w:hAnsi="Verdana" w:cs="Arial"/>
          <w:sz w:val="20"/>
        </w:rPr>
      </w:pPr>
    </w:p>
    <w:p w14:paraId="5F10CFA0" w14:textId="79AF8551" w:rsidR="009A4633" w:rsidRPr="009D5EA7" w:rsidRDefault="007E2BF6" w:rsidP="00667F79">
      <w:pPr>
        <w:pStyle w:val="Prrafodelista"/>
        <w:numPr>
          <w:ilvl w:val="0"/>
          <w:numId w:val="5"/>
        </w:numPr>
        <w:ind w:left="0" w:firstLine="0"/>
        <w:jc w:val="both"/>
        <w:rPr>
          <w:rFonts w:ascii="Verdana" w:hAnsi="Verdana" w:cs="Arial"/>
          <w:sz w:val="20"/>
        </w:rPr>
      </w:pPr>
      <w:r w:rsidRPr="009D5EA7">
        <w:rPr>
          <w:rFonts w:ascii="Verdana" w:hAnsi="Verdana" w:cs="Arial"/>
          <w:i/>
          <w:sz w:val="20"/>
        </w:rPr>
        <w:lastRenderedPageBreak/>
        <w:t xml:space="preserve">Recurso de reforma. - </w:t>
      </w:r>
      <w:r w:rsidR="009A4633" w:rsidRPr="009D5EA7">
        <w:rPr>
          <w:rFonts w:ascii="Verdana" w:hAnsi="Verdana" w:cs="Arial"/>
          <w:sz w:val="20"/>
        </w:rPr>
        <w:t>A las 4:40 p.m. de ese mismo día, 22 de mayo de 2002, el representante de la señora Acost</w:t>
      </w:r>
      <w:r w:rsidR="00F51678">
        <w:rPr>
          <w:rFonts w:ascii="Verdana" w:hAnsi="Verdana" w:cs="Arial"/>
          <w:sz w:val="20"/>
        </w:rPr>
        <w:t xml:space="preserve">a interpuso recurso de reforma contra </w:t>
      </w:r>
      <w:r w:rsidR="009A4633" w:rsidRPr="009D5EA7">
        <w:rPr>
          <w:rFonts w:ascii="Verdana" w:hAnsi="Verdana" w:cs="Arial"/>
          <w:sz w:val="20"/>
        </w:rPr>
        <w:t xml:space="preserve">el auto de las 10 horas del 17 de mayo referido ante el </w:t>
      </w:r>
      <w:r w:rsidR="00F51678">
        <w:rPr>
          <w:rFonts w:ascii="Verdana" w:hAnsi="Verdana" w:cs="Arial"/>
          <w:sz w:val="20"/>
        </w:rPr>
        <w:t xml:space="preserve">mismo </w:t>
      </w:r>
      <w:r w:rsidR="009A4633" w:rsidRPr="009D5EA7">
        <w:rPr>
          <w:rFonts w:ascii="Verdana" w:hAnsi="Verdana" w:cs="Arial"/>
          <w:sz w:val="20"/>
        </w:rPr>
        <w:t>Juzgado. En ese recurso alegó que el juez no podía admitir la apelación del 15 de mayo hasta que la sentencia interlocutoria hubiese sid</w:t>
      </w:r>
      <w:r w:rsidR="003C006C" w:rsidRPr="009D5EA7">
        <w:rPr>
          <w:rFonts w:ascii="Verdana" w:hAnsi="Verdana" w:cs="Arial"/>
          <w:sz w:val="20"/>
        </w:rPr>
        <w:t>o notificada a todas las partes</w:t>
      </w:r>
      <w:r w:rsidR="009A4633" w:rsidRPr="009D5EA7">
        <w:rPr>
          <w:rFonts w:ascii="Verdana" w:hAnsi="Verdana" w:cs="Arial"/>
          <w:sz w:val="20"/>
        </w:rPr>
        <w:t xml:space="preserve">; que el juez no podía ordenar la presentación de papel en secretaría </w:t>
      </w:r>
      <w:r w:rsidR="003C006C" w:rsidRPr="009D5EA7">
        <w:rPr>
          <w:rFonts w:ascii="Verdana" w:hAnsi="Verdana" w:cs="Arial"/>
          <w:sz w:val="20"/>
        </w:rPr>
        <w:t xml:space="preserve">porque la ley no lo establece, que en todo caso podía </w:t>
      </w:r>
      <w:r w:rsidR="009A4633" w:rsidRPr="009D5EA7">
        <w:rPr>
          <w:rFonts w:ascii="Verdana" w:hAnsi="Verdana" w:cs="Arial"/>
          <w:sz w:val="20"/>
        </w:rPr>
        <w:t>prevenir</w:t>
      </w:r>
      <w:r w:rsidR="003C006C" w:rsidRPr="009D5EA7">
        <w:rPr>
          <w:rFonts w:ascii="Verdana" w:hAnsi="Verdana" w:cs="Arial"/>
          <w:sz w:val="20"/>
        </w:rPr>
        <w:t>lo al respecto</w:t>
      </w:r>
      <w:r w:rsidR="009A4633" w:rsidRPr="009D5EA7">
        <w:rPr>
          <w:rFonts w:ascii="Verdana" w:hAnsi="Verdana" w:cs="Arial"/>
          <w:sz w:val="20"/>
        </w:rPr>
        <w:t xml:space="preserve"> y que </w:t>
      </w:r>
      <w:r w:rsidR="003C006C" w:rsidRPr="009D5EA7">
        <w:rPr>
          <w:rFonts w:ascii="Verdana" w:hAnsi="Verdana" w:cs="Arial"/>
          <w:sz w:val="20"/>
        </w:rPr>
        <w:t>tal requisito</w:t>
      </w:r>
      <w:r w:rsidR="009A4633" w:rsidRPr="009D5EA7">
        <w:rPr>
          <w:rFonts w:ascii="Verdana" w:hAnsi="Verdana" w:cs="Arial"/>
          <w:sz w:val="20"/>
        </w:rPr>
        <w:t xml:space="preserve"> estaba en contradicción y desuso. </w:t>
      </w:r>
      <w:r w:rsidR="003C006C" w:rsidRPr="009D5EA7">
        <w:rPr>
          <w:rFonts w:ascii="Verdana" w:hAnsi="Verdana" w:cs="Arial"/>
          <w:sz w:val="20"/>
        </w:rPr>
        <w:t>Por ello</w:t>
      </w:r>
      <w:r w:rsidR="009A4633" w:rsidRPr="009D5EA7">
        <w:rPr>
          <w:rFonts w:ascii="Verdana" w:hAnsi="Verdana" w:cs="Arial"/>
          <w:sz w:val="20"/>
        </w:rPr>
        <w:t>, solicitó</w:t>
      </w:r>
      <w:r w:rsidR="003C006C" w:rsidRPr="009D5EA7">
        <w:rPr>
          <w:rFonts w:ascii="Verdana" w:hAnsi="Verdana" w:cs="Arial"/>
          <w:sz w:val="20"/>
        </w:rPr>
        <w:t xml:space="preserve"> al juez que</w:t>
      </w:r>
      <w:r w:rsidR="009A4633" w:rsidRPr="009D5EA7">
        <w:rPr>
          <w:rFonts w:ascii="Verdana" w:hAnsi="Verdana" w:cs="Arial"/>
          <w:sz w:val="20"/>
        </w:rPr>
        <w:t xml:space="preserve"> reformar</w:t>
      </w:r>
      <w:r w:rsidR="003C006C" w:rsidRPr="009D5EA7">
        <w:rPr>
          <w:rFonts w:ascii="Verdana" w:hAnsi="Verdana" w:cs="Arial"/>
          <w:sz w:val="20"/>
        </w:rPr>
        <w:t>a</w:t>
      </w:r>
      <w:r w:rsidR="009A4633" w:rsidRPr="009D5EA7">
        <w:rPr>
          <w:rFonts w:ascii="Verdana" w:hAnsi="Verdana" w:cs="Arial"/>
          <w:sz w:val="20"/>
        </w:rPr>
        <w:t xml:space="preserve"> el auto de 17 de mayo </w:t>
      </w:r>
      <w:r w:rsidR="003C006C" w:rsidRPr="009D5EA7">
        <w:rPr>
          <w:rFonts w:ascii="Verdana" w:hAnsi="Verdana" w:cs="Arial"/>
          <w:sz w:val="20"/>
        </w:rPr>
        <w:t xml:space="preserve">anterior, de modo </w:t>
      </w:r>
      <w:r w:rsidR="009A4633" w:rsidRPr="009D5EA7">
        <w:rPr>
          <w:rFonts w:ascii="Verdana" w:hAnsi="Verdana" w:cs="Arial"/>
          <w:sz w:val="20"/>
        </w:rPr>
        <w:t>que se</w:t>
      </w:r>
      <w:r w:rsidR="003C006C" w:rsidRPr="009D5EA7">
        <w:rPr>
          <w:rFonts w:ascii="Verdana" w:hAnsi="Verdana" w:cs="Arial"/>
          <w:sz w:val="20"/>
        </w:rPr>
        <w:t xml:space="preserve"> le</w:t>
      </w:r>
      <w:r w:rsidR="009A4633" w:rsidRPr="009D5EA7">
        <w:rPr>
          <w:rFonts w:ascii="Verdana" w:hAnsi="Verdana" w:cs="Arial"/>
          <w:sz w:val="20"/>
        </w:rPr>
        <w:t xml:space="preserve"> permitiera depositar en secretaría la cantidad suficiente en moneda nacional </w:t>
      </w:r>
      <w:r w:rsidR="00F51678">
        <w:rPr>
          <w:rFonts w:ascii="Verdana" w:hAnsi="Verdana" w:cs="Arial"/>
          <w:sz w:val="20"/>
        </w:rPr>
        <w:t>para fotocopiar todo lo actuado;</w:t>
      </w:r>
      <w:r w:rsidR="009A4633" w:rsidRPr="009D5EA7">
        <w:rPr>
          <w:rFonts w:ascii="Verdana" w:hAnsi="Verdana" w:cs="Arial"/>
          <w:sz w:val="20"/>
        </w:rPr>
        <w:t xml:space="preserve"> y</w:t>
      </w:r>
      <w:r w:rsidR="00F51678">
        <w:rPr>
          <w:rFonts w:ascii="Verdana" w:hAnsi="Verdana" w:cs="Arial"/>
          <w:sz w:val="20"/>
        </w:rPr>
        <w:t xml:space="preserve"> manifestó que</w:t>
      </w:r>
      <w:r w:rsidR="009A4633" w:rsidRPr="009D5EA7">
        <w:rPr>
          <w:rFonts w:ascii="Verdana" w:hAnsi="Verdana" w:cs="Arial"/>
          <w:sz w:val="20"/>
        </w:rPr>
        <w:t>, por economía proce</w:t>
      </w:r>
      <w:r w:rsidR="00F51678">
        <w:rPr>
          <w:rFonts w:ascii="Verdana" w:hAnsi="Verdana" w:cs="Arial"/>
          <w:sz w:val="20"/>
        </w:rPr>
        <w:t>sal, depositaba</w:t>
      </w:r>
      <w:r w:rsidR="009A4633" w:rsidRPr="009D5EA7">
        <w:rPr>
          <w:rFonts w:ascii="Verdana" w:hAnsi="Verdana" w:cs="Arial"/>
          <w:sz w:val="20"/>
        </w:rPr>
        <w:t xml:space="preserve"> a la orden del juez ante la secretaría la cantidad de doscientos córdobas para garantizar las copias del expediente. Este dinero no fue aceptado por la secretaría del Juzgado, señalando que no estaba autorizada para ello de acuerdo a lo manifestado en el propio escrito</w:t>
      </w:r>
      <w:r w:rsidR="009A4633" w:rsidRPr="009D5EA7">
        <w:rPr>
          <w:rStyle w:val="Refdenotaalpie"/>
          <w:rFonts w:ascii="Verdana" w:hAnsi="Verdana" w:cs="Arial"/>
          <w:sz w:val="20"/>
        </w:rPr>
        <w:footnoteReference w:id="68"/>
      </w:r>
      <w:r w:rsidR="009A4633" w:rsidRPr="009D5EA7">
        <w:rPr>
          <w:rFonts w:ascii="Verdana" w:hAnsi="Verdana" w:cs="Arial"/>
          <w:sz w:val="20"/>
        </w:rPr>
        <w:t xml:space="preserve">. </w:t>
      </w:r>
    </w:p>
    <w:p w14:paraId="22FA095D" w14:textId="77777777" w:rsidR="009A4633" w:rsidRPr="009D5EA7" w:rsidRDefault="009A4633" w:rsidP="009A4633">
      <w:pPr>
        <w:pStyle w:val="Prrafodelista"/>
        <w:ind w:left="0"/>
        <w:jc w:val="both"/>
        <w:rPr>
          <w:rFonts w:ascii="Verdana" w:hAnsi="Verdana" w:cs="Arial"/>
          <w:sz w:val="20"/>
        </w:rPr>
      </w:pPr>
    </w:p>
    <w:p w14:paraId="49E29292" w14:textId="66A417B9" w:rsidR="009A4633" w:rsidRPr="009D5EA7" w:rsidRDefault="00F96704"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Luego de otorgar </w:t>
      </w:r>
      <w:r w:rsidR="009A4633" w:rsidRPr="009D5EA7">
        <w:rPr>
          <w:rFonts w:ascii="Verdana" w:hAnsi="Verdana" w:cs="Arial"/>
          <w:sz w:val="20"/>
        </w:rPr>
        <w:t xml:space="preserve">un plazo de 24 horas a las partes para que se manifestaran </w:t>
      </w:r>
      <w:r w:rsidR="003854BD" w:rsidRPr="009D5EA7">
        <w:rPr>
          <w:rFonts w:ascii="Verdana" w:hAnsi="Verdana" w:cs="Arial"/>
          <w:sz w:val="20"/>
        </w:rPr>
        <w:t xml:space="preserve">al </w:t>
      </w:r>
      <w:r w:rsidR="009A4633" w:rsidRPr="009D5EA7">
        <w:rPr>
          <w:rFonts w:ascii="Verdana" w:hAnsi="Verdana" w:cs="Arial"/>
          <w:sz w:val="20"/>
        </w:rPr>
        <w:t>respecto</w:t>
      </w:r>
      <w:r w:rsidR="009A4633" w:rsidRPr="009D5EA7">
        <w:rPr>
          <w:rStyle w:val="Refdenotaalpie"/>
          <w:rFonts w:ascii="Verdana" w:hAnsi="Verdana" w:cs="Arial"/>
          <w:sz w:val="20"/>
        </w:rPr>
        <w:footnoteReference w:id="69"/>
      </w:r>
      <w:r w:rsidR="003854BD" w:rsidRPr="009D5EA7">
        <w:rPr>
          <w:rFonts w:ascii="Verdana" w:hAnsi="Verdana" w:cs="Arial"/>
          <w:sz w:val="20"/>
        </w:rPr>
        <w:t xml:space="preserve">, y de que </w:t>
      </w:r>
      <w:r w:rsidR="0023621A" w:rsidRPr="009D5EA7">
        <w:rPr>
          <w:rFonts w:ascii="Verdana" w:hAnsi="Verdana" w:cs="Arial"/>
          <w:sz w:val="20"/>
        </w:rPr>
        <w:t>PMF</w:t>
      </w:r>
      <w:r w:rsidR="003854BD" w:rsidRPr="009D5EA7">
        <w:rPr>
          <w:rFonts w:ascii="Verdana" w:hAnsi="Verdana" w:cs="Arial"/>
          <w:sz w:val="20"/>
        </w:rPr>
        <w:t xml:space="preserve"> solicitara</w:t>
      </w:r>
      <w:r w:rsidR="009A4633" w:rsidRPr="009D5EA7">
        <w:rPr>
          <w:rFonts w:ascii="Verdana" w:hAnsi="Verdana" w:cs="Arial"/>
          <w:sz w:val="20"/>
        </w:rPr>
        <w:t xml:space="preserve"> que </w:t>
      </w:r>
      <w:r w:rsidR="00EB1396" w:rsidRPr="009D5EA7">
        <w:rPr>
          <w:rFonts w:ascii="Verdana" w:hAnsi="Verdana" w:cs="Arial"/>
          <w:sz w:val="20"/>
        </w:rPr>
        <w:t>fuera rechazado</w:t>
      </w:r>
      <w:r w:rsidR="003854BD" w:rsidRPr="009D5EA7">
        <w:rPr>
          <w:rFonts w:ascii="Verdana" w:hAnsi="Verdana" w:cs="Arial"/>
          <w:sz w:val="20"/>
        </w:rPr>
        <w:t xml:space="preserve"> </w:t>
      </w:r>
      <w:r w:rsidR="00F51678">
        <w:rPr>
          <w:rFonts w:ascii="Verdana" w:hAnsi="Verdana" w:cs="Arial"/>
          <w:sz w:val="20"/>
        </w:rPr>
        <w:t>por</w:t>
      </w:r>
      <w:r w:rsidR="003854BD" w:rsidRPr="009D5EA7">
        <w:rPr>
          <w:rFonts w:ascii="Verdana" w:hAnsi="Verdana" w:cs="Arial"/>
          <w:sz w:val="20"/>
        </w:rPr>
        <w:t>que había vencido el plazo, m</w:t>
      </w:r>
      <w:r w:rsidR="009A4633" w:rsidRPr="009D5EA7">
        <w:rPr>
          <w:rFonts w:ascii="Verdana" w:hAnsi="Verdana" w:cs="Arial"/>
          <w:sz w:val="20"/>
        </w:rPr>
        <w:t>edi</w:t>
      </w:r>
      <w:r w:rsidR="003854BD" w:rsidRPr="009D5EA7">
        <w:rPr>
          <w:rFonts w:ascii="Verdana" w:hAnsi="Verdana" w:cs="Arial"/>
          <w:sz w:val="20"/>
        </w:rPr>
        <w:t>ante auto de 31 de mayo de 2002</w:t>
      </w:r>
      <w:r w:rsidR="009A4633" w:rsidRPr="009D5EA7">
        <w:rPr>
          <w:rFonts w:ascii="Verdana" w:hAnsi="Verdana" w:cs="Arial"/>
          <w:sz w:val="20"/>
        </w:rPr>
        <w:t xml:space="preserve"> el juez declaró improcedente el referido recurso de reforma</w:t>
      </w:r>
      <w:r w:rsidR="007E2BF6" w:rsidRPr="009D5EA7">
        <w:rPr>
          <w:rFonts w:ascii="Verdana" w:hAnsi="Verdana" w:cs="Arial"/>
          <w:sz w:val="20"/>
        </w:rPr>
        <w:t xml:space="preserve">, con base en que </w:t>
      </w:r>
      <w:r w:rsidR="009A4633" w:rsidRPr="009D5EA7">
        <w:rPr>
          <w:rFonts w:ascii="Verdana" w:hAnsi="Verdana" w:cs="Arial"/>
          <w:sz w:val="20"/>
        </w:rPr>
        <w:t>no era procedente que se notificara la sentencia a la señora Acosta y a Arg</w:t>
      </w:r>
      <w:r w:rsidR="007E2BF6" w:rsidRPr="009D5EA7">
        <w:rPr>
          <w:rFonts w:ascii="Verdana" w:hAnsi="Verdana" w:cs="Arial"/>
          <w:sz w:val="20"/>
        </w:rPr>
        <w:t>ü</w:t>
      </w:r>
      <w:r w:rsidR="009A4633" w:rsidRPr="009D5EA7">
        <w:rPr>
          <w:rFonts w:ascii="Verdana" w:hAnsi="Verdana" w:cs="Arial"/>
          <w:sz w:val="20"/>
        </w:rPr>
        <w:t>ello pues fueron juzgados en ausencia</w:t>
      </w:r>
      <w:r w:rsidR="009A4633" w:rsidRPr="009D5EA7">
        <w:rPr>
          <w:rStyle w:val="Refdenotaalpie"/>
          <w:rFonts w:ascii="Verdana" w:hAnsi="Verdana" w:cs="Arial"/>
          <w:sz w:val="20"/>
        </w:rPr>
        <w:footnoteReference w:id="70"/>
      </w:r>
      <w:r w:rsidR="009A4633" w:rsidRPr="009D5EA7">
        <w:rPr>
          <w:rFonts w:ascii="Verdana" w:hAnsi="Verdana" w:cs="Arial"/>
          <w:sz w:val="20"/>
        </w:rPr>
        <w:t>.</w:t>
      </w:r>
    </w:p>
    <w:p w14:paraId="141DBB84" w14:textId="77777777" w:rsidR="009A4633" w:rsidRPr="009D5EA7" w:rsidRDefault="009A4633" w:rsidP="009A4633">
      <w:pPr>
        <w:pStyle w:val="Prrafodelista"/>
        <w:rPr>
          <w:rFonts w:ascii="Verdana" w:hAnsi="Verdana" w:cs="Arial"/>
          <w:sz w:val="20"/>
        </w:rPr>
      </w:pPr>
    </w:p>
    <w:p w14:paraId="53AF6D93" w14:textId="77777777"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Mediante auto de las 3:00 pm de ese mismo día, el juez declaró desierto el recurso de apelación interpuesto por el representante de la señora Acosta al no haberse suministrado el papel requerido, en los términos del artículo 464 del Código de Procedimiento Civil, y en consecuencia declaró sin lugar el recurso de reforma</w:t>
      </w:r>
      <w:r w:rsidRPr="009D5EA7">
        <w:rPr>
          <w:rStyle w:val="Refdenotaalpie"/>
          <w:rFonts w:ascii="Verdana" w:hAnsi="Verdana" w:cs="Arial"/>
          <w:sz w:val="20"/>
        </w:rPr>
        <w:footnoteReference w:id="71"/>
      </w:r>
      <w:r w:rsidRPr="009D5EA7">
        <w:rPr>
          <w:rFonts w:ascii="Verdana" w:hAnsi="Verdana" w:cs="Arial"/>
          <w:sz w:val="20"/>
        </w:rPr>
        <w:t>.</w:t>
      </w:r>
    </w:p>
    <w:p w14:paraId="0C0B8A34" w14:textId="77777777" w:rsidR="009A4633" w:rsidRPr="009D5EA7" w:rsidRDefault="009A4633" w:rsidP="009A4633">
      <w:pPr>
        <w:pStyle w:val="Prrafodelista"/>
        <w:ind w:left="1440"/>
        <w:jc w:val="both"/>
        <w:rPr>
          <w:rFonts w:ascii="Verdana" w:hAnsi="Verdana" w:cs="Arial"/>
          <w:b/>
          <w:i/>
          <w:sz w:val="20"/>
        </w:rPr>
      </w:pPr>
    </w:p>
    <w:p w14:paraId="31C1B2A6" w14:textId="11F3D290" w:rsidR="009A4633" w:rsidRPr="00DA1CE9" w:rsidRDefault="00DA1CE9" w:rsidP="007A3724">
      <w:pPr>
        <w:spacing w:after="0" w:line="240" w:lineRule="auto"/>
        <w:ind w:left="2115" w:hanging="697"/>
        <w:jc w:val="both"/>
        <w:rPr>
          <w:rFonts w:ascii="Verdana" w:hAnsi="Verdana" w:cs="Arial"/>
          <w:b/>
          <w:i/>
          <w:sz w:val="20"/>
        </w:rPr>
      </w:pPr>
      <w:r>
        <w:rPr>
          <w:rFonts w:ascii="Verdana" w:hAnsi="Verdana" w:cs="Arial"/>
          <w:b/>
          <w:i/>
          <w:sz w:val="20"/>
        </w:rPr>
        <w:t>C.5</w:t>
      </w:r>
      <w:r>
        <w:rPr>
          <w:rFonts w:ascii="Verdana" w:hAnsi="Verdana" w:cs="Arial"/>
          <w:b/>
          <w:i/>
          <w:sz w:val="20"/>
        </w:rPr>
        <w:tab/>
      </w:r>
      <w:r w:rsidR="009A4633" w:rsidRPr="00DA1CE9">
        <w:rPr>
          <w:rFonts w:ascii="Verdana" w:hAnsi="Verdana" w:cs="Arial"/>
          <w:b/>
          <w:i/>
          <w:sz w:val="20"/>
        </w:rPr>
        <w:t xml:space="preserve">Incidente de recusación y segundo </w:t>
      </w:r>
      <w:r w:rsidR="001671B2">
        <w:rPr>
          <w:rFonts w:ascii="Verdana" w:hAnsi="Verdana" w:cs="Arial"/>
          <w:b/>
          <w:i/>
          <w:sz w:val="20"/>
        </w:rPr>
        <w:t>“</w:t>
      </w:r>
      <w:r w:rsidR="009A4633" w:rsidRPr="00DA1CE9">
        <w:rPr>
          <w:rFonts w:ascii="Verdana" w:hAnsi="Verdana" w:cs="Arial"/>
          <w:b/>
          <w:i/>
          <w:sz w:val="20"/>
        </w:rPr>
        <w:t>incidente de nulidad perpetua</w:t>
      </w:r>
      <w:r w:rsidR="001671B2">
        <w:rPr>
          <w:rFonts w:ascii="Verdana" w:hAnsi="Verdana" w:cs="Arial"/>
          <w:b/>
          <w:i/>
          <w:sz w:val="20"/>
        </w:rPr>
        <w:t>”</w:t>
      </w:r>
      <w:r w:rsidR="009A4633" w:rsidRPr="00DA1CE9">
        <w:rPr>
          <w:rFonts w:ascii="Verdana" w:hAnsi="Verdana" w:cs="Arial"/>
          <w:b/>
          <w:i/>
          <w:sz w:val="20"/>
        </w:rPr>
        <w:t xml:space="preserve"> promovido por el representante de la señora Acosta</w:t>
      </w:r>
    </w:p>
    <w:p w14:paraId="6A02AC1D" w14:textId="77777777" w:rsidR="007A3724" w:rsidRDefault="007A3724" w:rsidP="007A3724">
      <w:pPr>
        <w:pStyle w:val="Prrafodelista"/>
        <w:ind w:left="0"/>
        <w:jc w:val="both"/>
        <w:rPr>
          <w:rFonts w:ascii="Verdana" w:hAnsi="Verdana" w:cs="Arial"/>
          <w:sz w:val="20"/>
        </w:rPr>
      </w:pPr>
    </w:p>
    <w:p w14:paraId="717FC9FF" w14:textId="44DF03F6"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10 de junio de 2002 el representante de la señora Acosta </w:t>
      </w:r>
      <w:r w:rsidR="003861B0" w:rsidRPr="009D5EA7">
        <w:rPr>
          <w:rFonts w:ascii="Verdana" w:hAnsi="Verdana" w:cs="Arial"/>
          <w:sz w:val="20"/>
        </w:rPr>
        <w:t>presentó</w:t>
      </w:r>
      <w:r w:rsidRPr="009D5EA7">
        <w:rPr>
          <w:rFonts w:ascii="Verdana" w:hAnsi="Verdana" w:cs="Arial"/>
          <w:sz w:val="20"/>
        </w:rPr>
        <w:t xml:space="preserve"> </w:t>
      </w:r>
      <w:r w:rsidR="003861B0" w:rsidRPr="009D5EA7">
        <w:rPr>
          <w:rFonts w:ascii="Verdana" w:hAnsi="Verdana" w:cs="Arial"/>
          <w:sz w:val="20"/>
        </w:rPr>
        <w:t>ante el mismo juez un</w:t>
      </w:r>
      <w:r w:rsidR="001671B2">
        <w:rPr>
          <w:rFonts w:ascii="Verdana" w:hAnsi="Verdana" w:cs="Arial"/>
          <w:sz w:val="20"/>
        </w:rPr>
        <w:t xml:space="preserve"> segundo</w:t>
      </w:r>
      <w:r w:rsidR="003861B0" w:rsidRPr="009D5EA7">
        <w:rPr>
          <w:rFonts w:ascii="Verdana" w:hAnsi="Verdana" w:cs="Arial"/>
          <w:sz w:val="20"/>
        </w:rPr>
        <w:t xml:space="preserve"> </w:t>
      </w:r>
      <w:r w:rsidRPr="009D5EA7">
        <w:rPr>
          <w:rFonts w:ascii="Verdana" w:hAnsi="Verdana" w:cs="Arial"/>
          <w:sz w:val="20"/>
        </w:rPr>
        <w:t>incidente de nulidad perpetua de todo lo actuado desde el auto del 19 de abril de 2002</w:t>
      </w:r>
      <w:r w:rsidR="003861B0" w:rsidRPr="009D5EA7">
        <w:rPr>
          <w:rFonts w:ascii="Verdana" w:hAnsi="Verdana" w:cs="Arial"/>
          <w:sz w:val="20"/>
        </w:rPr>
        <w:t>, así como un</w:t>
      </w:r>
      <w:r w:rsidRPr="009D5EA7">
        <w:rPr>
          <w:rFonts w:ascii="Verdana" w:hAnsi="Verdana" w:cs="Arial"/>
          <w:sz w:val="20"/>
        </w:rPr>
        <w:t xml:space="preserve"> incidente de recusación contenido en el mismo escrito, por considerar que desde el inicio del procedimiento el juez se había manejado de forma parcial</w:t>
      </w:r>
      <w:r w:rsidRPr="009D5EA7">
        <w:rPr>
          <w:rStyle w:val="Refdenotaalpie"/>
          <w:rFonts w:ascii="Verdana" w:hAnsi="Verdana" w:cs="Arial"/>
          <w:sz w:val="20"/>
        </w:rPr>
        <w:footnoteReference w:id="72"/>
      </w:r>
      <w:r w:rsidRPr="009D5EA7">
        <w:rPr>
          <w:rFonts w:ascii="Verdana" w:hAnsi="Verdana" w:cs="Arial"/>
          <w:sz w:val="20"/>
        </w:rPr>
        <w:t xml:space="preserve">. </w:t>
      </w:r>
    </w:p>
    <w:p w14:paraId="4E753EFC" w14:textId="77777777" w:rsidR="009A4633" w:rsidRPr="009D5EA7" w:rsidRDefault="009A4633" w:rsidP="009A4633">
      <w:pPr>
        <w:pStyle w:val="Prrafodelista"/>
        <w:ind w:left="0"/>
        <w:jc w:val="both"/>
        <w:rPr>
          <w:rFonts w:ascii="Verdana" w:hAnsi="Verdana" w:cs="Arial"/>
          <w:sz w:val="20"/>
        </w:rPr>
      </w:pPr>
    </w:p>
    <w:p w14:paraId="02FE336D" w14:textId="77777777"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22 de julio de 2002 el representante de la señora Acosta presentó adición al incidente de nulidad anterior ante el Juzgado, argumentando que la deserción del recurso de apelación había sido suprimida de la Ley Orgánica del Poder Judicial y que por tanto la actuación del juez había sido contraria a esta Ley y a su Reglamento</w:t>
      </w:r>
      <w:r w:rsidRPr="009D5EA7">
        <w:rPr>
          <w:rStyle w:val="Refdenotaalpie"/>
          <w:rFonts w:ascii="Verdana" w:hAnsi="Verdana" w:cs="Arial"/>
          <w:sz w:val="20"/>
        </w:rPr>
        <w:footnoteReference w:id="73"/>
      </w:r>
      <w:r w:rsidRPr="009D5EA7">
        <w:rPr>
          <w:rFonts w:ascii="Verdana" w:hAnsi="Verdana" w:cs="Arial"/>
          <w:sz w:val="20"/>
        </w:rPr>
        <w:t>.</w:t>
      </w:r>
    </w:p>
    <w:p w14:paraId="6D0782F5" w14:textId="77777777" w:rsidR="009A4633" w:rsidRPr="009D5EA7" w:rsidRDefault="009A4633" w:rsidP="009A4633">
      <w:pPr>
        <w:pStyle w:val="Prrafodelista"/>
        <w:rPr>
          <w:rFonts w:ascii="Verdana" w:hAnsi="Verdana" w:cs="Arial"/>
          <w:sz w:val="20"/>
        </w:rPr>
      </w:pPr>
    </w:p>
    <w:p w14:paraId="5437F135" w14:textId="17332A7B" w:rsidR="009A4633" w:rsidRPr="009D5EA7" w:rsidRDefault="00EB1396"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Mediante auto de</w:t>
      </w:r>
      <w:r w:rsidR="009A4633" w:rsidRPr="009D5EA7">
        <w:rPr>
          <w:rFonts w:ascii="Verdana" w:hAnsi="Verdana" w:cs="Arial"/>
          <w:sz w:val="20"/>
        </w:rPr>
        <w:t xml:space="preserve"> 5 de agosto de 2002, el juez declaró la improcedencia del segundo incidente de nulidad interpuesto, por considerar que las nulidades alegadas no estaban en los supuestos contemplados en la ley</w:t>
      </w:r>
      <w:r w:rsidR="009A4633" w:rsidRPr="009D5EA7">
        <w:rPr>
          <w:rStyle w:val="Refdenotaalpie"/>
          <w:rFonts w:ascii="Verdana" w:hAnsi="Verdana" w:cs="Arial"/>
          <w:sz w:val="20"/>
        </w:rPr>
        <w:footnoteReference w:id="74"/>
      </w:r>
      <w:r w:rsidR="009A4633" w:rsidRPr="009D5EA7">
        <w:rPr>
          <w:rFonts w:ascii="Verdana" w:hAnsi="Verdana" w:cs="Arial"/>
          <w:sz w:val="20"/>
        </w:rPr>
        <w:t xml:space="preserve">. Este auto fue apelado por dicho representante. </w:t>
      </w:r>
      <w:r w:rsidR="009A4633" w:rsidRPr="009D5EA7">
        <w:rPr>
          <w:rFonts w:ascii="Verdana" w:hAnsi="Verdana"/>
          <w:sz w:val="20"/>
        </w:rPr>
        <w:t xml:space="preserve">Ese mismo día, </w:t>
      </w:r>
      <w:r w:rsidR="009A4633" w:rsidRPr="009D5EA7">
        <w:rPr>
          <w:rFonts w:ascii="Verdana" w:hAnsi="Verdana" w:cs="Garamond"/>
          <w:sz w:val="20"/>
        </w:rPr>
        <w:t>el juez declaró el inicio de la etapa plenaria</w:t>
      </w:r>
      <w:r w:rsidR="009A4633" w:rsidRPr="009D5EA7">
        <w:rPr>
          <w:rStyle w:val="Refdenotaalpie"/>
          <w:rFonts w:ascii="Verdana" w:hAnsi="Verdana" w:cs="Garamond"/>
          <w:sz w:val="20"/>
        </w:rPr>
        <w:footnoteReference w:id="75"/>
      </w:r>
      <w:r w:rsidR="009A4633" w:rsidRPr="009D5EA7">
        <w:rPr>
          <w:rFonts w:ascii="Verdana" w:hAnsi="Verdana" w:cs="Garamond"/>
          <w:sz w:val="20"/>
        </w:rPr>
        <w:t>.</w:t>
      </w:r>
    </w:p>
    <w:p w14:paraId="012D66EF" w14:textId="77777777" w:rsidR="009A4633" w:rsidRPr="009D5EA7" w:rsidRDefault="009A4633" w:rsidP="009A4633">
      <w:pPr>
        <w:pStyle w:val="Prrafodelista"/>
        <w:rPr>
          <w:rFonts w:ascii="Verdana" w:hAnsi="Verdana" w:cs="Arial"/>
          <w:sz w:val="20"/>
        </w:rPr>
      </w:pPr>
    </w:p>
    <w:p w14:paraId="45D288C9" w14:textId="5C2F318E"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Mediante auto de 8 de agosto de 2002, el juez declaró improced</w:t>
      </w:r>
      <w:r w:rsidR="00817708" w:rsidRPr="009D5EA7">
        <w:rPr>
          <w:rFonts w:ascii="Verdana" w:hAnsi="Verdana" w:cs="Arial"/>
          <w:sz w:val="20"/>
        </w:rPr>
        <w:t xml:space="preserve">ente la apelación interpuesta; </w:t>
      </w:r>
      <w:r w:rsidRPr="009D5EA7">
        <w:rPr>
          <w:rFonts w:ascii="Verdana" w:hAnsi="Verdana" w:cs="Arial"/>
          <w:sz w:val="20"/>
        </w:rPr>
        <w:t>declaró rebelde al pro</w:t>
      </w:r>
      <w:r w:rsidR="00437056" w:rsidRPr="009D5EA7">
        <w:rPr>
          <w:rFonts w:ascii="Verdana" w:hAnsi="Verdana" w:cs="Arial"/>
          <w:sz w:val="20"/>
        </w:rPr>
        <w:t>cesado Argü</w:t>
      </w:r>
      <w:r w:rsidR="00817708" w:rsidRPr="009D5EA7">
        <w:rPr>
          <w:rFonts w:ascii="Verdana" w:hAnsi="Verdana" w:cs="Arial"/>
          <w:sz w:val="20"/>
        </w:rPr>
        <w:t>ello Rivera, nombrándole</w:t>
      </w:r>
      <w:r w:rsidRPr="009D5EA7">
        <w:rPr>
          <w:rFonts w:ascii="Verdana" w:hAnsi="Verdana" w:cs="Arial"/>
          <w:sz w:val="20"/>
        </w:rPr>
        <w:t xml:space="preserve"> un defensor de oficio, </w:t>
      </w:r>
      <w:r w:rsidR="00817708" w:rsidRPr="009D5EA7">
        <w:rPr>
          <w:rFonts w:ascii="Verdana" w:hAnsi="Verdana" w:cs="Arial"/>
          <w:sz w:val="20"/>
        </w:rPr>
        <w:t xml:space="preserve">y elevó </w:t>
      </w:r>
      <w:r w:rsidRPr="009D5EA7">
        <w:rPr>
          <w:rFonts w:ascii="Verdana" w:hAnsi="Verdana" w:cs="Arial"/>
          <w:sz w:val="20"/>
        </w:rPr>
        <w:t>la causa a plenario</w:t>
      </w:r>
      <w:r w:rsidRPr="009D5EA7">
        <w:rPr>
          <w:rStyle w:val="Refdenotaalpie"/>
          <w:rFonts w:ascii="Verdana" w:hAnsi="Verdana" w:cs="Arial"/>
          <w:sz w:val="20"/>
        </w:rPr>
        <w:footnoteReference w:id="76"/>
      </w:r>
      <w:r w:rsidRPr="009D5EA7">
        <w:rPr>
          <w:rFonts w:ascii="Verdana" w:hAnsi="Verdana" w:cs="Arial"/>
          <w:sz w:val="20"/>
        </w:rPr>
        <w:t xml:space="preserve">. </w:t>
      </w:r>
    </w:p>
    <w:p w14:paraId="38D65612" w14:textId="77777777" w:rsidR="009A4633" w:rsidRPr="009D5EA7" w:rsidRDefault="009A4633" w:rsidP="009A4633">
      <w:pPr>
        <w:pStyle w:val="Prrafodelista"/>
        <w:rPr>
          <w:rFonts w:ascii="Verdana" w:hAnsi="Verdana" w:cs="Arial"/>
          <w:sz w:val="20"/>
        </w:rPr>
      </w:pPr>
    </w:p>
    <w:p w14:paraId="11B0C7AF" w14:textId="084E6D66" w:rsidR="009A4633" w:rsidRPr="00DA1CE9" w:rsidRDefault="00DA1CE9" w:rsidP="007A3724">
      <w:pPr>
        <w:spacing w:after="0" w:line="240" w:lineRule="auto"/>
        <w:ind w:left="2115" w:hanging="697"/>
        <w:jc w:val="both"/>
        <w:rPr>
          <w:rFonts w:ascii="Verdana" w:hAnsi="Verdana" w:cs="Arial"/>
          <w:b/>
          <w:i/>
          <w:sz w:val="20"/>
        </w:rPr>
      </w:pPr>
      <w:r>
        <w:rPr>
          <w:rFonts w:ascii="Verdana" w:hAnsi="Verdana" w:cs="Arial"/>
          <w:b/>
          <w:i/>
          <w:sz w:val="20"/>
        </w:rPr>
        <w:t>C.6</w:t>
      </w:r>
      <w:r>
        <w:rPr>
          <w:rFonts w:ascii="Verdana" w:hAnsi="Verdana" w:cs="Arial"/>
          <w:b/>
          <w:i/>
          <w:sz w:val="20"/>
        </w:rPr>
        <w:tab/>
      </w:r>
      <w:r w:rsidR="009A4633" w:rsidRPr="00DA1CE9">
        <w:rPr>
          <w:rFonts w:ascii="Verdana" w:hAnsi="Verdana" w:cs="Arial"/>
          <w:b/>
          <w:i/>
          <w:sz w:val="20"/>
        </w:rPr>
        <w:t>Recurso extraordinario de hecho presentado por el representante de la señora Acosta ante la Sala Penal del Tribunal de Apelaciones</w:t>
      </w:r>
    </w:p>
    <w:p w14:paraId="0F0211B5" w14:textId="77777777" w:rsidR="0023621A" w:rsidRPr="009D5EA7" w:rsidRDefault="0023621A" w:rsidP="0023621A">
      <w:pPr>
        <w:pStyle w:val="Prrafodelista"/>
        <w:ind w:left="0"/>
        <w:jc w:val="both"/>
        <w:rPr>
          <w:rFonts w:ascii="Verdana" w:hAnsi="Verdana" w:cs="Arial"/>
          <w:sz w:val="20"/>
        </w:rPr>
      </w:pPr>
    </w:p>
    <w:p w14:paraId="20852BF9" w14:textId="0567854B" w:rsidR="009A4633" w:rsidRPr="009D5EA7" w:rsidRDefault="009A4633" w:rsidP="0023621A">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29 de agosto de 2002 el representante de la señora Acosta interpuso un “recurso extraordinario de hecho” ante la Sala Penal del Tribunal de Apelaciones </w:t>
      </w:r>
      <w:r w:rsidR="00437056" w:rsidRPr="009D5EA7">
        <w:rPr>
          <w:rFonts w:ascii="Verdana" w:hAnsi="Verdana" w:cs="Arial"/>
          <w:sz w:val="20"/>
        </w:rPr>
        <w:t xml:space="preserve">de la </w:t>
      </w:r>
      <w:r w:rsidRPr="009D5EA7">
        <w:rPr>
          <w:rFonts w:ascii="Verdana" w:hAnsi="Verdana" w:cs="Arial"/>
          <w:sz w:val="20"/>
        </w:rPr>
        <w:t>Circunscripción Atlántico Sur, solicitando la revocación del auto en que se le denegó el recurso de apelación</w:t>
      </w:r>
      <w:r w:rsidRPr="009D5EA7">
        <w:rPr>
          <w:rStyle w:val="Refdenotaalpie"/>
          <w:rFonts w:ascii="Verdana" w:hAnsi="Verdana" w:cs="Arial"/>
          <w:sz w:val="20"/>
        </w:rPr>
        <w:footnoteReference w:id="77"/>
      </w:r>
      <w:r w:rsidRPr="009D5EA7">
        <w:rPr>
          <w:rFonts w:ascii="Verdana" w:hAnsi="Verdana" w:cs="Arial"/>
          <w:sz w:val="20"/>
        </w:rPr>
        <w:t>. El 4 y 12 de septiembre de 2002 dicho representante compareció nuevamente ante esta Sala Penal para solicitar que se resolviese el recurso con la mayor premura</w:t>
      </w:r>
      <w:r w:rsidRPr="009D5EA7">
        <w:rPr>
          <w:rStyle w:val="Refdenotaalpie"/>
          <w:rFonts w:ascii="Verdana" w:hAnsi="Verdana" w:cs="Arial"/>
          <w:sz w:val="20"/>
        </w:rPr>
        <w:footnoteReference w:id="78"/>
      </w:r>
      <w:r w:rsidRPr="009D5EA7">
        <w:rPr>
          <w:rFonts w:ascii="Verdana" w:hAnsi="Verdana" w:cs="Arial"/>
          <w:sz w:val="20"/>
        </w:rPr>
        <w:t>.</w:t>
      </w:r>
    </w:p>
    <w:p w14:paraId="2FF4B032" w14:textId="77777777" w:rsidR="009A4633" w:rsidRPr="009D5EA7" w:rsidRDefault="009A4633" w:rsidP="009A4633">
      <w:pPr>
        <w:pStyle w:val="Prrafodelista"/>
        <w:ind w:left="0"/>
        <w:jc w:val="both"/>
        <w:rPr>
          <w:rFonts w:ascii="Verdana" w:hAnsi="Verdana" w:cs="Arial"/>
          <w:sz w:val="20"/>
        </w:rPr>
      </w:pPr>
    </w:p>
    <w:p w14:paraId="5918459B" w14:textId="54DDF206"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23 de septiembre de 2002 la Sala Penal del Tribunal de Apelaciones declaró “no ha lugar a su admisión [del recurso] por ser improcedente por defectuoso”, al no expresar categóricamente que se interponía “recurso de apelación por el de hecho</w:t>
      </w:r>
      <w:r w:rsidR="009568A8" w:rsidRPr="009D5EA7">
        <w:rPr>
          <w:rFonts w:ascii="Verdana" w:hAnsi="Verdana" w:cs="Arial"/>
          <w:sz w:val="20"/>
        </w:rPr>
        <w:t>”</w:t>
      </w:r>
      <w:r w:rsidRPr="009D5EA7">
        <w:rPr>
          <w:rStyle w:val="Refdenotaalpie"/>
          <w:rFonts w:ascii="Verdana" w:hAnsi="Verdana" w:cs="Arial"/>
          <w:sz w:val="20"/>
        </w:rPr>
        <w:footnoteReference w:id="79"/>
      </w:r>
      <w:r w:rsidRPr="009D5EA7">
        <w:rPr>
          <w:rFonts w:ascii="Verdana" w:hAnsi="Verdana" w:cs="Arial"/>
          <w:sz w:val="20"/>
        </w:rPr>
        <w:t>.</w:t>
      </w:r>
    </w:p>
    <w:p w14:paraId="1333242D" w14:textId="77777777" w:rsidR="009A4633" w:rsidRPr="009D5EA7" w:rsidRDefault="009A4633" w:rsidP="009A4633">
      <w:pPr>
        <w:pStyle w:val="Prrafodelista"/>
        <w:rPr>
          <w:rFonts w:ascii="Verdana" w:hAnsi="Verdana" w:cs="Arial"/>
          <w:sz w:val="20"/>
        </w:rPr>
      </w:pPr>
    </w:p>
    <w:p w14:paraId="07306523" w14:textId="7868CDAE" w:rsidR="009A4633" w:rsidRPr="009D5EA7" w:rsidRDefault="009A4633" w:rsidP="00764688">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2 de octubre de 2002 </w:t>
      </w:r>
      <w:r w:rsidR="0023621A" w:rsidRPr="009D5EA7">
        <w:rPr>
          <w:rFonts w:ascii="Verdana" w:hAnsi="Verdana" w:cs="Arial"/>
          <w:sz w:val="20"/>
        </w:rPr>
        <w:t>PMF</w:t>
      </w:r>
      <w:r w:rsidRPr="009D5EA7">
        <w:rPr>
          <w:rFonts w:ascii="Verdana" w:hAnsi="Verdana" w:cs="Arial"/>
          <w:sz w:val="20"/>
        </w:rPr>
        <w:t xml:space="preserve">, en representación propia y a nombre de </w:t>
      </w:r>
      <w:r w:rsidR="00FB2B82" w:rsidRPr="009D5EA7">
        <w:rPr>
          <w:rFonts w:ascii="Verdana" w:hAnsi="Verdana" w:cs="Arial"/>
          <w:sz w:val="20"/>
        </w:rPr>
        <w:t>PT</w:t>
      </w:r>
      <w:r w:rsidRPr="009D5EA7">
        <w:rPr>
          <w:rFonts w:ascii="Verdana" w:hAnsi="Verdana" w:cs="Arial"/>
          <w:sz w:val="20"/>
        </w:rPr>
        <w:t>, interpuso una denuncia contra la señora Acosta por delitos de falso testimonio y denuncia falsa ante el mismo Juzgado (</w:t>
      </w:r>
      <w:r w:rsidRPr="009D5EA7">
        <w:rPr>
          <w:rFonts w:ascii="Verdana" w:hAnsi="Verdana" w:cs="Arial"/>
          <w:i/>
          <w:sz w:val="20"/>
        </w:rPr>
        <w:t xml:space="preserve">infra </w:t>
      </w:r>
      <w:r w:rsidRPr="009D5EA7">
        <w:rPr>
          <w:rFonts w:ascii="Verdana" w:hAnsi="Verdana" w:cs="Arial"/>
          <w:sz w:val="20"/>
        </w:rPr>
        <w:t xml:space="preserve">párrs. </w:t>
      </w:r>
      <w:r w:rsidR="00124D40">
        <w:rPr>
          <w:rFonts w:ascii="Verdana" w:hAnsi="Verdana" w:cs="Arial"/>
          <w:sz w:val="20"/>
        </w:rPr>
        <w:t>110 a 112</w:t>
      </w:r>
      <w:r w:rsidRPr="009D5EA7">
        <w:rPr>
          <w:rFonts w:ascii="Verdana" w:hAnsi="Verdana" w:cs="Arial"/>
          <w:sz w:val="20"/>
        </w:rPr>
        <w:t>).</w:t>
      </w:r>
    </w:p>
    <w:p w14:paraId="0C079B2A" w14:textId="77777777" w:rsidR="00764688" w:rsidRPr="009D5EA7" w:rsidRDefault="00764688" w:rsidP="00764688">
      <w:pPr>
        <w:pStyle w:val="Prrafodelista"/>
        <w:rPr>
          <w:rFonts w:ascii="Verdana" w:hAnsi="Verdana" w:cs="Arial"/>
          <w:sz w:val="20"/>
        </w:rPr>
      </w:pPr>
    </w:p>
    <w:p w14:paraId="7F0B9F9A" w14:textId="229A26A2" w:rsidR="00764688" w:rsidRPr="009D5EA7" w:rsidRDefault="00764688" w:rsidP="00764688">
      <w:pPr>
        <w:pStyle w:val="Prrafodelista"/>
        <w:numPr>
          <w:ilvl w:val="0"/>
          <w:numId w:val="5"/>
        </w:numPr>
        <w:ind w:left="0" w:firstLine="0"/>
        <w:jc w:val="both"/>
        <w:rPr>
          <w:rFonts w:ascii="Verdana" w:hAnsi="Verdana" w:cs="Arial"/>
          <w:sz w:val="20"/>
        </w:rPr>
      </w:pPr>
      <w:r w:rsidRPr="009D5EA7">
        <w:rPr>
          <w:rFonts w:ascii="Verdana" w:hAnsi="Verdana" w:cs="Arial"/>
          <w:sz w:val="20"/>
        </w:rPr>
        <w:t>El 4 de octubre de 2002 la señora Acosta interpuso una segunda queja disciplinaria contra el juez (</w:t>
      </w:r>
      <w:r w:rsidRPr="009D5EA7">
        <w:rPr>
          <w:rFonts w:ascii="Verdana" w:hAnsi="Verdana" w:cs="Arial"/>
          <w:i/>
          <w:sz w:val="20"/>
        </w:rPr>
        <w:t xml:space="preserve">infra </w:t>
      </w:r>
      <w:r w:rsidRPr="009D5EA7">
        <w:rPr>
          <w:rFonts w:ascii="Verdana" w:hAnsi="Verdana" w:cs="Arial"/>
          <w:sz w:val="20"/>
        </w:rPr>
        <w:t>párr.</w:t>
      </w:r>
      <w:r w:rsidR="00124D40">
        <w:rPr>
          <w:rFonts w:ascii="Verdana" w:hAnsi="Verdana" w:cs="Arial"/>
          <w:sz w:val="20"/>
        </w:rPr>
        <w:t xml:space="preserve"> 115</w:t>
      </w:r>
      <w:r w:rsidRPr="009D5EA7">
        <w:rPr>
          <w:rFonts w:ascii="Verdana" w:hAnsi="Verdana" w:cs="Arial"/>
          <w:sz w:val="20"/>
        </w:rPr>
        <w:t>).</w:t>
      </w:r>
    </w:p>
    <w:p w14:paraId="7CE8DA32" w14:textId="77777777" w:rsidR="00764688" w:rsidRPr="009D5EA7" w:rsidRDefault="00764688" w:rsidP="00764688">
      <w:pPr>
        <w:pStyle w:val="Prrafodelista"/>
        <w:ind w:left="0"/>
        <w:jc w:val="both"/>
        <w:rPr>
          <w:rFonts w:ascii="Verdana" w:hAnsi="Verdana" w:cs="Arial"/>
          <w:sz w:val="20"/>
        </w:rPr>
      </w:pPr>
    </w:p>
    <w:p w14:paraId="66A492B4" w14:textId="619AA97E"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10 de octubre del 2002 el representante de la señora Acosta compareció por escrito ante la Sala Penal del Tribunal de Apelaciones, Circunscripción Atlántico Sur, subsanando el señalado defecto de su solicitud anterior, a fin de interponer recurso de apelación por la vía de hecho</w:t>
      </w:r>
      <w:r w:rsidRPr="009D5EA7">
        <w:rPr>
          <w:rStyle w:val="Refdenotaalpie"/>
          <w:rFonts w:ascii="Verdana" w:hAnsi="Verdana" w:cs="Arial"/>
          <w:sz w:val="20"/>
        </w:rPr>
        <w:footnoteReference w:id="80"/>
      </w:r>
      <w:r w:rsidRPr="009D5EA7">
        <w:rPr>
          <w:rFonts w:ascii="Verdana" w:hAnsi="Verdana" w:cs="Arial"/>
          <w:sz w:val="20"/>
        </w:rPr>
        <w:t xml:space="preserve">. Mediante auto de 11 de octubre de 2002, la Sala Penal </w:t>
      </w:r>
      <w:r w:rsidR="009568A8" w:rsidRPr="009D5EA7">
        <w:rPr>
          <w:rFonts w:ascii="Verdana" w:hAnsi="Verdana" w:cs="Arial"/>
          <w:sz w:val="20"/>
        </w:rPr>
        <w:t>de</w:t>
      </w:r>
      <w:r w:rsidRPr="009D5EA7">
        <w:rPr>
          <w:rFonts w:ascii="Verdana" w:hAnsi="Verdana" w:cs="Arial"/>
          <w:sz w:val="20"/>
        </w:rPr>
        <w:t>negó la admisión del recurso interpuesto por considerar que había operado la caducidad y extinción del derecho</w:t>
      </w:r>
      <w:r w:rsidRPr="009D5EA7">
        <w:rPr>
          <w:rStyle w:val="Refdenotaalpie"/>
          <w:rFonts w:ascii="Verdana" w:hAnsi="Verdana" w:cs="Arial"/>
          <w:sz w:val="20"/>
        </w:rPr>
        <w:footnoteReference w:id="81"/>
      </w:r>
      <w:r w:rsidRPr="009D5EA7">
        <w:rPr>
          <w:rFonts w:ascii="Verdana" w:hAnsi="Verdana" w:cs="Arial"/>
          <w:sz w:val="20"/>
        </w:rPr>
        <w:t xml:space="preserve">. </w:t>
      </w:r>
    </w:p>
    <w:p w14:paraId="42DB42EC" w14:textId="77777777" w:rsidR="008B3A6F" w:rsidRPr="009D5EA7" w:rsidRDefault="008B3A6F" w:rsidP="009A4633">
      <w:pPr>
        <w:pStyle w:val="Prrafodelista"/>
        <w:rPr>
          <w:rFonts w:ascii="Verdana" w:hAnsi="Verdana" w:cs="Arial"/>
          <w:sz w:val="20"/>
        </w:rPr>
      </w:pPr>
    </w:p>
    <w:p w14:paraId="6B9FDB66" w14:textId="5E677018" w:rsidR="009A4633" w:rsidRPr="00DA1CE9" w:rsidRDefault="00DA1CE9" w:rsidP="007A3724">
      <w:pPr>
        <w:spacing w:after="0" w:line="240" w:lineRule="auto"/>
        <w:ind w:left="2115" w:hanging="697"/>
        <w:jc w:val="both"/>
        <w:rPr>
          <w:rFonts w:ascii="Verdana" w:hAnsi="Verdana" w:cs="Arial"/>
          <w:b/>
          <w:i/>
          <w:sz w:val="20"/>
        </w:rPr>
      </w:pPr>
      <w:r>
        <w:rPr>
          <w:rFonts w:ascii="Verdana" w:hAnsi="Verdana" w:cs="Arial"/>
          <w:b/>
          <w:i/>
          <w:sz w:val="20"/>
        </w:rPr>
        <w:lastRenderedPageBreak/>
        <w:t>C.7</w:t>
      </w:r>
      <w:r>
        <w:rPr>
          <w:rFonts w:ascii="Verdana" w:hAnsi="Verdana" w:cs="Arial"/>
          <w:b/>
          <w:i/>
          <w:sz w:val="20"/>
        </w:rPr>
        <w:tab/>
      </w:r>
      <w:r w:rsidR="009A4633" w:rsidRPr="00DA1CE9">
        <w:rPr>
          <w:rFonts w:ascii="Verdana" w:hAnsi="Verdana" w:cs="Arial"/>
          <w:b/>
          <w:i/>
          <w:sz w:val="20"/>
        </w:rPr>
        <w:t xml:space="preserve">Nuevos elementos en la investigación del </w:t>
      </w:r>
      <w:r w:rsidR="006233D1">
        <w:rPr>
          <w:rFonts w:ascii="Verdana" w:hAnsi="Verdana" w:cs="Arial"/>
          <w:b/>
          <w:i/>
          <w:sz w:val="20"/>
        </w:rPr>
        <w:t>homicidio</w:t>
      </w:r>
      <w:r w:rsidR="009A4633" w:rsidRPr="00DA1CE9">
        <w:rPr>
          <w:rFonts w:ascii="Verdana" w:hAnsi="Verdana" w:cs="Arial"/>
          <w:b/>
          <w:i/>
          <w:sz w:val="20"/>
        </w:rPr>
        <w:t xml:space="preserve"> del señor Francisco José García Valle</w:t>
      </w:r>
    </w:p>
    <w:p w14:paraId="6EB0C6F2" w14:textId="77777777" w:rsidR="009A4633" w:rsidRPr="009D5EA7" w:rsidRDefault="009A4633" w:rsidP="009A4633">
      <w:pPr>
        <w:pStyle w:val="Prrafodelista"/>
        <w:jc w:val="both"/>
        <w:rPr>
          <w:rFonts w:ascii="Verdana" w:hAnsi="Verdana" w:cs="Arial"/>
          <w:sz w:val="20"/>
        </w:rPr>
      </w:pPr>
    </w:p>
    <w:p w14:paraId="0ECD2B87" w14:textId="2C5FFB13"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Mediante Informe Pericial Balístico de fecha 3 de septiembre de 2002, el Laboratorio de Criminalística de la Policía Nacional informó al Jefe de Investigaciones Criminales de la Delegación Policial de la Región Autónoma Atlántico Sur que los peritajes realizados al arma marca LORCIN calibre .25 serie no. 332358, propiedad de </w:t>
      </w:r>
      <w:r w:rsidR="0023621A" w:rsidRPr="009D5EA7">
        <w:rPr>
          <w:rFonts w:ascii="Verdana" w:hAnsi="Verdana" w:cs="Arial"/>
          <w:sz w:val="20"/>
        </w:rPr>
        <w:t>PMF</w:t>
      </w:r>
      <w:r w:rsidRPr="009D5EA7">
        <w:rPr>
          <w:rFonts w:ascii="Verdana" w:hAnsi="Verdana" w:cs="Arial"/>
          <w:sz w:val="20"/>
        </w:rPr>
        <w:t>, indicaban que ésta fue utilizada para disparar el proyectil que se extrajo al cuerpo de la víctima Francisco José García Valle</w:t>
      </w:r>
      <w:r w:rsidRPr="009D5EA7">
        <w:rPr>
          <w:rStyle w:val="Refdenotaalpie"/>
          <w:rFonts w:ascii="Verdana" w:hAnsi="Verdana" w:cs="Arial"/>
          <w:sz w:val="20"/>
        </w:rPr>
        <w:footnoteReference w:id="82"/>
      </w:r>
      <w:r w:rsidRPr="009D5EA7">
        <w:rPr>
          <w:rFonts w:ascii="Verdana" w:hAnsi="Verdana" w:cs="Arial"/>
          <w:sz w:val="20"/>
        </w:rPr>
        <w:t>.</w:t>
      </w:r>
    </w:p>
    <w:p w14:paraId="700B8606" w14:textId="77777777" w:rsidR="009A4633" w:rsidRPr="009D5EA7" w:rsidRDefault="009A4633" w:rsidP="009A4633">
      <w:pPr>
        <w:pStyle w:val="Prrafodelista"/>
        <w:ind w:left="0"/>
        <w:jc w:val="both"/>
        <w:rPr>
          <w:rFonts w:ascii="Verdana" w:hAnsi="Verdana" w:cs="Arial"/>
          <w:sz w:val="20"/>
        </w:rPr>
      </w:pPr>
    </w:p>
    <w:p w14:paraId="052185ED" w14:textId="0BE040D8"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8 de octubre de 2002 el Jefe de Investigaciones Criminales de la Delegación Policial de la Región Autónoma Atlántico Sur informó al Juez de Distrito del Crimen de Bluefields sobre la ampliación de las investigaciones en el </w:t>
      </w:r>
      <w:r w:rsidR="006233D1">
        <w:rPr>
          <w:rFonts w:ascii="Verdana" w:hAnsi="Verdana" w:cs="Arial"/>
          <w:sz w:val="20"/>
        </w:rPr>
        <w:t>homicidio</w:t>
      </w:r>
      <w:r w:rsidRPr="009D5EA7">
        <w:rPr>
          <w:rFonts w:ascii="Verdana" w:hAnsi="Verdana" w:cs="Arial"/>
          <w:sz w:val="20"/>
        </w:rPr>
        <w:t xml:space="preserve"> del señor García Valle. Según este informe:</w:t>
      </w:r>
    </w:p>
    <w:p w14:paraId="721B7E61" w14:textId="07D23D0E" w:rsidR="009A4633" w:rsidRPr="009D5EA7" w:rsidRDefault="006233D1" w:rsidP="006233D1">
      <w:pPr>
        <w:pStyle w:val="Prrafodelista"/>
        <w:tabs>
          <w:tab w:val="left" w:pos="4320"/>
        </w:tabs>
        <w:ind w:left="1440"/>
        <w:jc w:val="both"/>
        <w:rPr>
          <w:rFonts w:ascii="Verdana" w:hAnsi="Verdana" w:cs="Arial"/>
          <w:sz w:val="20"/>
        </w:rPr>
      </w:pPr>
      <w:r>
        <w:rPr>
          <w:rFonts w:ascii="Verdana" w:hAnsi="Verdana" w:cs="Arial"/>
          <w:sz w:val="20"/>
        </w:rPr>
        <w:tab/>
      </w:r>
    </w:p>
    <w:p w14:paraId="23CC52AA" w14:textId="5EBEAB6D" w:rsidR="009A4633" w:rsidRPr="009D5EA7" w:rsidRDefault="009A4633" w:rsidP="00667F79">
      <w:pPr>
        <w:pStyle w:val="Prrafodelista"/>
        <w:numPr>
          <w:ilvl w:val="1"/>
          <w:numId w:val="10"/>
        </w:numPr>
        <w:spacing w:after="200"/>
        <w:ind w:left="709"/>
        <w:jc w:val="both"/>
        <w:rPr>
          <w:rFonts w:ascii="Verdana" w:hAnsi="Verdana" w:cs="Arial"/>
          <w:sz w:val="20"/>
        </w:rPr>
      </w:pPr>
      <w:r w:rsidRPr="009D5EA7">
        <w:rPr>
          <w:rFonts w:ascii="Verdana" w:hAnsi="Verdana" w:cs="Arial"/>
          <w:sz w:val="20"/>
        </w:rPr>
        <w:t>La Policía Nacional había identificado a un</w:t>
      </w:r>
      <w:r w:rsidR="009568A8" w:rsidRPr="009D5EA7">
        <w:rPr>
          <w:rFonts w:ascii="Verdana" w:hAnsi="Verdana" w:cs="Arial"/>
          <w:sz w:val="20"/>
        </w:rPr>
        <w:t xml:space="preserve"> amigo de confianza de Iván Argü</w:t>
      </w:r>
      <w:r w:rsidR="00763DCA" w:rsidRPr="009D5EA7">
        <w:rPr>
          <w:rFonts w:ascii="Verdana" w:hAnsi="Verdana" w:cs="Arial"/>
          <w:sz w:val="20"/>
        </w:rPr>
        <w:t>ello</w:t>
      </w:r>
      <w:r w:rsidR="00191EE1">
        <w:rPr>
          <w:rFonts w:ascii="Verdana" w:hAnsi="Verdana" w:cs="Arial"/>
          <w:sz w:val="20"/>
        </w:rPr>
        <w:t>,</w:t>
      </w:r>
      <w:r w:rsidR="00763DCA" w:rsidRPr="009D5EA7">
        <w:rPr>
          <w:rFonts w:ascii="Verdana" w:hAnsi="Verdana" w:cs="Arial"/>
          <w:sz w:val="20"/>
        </w:rPr>
        <w:t xml:space="preserve"> de nombre Wilberth</w:t>
      </w:r>
      <w:r w:rsidRPr="009D5EA7">
        <w:rPr>
          <w:rFonts w:ascii="Verdana" w:hAnsi="Verdana" w:cs="Arial"/>
          <w:sz w:val="20"/>
        </w:rPr>
        <w:t xml:space="preserve"> Ochoa Maradiaga, quien pr</w:t>
      </w:r>
      <w:r w:rsidR="009568A8" w:rsidRPr="009D5EA7">
        <w:rPr>
          <w:rFonts w:ascii="Verdana" w:hAnsi="Verdana" w:cs="Arial"/>
          <w:sz w:val="20"/>
        </w:rPr>
        <w:t xml:space="preserve">esuntamente lo había acompañado </w:t>
      </w:r>
      <w:r w:rsidRPr="009D5EA7">
        <w:rPr>
          <w:rFonts w:ascii="Verdana" w:hAnsi="Verdana" w:cs="Arial"/>
          <w:sz w:val="20"/>
        </w:rPr>
        <w:t>a su llegada a Bluefields;</w:t>
      </w:r>
    </w:p>
    <w:p w14:paraId="708C0E4F" w14:textId="724B0B14" w:rsidR="009A4633" w:rsidRPr="009D5EA7" w:rsidRDefault="009A4633" w:rsidP="00667F79">
      <w:pPr>
        <w:pStyle w:val="Prrafodelista"/>
        <w:numPr>
          <w:ilvl w:val="1"/>
          <w:numId w:val="10"/>
        </w:numPr>
        <w:spacing w:after="200"/>
        <w:ind w:left="709"/>
        <w:jc w:val="both"/>
        <w:rPr>
          <w:rFonts w:ascii="Verdana" w:hAnsi="Verdana" w:cs="Arial"/>
          <w:sz w:val="20"/>
        </w:rPr>
      </w:pPr>
      <w:r w:rsidRPr="009D5EA7">
        <w:rPr>
          <w:rFonts w:ascii="Verdana" w:hAnsi="Verdana" w:cs="Arial"/>
          <w:sz w:val="20"/>
        </w:rPr>
        <w:t>se determinó que Arg</w:t>
      </w:r>
      <w:r w:rsidR="009568A8" w:rsidRPr="009D5EA7">
        <w:rPr>
          <w:rFonts w:ascii="Verdana" w:hAnsi="Verdana" w:cs="Arial"/>
          <w:sz w:val="20"/>
        </w:rPr>
        <w:t>ü</w:t>
      </w:r>
      <w:r w:rsidRPr="009D5EA7">
        <w:rPr>
          <w:rFonts w:ascii="Verdana" w:hAnsi="Verdana" w:cs="Arial"/>
          <w:sz w:val="20"/>
        </w:rPr>
        <w:t xml:space="preserve">ello tuvo relación con </w:t>
      </w:r>
      <w:r w:rsidR="009568A8" w:rsidRPr="009D5EA7">
        <w:rPr>
          <w:rFonts w:ascii="Verdana" w:hAnsi="Verdana" w:cs="Arial"/>
          <w:sz w:val="20"/>
        </w:rPr>
        <w:t xml:space="preserve">PT </w:t>
      </w:r>
      <w:r w:rsidRPr="009D5EA7">
        <w:rPr>
          <w:rFonts w:ascii="Verdana" w:hAnsi="Verdana" w:cs="Arial"/>
          <w:sz w:val="20"/>
        </w:rPr>
        <w:t xml:space="preserve">en Managua, pues aquél fue empleado de la empresa de vigilancia </w:t>
      </w:r>
      <w:r w:rsidRPr="009D5EA7">
        <w:rPr>
          <w:rFonts w:ascii="Verdana" w:hAnsi="Verdana" w:cs="Arial"/>
          <w:i/>
          <w:sz w:val="20"/>
        </w:rPr>
        <w:t>Master Security</w:t>
      </w:r>
      <w:r w:rsidRPr="009D5EA7">
        <w:rPr>
          <w:rFonts w:ascii="Verdana" w:hAnsi="Verdana" w:cs="Arial"/>
          <w:sz w:val="20"/>
        </w:rPr>
        <w:t xml:space="preserve">, la cual asignó </w:t>
      </w:r>
      <w:r w:rsidR="009568A8" w:rsidRPr="009D5EA7">
        <w:rPr>
          <w:rFonts w:ascii="Verdana" w:hAnsi="Verdana" w:cs="Arial"/>
          <w:sz w:val="20"/>
        </w:rPr>
        <w:t>a Argüello</w:t>
      </w:r>
      <w:r w:rsidRPr="009D5EA7">
        <w:rPr>
          <w:rFonts w:ascii="Verdana" w:hAnsi="Verdana" w:cs="Arial"/>
          <w:sz w:val="20"/>
        </w:rPr>
        <w:t xml:space="preserve"> para desempeñarse como escolta </w:t>
      </w:r>
      <w:r w:rsidR="009568A8" w:rsidRPr="009D5EA7">
        <w:rPr>
          <w:rFonts w:ascii="Verdana" w:hAnsi="Verdana" w:cs="Arial"/>
          <w:sz w:val="20"/>
        </w:rPr>
        <w:t>de PT</w:t>
      </w:r>
      <w:r w:rsidRPr="009D5EA7">
        <w:rPr>
          <w:rFonts w:ascii="Verdana" w:hAnsi="Verdana" w:cs="Arial"/>
          <w:sz w:val="20"/>
        </w:rPr>
        <w:t xml:space="preserve">, luego de lo cual </w:t>
      </w:r>
      <w:r w:rsidR="009568A8" w:rsidRPr="009D5EA7">
        <w:rPr>
          <w:rFonts w:ascii="Verdana" w:hAnsi="Verdana" w:cs="Arial"/>
          <w:sz w:val="20"/>
        </w:rPr>
        <w:t xml:space="preserve">aquél </w:t>
      </w:r>
      <w:r w:rsidRPr="009D5EA7">
        <w:rPr>
          <w:rFonts w:ascii="Verdana" w:hAnsi="Verdana" w:cs="Arial"/>
          <w:sz w:val="20"/>
        </w:rPr>
        <w:t xml:space="preserve">renunció a la </w:t>
      </w:r>
      <w:r w:rsidR="009568A8" w:rsidRPr="009D5EA7">
        <w:rPr>
          <w:rFonts w:ascii="Verdana" w:hAnsi="Verdana" w:cs="Arial"/>
          <w:sz w:val="20"/>
        </w:rPr>
        <w:t>empresa</w:t>
      </w:r>
      <w:r w:rsidRPr="009D5EA7">
        <w:rPr>
          <w:rFonts w:ascii="Verdana" w:hAnsi="Verdana" w:cs="Arial"/>
          <w:sz w:val="20"/>
        </w:rPr>
        <w:t xml:space="preserve"> para trabajar de forma independiente para este último;</w:t>
      </w:r>
    </w:p>
    <w:p w14:paraId="480DE2A3" w14:textId="563449F7" w:rsidR="009A4633" w:rsidRPr="009D5EA7" w:rsidRDefault="00EB1396" w:rsidP="00667F79">
      <w:pPr>
        <w:pStyle w:val="Prrafodelista"/>
        <w:numPr>
          <w:ilvl w:val="1"/>
          <w:numId w:val="10"/>
        </w:numPr>
        <w:spacing w:after="200"/>
        <w:ind w:left="709"/>
        <w:jc w:val="both"/>
        <w:rPr>
          <w:rFonts w:ascii="Verdana" w:hAnsi="Verdana" w:cs="Arial"/>
          <w:sz w:val="20"/>
        </w:rPr>
      </w:pPr>
      <w:r w:rsidRPr="009D5EA7">
        <w:rPr>
          <w:rFonts w:ascii="Verdana" w:hAnsi="Verdana" w:cs="Arial"/>
          <w:sz w:val="20"/>
        </w:rPr>
        <w:t>s</w:t>
      </w:r>
      <w:r w:rsidR="009A4633" w:rsidRPr="009D5EA7">
        <w:rPr>
          <w:rFonts w:ascii="Verdana" w:hAnsi="Verdana" w:cs="Arial"/>
          <w:sz w:val="20"/>
        </w:rPr>
        <w:t>e identificó el arma con la que fue disparado el proyec</w:t>
      </w:r>
      <w:r w:rsidR="009568A8" w:rsidRPr="009D5EA7">
        <w:rPr>
          <w:rFonts w:ascii="Verdana" w:hAnsi="Verdana" w:cs="Arial"/>
          <w:sz w:val="20"/>
        </w:rPr>
        <w:t>til que se extrajo a la víctima</w:t>
      </w:r>
      <w:r w:rsidR="009A4633" w:rsidRPr="009D5EA7">
        <w:rPr>
          <w:rStyle w:val="Refdenotaalpie"/>
          <w:rFonts w:ascii="Verdana" w:hAnsi="Verdana" w:cs="Arial"/>
          <w:sz w:val="20"/>
        </w:rPr>
        <w:footnoteReference w:id="83"/>
      </w:r>
      <w:r w:rsidR="009A4633" w:rsidRPr="009D5EA7">
        <w:rPr>
          <w:rFonts w:ascii="Verdana" w:hAnsi="Verdana" w:cs="Arial"/>
          <w:sz w:val="20"/>
        </w:rPr>
        <w:t>.</w:t>
      </w:r>
    </w:p>
    <w:p w14:paraId="57BC5D75" w14:textId="77777777" w:rsidR="009A4633" w:rsidRPr="009D5EA7" w:rsidRDefault="009A4633" w:rsidP="009A4633">
      <w:pPr>
        <w:pStyle w:val="Prrafodelista"/>
        <w:rPr>
          <w:rFonts w:ascii="Verdana" w:hAnsi="Verdana" w:cs="Arial"/>
          <w:sz w:val="20"/>
        </w:rPr>
      </w:pPr>
    </w:p>
    <w:p w14:paraId="705A2DF6" w14:textId="2F066AD0"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juez Julio Acuña Cambronero, entonces Juez de Distrito de lo Criminal de Bluefields, sustanció la causa hasta finales del mes de octubre de 2002, cuando el caso fue transferido al Juzgado Civil y Penal de Distrito por Ministerio de Ley </w:t>
      </w:r>
      <w:r w:rsidR="009568A8" w:rsidRPr="009D5EA7">
        <w:rPr>
          <w:rFonts w:ascii="Verdana" w:hAnsi="Verdana" w:cs="Arial"/>
          <w:sz w:val="20"/>
        </w:rPr>
        <w:t xml:space="preserve">de Bluefields </w:t>
      </w:r>
      <w:r w:rsidRPr="009D5EA7">
        <w:rPr>
          <w:rFonts w:ascii="Verdana" w:hAnsi="Verdana" w:cs="Arial"/>
          <w:sz w:val="20"/>
        </w:rPr>
        <w:t>por asuntos de competencia, en razón de la entrada en vigencia del nuevo Código de Procedimiento Penal</w:t>
      </w:r>
      <w:r w:rsidRPr="009D5EA7">
        <w:rPr>
          <w:rStyle w:val="Refdenotaalpie"/>
          <w:rFonts w:ascii="Verdana" w:hAnsi="Verdana" w:cs="Arial"/>
          <w:sz w:val="20"/>
        </w:rPr>
        <w:footnoteReference w:id="84"/>
      </w:r>
      <w:r w:rsidRPr="009D5EA7">
        <w:rPr>
          <w:rFonts w:ascii="Verdana" w:hAnsi="Verdana" w:cs="Arial"/>
          <w:sz w:val="20"/>
        </w:rPr>
        <w:t>.</w:t>
      </w:r>
    </w:p>
    <w:p w14:paraId="4EA23C1D" w14:textId="77777777" w:rsidR="009A4633" w:rsidRPr="009D5EA7" w:rsidRDefault="009A4633" w:rsidP="009A4633">
      <w:pPr>
        <w:pStyle w:val="Prrafodelista"/>
        <w:jc w:val="both"/>
        <w:rPr>
          <w:rFonts w:ascii="Verdana" w:hAnsi="Verdana" w:cs="Arial"/>
          <w:b/>
          <w:sz w:val="20"/>
        </w:rPr>
      </w:pPr>
    </w:p>
    <w:p w14:paraId="4445758E" w14:textId="77777777" w:rsidR="009A4633" w:rsidRPr="009D5EA7" w:rsidRDefault="009A4633" w:rsidP="009A4633">
      <w:pPr>
        <w:pStyle w:val="Prrafodelista"/>
        <w:jc w:val="both"/>
        <w:rPr>
          <w:rFonts w:ascii="Verdana" w:hAnsi="Verdana" w:cs="Arial"/>
          <w:b/>
          <w:sz w:val="20"/>
        </w:rPr>
      </w:pPr>
    </w:p>
    <w:p w14:paraId="40E90737" w14:textId="2B87F0AC" w:rsidR="009A4633" w:rsidRPr="009D5EA7" w:rsidRDefault="009A4633" w:rsidP="00667F79">
      <w:pPr>
        <w:pStyle w:val="Prrafodelista"/>
        <w:numPr>
          <w:ilvl w:val="0"/>
          <w:numId w:val="13"/>
        </w:numPr>
        <w:spacing w:after="200" w:line="276" w:lineRule="auto"/>
        <w:jc w:val="both"/>
        <w:rPr>
          <w:rFonts w:ascii="Verdana" w:hAnsi="Verdana" w:cs="Arial"/>
          <w:b/>
          <w:sz w:val="20"/>
        </w:rPr>
      </w:pPr>
      <w:r w:rsidRPr="009D5EA7">
        <w:rPr>
          <w:rFonts w:ascii="Verdana" w:hAnsi="Verdana" w:cs="Arial"/>
          <w:b/>
          <w:sz w:val="20"/>
        </w:rPr>
        <w:t xml:space="preserve">Etapa plenaria del proceso judicial por el </w:t>
      </w:r>
      <w:r w:rsidR="006233D1" w:rsidRPr="006233D1">
        <w:rPr>
          <w:rFonts w:ascii="Verdana" w:hAnsi="Verdana" w:cs="Arial"/>
          <w:b/>
          <w:sz w:val="20"/>
        </w:rPr>
        <w:t>homicidio</w:t>
      </w:r>
      <w:r w:rsidR="006233D1" w:rsidRPr="009D5EA7">
        <w:rPr>
          <w:rFonts w:ascii="Verdana" w:hAnsi="Verdana" w:cs="Arial"/>
          <w:sz w:val="20"/>
        </w:rPr>
        <w:t xml:space="preserve"> </w:t>
      </w:r>
      <w:r w:rsidRPr="009D5EA7">
        <w:rPr>
          <w:rFonts w:ascii="Verdana" w:hAnsi="Verdana" w:cs="Arial"/>
          <w:b/>
          <w:sz w:val="20"/>
        </w:rPr>
        <w:t>del señor García Valle</w:t>
      </w:r>
    </w:p>
    <w:p w14:paraId="46C6AB49" w14:textId="77777777" w:rsidR="009A4633" w:rsidRPr="009D5EA7" w:rsidRDefault="009A4633" w:rsidP="009A4633">
      <w:pPr>
        <w:pStyle w:val="Prrafodelista"/>
        <w:ind w:left="1080"/>
        <w:jc w:val="both"/>
        <w:rPr>
          <w:rFonts w:ascii="Verdana" w:hAnsi="Verdana" w:cs="Arial"/>
          <w:b/>
          <w:sz w:val="20"/>
        </w:rPr>
      </w:pPr>
    </w:p>
    <w:p w14:paraId="4EA5F559" w14:textId="1870EB01"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17 de diciembre de 2002 el Juzgado </w:t>
      </w:r>
      <w:r w:rsidR="00EB1396" w:rsidRPr="009D5EA7">
        <w:rPr>
          <w:rFonts w:ascii="Verdana" w:hAnsi="Verdana" w:cs="Arial"/>
          <w:sz w:val="20"/>
        </w:rPr>
        <w:t xml:space="preserve">Civil y Penal de Distrito </w:t>
      </w:r>
      <w:r w:rsidRPr="009D5EA7">
        <w:rPr>
          <w:rFonts w:ascii="Verdana" w:hAnsi="Verdana" w:cs="Arial"/>
          <w:sz w:val="20"/>
        </w:rPr>
        <w:t>por Ministerio de Ley de Bluefields ordenó trámite de segunda vista al Ministerio Público, con la Fiscal Auxiliar de Bluefields, por el periodo de tres días, para que alegara nulidades y presentara sus conclusiones finales</w:t>
      </w:r>
      <w:r w:rsidRPr="009D5EA7">
        <w:rPr>
          <w:rStyle w:val="Refdenotaalpie"/>
          <w:rFonts w:ascii="Verdana" w:hAnsi="Verdana" w:cs="Arial"/>
          <w:sz w:val="20"/>
        </w:rPr>
        <w:footnoteReference w:id="85"/>
      </w:r>
      <w:r w:rsidRPr="009D5EA7">
        <w:rPr>
          <w:rFonts w:ascii="Verdana" w:hAnsi="Verdana" w:cs="Arial"/>
          <w:sz w:val="20"/>
        </w:rPr>
        <w:t>.</w:t>
      </w:r>
    </w:p>
    <w:p w14:paraId="4FC22B67" w14:textId="77777777" w:rsidR="009A4633" w:rsidRPr="009D5EA7" w:rsidRDefault="009A4633" w:rsidP="009A4633">
      <w:pPr>
        <w:pStyle w:val="Prrafodelista"/>
        <w:ind w:left="0"/>
        <w:jc w:val="both"/>
        <w:rPr>
          <w:rFonts w:ascii="Verdana" w:hAnsi="Verdana" w:cs="Arial"/>
          <w:sz w:val="20"/>
        </w:rPr>
      </w:pPr>
    </w:p>
    <w:p w14:paraId="6707E09D" w14:textId="08409074"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24 de diciembre de 2002 la Fiscal Auxiliar de Justicia presentó escrito ante el </w:t>
      </w:r>
      <w:r w:rsidR="00EB1396" w:rsidRPr="009D5EA7">
        <w:rPr>
          <w:rFonts w:ascii="Verdana" w:hAnsi="Verdana" w:cs="Arial"/>
          <w:sz w:val="20"/>
        </w:rPr>
        <w:t xml:space="preserve">Juzgado Civil y Penal de Distrito </w:t>
      </w:r>
      <w:r w:rsidRPr="009D5EA7">
        <w:rPr>
          <w:rFonts w:ascii="Verdana" w:hAnsi="Verdana" w:cs="Arial"/>
          <w:sz w:val="20"/>
        </w:rPr>
        <w:t>de Bluefields en el que</w:t>
      </w:r>
      <w:r w:rsidR="004A4CFB">
        <w:rPr>
          <w:rFonts w:ascii="Verdana" w:hAnsi="Verdana" w:cs="Arial"/>
          <w:sz w:val="20"/>
        </w:rPr>
        <w:t xml:space="preserve"> concluyó que “el proceso ha sido tramitado anómalamente, creando perjuicios de las partes por el Juez que no fue garante del debido proceso”, y </w:t>
      </w:r>
      <w:r w:rsidRPr="009D5EA7">
        <w:rPr>
          <w:rFonts w:ascii="Verdana" w:hAnsi="Verdana" w:cs="Arial"/>
          <w:sz w:val="20"/>
        </w:rPr>
        <w:t xml:space="preserve">solicitó “la nulidad de todo lo mal practicado” con base en lo siguiente: a) no consta en el expediente la indagatoria de María Luisa Acosta, quien en un momento procesal tuvo el carácter de indagada, aún y cuando el juez tenía conocimiento del lugar en el que se encontraba; b) se denegó el derecho a la señora Acosta de rendir su declaración en calidad de </w:t>
      </w:r>
      <w:r w:rsidRPr="009D5EA7">
        <w:rPr>
          <w:rFonts w:ascii="Verdana" w:hAnsi="Verdana" w:cs="Arial"/>
          <w:sz w:val="20"/>
        </w:rPr>
        <w:lastRenderedPageBreak/>
        <w:t>procesada, por cuanto el juez negó girar exhorto al juez de Chinandega; c) se cambió la calidad de ofendida a procesada de la señora Acosta,</w:t>
      </w:r>
      <w:r w:rsidR="00D2231D">
        <w:rPr>
          <w:rFonts w:ascii="Verdana" w:hAnsi="Verdana" w:cs="Arial"/>
          <w:sz w:val="20"/>
        </w:rPr>
        <w:t xml:space="preserve"> lo que es</w:t>
      </w:r>
      <w:r w:rsidRPr="009D5EA7">
        <w:rPr>
          <w:rFonts w:ascii="Verdana" w:hAnsi="Verdana" w:cs="Arial"/>
          <w:sz w:val="20"/>
        </w:rPr>
        <w:t xml:space="preserve"> </w:t>
      </w:r>
      <w:r w:rsidR="00D2231D" w:rsidRPr="009D5EA7">
        <w:rPr>
          <w:rFonts w:ascii="Verdana" w:hAnsi="Verdana" w:cs="Cambria"/>
          <w:sz w:val="20"/>
        </w:rPr>
        <w:t>“supremamente irregular” y “</w:t>
      </w:r>
      <w:r w:rsidR="00D2231D">
        <w:rPr>
          <w:rFonts w:ascii="Verdana" w:hAnsi="Verdana" w:cs="Cambria"/>
          <w:sz w:val="20"/>
        </w:rPr>
        <w:t xml:space="preserve">resulta </w:t>
      </w:r>
      <w:r w:rsidR="00D2231D" w:rsidRPr="009D5EA7">
        <w:rPr>
          <w:rFonts w:ascii="Verdana" w:hAnsi="Verdana" w:cs="Cambria"/>
          <w:sz w:val="20"/>
        </w:rPr>
        <w:t>un absurdo jurídico</w:t>
      </w:r>
      <w:r w:rsidR="00D2231D">
        <w:rPr>
          <w:rFonts w:ascii="Verdana" w:hAnsi="Verdana" w:cs="Cambria"/>
          <w:sz w:val="20"/>
        </w:rPr>
        <w:t xml:space="preserve"> tener dos calidades en un proceso, como parte ofendida con la representación de un apoderado judicial y como parte procesada en calidad de reo ausente</w:t>
      </w:r>
      <w:r w:rsidR="00D2231D" w:rsidRPr="009D5EA7">
        <w:rPr>
          <w:rFonts w:ascii="Verdana" w:hAnsi="Verdana" w:cs="Cambria"/>
          <w:sz w:val="20"/>
        </w:rPr>
        <w:t>”</w:t>
      </w:r>
      <w:r w:rsidRPr="009D5EA7">
        <w:rPr>
          <w:rFonts w:ascii="Verdana" w:hAnsi="Verdana" w:cs="Arial"/>
          <w:sz w:val="20"/>
        </w:rPr>
        <w:t>; y d) el juez declaró desierto el recurso de apelación interpuesto por el represente de la señora Acosta por no presentar el papel, aún y cuando aún no expiraba el término para presentar el gasto de papel y consta la presentación de dinero por parte del representante para gastos de copia, los cuales no le fueron recibidos</w:t>
      </w:r>
      <w:r w:rsidR="00D2231D">
        <w:rPr>
          <w:rFonts w:ascii="Verdana" w:hAnsi="Verdana" w:cs="Arial"/>
          <w:sz w:val="20"/>
        </w:rPr>
        <w:t>, “lo cual está fuera de toda lógica jurídica por cuanto actuó desajustado a la norma legal”</w:t>
      </w:r>
      <w:r w:rsidR="005373BC">
        <w:rPr>
          <w:rFonts w:ascii="Verdana" w:hAnsi="Verdana" w:cs="Arial"/>
          <w:sz w:val="20"/>
        </w:rPr>
        <w:t xml:space="preserve"> y “fue </w:t>
      </w:r>
      <w:r w:rsidR="005373BC" w:rsidRPr="009D5EA7">
        <w:rPr>
          <w:rFonts w:ascii="Verdana" w:hAnsi="Verdana" w:cs="Verdana"/>
          <w:sz w:val="20"/>
          <w:lang w:bidi="en-US"/>
        </w:rPr>
        <w:t>clara intención del juez de negar a toda costa el derecho de recurrir de apelación</w:t>
      </w:r>
      <w:r w:rsidR="005373BC">
        <w:rPr>
          <w:rFonts w:ascii="Verdana" w:hAnsi="Verdana" w:cs="Verdana"/>
          <w:sz w:val="20"/>
          <w:lang w:bidi="en-US"/>
        </w:rPr>
        <w:t xml:space="preserve"> a pesar de que era de su alcance otras formas legales de actuar”</w:t>
      </w:r>
      <w:r w:rsidRPr="009D5EA7">
        <w:rPr>
          <w:rStyle w:val="Refdenotaalpie"/>
          <w:rFonts w:ascii="Verdana" w:hAnsi="Verdana" w:cs="Arial"/>
          <w:sz w:val="20"/>
        </w:rPr>
        <w:footnoteReference w:id="86"/>
      </w:r>
      <w:r w:rsidRPr="009D5EA7">
        <w:rPr>
          <w:rFonts w:ascii="Verdana" w:hAnsi="Verdana" w:cs="Arial"/>
          <w:sz w:val="20"/>
        </w:rPr>
        <w:t>.</w:t>
      </w:r>
    </w:p>
    <w:p w14:paraId="3440CAD7" w14:textId="77777777" w:rsidR="009A4633" w:rsidRPr="009D5EA7" w:rsidRDefault="009A4633" w:rsidP="009A4633">
      <w:pPr>
        <w:pStyle w:val="Prrafodelista"/>
        <w:rPr>
          <w:rFonts w:ascii="Verdana" w:hAnsi="Verdana" w:cs="Arial"/>
          <w:sz w:val="20"/>
        </w:rPr>
      </w:pPr>
    </w:p>
    <w:p w14:paraId="34B271D9" w14:textId="38F90CC0" w:rsidR="009A4633" w:rsidRPr="009D5EA7" w:rsidRDefault="00BF5B40" w:rsidP="00667F79">
      <w:pPr>
        <w:pStyle w:val="Prrafodelista"/>
        <w:numPr>
          <w:ilvl w:val="0"/>
          <w:numId w:val="5"/>
        </w:numPr>
        <w:ind w:left="0" w:firstLine="0"/>
        <w:jc w:val="both"/>
        <w:rPr>
          <w:rFonts w:ascii="Verdana" w:hAnsi="Verdana" w:cs="Arial"/>
          <w:sz w:val="20"/>
        </w:rPr>
      </w:pPr>
      <w:r>
        <w:rPr>
          <w:rFonts w:ascii="Verdana" w:hAnsi="Verdana" w:cs="Arial"/>
          <w:sz w:val="20"/>
        </w:rPr>
        <w:t>Los días</w:t>
      </w:r>
      <w:r w:rsidR="009568A8" w:rsidRPr="009D5EA7">
        <w:rPr>
          <w:rFonts w:ascii="Verdana" w:hAnsi="Verdana" w:cs="Arial"/>
          <w:sz w:val="20"/>
        </w:rPr>
        <w:t xml:space="preserve"> 11, 12 y 14 </w:t>
      </w:r>
      <w:r w:rsidR="009A4633" w:rsidRPr="009D5EA7">
        <w:rPr>
          <w:rFonts w:ascii="Verdana" w:hAnsi="Verdana" w:cs="Arial"/>
          <w:sz w:val="20"/>
        </w:rPr>
        <w:t xml:space="preserve">de enero de 2003 la señora Acosta </w:t>
      </w:r>
      <w:r w:rsidR="009568A8" w:rsidRPr="009D5EA7">
        <w:rPr>
          <w:rFonts w:ascii="Verdana" w:hAnsi="Verdana" w:cs="Arial"/>
          <w:sz w:val="20"/>
        </w:rPr>
        <w:t>y dos testigos reconocieron</w:t>
      </w:r>
      <w:r w:rsidR="009A4633" w:rsidRPr="009D5EA7">
        <w:rPr>
          <w:rFonts w:ascii="Verdana" w:hAnsi="Verdana" w:cs="Arial"/>
          <w:sz w:val="20"/>
        </w:rPr>
        <w:t xml:space="preserve"> a Wilberth José Ochoa Maradiaga en una “rueda de presos” organizada por la Policía Nacional de Chinandega</w:t>
      </w:r>
      <w:r w:rsidR="009A4633" w:rsidRPr="009D5EA7">
        <w:rPr>
          <w:rStyle w:val="Refdenotaalpie"/>
          <w:rFonts w:ascii="Verdana" w:hAnsi="Verdana" w:cs="Arial"/>
          <w:sz w:val="20"/>
        </w:rPr>
        <w:footnoteReference w:id="87"/>
      </w:r>
      <w:r w:rsidR="009568A8" w:rsidRPr="009D5EA7">
        <w:rPr>
          <w:rFonts w:ascii="Verdana" w:hAnsi="Verdana" w:cs="Arial"/>
          <w:sz w:val="20"/>
        </w:rPr>
        <w:t>.</w:t>
      </w:r>
    </w:p>
    <w:p w14:paraId="3CC66035" w14:textId="77777777" w:rsidR="009A4633" w:rsidRPr="009D5EA7" w:rsidRDefault="009A4633" w:rsidP="009A4633">
      <w:pPr>
        <w:pStyle w:val="Prrafodelista"/>
        <w:rPr>
          <w:rFonts w:ascii="Verdana" w:hAnsi="Verdana" w:cs="Arial"/>
          <w:sz w:val="20"/>
        </w:rPr>
      </w:pPr>
    </w:p>
    <w:p w14:paraId="6053C6EF" w14:textId="620DAC0D"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14 de enero de 2003 la Fiscal Auxiliar del Ministerio Público de la Región Autónoma del Atlántico Sur formuló acusación por el delito de asesinato contra Wilberth Ochoa Maradiaga. La acusación se basó en elementos de convicció</w:t>
      </w:r>
      <w:r w:rsidR="009568A8" w:rsidRPr="009D5EA7">
        <w:rPr>
          <w:rFonts w:ascii="Verdana" w:hAnsi="Verdana" w:cs="Arial"/>
          <w:sz w:val="20"/>
        </w:rPr>
        <w:t>n testimoniales y documentales</w:t>
      </w:r>
      <w:r w:rsidRPr="009D5EA7">
        <w:rPr>
          <w:rStyle w:val="Refdenotaalpie"/>
          <w:rFonts w:ascii="Verdana" w:hAnsi="Verdana" w:cs="Arial"/>
          <w:sz w:val="20"/>
        </w:rPr>
        <w:footnoteReference w:id="88"/>
      </w:r>
      <w:r w:rsidRPr="009D5EA7">
        <w:rPr>
          <w:rFonts w:ascii="Verdana" w:hAnsi="Verdana" w:cs="Arial"/>
          <w:sz w:val="20"/>
        </w:rPr>
        <w:t>,</w:t>
      </w:r>
      <w:r w:rsidR="009568A8" w:rsidRPr="009D5EA7">
        <w:rPr>
          <w:rFonts w:ascii="Verdana" w:hAnsi="Verdana" w:cs="Arial"/>
          <w:sz w:val="20"/>
        </w:rPr>
        <w:t xml:space="preserve"> señalando que</w:t>
      </w:r>
      <w:r w:rsidRPr="009D5EA7">
        <w:rPr>
          <w:rFonts w:ascii="Verdana" w:hAnsi="Verdana" w:cs="Arial"/>
          <w:sz w:val="20"/>
        </w:rPr>
        <w:t xml:space="preserve"> en el delito concurrieron los elementos de alevosía, premeditación y ensañamiento</w:t>
      </w:r>
      <w:r w:rsidRPr="009D5EA7">
        <w:rPr>
          <w:rStyle w:val="Refdenotaalpie"/>
          <w:rFonts w:ascii="Verdana" w:hAnsi="Verdana" w:cs="Arial"/>
          <w:sz w:val="20"/>
        </w:rPr>
        <w:footnoteReference w:id="89"/>
      </w:r>
      <w:r w:rsidRPr="009D5EA7">
        <w:rPr>
          <w:rFonts w:ascii="Verdana" w:hAnsi="Verdana" w:cs="Arial"/>
          <w:sz w:val="20"/>
        </w:rPr>
        <w:t>.</w:t>
      </w:r>
      <w:r w:rsidR="00CA7A6F" w:rsidRPr="009D5EA7">
        <w:rPr>
          <w:rFonts w:ascii="Verdana" w:hAnsi="Verdana" w:cs="Arial"/>
          <w:sz w:val="20"/>
        </w:rPr>
        <w:t xml:space="preserve"> </w:t>
      </w:r>
      <w:r w:rsidRPr="009D5EA7">
        <w:rPr>
          <w:rFonts w:ascii="Verdana" w:hAnsi="Verdana" w:cs="Arial"/>
          <w:sz w:val="20"/>
        </w:rPr>
        <w:t xml:space="preserve">El 22 de enero </w:t>
      </w:r>
      <w:r w:rsidR="00CA7A6F" w:rsidRPr="009D5EA7">
        <w:rPr>
          <w:rFonts w:ascii="Verdana" w:hAnsi="Verdana" w:cs="Arial"/>
          <w:sz w:val="20"/>
        </w:rPr>
        <w:t xml:space="preserve">siguiente </w:t>
      </w:r>
      <w:r w:rsidRPr="009D5EA7">
        <w:rPr>
          <w:rFonts w:ascii="Verdana" w:hAnsi="Verdana" w:cs="Arial"/>
          <w:sz w:val="20"/>
        </w:rPr>
        <w:t xml:space="preserve">la Fiscal presentó ante el juez diversos elementos probatorios para </w:t>
      </w:r>
      <w:r w:rsidR="00CA7A6F" w:rsidRPr="009D5EA7">
        <w:rPr>
          <w:rFonts w:ascii="Verdana" w:hAnsi="Verdana" w:cs="Arial"/>
          <w:sz w:val="20"/>
        </w:rPr>
        <w:t>mejor</w:t>
      </w:r>
      <w:r w:rsidRPr="009D5EA7">
        <w:rPr>
          <w:rFonts w:ascii="Verdana" w:hAnsi="Verdana" w:cs="Arial"/>
          <w:sz w:val="20"/>
        </w:rPr>
        <w:t xml:space="preserve"> esclarecimiento de los hechos </w:t>
      </w:r>
      <w:r w:rsidR="00CA7A6F" w:rsidRPr="009D5EA7">
        <w:rPr>
          <w:rFonts w:ascii="Verdana" w:hAnsi="Verdana" w:cs="Arial"/>
          <w:sz w:val="20"/>
        </w:rPr>
        <w:t xml:space="preserve">e </w:t>
      </w:r>
      <w:r w:rsidRPr="009D5EA7">
        <w:rPr>
          <w:rFonts w:ascii="Verdana" w:hAnsi="Verdana" w:cs="Arial"/>
          <w:sz w:val="20"/>
        </w:rPr>
        <w:t>ilustración del juez al dictar sentencia</w:t>
      </w:r>
      <w:r w:rsidRPr="009D5EA7">
        <w:rPr>
          <w:rStyle w:val="Refdenotaalpie"/>
          <w:rFonts w:ascii="Verdana" w:hAnsi="Verdana" w:cs="Arial"/>
          <w:sz w:val="20"/>
        </w:rPr>
        <w:footnoteReference w:id="90"/>
      </w:r>
      <w:r w:rsidRPr="009D5EA7">
        <w:rPr>
          <w:rFonts w:ascii="Verdana" w:hAnsi="Verdana" w:cs="Arial"/>
          <w:sz w:val="20"/>
        </w:rPr>
        <w:t>.</w:t>
      </w:r>
    </w:p>
    <w:p w14:paraId="0903B2AB" w14:textId="77777777" w:rsidR="009A4633" w:rsidRPr="009D5EA7" w:rsidRDefault="009A4633" w:rsidP="009A4633">
      <w:pPr>
        <w:pStyle w:val="Prrafodelista"/>
        <w:rPr>
          <w:rFonts w:ascii="Verdana" w:hAnsi="Verdana" w:cs="Arial"/>
          <w:sz w:val="20"/>
        </w:rPr>
      </w:pPr>
    </w:p>
    <w:p w14:paraId="6DE9F68D" w14:textId="0A5D2FAB" w:rsidR="009A4633" w:rsidRPr="009D5EA7" w:rsidRDefault="00CA7A6F" w:rsidP="00667F79">
      <w:pPr>
        <w:pStyle w:val="Prrafodelista"/>
        <w:numPr>
          <w:ilvl w:val="0"/>
          <w:numId w:val="5"/>
        </w:numPr>
        <w:ind w:left="0" w:firstLine="0"/>
        <w:jc w:val="both"/>
        <w:rPr>
          <w:rFonts w:ascii="Verdana" w:hAnsi="Verdana" w:cs="Arial"/>
          <w:sz w:val="20"/>
        </w:rPr>
      </w:pPr>
      <w:r w:rsidRPr="009D5EA7">
        <w:rPr>
          <w:rFonts w:ascii="Verdana" w:hAnsi="Verdana" w:cs="Arial"/>
          <w:i/>
          <w:sz w:val="20"/>
        </w:rPr>
        <w:t xml:space="preserve">Tercer incidente de nulidad.- </w:t>
      </w:r>
      <w:r w:rsidR="009A4633" w:rsidRPr="009D5EA7">
        <w:rPr>
          <w:rFonts w:ascii="Verdana" w:hAnsi="Verdana" w:cs="Arial"/>
          <w:sz w:val="20"/>
        </w:rPr>
        <w:t xml:space="preserve">El 24 de enero de 2003 el representante de la señora Acosta interpuso un tercer incidente de nulidad de todo lo actuado en el proceso desde el auto de 19 de abril de 2002 ante el </w:t>
      </w:r>
      <w:r w:rsidR="00EB1396" w:rsidRPr="009D5EA7">
        <w:rPr>
          <w:rFonts w:ascii="Verdana" w:hAnsi="Verdana" w:cs="Arial"/>
          <w:sz w:val="20"/>
        </w:rPr>
        <w:t>Juzgado Civil y Penal</w:t>
      </w:r>
      <w:r w:rsidR="009A4633" w:rsidRPr="009D5EA7">
        <w:rPr>
          <w:rStyle w:val="Refdenotaalpie"/>
          <w:rFonts w:ascii="Verdana" w:hAnsi="Verdana" w:cs="Arial"/>
          <w:sz w:val="20"/>
        </w:rPr>
        <w:footnoteReference w:id="91"/>
      </w:r>
      <w:r w:rsidR="009A4633" w:rsidRPr="009D5EA7">
        <w:rPr>
          <w:rFonts w:ascii="Verdana" w:hAnsi="Verdana" w:cs="Arial"/>
          <w:sz w:val="20"/>
        </w:rPr>
        <w:t xml:space="preserve">. </w:t>
      </w:r>
    </w:p>
    <w:p w14:paraId="43A47469" w14:textId="77777777" w:rsidR="009A4633" w:rsidRPr="009D5EA7" w:rsidRDefault="009A4633" w:rsidP="009A4633">
      <w:pPr>
        <w:pStyle w:val="Prrafodelista"/>
        <w:rPr>
          <w:rFonts w:ascii="Verdana" w:hAnsi="Verdana" w:cs="Arial"/>
          <w:sz w:val="20"/>
        </w:rPr>
      </w:pPr>
    </w:p>
    <w:p w14:paraId="1712BD49" w14:textId="62167652" w:rsidR="009A4633" w:rsidRPr="009D5EA7" w:rsidRDefault="006F6022"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Mediante auto dictado ese</w:t>
      </w:r>
      <w:r w:rsidR="009A4633" w:rsidRPr="009D5EA7">
        <w:rPr>
          <w:rFonts w:ascii="Verdana" w:hAnsi="Verdana" w:cs="Arial"/>
          <w:sz w:val="20"/>
        </w:rPr>
        <w:t xml:space="preserve"> mismo día, el Juzgado de Distrito de lo Civil de Bluefields y Penal del In por Ministerio de Ley </w:t>
      </w:r>
      <w:r w:rsidRPr="009D5EA7">
        <w:rPr>
          <w:rFonts w:ascii="Verdana" w:hAnsi="Verdana" w:cs="Arial"/>
          <w:sz w:val="20"/>
        </w:rPr>
        <w:t>dispuso poner en segura y formal prisión a</w:t>
      </w:r>
      <w:r w:rsidR="009A4633" w:rsidRPr="009D5EA7">
        <w:rPr>
          <w:rFonts w:ascii="Verdana" w:hAnsi="Verdana" w:cs="Arial"/>
          <w:sz w:val="20"/>
        </w:rPr>
        <w:t xml:space="preserve"> Wilberth José Ochoa Mar</w:t>
      </w:r>
      <w:r w:rsidR="00437056" w:rsidRPr="009D5EA7">
        <w:rPr>
          <w:rFonts w:ascii="Verdana" w:hAnsi="Verdana" w:cs="Arial"/>
          <w:sz w:val="20"/>
        </w:rPr>
        <w:t>a</w:t>
      </w:r>
      <w:r w:rsidR="009A4633" w:rsidRPr="009D5EA7">
        <w:rPr>
          <w:rFonts w:ascii="Verdana" w:hAnsi="Verdana" w:cs="Arial"/>
          <w:sz w:val="20"/>
        </w:rPr>
        <w:t xml:space="preserve">diaga </w:t>
      </w:r>
      <w:r w:rsidRPr="009D5EA7">
        <w:rPr>
          <w:rFonts w:ascii="Verdana" w:hAnsi="Verdana" w:cs="Arial"/>
          <w:sz w:val="20"/>
        </w:rPr>
        <w:t>como presunto autor</w:t>
      </w:r>
      <w:r w:rsidR="009A4633" w:rsidRPr="009D5EA7">
        <w:rPr>
          <w:rFonts w:ascii="Verdana" w:hAnsi="Verdana" w:cs="Arial"/>
          <w:sz w:val="20"/>
        </w:rPr>
        <w:t xml:space="preserve"> </w:t>
      </w:r>
      <w:r w:rsidRPr="009D5EA7">
        <w:rPr>
          <w:rFonts w:ascii="Verdana" w:hAnsi="Verdana" w:cs="Arial"/>
          <w:sz w:val="20"/>
        </w:rPr>
        <w:t>d</w:t>
      </w:r>
      <w:r w:rsidR="009A4633" w:rsidRPr="009D5EA7">
        <w:rPr>
          <w:rFonts w:ascii="Verdana" w:hAnsi="Verdana" w:cs="Arial"/>
          <w:sz w:val="20"/>
        </w:rPr>
        <w:t>el asesinato del señor García</w:t>
      </w:r>
      <w:r w:rsidR="00CA7A6F" w:rsidRPr="009D5EA7">
        <w:rPr>
          <w:rFonts w:ascii="Verdana" w:hAnsi="Verdana" w:cs="Arial"/>
          <w:sz w:val="20"/>
        </w:rPr>
        <w:t xml:space="preserve"> Valle</w:t>
      </w:r>
      <w:r w:rsidRPr="009D5EA7">
        <w:rPr>
          <w:rFonts w:ascii="Verdana" w:hAnsi="Verdana" w:cs="Arial"/>
          <w:sz w:val="20"/>
        </w:rPr>
        <w:t>, así como embargo de bienes en su contra</w:t>
      </w:r>
      <w:r w:rsidR="009A4633" w:rsidRPr="009D5EA7">
        <w:rPr>
          <w:rStyle w:val="Refdenotaalpie"/>
          <w:rFonts w:ascii="Verdana" w:hAnsi="Verdana" w:cs="Arial"/>
          <w:sz w:val="20"/>
        </w:rPr>
        <w:footnoteReference w:id="92"/>
      </w:r>
      <w:r w:rsidR="009A4633" w:rsidRPr="009D5EA7">
        <w:rPr>
          <w:rFonts w:ascii="Verdana" w:hAnsi="Verdana" w:cs="Arial"/>
          <w:sz w:val="20"/>
        </w:rPr>
        <w:t>.</w:t>
      </w:r>
    </w:p>
    <w:p w14:paraId="44F44487" w14:textId="77777777" w:rsidR="009A4633" w:rsidRPr="009D5EA7" w:rsidRDefault="009A4633" w:rsidP="009A4633">
      <w:pPr>
        <w:pStyle w:val="Prrafodelista"/>
        <w:rPr>
          <w:rFonts w:ascii="Verdana" w:hAnsi="Verdana" w:cs="Arial"/>
          <w:sz w:val="20"/>
        </w:rPr>
      </w:pPr>
    </w:p>
    <w:p w14:paraId="69F5D2EC" w14:textId="1229EFD0"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lastRenderedPageBreak/>
        <w:t xml:space="preserve">El 4 de febrero de 2003 el representante de la señora Acosta presentó segundas vistas ante el juez, con el fin de alegar nulidades en el proceso, particularmente por el cambio de la calidad de ofendida a acusada de </w:t>
      </w:r>
      <w:r w:rsidR="004F3734" w:rsidRPr="009D5EA7">
        <w:rPr>
          <w:rFonts w:ascii="Verdana" w:hAnsi="Verdana" w:cs="Arial"/>
          <w:sz w:val="20"/>
        </w:rPr>
        <w:t>aquélla</w:t>
      </w:r>
      <w:r w:rsidRPr="009D5EA7">
        <w:rPr>
          <w:rStyle w:val="Refdenotaalpie"/>
          <w:rFonts w:ascii="Verdana" w:hAnsi="Verdana" w:cs="Arial"/>
          <w:sz w:val="20"/>
        </w:rPr>
        <w:footnoteReference w:id="93"/>
      </w:r>
      <w:r w:rsidRPr="009D5EA7">
        <w:rPr>
          <w:rFonts w:ascii="Verdana" w:hAnsi="Verdana" w:cs="Arial"/>
          <w:sz w:val="20"/>
        </w:rPr>
        <w:t>.</w:t>
      </w:r>
    </w:p>
    <w:p w14:paraId="16A98672" w14:textId="77777777" w:rsidR="009A4633" w:rsidRPr="009D5EA7" w:rsidRDefault="009A4633" w:rsidP="009A4633">
      <w:pPr>
        <w:pStyle w:val="Prrafodelista"/>
        <w:rPr>
          <w:rFonts w:ascii="Verdana" w:hAnsi="Verdana" w:cs="Arial"/>
          <w:sz w:val="20"/>
        </w:rPr>
      </w:pPr>
    </w:p>
    <w:p w14:paraId="5122B32F" w14:textId="7CE46858" w:rsidR="009A4633" w:rsidRPr="009D5EA7" w:rsidRDefault="009A4633" w:rsidP="00764688">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Mediante auto de 4 de marzo de 2003, el Juzgado de Distrito de lo Civil y Penal del In de Bluefields determinó que lo alegado por la Fiscal Auxiliar de Justicia y </w:t>
      </w:r>
      <w:r w:rsidR="006F6022" w:rsidRPr="009D5EA7">
        <w:rPr>
          <w:rFonts w:ascii="Verdana" w:hAnsi="Verdana" w:cs="Arial"/>
          <w:sz w:val="20"/>
        </w:rPr>
        <w:t xml:space="preserve">por </w:t>
      </w:r>
      <w:r w:rsidRPr="009D5EA7">
        <w:rPr>
          <w:rFonts w:ascii="Verdana" w:hAnsi="Verdana" w:cs="Arial"/>
          <w:sz w:val="20"/>
        </w:rPr>
        <w:t>el representante de la señora Acosta se encontraba fuera de tiempo, toda vez que se trató de nulidades que ocurrieron en la etapa instructiva del juicio y no en la etapa plenaria, debiendo alegarse las nulidades en las instancias en las que se cometieron</w:t>
      </w:r>
      <w:r w:rsidRPr="009D5EA7">
        <w:rPr>
          <w:rStyle w:val="Refdenotaalpie"/>
          <w:rFonts w:ascii="Verdana" w:hAnsi="Verdana" w:cs="Arial"/>
          <w:sz w:val="20"/>
        </w:rPr>
        <w:footnoteReference w:id="94"/>
      </w:r>
      <w:r w:rsidRPr="009D5EA7">
        <w:rPr>
          <w:rFonts w:ascii="Verdana" w:hAnsi="Verdana" w:cs="Arial"/>
          <w:sz w:val="20"/>
        </w:rPr>
        <w:t>.</w:t>
      </w:r>
    </w:p>
    <w:p w14:paraId="1F221E51" w14:textId="77777777" w:rsidR="00764688" w:rsidRPr="009D5EA7" w:rsidRDefault="00764688" w:rsidP="00764688">
      <w:pPr>
        <w:pStyle w:val="Prrafodelista"/>
        <w:rPr>
          <w:rFonts w:ascii="Verdana" w:hAnsi="Verdana" w:cs="Arial"/>
          <w:sz w:val="20"/>
        </w:rPr>
      </w:pPr>
    </w:p>
    <w:p w14:paraId="6183FA31" w14:textId="15FCDC88" w:rsidR="00764688" w:rsidRPr="009D5EA7" w:rsidRDefault="00BC1B66" w:rsidP="00764688">
      <w:pPr>
        <w:pStyle w:val="Prrafodelista"/>
        <w:numPr>
          <w:ilvl w:val="0"/>
          <w:numId w:val="5"/>
        </w:numPr>
        <w:ind w:left="0" w:firstLine="0"/>
        <w:jc w:val="both"/>
        <w:rPr>
          <w:rFonts w:ascii="Verdana" w:hAnsi="Verdana" w:cs="Arial"/>
          <w:sz w:val="20"/>
        </w:rPr>
      </w:pPr>
      <w:r>
        <w:rPr>
          <w:rFonts w:ascii="Verdana" w:hAnsi="Verdana" w:cs="Arial"/>
          <w:sz w:val="20"/>
        </w:rPr>
        <w:t xml:space="preserve">El </w:t>
      </w:r>
      <w:r w:rsidR="00764688" w:rsidRPr="009D5EA7">
        <w:rPr>
          <w:rFonts w:ascii="Verdana" w:hAnsi="Verdana" w:cs="Arial"/>
          <w:sz w:val="20"/>
        </w:rPr>
        <w:t>14 de marzo de 2003 la señora Acosta reiteró sus quejas disciplinarias contra el juez Acuña Cambronero y amplió la queja contra la Jueza Civil del Distrito de Bluefields y Penal del In por Ministerio de Ley y contra los magistrados de la Sala Penal del Tribunal de Apelaciones de Bluefields (</w:t>
      </w:r>
      <w:r w:rsidR="00764688" w:rsidRPr="009D5EA7">
        <w:rPr>
          <w:rFonts w:ascii="Verdana" w:hAnsi="Verdana" w:cs="Arial"/>
          <w:i/>
          <w:sz w:val="20"/>
        </w:rPr>
        <w:t xml:space="preserve">infra </w:t>
      </w:r>
      <w:r w:rsidR="008B3A6F">
        <w:rPr>
          <w:rFonts w:ascii="Verdana" w:hAnsi="Verdana" w:cs="Arial"/>
          <w:sz w:val="20"/>
        </w:rPr>
        <w:t>párrs. 113 a 124</w:t>
      </w:r>
      <w:r w:rsidR="00764688" w:rsidRPr="009D5EA7">
        <w:rPr>
          <w:rFonts w:ascii="Verdana" w:hAnsi="Verdana" w:cs="Arial"/>
          <w:sz w:val="20"/>
        </w:rPr>
        <w:t>).</w:t>
      </w:r>
    </w:p>
    <w:p w14:paraId="654765DA" w14:textId="77777777" w:rsidR="00764688" w:rsidRPr="009D5EA7" w:rsidRDefault="00764688" w:rsidP="00764688">
      <w:pPr>
        <w:pStyle w:val="Prrafodelista"/>
        <w:ind w:left="0"/>
        <w:jc w:val="both"/>
        <w:rPr>
          <w:rFonts w:ascii="Verdana" w:hAnsi="Verdana" w:cs="Arial"/>
          <w:sz w:val="20"/>
        </w:rPr>
      </w:pPr>
    </w:p>
    <w:p w14:paraId="468FF729" w14:textId="45ED4381" w:rsidR="009A4633" w:rsidRPr="009D5EA7" w:rsidRDefault="006F6022" w:rsidP="002D0D3E">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24 de marzo de 2003 </w:t>
      </w:r>
      <w:r w:rsidR="00437056" w:rsidRPr="009D5EA7">
        <w:rPr>
          <w:rFonts w:ascii="Verdana" w:hAnsi="Verdana" w:cs="Arial"/>
          <w:sz w:val="20"/>
        </w:rPr>
        <w:t>el</w:t>
      </w:r>
      <w:r w:rsidRPr="009D5EA7">
        <w:rPr>
          <w:rFonts w:ascii="Verdana" w:hAnsi="Verdana" w:cs="Arial"/>
          <w:sz w:val="20"/>
        </w:rPr>
        <w:t xml:space="preserve"> Juzgado</w:t>
      </w:r>
      <w:r w:rsidR="009A4633" w:rsidRPr="009D5EA7">
        <w:rPr>
          <w:rFonts w:ascii="Verdana" w:hAnsi="Verdana" w:cs="Arial"/>
          <w:sz w:val="20"/>
        </w:rPr>
        <w:t xml:space="preserve"> de Distrito de lo Civil y Penal de Bluefields libró la ejecutoria de la sentencia interlocutoria del 13 de mayo de 2002 en la que se d</w:t>
      </w:r>
      <w:r w:rsidR="008B3A6F">
        <w:rPr>
          <w:rFonts w:ascii="Verdana" w:hAnsi="Verdana" w:cs="Arial"/>
          <w:sz w:val="20"/>
        </w:rPr>
        <w:t>ictó sobreseimiento definitivo</w:t>
      </w:r>
      <w:r w:rsidR="009A4633" w:rsidRPr="009D5EA7">
        <w:rPr>
          <w:rStyle w:val="Refdenotaalpie"/>
          <w:rFonts w:ascii="Verdana" w:hAnsi="Verdana" w:cs="Arial"/>
          <w:sz w:val="20"/>
        </w:rPr>
        <w:footnoteReference w:id="95"/>
      </w:r>
      <w:r w:rsidR="009A4633" w:rsidRPr="009D5EA7">
        <w:rPr>
          <w:rFonts w:ascii="Verdana" w:hAnsi="Verdana" w:cs="Arial"/>
          <w:sz w:val="20"/>
        </w:rPr>
        <w:t>.</w:t>
      </w:r>
    </w:p>
    <w:p w14:paraId="3026912C" w14:textId="77777777" w:rsidR="002D0D3E" w:rsidRPr="009D5EA7" w:rsidRDefault="002D0D3E" w:rsidP="002D0D3E">
      <w:pPr>
        <w:pStyle w:val="Prrafodelista"/>
        <w:rPr>
          <w:rFonts w:ascii="Verdana" w:hAnsi="Verdana" w:cs="Arial"/>
          <w:sz w:val="20"/>
        </w:rPr>
      </w:pPr>
    </w:p>
    <w:p w14:paraId="06959575" w14:textId="0D70AF82" w:rsidR="002D0D3E" w:rsidRPr="009D5EA7" w:rsidRDefault="002D0D3E" w:rsidP="002D0D3E">
      <w:pPr>
        <w:pStyle w:val="Prrafodelista"/>
        <w:numPr>
          <w:ilvl w:val="0"/>
          <w:numId w:val="5"/>
        </w:numPr>
        <w:ind w:left="0" w:firstLine="0"/>
        <w:jc w:val="both"/>
        <w:rPr>
          <w:rFonts w:ascii="Verdana" w:hAnsi="Verdana" w:cs="Arial"/>
          <w:sz w:val="20"/>
        </w:rPr>
      </w:pPr>
      <w:r w:rsidRPr="009D5EA7">
        <w:rPr>
          <w:rFonts w:ascii="Verdana" w:hAnsi="Verdana" w:cs="Arial"/>
          <w:sz w:val="20"/>
        </w:rPr>
        <w:t>El 13 de junio de 2003 la señora Acosta interpuso una cuarta queja disciplinaria contra la Jueza Civil del Distrito de Bluefields y Penal del In por Ministerio de Ley (</w:t>
      </w:r>
      <w:r w:rsidRPr="009D5EA7">
        <w:rPr>
          <w:rFonts w:ascii="Verdana" w:hAnsi="Verdana" w:cs="Arial"/>
          <w:i/>
          <w:sz w:val="20"/>
        </w:rPr>
        <w:t xml:space="preserve">infra </w:t>
      </w:r>
      <w:r w:rsidR="008B3A6F">
        <w:rPr>
          <w:rFonts w:ascii="Verdana" w:hAnsi="Verdana" w:cs="Arial"/>
          <w:sz w:val="20"/>
        </w:rPr>
        <w:t>párrs.</w:t>
      </w:r>
      <w:r w:rsidR="008B3A6F" w:rsidRPr="008B3A6F">
        <w:rPr>
          <w:rFonts w:ascii="Verdana" w:hAnsi="Verdana" w:cs="Arial"/>
          <w:sz w:val="20"/>
        </w:rPr>
        <w:t xml:space="preserve"> </w:t>
      </w:r>
      <w:r w:rsidR="008B3A6F">
        <w:rPr>
          <w:rFonts w:ascii="Verdana" w:hAnsi="Verdana" w:cs="Arial"/>
          <w:sz w:val="20"/>
        </w:rPr>
        <w:t>113 a 124</w:t>
      </w:r>
      <w:r w:rsidRPr="009D5EA7">
        <w:rPr>
          <w:rFonts w:ascii="Verdana" w:hAnsi="Verdana" w:cs="Arial"/>
          <w:sz w:val="20"/>
        </w:rPr>
        <w:t>).</w:t>
      </w:r>
    </w:p>
    <w:p w14:paraId="33936F43" w14:textId="77777777" w:rsidR="002D0D3E" w:rsidRPr="009D5EA7" w:rsidRDefault="002D0D3E" w:rsidP="002D0D3E">
      <w:pPr>
        <w:pStyle w:val="Prrafodelista"/>
        <w:rPr>
          <w:rFonts w:ascii="Verdana" w:hAnsi="Verdana" w:cs="Arial"/>
          <w:sz w:val="20"/>
        </w:rPr>
      </w:pPr>
    </w:p>
    <w:p w14:paraId="396132EA" w14:textId="6121FA49" w:rsidR="009A4633" w:rsidRPr="009D5EA7" w:rsidRDefault="006F6022" w:rsidP="002D0D3E">
      <w:pPr>
        <w:pStyle w:val="Prrafodelista"/>
        <w:numPr>
          <w:ilvl w:val="0"/>
          <w:numId w:val="5"/>
        </w:numPr>
        <w:ind w:left="0" w:firstLine="0"/>
        <w:jc w:val="both"/>
        <w:rPr>
          <w:rFonts w:ascii="Verdana" w:hAnsi="Verdana" w:cs="Arial"/>
          <w:sz w:val="20"/>
        </w:rPr>
      </w:pPr>
      <w:r w:rsidRPr="009D5EA7">
        <w:rPr>
          <w:rFonts w:ascii="Verdana" w:hAnsi="Verdana"/>
          <w:i/>
          <w:sz w:val="20"/>
        </w:rPr>
        <w:t xml:space="preserve">Cuarto incidente de nulidad.- </w:t>
      </w:r>
      <w:r w:rsidR="009A4633" w:rsidRPr="009D5EA7">
        <w:rPr>
          <w:rFonts w:ascii="Verdana" w:hAnsi="Verdana"/>
          <w:sz w:val="20"/>
        </w:rPr>
        <w:t>El 23 de septiembre de 2003 la Sala de lo Penal del Tribunal de Apelaciones rechazó conocer sobre un cuarto incidente</w:t>
      </w:r>
      <w:r w:rsidR="008B3A6F">
        <w:rPr>
          <w:rFonts w:ascii="Verdana" w:hAnsi="Verdana"/>
          <w:sz w:val="20"/>
        </w:rPr>
        <w:t xml:space="preserve"> de nulidad</w:t>
      </w:r>
      <w:r w:rsidR="009A4633" w:rsidRPr="009D5EA7">
        <w:rPr>
          <w:rFonts w:ascii="Verdana" w:hAnsi="Verdana"/>
          <w:sz w:val="20"/>
        </w:rPr>
        <w:t xml:space="preserve"> interpuesto por la señora Acosta el 9 de junio de 2003</w:t>
      </w:r>
      <w:r w:rsidR="009A4633" w:rsidRPr="009D5EA7">
        <w:rPr>
          <w:rStyle w:val="Refdenotaalpie"/>
          <w:rFonts w:ascii="Verdana" w:hAnsi="Verdana" w:cs="Arial Narrow"/>
          <w:spacing w:val="-2"/>
          <w:sz w:val="20"/>
        </w:rPr>
        <w:footnoteReference w:id="96"/>
      </w:r>
      <w:r w:rsidR="009A4633" w:rsidRPr="009D5EA7">
        <w:rPr>
          <w:rFonts w:ascii="Verdana" w:hAnsi="Verdana"/>
          <w:sz w:val="20"/>
        </w:rPr>
        <w:t xml:space="preserve">, con el argumento de </w:t>
      </w:r>
      <w:r w:rsidR="009A4633" w:rsidRPr="009D5EA7">
        <w:rPr>
          <w:rFonts w:ascii="Verdana" w:hAnsi="Verdana" w:cs="Arial"/>
          <w:sz w:val="20"/>
        </w:rPr>
        <w:t>que</w:t>
      </w:r>
      <w:r w:rsidR="008B3A6F">
        <w:rPr>
          <w:rFonts w:ascii="Verdana" w:hAnsi="Verdana"/>
          <w:sz w:val="20"/>
        </w:rPr>
        <w:t xml:space="preserve"> esa “Sala deb[ía]</w:t>
      </w:r>
      <w:r w:rsidR="009A4633" w:rsidRPr="009D5EA7">
        <w:rPr>
          <w:rFonts w:ascii="Verdana" w:hAnsi="Verdana"/>
          <w:sz w:val="20"/>
        </w:rPr>
        <w:t xml:space="preserve"> analizar si existe nulidad </w:t>
      </w:r>
      <w:hyperlink r:id="rId9" w:anchor="Corchetes_.5B_.5D" w:history="1">
        <w:r w:rsidR="009A4633" w:rsidRPr="009D5EA7">
          <w:rPr>
            <w:rFonts w:ascii="Verdana" w:hAnsi="Verdana" w:cs="Arial"/>
            <w:sz w:val="20"/>
          </w:rPr>
          <w:t>[…]</w:t>
        </w:r>
      </w:hyperlink>
      <w:r w:rsidR="009A4633" w:rsidRPr="009D5EA7">
        <w:rPr>
          <w:rFonts w:ascii="Verdana" w:hAnsi="Verdana" w:cs="Arial"/>
          <w:sz w:val="20"/>
        </w:rPr>
        <w:t xml:space="preserve"> en relación </w:t>
      </w:r>
      <w:hyperlink r:id="rId10" w:anchor="Corchetes_.5B_.5D" w:history="1">
        <w:r w:rsidR="009A4633" w:rsidRPr="009D5EA7">
          <w:rPr>
            <w:rFonts w:ascii="Verdana" w:hAnsi="Verdana" w:cs="Arial"/>
            <w:sz w:val="20"/>
          </w:rPr>
          <w:t>[con]</w:t>
        </w:r>
      </w:hyperlink>
      <w:r w:rsidR="009A4633" w:rsidRPr="009D5EA7">
        <w:rPr>
          <w:rFonts w:ascii="Verdana" w:hAnsi="Verdana" w:cs="Arial"/>
          <w:sz w:val="20"/>
        </w:rPr>
        <w:t xml:space="preserve"> el proceso </w:t>
      </w:r>
      <w:hyperlink r:id="rId11" w:anchor="Corchetes_.5B_.5D" w:history="1">
        <w:r w:rsidR="009A4633" w:rsidRPr="009D5EA7">
          <w:rPr>
            <w:rFonts w:ascii="Verdana" w:hAnsi="Verdana" w:cs="Arial"/>
            <w:sz w:val="20"/>
          </w:rPr>
          <w:t>[de]</w:t>
        </w:r>
      </w:hyperlink>
      <w:r w:rsidR="008B3A6F">
        <w:rPr>
          <w:rFonts w:ascii="Verdana" w:hAnsi="Verdana" w:cs="Arial"/>
          <w:sz w:val="20"/>
        </w:rPr>
        <w:t xml:space="preserve"> Wilberth Ochoa</w:t>
      </w:r>
      <w:hyperlink r:id="rId12" w:anchor="Corchetes_.5B_.5D" w:history="1">
        <w:r w:rsidR="009A4633" w:rsidRPr="009D5EA7">
          <w:rPr>
            <w:rFonts w:ascii="Verdana" w:hAnsi="Verdana" w:cs="Arial"/>
            <w:sz w:val="20"/>
          </w:rPr>
          <w:t>[</w:t>
        </w:r>
        <w:r w:rsidR="008B3A6F">
          <w:rPr>
            <w:rFonts w:ascii="Verdana" w:hAnsi="Verdana" w:cs="Arial"/>
            <w:sz w:val="20"/>
          </w:rPr>
          <w:t>, pero</w:t>
        </w:r>
        <w:r w:rsidR="009A4633" w:rsidRPr="009D5EA7">
          <w:rPr>
            <w:rFonts w:ascii="Verdana" w:hAnsi="Verdana" w:cs="Arial"/>
            <w:sz w:val="20"/>
          </w:rPr>
          <w:t xml:space="preserve"> el incidente interpuesto]</w:t>
        </w:r>
      </w:hyperlink>
      <w:r w:rsidR="009A4633" w:rsidRPr="009D5EA7">
        <w:rPr>
          <w:rFonts w:ascii="Verdana" w:hAnsi="Verdana" w:cs="Arial"/>
          <w:sz w:val="20"/>
        </w:rPr>
        <w:t xml:space="preserve"> </w:t>
      </w:r>
      <w:r w:rsidR="009A4633" w:rsidRPr="009D5EA7">
        <w:rPr>
          <w:rFonts w:ascii="Verdana" w:hAnsi="Verdana"/>
          <w:sz w:val="20"/>
        </w:rPr>
        <w:t xml:space="preserve">se </w:t>
      </w:r>
      <w:r w:rsidR="009A4633" w:rsidRPr="009D5EA7">
        <w:rPr>
          <w:rFonts w:ascii="Verdana" w:hAnsi="Verdana"/>
          <w:iCs/>
          <w:spacing w:val="6"/>
          <w:sz w:val="20"/>
        </w:rPr>
        <w:t xml:space="preserve">refiere </w:t>
      </w:r>
      <w:r w:rsidR="009A4633" w:rsidRPr="009D5EA7">
        <w:rPr>
          <w:rFonts w:ascii="Verdana" w:hAnsi="Verdana"/>
          <w:sz w:val="20"/>
        </w:rPr>
        <w:t xml:space="preserve">a los procesados </w:t>
      </w:r>
      <w:r w:rsidR="009A4633" w:rsidRPr="009D5EA7">
        <w:rPr>
          <w:rFonts w:ascii="Verdana" w:hAnsi="Verdana"/>
          <w:iCs/>
          <w:spacing w:val="6"/>
          <w:sz w:val="20"/>
        </w:rPr>
        <w:t xml:space="preserve">Iván </w:t>
      </w:r>
      <w:r w:rsidR="009A4633" w:rsidRPr="009D5EA7">
        <w:rPr>
          <w:rFonts w:ascii="Verdana" w:hAnsi="Verdana"/>
          <w:iCs/>
          <w:sz w:val="20"/>
        </w:rPr>
        <w:t xml:space="preserve">Argüello, </w:t>
      </w:r>
      <w:r w:rsidR="0023621A" w:rsidRPr="009D5EA7">
        <w:rPr>
          <w:rFonts w:ascii="Verdana" w:hAnsi="Verdana"/>
          <w:iCs/>
          <w:sz w:val="20"/>
        </w:rPr>
        <w:t>PMF</w:t>
      </w:r>
      <w:r w:rsidR="009A4633" w:rsidRPr="009D5EA7">
        <w:rPr>
          <w:rFonts w:ascii="Verdana" w:hAnsi="Verdana"/>
          <w:iCs/>
          <w:sz w:val="20"/>
        </w:rPr>
        <w:t xml:space="preserve">, </w:t>
      </w:r>
      <w:r w:rsidR="00FB2B82" w:rsidRPr="009D5EA7">
        <w:rPr>
          <w:rFonts w:ascii="Verdana" w:hAnsi="Verdana"/>
          <w:iCs/>
          <w:sz w:val="20"/>
        </w:rPr>
        <w:t>PT</w:t>
      </w:r>
      <w:r w:rsidR="009A4633" w:rsidRPr="009D5EA7">
        <w:rPr>
          <w:rFonts w:ascii="Verdana" w:hAnsi="Verdana"/>
          <w:iCs/>
          <w:sz w:val="20"/>
        </w:rPr>
        <w:t xml:space="preserve"> y </w:t>
      </w:r>
      <w:r w:rsidR="009A4633" w:rsidRPr="000705D2">
        <w:rPr>
          <w:rFonts w:ascii="Verdana" w:hAnsi="Verdana"/>
          <w:sz w:val="20"/>
        </w:rPr>
        <w:t xml:space="preserve">María Luisa Acosta Castellón </w:t>
      </w:r>
      <w:hyperlink r:id="rId13" w:anchor="Corchetes_.5B_.5D" w:history="1">
        <w:r w:rsidR="009A4633" w:rsidRPr="000705D2">
          <w:rPr>
            <w:rFonts w:ascii="Verdana" w:hAnsi="Verdana"/>
            <w:sz w:val="20"/>
          </w:rPr>
          <w:t>[…]</w:t>
        </w:r>
      </w:hyperlink>
      <w:r w:rsidR="009A4633" w:rsidRPr="000705D2">
        <w:rPr>
          <w:rFonts w:ascii="Verdana" w:hAnsi="Verdana"/>
          <w:sz w:val="20"/>
        </w:rPr>
        <w:t xml:space="preserve"> habiéndose pronunciado </w:t>
      </w:r>
      <w:hyperlink r:id="rId14" w:anchor="Corchetes_.5B_.5D" w:history="1">
        <w:r w:rsidR="009A4633" w:rsidRPr="000705D2">
          <w:rPr>
            <w:rFonts w:ascii="Verdana" w:hAnsi="Verdana"/>
            <w:sz w:val="20"/>
          </w:rPr>
          <w:t>[al respecto]</w:t>
        </w:r>
      </w:hyperlink>
      <w:r w:rsidR="009A4633" w:rsidRPr="000705D2">
        <w:rPr>
          <w:rFonts w:ascii="Verdana" w:hAnsi="Verdana"/>
          <w:sz w:val="20"/>
        </w:rPr>
        <w:t xml:space="preserve"> en </w:t>
      </w:r>
      <w:hyperlink r:id="rId15" w:anchor="Corchetes_.5B_.5D" w:history="1">
        <w:r w:rsidR="009A4633" w:rsidRPr="000705D2">
          <w:rPr>
            <w:rFonts w:ascii="Verdana" w:hAnsi="Verdana"/>
            <w:sz w:val="20"/>
          </w:rPr>
          <w:t>[…]</w:t>
        </w:r>
      </w:hyperlink>
      <w:r w:rsidR="009A4633" w:rsidRPr="000705D2">
        <w:rPr>
          <w:rFonts w:ascii="Verdana" w:hAnsi="Verdana"/>
          <w:sz w:val="20"/>
        </w:rPr>
        <w:t xml:space="preserve"> Sentencia de 13 de mayo de 2002”</w:t>
      </w:r>
      <w:r w:rsidR="009A4633" w:rsidRPr="009D5EA7">
        <w:rPr>
          <w:rStyle w:val="Refdenotaalpie"/>
          <w:rFonts w:ascii="Verdana" w:hAnsi="Verdana" w:cs="Arial Narrow"/>
          <w:spacing w:val="6"/>
          <w:sz w:val="20"/>
        </w:rPr>
        <w:footnoteReference w:id="97"/>
      </w:r>
      <w:r w:rsidR="009A4633" w:rsidRPr="009D5EA7">
        <w:rPr>
          <w:rFonts w:ascii="Verdana" w:hAnsi="Verdana"/>
          <w:iCs/>
          <w:spacing w:val="6"/>
          <w:sz w:val="20"/>
        </w:rPr>
        <w:t>.</w:t>
      </w:r>
      <w:r w:rsidR="009A4633" w:rsidRPr="009D5EA7">
        <w:rPr>
          <w:rFonts w:ascii="Verdana" w:hAnsi="Verdana"/>
          <w:i/>
          <w:iCs/>
          <w:spacing w:val="6"/>
          <w:sz w:val="20"/>
        </w:rPr>
        <w:t xml:space="preserve"> </w:t>
      </w:r>
    </w:p>
    <w:p w14:paraId="20034684" w14:textId="77777777" w:rsidR="002D0D3E" w:rsidRPr="009D5EA7" w:rsidRDefault="002D0D3E" w:rsidP="002D0D3E">
      <w:pPr>
        <w:pStyle w:val="Prrafodelista"/>
        <w:ind w:left="0"/>
        <w:jc w:val="both"/>
        <w:rPr>
          <w:rFonts w:ascii="Verdana" w:hAnsi="Verdana" w:cs="Arial"/>
          <w:sz w:val="20"/>
        </w:rPr>
      </w:pPr>
    </w:p>
    <w:p w14:paraId="208EC409" w14:textId="2776062E" w:rsidR="002D0D3E" w:rsidRPr="009D5EA7" w:rsidRDefault="002D0D3E" w:rsidP="002D0D3E">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31 de octubre de 2003 la señora Acosta interpuso </w:t>
      </w:r>
      <w:r w:rsidR="008B3A6F">
        <w:rPr>
          <w:rFonts w:ascii="Verdana" w:hAnsi="Verdana" w:cs="Arial"/>
          <w:sz w:val="20"/>
        </w:rPr>
        <w:t>una quinta</w:t>
      </w:r>
      <w:r w:rsidRPr="009D5EA7">
        <w:rPr>
          <w:rFonts w:ascii="Verdana" w:hAnsi="Verdana" w:cs="Arial"/>
          <w:sz w:val="20"/>
        </w:rPr>
        <w:t xml:space="preserve"> queja disciplinaria</w:t>
      </w:r>
      <w:r w:rsidR="008B3A6F">
        <w:rPr>
          <w:rFonts w:ascii="Verdana" w:hAnsi="Verdana" w:cs="Arial"/>
          <w:sz w:val="20"/>
        </w:rPr>
        <w:t>, esta vez</w:t>
      </w:r>
      <w:r w:rsidRPr="009D5EA7">
        <w:rPr>
          <w:rFonts w:ascii="Verdana" w:hAnsi="Verdana" w:cs="Arial"/>
          <w:sz w:val="20"/>
        </w:rPr>
        <w:t xml:space="preserve"> contra los magistrados de la Sala Penal del Tribunal de Apelaciones</w:t>
      </w:r>
      <w:r w:rsidR="00746348" w:rsidRPr="009D5EA7">
        <w:rPr>
          <w:rFonts w:ascii="Verdana" w:hAnsi="Verdana" w:cs="Arial"/>
          <w:sz w:val="20"/>
        </w:rPr>
        <w:t xml:space="preserve"> (</w:t>
      </w:r>
      <w:r w:rsidR="00746348" w:rsidRPr="009D5EA7">
        <w:rPr>
          <w:rFonts w:ascii="Verdana" w:hAnsi="Verdana" w:cs="Arial"/>
          <w:i/>
          <w:sz w:val="20"/>
        </w:rPr>
        <w:t xml:space="preserve">infra </w:t>
      </w:r>
      <w:r w:rsidR="008B3A6F">
        <w:rPr>
          <w:rFonts w:ascii="Verdana" w:hAnsi="Verdana" w:cs="Arial"/>
          <w:sz w:val="20"/>
        </w:rPr>
        <w:t>párrs. 113 a 124</w:t>
      </w:r>
      <w:r w:rsidR="00746348" w:rsidRPr="009D5EA7">
        <w:rPr>
          <w:rFonts w:ascii="Verdana" w:hAnsi="Verdana" w:cs="Arial"/>
          <w:sz w:val="20"/>
        </w:rPr>
        <w:t>)</w:t>
      </w:r>
      <w:r w:rsidRPr="009D5EA7">
        <w:rPr>
          <w:rFonts w:ascii="Verdana" w:hAnsi="Verdana" w:cs="Arial"/>
          <w:sz w:val="20"/>
        </w:rPr>
        <w:t>.</w:t>
      </w:r>
    </w:p>
    <w:p w14:paraId="379B4F1E" w14:textId="77777777" w:rsidR="002D0D3E" w:rsidRPr="009D5EA7" w:rsidRDefault="002D0D3E" w:rsidP="002D0D3E">
      <w:pPr>
        <w:pStyle w:val="Prrafodelista"/>
        <w:ind w:left="0"/>
        <w:jc w:val="both"/>
        <w:rPr>
          <w:rFonts w:ascii="Verdana" w:hAnsi="Verdana" w:cs="Arial"/>
          <w:sz w:val="20"/>
        </w:rPr>
      </w:pPr>
    </w:p>
    <w:p w14:paraId="60EB027D" w14:textId="13DB4482"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i/>
          <w:sz w:val="20"/>
        </w:rPr>
        <w:t>Primer recurso de casación por la vía de hecho ante la Sala de lo Penal de la Corte Suprema de Justicia. -</w:t>
      </w:r>
      <w:r w:rsidRPr="009D5EA7">
        <w:rPr>
          <w:rFonts w:ascii="Verdana" w:hAnsi="Verdana" w:cs="Arial"/>
          <w:sz w:val="20"/>
        </w:rPr>
        <w:t xml:space="preserve"> Luego de que la Sala de lo Penal rechazara un recurso de reposición </w:t>
      </w:r>
      <w:r w:rsidRPr="009D5EA7">
        <w:rPr>
          <w:rFonts w:ascii="Verdana" w:hAnsi="Verdana" w:cs="Arial"/>
          <w:sz w:val="20"/>
        </w:rPr>
        <w:lastRenderedPageBreak/>
        <w:t>contra el auto</w:t>
      </w:r>
      <w:r w:rsidR="006F6022" w:rsidRPr="009D5EA7">
        <w:rPr>
          <w:rFonts w:ascii="Verdana" w:hAnsi="Verdana" w:cs="Arial"/>
          <w:sz w:val="20"/>
        </w:rPr>
        <w:t xml:space="preserve"> referido en el párrafo anterior</w:t>
      </w:r>
      <w:r w:rsidRPr="009D5EA7">
        <w:rPr>
          <w:rFonts w:ascii="Verdana" w:hAnsi="Verdana" w:cs="Arial"/>
          <w:sz w:val="20"/>
        </w:rPr>
        <w:t>, el 31 de octubre de 2003 la señora Acosta presentó recurso de casación por la vía de hecho ante la Sala de lo Penal de la Corte Suprema de Justicia contra el auto anteriormente dictado</w:t>
      </w:r>
      <w:r w:rsidRPr="009D5EA7">
        <w:rPr>
          <w:rStyle w:val="Refdenotaalpie"/>
          <w:rFonts w:ascii="Arial" w:hAnsi="Arial" w:cs="Arial"/>
        </w:rPr>
        <w:footnoteReference w:id="98"/>
      </w:r>
      <w:r w:rsidRPr="009D5EA7">
        <w:rPr>
          <w:rFonts w:ascii="Verdana" w:hAnsi="Verdana" w:cs="Arial"/>
          <w:sz w:val="20"/>
        </w:rPr>
        <w:t>.</w:t>
      </w:r>
    </w:p>
    <w:p w14:paraId="32CB5A31" w14:textId="77777777" w:rsidR="009A4633" w:rsidRPr="009D5EA7" w:rsidRDefault="009A4633" w:rsidP="009A4633">
      <w:pPr>
        <w:pStyle w:val="Prrafodelista"/>
        <w:rPr>
          <w:rFonts w:ascii="Verdana" w:hAnsi="Verdana" w:cs="Arial"/>
          <w:sz w:val="20"/>
        </w:rPr>
      </w:pPr>
    </w:p>
    <w:p w14:paraId="3E4FC90A" w14:textId="26652F24"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21 de abril de 2004 el Juzgado de Distrito de lo Civil y Penal </w:t>
      </w:r>
      <w:r w:rsidR="008B3A6F">
        <w:rPr>
          <w:rFonts w:ascii="Verdana" w:hAnsi="Verdana" w:cs="Arial"/>
          <w:sz w:val="20"/>
        </w:rPr>
        <w:t>“</w:t>
      </w:r>
      <w:r w:rsidRPr="009D5EA7">
        <w:rPr>
          <w:rFonts w:ascii="Verdana" w:hAnsi="Verdana" w:cs="Arial"/>
          <w:sz w:val="20"/>
        </w:rPr>
        <w:t>del In por Ministerio de Ley</w:t>
      </w:r>
      <w:r w:rsidR="008B3A6F">
        <w:rPr>
          <w:rFonts w:ascii="Verdana" w:hAnsi="Verdana" w:cs="Arial"/>
          <w:sz w:val="20"/>
        </w:rPr>
        <w:t>”</w:t>
      </w:r>
      <w:r w:rsidRPr="009D5EA7">
        <w:rPr>
          <w:rFonts w:ascii="Verdana" w:hAnsi="Verdana" w:cs="Arial"/>
          <w:sz w:val="20"/>
        </w:rPr>
        <w:t xml:space="preserve"> dictó sentencia,</w:t>
      </w:r>
      <w:r w:rsidR="000F3423" w:rsidRPr="009D5EA7">
        <w:rPr>
          <w:rFonts w:ascii="Verdana" w:hAnsi="Verdana" w:cs="Arial"/>
          <w:sz w:val="20"/>
        </w:rPr>
        <w:t xml:space="preserve"> en la que condenó</w:t>
      </w:r>
      <w:r w:rsidRPr="009D5EA7">
        <w:rPr>
          <w:rFonts w:ascii="Verdana" w:hAnsi="Verdana" w:cs="Arial"/>
          <w:sz w:val="20"/>
        </w:rPr>
        <w:t xml:space="preserve"> a los </w:t>
      </w:r>
      <w:r w:rsidR="000F3423" w:rsidRPr="009D5EA7">
        <w:rPr>
          <w:rFonts w:ascii="Verdana" w:hAnsi="Verdana" w:cs="Arial"/>
          <w:sz w:val="20"/>
        </w:rPr>
        <w:t xml:space="preserve">imputados </w:t>
      </w:r>
      <w:r w:rsidRPr="009D5EA7">
        <w:rPr>
          <w:rFonts w:ascii="Verdana" w:hAnsi="Verdana" w:cs="Arial"/>
          <w:sz w:val="20"/>
        </w:rPr>
        <w:t>Iván Arg</w:t>
      </w:r>
      <w:r w:rsidR="00437056" w:rsidRPr="009D5EA7">
        <w:rPr>
          <w:rFonts w:ascii="Verdana" w:hAnsi="Verdana" w:cs="Arial"/>
          <w:sz w:val="20"/>
        </w:rPr>
        <w:t>ü</w:t>
      </w:r>
      <w:r w:rsidRPr="009D5EA7">
        <w:rPr>
          <w:rFonts w:ascii="Verdana" w:hAnsi="Verdana" w:cs="Arial"/>
          <w:sz w:val="20"/>
        </w:rPr>
        <w:t>ello Rivera y Wilberth José Ochoa Maradiaga a 20 años de prisión como autores del delito de asesinato en perjuicio del señor Francisco José García Valle</w:t>
      </w:r>
      <w:r w:rsidR="001332A6" w:rsidRPr="009D5EA7">
        <w:rPr>
          <w:rFonts w:ascii="Verdana" w:hAnsi="Verdana" w:cs="Arial"/>
          <w:sz w:val="20"/>
        </w:rPr>
        <w:t>. Esta sentencia fue dictada luego de que un jurado de conciencia emitiera su veredicto el 21 de noviembre de 2003, en que los declaró culpables</w:t>
      </w:r>
      <w:r w:rsidRPr="009D5EA7">
        <w:rPr>
          <w:rStyle w:val="Refdenotaalpie"/>
          <w:rFonts w:ascii="Verdana" w:hAnsi="Verdana" w:cs="Arial"/>
          <w:sz w:val="20"/>
        </w:rPr>
        <w:footnoteReference w:id="99"/>
      </w:r>
      <w:r w:rsidRPr="009D5EA7">
        <w:rPr>
          <w:rFonts w:ascii="Verdana" w:hAnsi="Verdana" w:cs="Arial"/>
          <w:sz w:val="20"/>
        </w:rPr>
        <w:t>.</w:t>
      </w:r>
    </w:p>
    <w:p w14:paraId="15E06A2A" w14:textId="77777777" w:rsidR="009A4633" w:rsidRPr="009D5EA7" w:rsidRDefault="009A4633" w:rsidP="009A4633">
      <w:pPr>
        <w:pStyle w:val="Prrafodelista"/>
        <w:rPr>
          <w:rFonts w:ascii="Verdana" w:hAnsi="Verdana" w:cs="Arial"/>
          <w:sz w:val="20"/>
        </w:rPr>
      </w:pPr>
    </w:p>
    <w:p w14:paraId="5D558574" w14:textId="6F7F4147"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26 de abril de 2004 el representante de la señora Acosta interpuso recurso de apelación contra la sentencia condenatoria, por considerar que la pena impuesta debía ser de 30 años</w:t>
      </w:r>
      <w:r w:rsidRPr="009D5EA7">
        <w:rPr>
          <w:rStyle w:val="Refdenotaalpie"/>
          <w:rFonts w:ascii="Verdana" w:hAnsi="Verdana" w:cs="Arial"/>
          <w:sz w:val="20"/>
        </w:rPr>
        <w:footnoteReference w:id="100"/>
      </w:r>
      <w:r w:rsidRPr="009D5EA7">
        <w:rPr>
          <w:rFonts w:ascii="Verdana" w:hAnsi="Verdana" w:cs="Arial"/>
          <w:sz w:val="20"/>
        </w:rPr>
        <w:t>.</w:t>
      </w:r>
      <w:r w:rsidR="006F6022" w:rsidRPr="009D5EA7">
        <w:rPr>
          <w:rFonts w:ascii="Verdana" w:hAnsi="Verdana" w:cs="Arial"/>
          <w:sz w:val="20"/>
        </w:rPr>
        <w:t xml:space="preserve"> E</w:t>
      </w:r>
      <w:r w:rsidRPr="009D5EA7">
        <w:rPr>
          <w:rFonts w:ascii="Verdana" w:hAnsi="Verdana" w:cs="Arial"/>
          <w:sz w:val="20"/>
        </w:rPr>
        <w:t>l 27 de abril la representante de oficio del imputado Ochoa Maradiaga también interpuso recurso de apelación</w:t>
      </w:r>
      <w:r w:rsidRPr="009D5EA7">
        <w:rPr>
          <w:rStyle w:val="Refdenotaalpie"/>
          <w:rFonts w:ascii="Verdana" w:hAnsi="Verdana" w:cs="Arial"/>
          <w:sz w:val="20"/>
        </w:rPr>
        <w:footnoteReference w:id="101"/>
      </w:r>
      <w:r w:rsidRPr="009D5EA7">
        <w:rPr>
          <w:rFonts w:ascii="Verdana" w:hAnsi="Verdana" w:cs="Arial"/>
          <w:sz w:val="20"/>
        </w:rPr>
        <w:t>.</w:t>
      </w:r>
    </w:p>
    <w:p w14:paraId="34ED95D2" w14:textId="77777777" w:rsidR="009A4633" w:rsidRPr="009D5EA7" w:rsidRDefault="009A4633" w:rsidP="009A4633">
      <w:pPr>
        <w:pStyle w:val="Prrafodelista"/>
        <w:rPr>
          <w:rFonts w:ascii="Verdana" w:hAnsi="Verdana" w:cs="Arial"/>
          <w:sz w:val="20"/>
        </w:rPr>
      </w:pPr>
    </w:p>
    <w:p w14:paraId="19997B99" w14:textId="5B980B68"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A finales del mes de agosto y principios de septiembre de 2004, diversos medios de comunicación reportaron </w:t>
      </w:r>
      <w:r w:rsidR="006F6022" w:rsidRPr="009D5EA7">
        <w:rPr>
          <w:rFonts w:ascii="Verdana" w:hAnsi="Verdana" w:cs="Arial"/>
          <w:sz w:val="20"/>
        </w:rPr>
        <w:t xml:space="preserve">que el 30 de agosto de ese año Iván Argüello había sido </w:t>
      </w:r>
      <w:r w:rsidRPr="009D5EA7">
        <w:rPr>
          <w:rFonts w:ascii="Verdana" w:hAnsi="Verdana" w:cs="Arial"/>
          <w:sz w:val="20"/>
        </w:rPr>
        <w:t>captura</w:t>
      </w:r>
      <w:r w:rsidR="006F6022" w:rsidRPr="009D5EA7">
        <w:rPr>
          <w:rFonts w:ascii="Verdana" w:hAnsi="Verdana" w:cs="Arial"/>
          <w:sz w:val="20"/>
        </w:rPr>
        <w:t>do</w:t>
      </w:r>
      <w:r w:rsidRPr="009D5EA7">
        <w:rPr>
          <w:rFonts w:ascii="Verdana" w:hAnsi="Verdana" w:cs="Arial"/>
          <w:sz w:val="20"/>
        </w:rPr>
        <w:t xml:space="preserve"> en la República de Costa Rica, quien hasta ese momento había sido condenado en ausencia. </w:t>
      </w:r>
      <w:r w:rsidRPr="009D5EA7">
        <w:rPr>
          <w:rFonts w:ascii="Verdana" w:hAnsi="Verdana"/>
          <w:sz w:val="20"/>
        </w:rPr>
        <w:t xml:space="preserve">En declaraciones emitidas por el entonces Canal 11 de televisión </w:t>
      </w:r>
      <w:r w:rsidR="008B3A6F">
        <w:rPr>
          <w:rFonts w:ascii="Verdana" w:hAnsi="Verdana"/>
          <w:sz w:val="20"/>
        </w:rPr>
        <w:t>de</w:t>
      </w:r>
      <w:r w:rsidRPr="009D5EA7">
        <w:rPr>
          <w:rFonts w:ascii="Verdana" w:hAnsi="Verdana"/>
          <w:sz w:val="20"/>
        </w:rPr>
        <w:t xml:space="preserve"> Costa Rica, </w:t>
      </w:r>
      <w:r w:rsidR="00B4227F" w:rsidRPr="009D5EA7">
        <w:rPr>
          <w:rFonts w:ascii="Verdana" w:hAnsi="Verdana"/>
          <w:sz w:val="20"/>
        </w:rPr>
        <w:t xml:space="preserve">al día siguiente </w:t>
      </w:r>
      <w:r w:rsidRPr="009D5EA7">
        <w:rPr>
          <w:rFonts w:ascii="Verdana" w:hAnsi="Verdana"/>
          <w:sz w:val="20"/>
        </w:rPr>
        <w:t xml:space="preserve">Argüello declaró que “fue </w:t>
      </w:r>
      <w:r w:rsidR="00FB2B82" w:rsidRPr="009D5EA7">
        <w:rPr>
          <w:rFonts w:ascii="Verdana" w:hAnsi="Verdana"/>
          <w:sz w:val="20"/>
        </w:rPr>
        <w:t>PT</w:t>
      </w:r>
      <w:r w:rsidRPr="009D5EA7">
        <w:rPr>
          <w:rFonts w:ascii="Verdana" w:hAnsi="Verdana"/>
          <w:sz w:val="20"/>
        </w:rPr>
        <w:t xml:space="preserve"> quien lo envió a la casa de la familia García Acosta </w:t>
      </w:r>
      <w:hyperlink r:id="rId16" w:anchor="Corchetes_.5B_.5D" w:history="1">
        <w:r w:rsidRPr="009D5EA7">
          <w:rPr>
            <w:rFonts w:ascii="Verdana" w:hAnsi="Verdana" w:cs="Arial"/>
            <w:sz w:val="20"/>
          </w:rPr>
          <w:t>[…]</w:t>
        </w:r>
      </w:hyperlink>
      <w:r w:rsidRPr="009D5EA7">
        <w:rPr>
          <w:rFonts w:ascii="Verdana" w:hAnsi="Verdana"/>
          <w:sz w:val="20"/>
        </w:rPr>
        <w:t>”</w:t>
      </w:r>
      <w:r w:rsidRPr="009D5EA7">
        <w:rPr>
          <w:rStyle w:val="Refdenotaalpie"/>
          <w:rFonts w:ascii="Verdana" w:hAnsi="Verdana"/>
          <w:sz w:val="20"/>
        </w:rPr>
        <w:footnoteReference w:id="102"/>
      </w:r>
      <w:r w:rsidRPr="009D5EA7">
        <w:rPr>
          <w:rFonts w:ascii="Verdana" w:hAnsi="Verdana"/>
          <w:sz w:val="20"/>
        </w:rPr>
        <w:t>.</w:t>
      </w:r>
    </w:p>
    <w:p w14:paraId="30275C0C" w14:textId="77777777" w:rsidR="009A4633" w:rsidRPr="009D5EA7" w:rsidRDefault="009A4633" w:rsidP="009A4633">
      <w:pPr>
        <w:pStyle w:val="Prrafodelista"/>
        <w:rPr>
          <w:rFonts w:ascii="Verdana" w:hAnsi="Verdana" w:cs="Arial"/>
          <w:sz w:val="20"/>
        </w:rPr>
      </w:pPr>
    </w:p>
    <w:p w14:paraId="71030C6D" w14:textId="64745B39"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22 de noviembre de 2004 el representante de la señora Acosta solicitó a la Sala Penal del Tribunal de Apelaciones </w:t>
      </w:r>
      <w:r w:rsidR="001332A6" w:rsidRPr="009D5EA7">
        <w:rPr>
          <w:rFonts w:ascii="Verdana" w:hAnsi="Verdana" w:cs="Arial"/>
          <w:sz w:val="20"/>
        </w:rPr>
        <w:t>que se aumentara</w:t>
      </w:r>
      <w:r w:rsidRPr="009D5EA7">
        <w:rPr>
          <w:rFonts w:ascii="Verdana" w:hAnsi="Verdana" w:cs="Arial"/>
          <w:sz w:val="20"/>
        </w:rPr>
        <w:t xml:space="preserve"> la pena </w:t>
      </w:r>
      <w:r w:rsidR="001332A6" w:rsidRPr="009D5EA7">
        <w:rPr>
          <w:rFonts w:ascii="Verdana" w:hAnsi="Verdana" w:cs="Arial"/>
          <w:sz w:val="20"/>
        </w:rPr>
        <w:t>impuesta</w:t>
      </w:r>
      <w:r w:rsidRPr="009D5EA7">
        <w:rPr>
          <w:rFonts w:ascii="Verdana" w:hAnsi="Verdana" w:cs="Arial"/>
          <w:sz w:val="20"/>
        </w:rPr>
        <w:t xml:space="preserve"> a Arg</w:t>
      </w:r>
      <w:r w:rsidR="006F6022" w:rsidRPr="009D5EA7">
        <w:rPr>
          <w:rFonts w:ascii="Verdana" w:hAnsi="Verdana" w:cs="Arial"/>
          <w:sz w:val="20"/>
        </w:rPr>
        <w:t>ü</w:t>
      </w:r>
      <w:r w:rsidRPr="009D5EA7">
        <w:rPr>
          <w:rFonts w:ascii="Verdana" w:hAnsi="Verdana" w:cs="Arial"/>
          <w:sz w:val="20"/>
        </w:rPr>
        <w:t xml:space="preserve">ello Rivera y </w:t>
      </w:r>
      <w:r w:rsidR="006F6022" w:rsidRPr="009D5EA7">
        <w:rPr>
          <w:rFonts w:ascii="Verdana" w:hAnsi="Verdana" w:cs="Arial"/>
          <w:sz w:val="20"/>
        </w:rPr>
        <w:t xml:space="preserve">a </w:t>
      </w:r>
      <w:r w:rsidR="001332A6" w:rsidRPr="009D5EA7">
        <w:rPr>
          <w:rFonts w:ascii="Verdana" w:hAnsi="Verdana" w:cs="Arial"/>
          <w:sz w:val="20"/>
        </w:rPr>
        <w:t>Ochoa Maradiaga y</w:t>
      </w:r>
      <w:r w:rsidR="00B4227F" w:rsidRPr="009D5EA7">
        <w:rPr>
          <w:rFonts w:ascii="Verdana" w:hAnsi="Verdana" w:cs="Arial"/>
          <w:sz w:val="20"/>
        </w:rPr>
        <w:t xml:space="preserve"> que</w:t>
      </w:r>
      <w:r w:rsidR="001332A6" w:rsidRPr="009D5EA7">
        <w:rPr>
          <w:rFonts w:ascii="Verdana" w:hAnsi="Verdana" w:cs="Arial"/>
          <w:sz w:val="20"/>
        </w:rPr>
        <w:t xml:space="preserve"> se anulara</w:t>
      </w:r>
      <w:r w:rsidRPr="009D5EA7">
        <w:rPr>
          <w:rFonts w:ascii="Verdana" w:hAnsi="Verdana" w:cs="Arial"/>
          <w:sz w:val="20"/>
        </w:rPr>
        <w:t xml:space="preserve">n los procesos </w:t>
      </w:r>
      <w:r w:rsidR="001332A6" w:rsidRPr="009D5EA7">
        <w:rPr>
          <w:rFonts w:ascii="Verdana" w:hAnsi="Verdana" w:cs="Arial"/>
          <w:sz w:val="20"/>
        </w:rPr>
        <w:t xml:space="preserve">respecto </w:t>
      </w:r>
      <w:r w:rsidRPr="009D5EA7">
        <w:rPr>
          <w:rFonts w:ascii="Verdana" w:hAnsi="Verdana" w:cs="Arial"/>
          <w:sz w:val="20"/>
        </w:rPr>
        <w:t xml:space="preserve">de </w:t>
      </w:r>
      <w:r w:rsidR="0023621A" w:rsidRPr="009D5EA7">
        <w:rPr>
          <w:rFonts w:ascii="Verdana" w:hAnsi="Verdana" w:cs="Arial"/>
          <w:sz w:val="20"/>
        </w:rPr>
        <w:t>PMF</w:t>
      </w:r>
      <w:r w:rsidRPr="009D5EA7">
        <w:rPr>
          <w:rFonts w:ascii="Verdana" w:hAnsi="Verdana" w:cs="Arial"/>
          <w:sz w:val="20"/>
        </w:rPr>
        <w:t xml:space="preserve"> y </w:t>
      </w:r>
      <w:r w:rsidR="00FB2B82" w:rsidRPr="009D5EA7">
        <w:rPr>
          <w:rFonts w:ascii="Verdana" w:hAnsi="Verdana" w:cs="Arial"/>
          <w:sz w:val="20"/>
        </w:rPr>
        <w:t>PT</w:t>
      </w:r>
      <w:r w:rsidRPr="009D5EA7">
        <w:rPr>
          <w:rStyle w:val="Refdenotaalpie"/>
          <w:rFonts w:ascii="Verdana" w:hAnsi="Verdana" w:cs="Arial"/>
          <w:sz w:val="20"/>
        </w:rPr>
        <w:footnoteReference w:id="103"/>
      </w:r>
      <w:r w:rsidRPr="009D5EA7">
        <w:rPr>
          <w:rFonts w:ascii="Verdana" w:hAnsi="Verdana" w:cs="Arial"/>
          <w:sz w:val="20"/>
        </w:rPr>
        <w:t>.</w:t>
      </w:r>
    </w:p>
    <w:p w14:paraId="1D00AA29" w14:textId="77777777" w:rsidR="009A4633" w:rsidRPr="009D5EA7" w:rsidRDefault="009A4633" w:rsidP="009A4633">
      <w:pPr>
        <w:pStyle w:val="Prrafodelista"/>
        <w:rPr>
          <w:rFonts w:ascii="Verdana" w:hAnsi="Verdana" w:cs="Arial"/>
          <w:sz w:val="20"/>
        </w:rPr>
      </w:pPr>
    </w:p>
    <w:p w14:paraId="3D8CA469" w14:textId="039EF397" w:rsidR="009A4633" w:rsidRPr="009D5EA7" w:rsidRDefault="009A4633" w:rsidP="00667F79">
      <w:pPr>
        <w:pStyle w:val="Prrafodelista"/>
        <w:numPr>
          <w:ilvl w:val="0"/>
          <w:numId w:val="5"/>
        </w:numPr>
        <w:ind w:left="0" w:firstLine="0"/>
        <w:jc w:val="both"/>
        <w:rPr>
          <w:rFonts w:ascii="Verdana" w:hAnsi="Verdana" w:cs="Arial"/>
          <w:i/>
          <w:sz w:val="20"/>
        </w:rPr>
      </w:pPr>
      <w:r w:rsidRPr="009D5EA7">
        <w:rPr>
          <w:rFonts w:ascii="Verdana" w:hAnsi="Verdana" w:cs="Arial"/>
          <w:sz w:val="20"/>
        </w:rPr>
        <w:t>El 29 de noviembre de 2004 la Sala Penal del Tribunal de Apelaciones Circunscripción Atlántico Sur reformó la sentencia dictada el 21 de abril de 2004, condenando a los p</w:t>
      </w:r>
      <w:r w:rsidR="004F3734" w:rsidRPr="009D5EA7">
        <w:rPr>
          <w:rFonts w:ascii="Verdana" w:hAnsi="Verdana" w:cs="Arial"/>
          <w:sz w:val="20"/>
        </w:rPr>
        <w:t>rocesados a 23 años de prisión</w:t>
      </w:r>
      <w:r w:rsidR="008B3A6F">
        <w:rPr>
          <w:rFonts w:ascii="Verdana" w:hAnsi="Verdana" w:cs="Arial"/>
          <w:sz w:val="20"/>
        </w:rPr>
        <w:t>,</w:t>
      </w:r>
      <w:r w:rsidR="004F3734" w:rsidRPr="009D5EA7">
        <w:rPr>
          <w:rFonts w:ascii="Verdana" w:hAnsi="Verdana" w:cs="Arial"/>
          <w:sz w:val="20"/>
        </w:rPr>
        <w:t xml:space="preserve"> y </w:t>
      </w:r>
      <w:r w:rsidRPr="009D5EA7">
        <w:rPr>
          <w:rFonts w:ascii="Verdana" w:hAnsi="Verdana"/>
          <w:sz w:val="20"/>
        </w:rPr>
        <w:t xml:space="preserve">rechazó </w:t>
      </w:r>
      <w:r w:rsidRPr="009D5EA7">
        <w:rPr>
          <w:rFonts w:ascii="Verdana" w:hAnsi="Verdana" w:cs="Arial Narrow"/>
          <w:spacing w:val="-2"/>
          <w:sz w:val="20"/>
        </w:rPr>
        <w:t xml:space="preserve">la solicitud de </w:t>
      </w:r>
      <w:r w:rsidR="008B3A6F">
        <w:rPr>
          <w:rFonts w:ascii="Verdana" w:hAnsi="Verdana" w:cs="Arial Narrow"/>
          <w:spacing w:val="-2"/>
          <w:sz w:val="20"/>
        </w:rPr>
        <w:t xml:space="preserve">declaración de </w:t>
      </w:r>
      <w:r w:rsidRPr="009D5EA7">
        <w:rPr>
          <w:rFonts w:ascii="Verdana" w:hAnsi="Verdana" w:cs="Arial Narrow"/>
          <w:spacing w:val="-2"/>
          <w:sz w:val="20"/>
        </w:rPr>
        <w:t xml:space="preserve">nulidad de los sobreseimientos de </w:t>
      </w:r>
      <w:r w:rsidR="004F3734" w:rsidRPr="009D5EA7">
        <w:rPr>
          <w:rFonts w:ascii="Verdana" w:hAnsi="Verdana" w:cs="Arial Narrow"/>
          <w:spacing w:val="-2"/>
          <w:sz w:val="20"/>
        </w:rPr>
        <w:t>PMF</w:t>
      </w:r>
      <w:r w:rsidRPr="009D5EA7">
        <w:rPr>
          <w:rFonts w:ascii="Verdana" w:hAnsi="Verdana" w:cs="Arial Narrow"/>
          <w:spacing w:val="-2"/>
          <w:sz w:val="20"/>
        </w:rPr>
        <w:t xml:space="preserve"> y </w:t>
      </w:r>
      <w:r w:rsidR="004F3734" w:rsidRPr="009D5EA7">
        <w:rPr>
          <w:rFonts w:ascii="Verdana" w:hAnsi="Verdana" w:cs="Arial Narrow"/>
          <w:spacing w:val="-2"/>
          <w:sz w:val="20"/>
        </w:rPr>
        <w:t>PT</w:t>
      </w:r>
      <w:r w:rsidRPr="009D5EA7">
        <w:rPr>
          <w:rFonts w:ascii="Verdana" w:hAnsi="Verdana" w:cs="Arial Narrow"/>
          <w:spacing w:val="-2"/>
          <w:sz w:val="20"/>
        </w:rPr>
        <w:t>, con base en que “dicha sentencia ha quedado firme y se ha convertido en cosa juzgada”</w:t>
      </w:r>
      <w:r w:rsidRPr="009D5EA7">
        <w:rPr>
          <w:rStyle w:val="Refdenotaalpie"/>
          <w:rFonts w:ascii="Verdana" w:hAnsi="Verdana" w:cs="Arial"/>
          <w:sz w:val="20"/>
        </w:rPr>
        <w:footnoteReference w:id="104"/>
      </w:r>
      <w:r w:rsidRPr="009D5EA7">
        <w:rPr>
          <w:rFonts w:ascii="Verdana" w:hAnsi="Verdana" w:cs="Arial"/>
          <w:sz w:val="20"/>
        </w:rPr>
        <w:t>.</w:t>
      </w:r>
    </w:p>
    <w:p w14:paraId="578C2EDA" w14:textId="77777777" w:rsidR="009A4633" w:rsidRPr="009D5EA7" w:rsidRDefault="009A4633" w:rsidP="009A4633">
      <w:pPr>
        <w:pStyle w:val="Prrafodelista"/>
        <w:rPr>
          <w:rFonts w:ascii="Verdana" w:hAnsi="Verdana" w:cs="Arial"/>
          <w:b/>
          <w:i/>
          <w:sz w:val="20"/>
        </w:rPr>
      </w:pPr>
    </w:p>
    <w:p w14:paraId="37EE51D0" w14:textId="5B33389C" w:rsidR="009A4633" w:rsidRPr="009D5EA7" w:rsidRDefault="009A4633" w:rsidP="00667F79">
      <w:pPr>
        <w:pStyle w:val="Prrafodelista"/>
        <w:numPr>
          <w:ilvl w:val="0"/>
          <w:numId w:val="5"/>
        </w:numPr>
        <w:ind w:left="0" w:firstLine="0"/>
        <w:jc w:val="both"/>
        <w:rPr>
          <w:rFonts w:ascii="Verdana" w:hAnsi="Verdana" w:cs="Arial"/>
          <w:i/>
          <w:sz w:val="20"/>
        </w:rPr>
      </w:pPr>
      <w:r w:rsidRPr="009D5EA7">
        <w:rPr>
          <w:rFonts w:ascii="Verdana" w:hAnsi="Verdana" w:cs="Arial"/>
          <w:i/>
          <w:sz w:val="20"/>
        </w:rPr>
        <w:t xml:space="preserve">Segundo recurso de casación por la vía de hecho ante la Sala de lo Penal de la Corte Suprema de Justicia.- </w:t>
      </w:r>
      <w:r w:rsidRPr="009D5EA7">
        <w:rPr>
          <w:rFonts w:ascii="Verdana" w:hAnsi="Verdana" w:cs="Arial"/>
          <w:sz w:val="20"/>
        </w:rPr>
        <w:t>El 22 de diciembre de 2004 el representante de la señora Acosta interpuso recurso de casación contra la sentencia de 29 de noviembre de 2004</w:t>
      </w:r>
      <w:r w:rsidR="004F3734" w:rsidRPr="009D5EA7">
        <w:rPr>
          <w:rFonts w:ascii="Verdana" w:hAnsi="Verdana" w:cs="Arial"/>
          <w:sz w:val="20"/>
        </w:rPr>
        <w:t xml:space="preserve"> del Tribunal de Apelaciones</w:t>
      </w:r>
      <w:r w:rsidRPr="009D5EA7">
        <w:rPr>
          <w:rFonts w:ascii="Verdana" w:hAnsi="Verdana" w:cs="Arial"/>
          <w:sz w:val="20"/>
        </w:rPr>
        <w:t xml:space="preserve">, ante la Sala de lo Penal de la Corte Suprema de Justicia. Solicitó que se declarara nulo todo lo actuado a partir del auto de las 4:30 pm del 19 de abril de 2002; ordenar la realización de diligencias pertinentes para juzgar a </w:t>
      </w:r>
      <w:r w:rsidR="0023621A" w:rsidRPr="009D5EA7">
        <w:rPr>
          <w:rFonts w:ascii="Verdana" w:hAnsi="Verdana" w:cs="Arial"/>
          <w:sz w:val="20"/>
        </w:rPr>
        <w:t>PMF</w:t>
      </w:r>
      <w:r w:rsidRPr="009D5EA7">
        <w:rPr>
          <w:rFonts w:ascii="Verdana" w:hAnsi="Verdana" w:cs="Arial"/>
          <w:sz w:val="20"/>
        </w:rPr>
        <w:t xml:space="preserve"> y </w:t>
      </w:r>
      <w:r w:rsidR="00FB2B82" w:rsidRPr="009D5EA7">
        <w:rPr>
          <w:rFonts w:ascii="Verdana" w:hAnsi="Verdana" w:cs="Arial"/>
          <w:sz w:val="20"/>
        </w:rPr>
        <w:t>PT</w:t>
      </w:r>
      <w:r w:rsidRPr="009D5EA7">
        <w:rPr>
          <w:rFonts w:ascii="Verdana" w:hAnsi="Verdana" w:cs="Arial"/>
          <w:sz w:val="20"/>
        </w:rPr>
        <w:t xml:space="preserve"> por el </w:t>
      </w:r>
      <w:r w:rsidR="008B3A6F">
        <w:rPr>
          <w:rFonts w:ascii="Verdana" w:hAnsi="Verdana" w:cs="Arial"/>
          <w:sz w:val="20"/>
        </w:rPr>
        <w:t>homicidio</w:t>
      </w:r>
      <w:r w:rsidRPr="009D5EA7">
        <w:rPr>
          <w:rFonts w:ascii="Verdana" w:hAnsi="Verdana" w:cs="Arial"/>
          <w:sz w:val="20"/>
        </w:rPr>
        <w:t>;</w:t>
      </w:r>
      <w:r w:rsidR="00B4227F" w:rsidRPr="009D5EA7">
        <w:rPr>
          <w:rFonts w:ascii="Verdana" w:hAnsi="Verdana" w:cs="Arial"/>
          <w:sz w:val="20"/>
        </w:rPr>
        <w:t xml:space="preserve"> y</w:t>
      </w:r>
      <w:r w:rsidRPr="009D5EA7">
        <w:rPr>
          <w:rFonts w:ascii="Verdana" w:hAnsi="Verdana" w:cs="Arial"/>
          <w:sz w:val="20"/>
        </w:rPr>
        <w:t xml:space="preserve"> no afectar las sentencias de 23 años de prisión en contra de Arg</w:t>
      </w:r>
      <w:r w:rsidR="00B4227F" w:rsidRPr="009D5EA7">
        <w:rPr>
          <w:rFonts w:ascii="Verdana" w:hAnsi="Verdana" w:cs="Arial"/>
          <w:sz w:val="20"/>
        </w:rPr>
        <w:t>ü</w:t>
      </w:r>
      <w:r w:rsidRPr="009D5EA7">
        <w:rPr>
          <w:rFonts w:ascii="Verdana" w:hAnsi="Verdana" w:cs="Arial"/>
          <w:sz w:val="20"/>
        </w:rPr>
        <w:t>ello y Ochoa</w:t>
      </w:r>
      <w:r w:rsidRPr="009D5EA7">
        <w:rPr>
          <w:rStyle w:val="Refdenotaalpie"/>
          <w:rFonts w:ascii="Verdana" w:hAnsi="Verdana" w:cs="Arial"/>
          <w:sz w:val="20"/>
        </w:rPr>
        <w:footnoteReference w:id="105"/>
      </w:r>
      <w:r w:rsidRPr="009D5EA7">
        <w:rPr>
          <w:rFonts w:ascii="Verdana" w:hAnsi="Verdana" w:cs="Arial"/>
          <w:sz w:val="20"/>
        </w:rPr>
        <w:t>.</w:t>
      </w:r>
    </w:p>
    <w:p w14:paraId="0AFDA86C" w14:textId="77777777" w:rsidR="009A4633" w:rsidRPr="009D5EA7" w:rsidRDefault="009A4633" w:rsidP="009A4633">
      <w:pPr>
        <w:pStyle w:val="Prrafodelista"/>
        <w:ind w:left="0"/>
        <w:jc w:val="both"/>
        <w:rPr>
          <w:rFonts w:ascii="Verdana" w:hAnsi="Verdana" w:cs="Arial"/>
          <w:i/>
          <w:sz w:val="20"/>
        </w:rPr>
      </w:pPr>
    </w:p>
    <w:p w14:paraId="4032E038" w14:textId="17ED59F0" w:rsidR="009A4633" w:rsidRPr="009D5EA7" w:rsidRDefault="009A4633" w:rsidP="00667F79">
      <w:pPr>
        <w:pStyle w:val="Prrafodelista"/>
        <w:numPr>
          <w:ilvl w:val="0"/>
          <w:numId w:val="5"/>
        </w:numPr>
        <w:ind w:left="0" w:firstLine="0"/>
        <w:jc w:val="both"/>
        <w:rPr>
          <w:rFonts w:ascii="Verdana" w:hAnsi="Verdana" w:cs="Arial"/>
          <w:i/>
          <w:sz w:val="20"/>
        </w:rPr>
      </w:pPr>
      <w:r w:rsidRPr="009D5EA7">
        <w:rPr>
          <w:rFonts w:ascii="Verdana" w:hAnsi="Verdana" w:cs="Arial"/>
          <w:sz w:val="20"/>
        </w:rPr>
        <w:t>Mediante sentencia de 18 de abril de 2005, la Sala de lo Penal de la Corte Suprema de Justicia declaró improcedente el recurso de casación interpuesto por la señora Acosta el 31 de octubre de 2003, al no haberse interpuesto en la forma que la ley ordena</w:t>
      </w:r>
      <w:r w:rsidRPr="009D5EA7">
        <w:rPr>
          <w:rStyle w:val="Refdenotaalpie"/>
          <w:rFonts w:ascii="Verdana" w:hAnsi="Verdana" w:cs="Arial"/>
          <w:sz w:val="20"/>
        </w:rPr>
        <w:footnoteReference w:id="106"/>
      </w:r>
      <w:r w:rsidRPr="009D5EA7">
        <w:rPr>
          <w:rFonts w:ascii="Verdana" w:hAnsi="Verdana" w:cs="Arial"/>
          <w:sz w:val="20"/>
        </w:rPr>
        <w:t>.</w:t>
      </w:r>
    </w:p>
    <w:p w14:paraId="7AD0ABE4" w14:textId="77777777" w:rsidR="009A4633" w:rsidRPr="009D5EA7" w:rsidRDefault="009A4633" w:rsidP="009A4633">
      <w:pPr>
        <w:pStyle w:val="Prrafodelista"/>
        <w:ind w:left="0"/>
        <w:jc w:val="both"/>
        <w:rPr>
          <w:rFonts w:ascii="Verdana" w:hAnsi="Verdana" w:cs="Arial"/>
          <w:i/>
          <w:sz w:val="20"/>
        </w:rPr>
      </w:pPr>
    </w:p>
    <w:p w14:paraId="325F4B15" w14:textId="54D0E038" w:rsidR="009A4633" w:rsidRPr="009D5EA7" w:rsidRDefault="009A4633" w:rsidP="00667F79">
      <w:pPr>
        <w:pStyle w:val="Prrafodelista"/>
        <w:numPr>
          <w:ilvl w:val="0"/>
          <w:numId w:val="5"/>
        </w:numPr>
        <w:ind w:left="0" w:firstLine="0"/>
        <w:jc w:val="both"/>
        <w:rPr>
          <w:rFonts w:ascii="Verdana" w:hAnsi="Verdana" w:cs="Arial"/>
          <w:i/>
          <w:sz w:val="20"/>
        </w:rPr>
      </w:pPr>
      <w:r w:rsidRPr="009D5EA7">
        <w:rPr>
          <w:rFonts w:ascii="Verdana" w:hAnsi="Verdana" w:cs="Arial"/>
          <w:sz w:val="20"/>
        </w:rPr>
        <w:t xml:space="preserve">El 24 de agosto de 2006 la Fiscal Auxiliar de Managua </w:t>
      </w:r>
      <w:r w:rsidR="00B4227F" w:rsidRPr="009D5EA7">
        <w:rPr>
          <w:rFonts w:ascii="Verdana" w:hAnsi="Verdana" w:cs="Arial"/>
          <w:sz w:val="20"/>
        </w:rPr>
        <w:t>solicitó</w:t>
      </w:r>
      <w:r w:rsidRPr="009D5EA7">
        <w:rPr>
          <w:rFonts w:ascii="Verdana" w:hAnsi="Verdana" w:cs="Arial"/>
          <w:sz w:val="20"/>
        </w:rPr>
        <w:t xml:space="preserve"> </w:t>
      </w:r>
      <w:r w:rsidR="00B4227F" w:rsidRPr="009D5EA7">
        <w:rPr>
          <w:rFonts w:ascii="Verdana" w:hAnsi="Verdana" w:cs="Arial"/>
          <w:sz w:val="20"/>
        </w:rPr>
        <w:t xml:space="preserve">a </w:t>
      </w:r>
      <w:r w:rsidRPr="009D5EA7">
        <w:rPr>
          <w:rFonts w:ascii="Verdana" w:hAnsi="Verdana" w:cs="Arial"/>
          <w:sz w:val="20"/>
        </w:rPr>
        <w:t xml:space="preserve">la Corte </w:t>
      </w:r>
      <w:r w:rsidR="00B4227F" w:rsidRPr="009D5EA7">
        <w:rPr>
          <w:rFonts w:ascii="Verdana" w:hAnsi="Verdana" w:cs="Arial"/>
          <w:sz w:val="20"/>
        </w:rPr>
        <w:t xml:space="preserve">Suprema </w:t>
      </w:r>
      <w:r w:rsidRPr="009D5EA7">
        <w:rPr>
          <w:rFonts w:ascii="Verdana" w:hAnsi="Verdana" w:cs="Arial"/>
          <w:sz w:val="20"/>
        </w:rPr>
        <w:t xml:space="preserve">de Justicia </w:t>
      </w:r>
      <w:r w:rsidR="00B4227F" w:rsidRPr="009D5EA7">
        <w:rPr>
          <w:rFonts w:ascii="Verdana" w:hAnsi="Verdana" w:cs="Arial"/>
          <w:sz w:val="20"/>
        </w:rPr>
        <w:t xml:space="preserve">que declarara “con lugar” </w:t>
      </w:r>
      <w:r w:rsidRPr="009D5EA7">
        <w:rPr>
          <w:rFonts w:ascii="Verdana" w:hAnsi="Verdana" w:cs="Arial"/>
          <w:sz w:val="20"/>
        </w:rPr>
        <w:t>el segundo recurso de casación interpuesto por el representante de la señora Acosta</w:t>
      </w:r>
      <w:r w:rsidR="005F13A3" w:rsidRPr="009D5EA7">
        <w:rPr>
          <w:rFonts w:ascii="Verdana" w:hAnsi="Verdana" w:cs="Arial"/>
          <w:sz w:val="20"/>
        </w:rPr>
        <w:t>; que se declarara</w:t>
      </w:r>
      <w:r w:rsidRPr="009D5EA7">
        <w:rPr>
          <w:rFonts w:ascii="Verdana" w:hAnsi="Verdana" w:cs="Arial"/>
          <w:sz w:val="20"/>
        </w:rPr>
        <w:t xml:space="preserve"> parcialmente nula la sentencia interlocutoria de 13 de mayo de 2002 con respecto a los procesados </w:t>
      </w:r>
      <w:r w:rsidR="00FB2B82" w:rsidRPr="009D5EA7">
        <w:rPr>
          <w:rFonts w:ascii="Verdana" w:hAnsi="Verdana" w:cs="Arial"/>
          <w:sz w:val="20"/>
        </w:rPr>
        <w:t>PT</w:t>
      </w:r>
      <w:r w:rsidRPr="009D5EA7">
        <w:rPr>
          <w:rFonts w:ascii="Verdana" w:hAnsi="Verdana" w:cs="Arial"/>
          <w:sz w:val="20"/>
        </w:rPr>
        <w:t xml:space="preserve"> y </w:t>
      </w:r>
      <w:r w:rsidR="0023621A" w:rsidRPr="009D5EA7">
        <w:rPr>
          <w:rFonts w:ascii="Verdana" w:hAnsi="Verdana" w:cs="Arial"/>
          <w:sz w:val="20"/>
        </w:rPr>
        <w:t>PMF</w:t>
      </w:r>
      <w:r w:rsidRPr="009D5EA7">
        <w:rPr>
          <w:rFonts w:ascii="Verdana" w:hAnsi="Verdana" w:cs="Arial"/>
          <w:sz w:val="20"/>
        </w:rPr>
        <w:t>; que se orden</w:t>
      </w:r>
      <w:r w:rsidR="005F13A3" w:rsidRPr="009D5EA7">
        <w:rPr>
          <w:rFonts w:ascii="Verdana" w:hAnsi="Verdana" w:cs="Arial"/>
          <w:sz w:val="20"/>
        </w:rPr>
        <w:t>ara</w:t>
      </w:r>
      <w:r w:rsidRPr="009D5EA7">
        <w:rPr>
          <w:rFonts w:ascii="Verdana" w:hAnsi="Verdana" w:cs="Arial"/>
          <w:sz w:val="20"/>
        </w:rPr>
        <w:t xml:space="preserve"> la instrucción de</w:t>
      </w:r>
      <w:r w:rsidR="00B4227F" w:rsidRPr="009D5EA7">
        <w:rPr>
          <w:rFonts w:ascii="Verdana" w:hAnsi="Verdana" w:cs="Arial"/>
          <w:sz w:val="20"/>
        </w:rPr>
        <w:t>l</w:t>
      </w:r>
      <w:r w:rsidRPr="009D5EA7">
        <w:rPr>
          <w:rFonts w:ascii="Verdana" w:hAnsi="Verdana" w:cs="Arial"/>
          <w:sz w:val="20"/>
        </w:rPr>
        <w:t xml:space="preserve"> caso contra </w:t>
      </w:r>
      <w:r w:rsidR="005F13A3" w:rsidRPr="009D5EA7">
        <w:rPr>
          <w:rFonts w:ascii="Verdana" w:hAnsi="Verdana" w:cs="Arial"/>
          <w:sz w:val="20"/>
        </w:rPr>
        <w:t xml:space="preserve">PT y PMF </w:t>
      </w:r>
      <w:r w:rsidRPr="009D5EA7">
        <w:rPr>
          <w:rFonts w:ascii="Verdana" w:hAnsi="Verdana" w:cs="Arial"/>
          <w:sz w:val="20"/>
        </w:rPr>
        <w:t>c</w:t>
      </w:r>
      <w:r w:rsidR="008B3A6F">
        <w:rPr>
          <w:rFonts w:ascii="Verdana" w:hAnsi="Verdana" w:cs="Arial"/>
          <w:sz w:val="20"/>
        </w:rPr>
        <w:t>onforme a derecho; y que se dejara en</w:t>
      </w:r>
      <w:r w:rsidRPr="009D5EA7">
        <w:rPr>
          <w:rFonts w:ascii="Verdana" w:hAnsi="Verdana" w:cs="Arial"/>
          <w:sz w:val="20"/>
        </w:rPr>
        <w:t xml:space="preserve"> firme la sentencia </w:t>
      </w:r>
      <w:r w:rsidR="005F13A3" w:rsidRPr="009D5EA7">
        <w:rPr>
          <w:rFonts w:ascii="Verdana" w:hAnsi="Verdana" w:cs="Arial"/>
          <w:sz w:val="20"/>
        </w:rPr>
        <w:t xml:space="preserve">respecto de </w:t>
      </w:r>
      <w:r w:rsidRPr="009D5EA7">
        <w:rPr>
          <w:rFonts w:ascii="Verdana" w:hAnsi="Verdana" w:cs="Arial"/>
          <w:sz w:val="20"/>
        </w:rPr>
        <w:t>la condena de 23 años contra los autores materiales</w:t>
      </w:r>
      <w:r w:rsidRPr="009D5EA7">
        <w:rPr>
          <w:rStyle w:val="Refdenotaalpie"/>
          <w:rFonts w:ascii="Verdana" w:hAnsi="Verdana" w:cs="Arial"/>
          <w:sz w:val="20"/>
        </w:rPr>
        <w:footnoteReference w:id="107"/>
      </w:r>
      <w:r w:rsidRPr="009D5EA7">
        <w:rPr>
          <w:rFonts w:ascii="Verdana" w:hAnsi="Verdana" w:cs="Arial"/>
          <w:sz w:val="20"/>
        </w:rPr>
        <w:t>.</w:t>
      </w:r>
    </w:p>
    <w:p w14:paraId="0CD024D9" w14:textId="77777777" w:rsidR="009A4633" w:rsidRPr="009D5EA7" w:rsidRDefault="009A4633" w:rsidP="009A4633">
      <w:pPr>
        <w:pStyle w:val="Prrafodelista"/>
        <w:rPr>
          <w:rFonts w:ascii="Verdana" w:hAnsi="Verdana" w:cs="Arial"/>
          <w:sz w:val="20"/>
        </w:rPr>
      </w:pPr>
    </w:p>
    <w:p w14:paraId="28223F7F" w14:textId="73B87C81" w:rsidR="009A4633" w:rsidRPr="009D5EA7" w:rsidRDefault="009A4633" w:rsidP="00667F79">
      <w:pPr>
        <w:pStyle w:val="Prrafodelista"/>
        <w:numPr>
          <w:ilvl w:val="0"/>
          <w:numId w:val="5"/>
        </w:numPr>
        <w:ind w:left="0" w:firstLine="0"/>
        <w:jc w:val="both"/>
        <w:rPr>
          <w:rFonts w:ascii="Verdana" w:hAnsi="Verdana" w:cs="Arial"/>
          <w:i/>
          <w:sz w:val="20"/>
        </w:rPr>
      </w:pPr>
      <w:r w:rsidRPr="009D5EA7">
        <w:rPr>
          <w:rFonts w:ascii="Verdana" w:hAnsi="Verdana" w:cs="Arial"/>
          <w:sz w:val="20"/>
        </w:rPr>
        <w:t xml:space="preserve">El 12 de enero de 2007 la Sala de lo Penal de la Corte Suprema de Justicia </w:t>
      </w:r>
      <w:r w:rsidR="005F13A3" w:rsidRPr="009D5EA7">
        <w:rPr>
          <w:rFonts w:ascii="Verdana" w:hAnsi="Verdana" w:cs="Arial"/>
          <w:sz w:val="20"/>
        </w:rPr>
        <w:t>declaró improcedente</w:t>
      </w:r>
      <w:r w:rsidRPr="009D5EA7">
        <w:rPr>
          <w:rFonts w:ascii="Verdana" w:hAnsi="Verdana" w:cs="Arial"/>
          <w:sz w:val="20"/>
        </w:rPr>
        <w:t xml:space="preserve"> el </w:t>
      </w:r>
      <w:r w:rsidR="005F13A3" w:rsidRPr="009D5EA7">
        <w:rPr>
          <w:rFonts w:ascii="Verdana" w:hAnsi="Verdana" w:cs="Arial"/>
          <w:sz w:val="20"/>
        </w:rPr>
        <w:t xml:space="preserve">segundo recurso </w:t>
      </w:r>
      <w:r w:rsidR="00246C40" w:rsidRPr="009D5EA7">
        <w:rPr>
          <w:rFonts w:ascii="Verdana" w:hAnsi="Verdana" w:cs="Arial"/>
          <w:sz w:val="20"/>
        </w:rPr>
        <w:t>extraordinario de casación, por considerar que la decisión del Tribunal fue acertada, ya que en el proceso consta como una verdad material absoluta que efectivamente yace la cosa juzgada en la sentencia, en virtud de que la misma fue notificada a todas las partes sin que alguna esgrimiera contra ella recurso alguno, y por ende, los hechos ya no pueden ser discutidos de nuevo ante tribunales que han conocido de esa sentencia ni ante ninguna otra jurisdicción</w:t>
      </w:r>
      <w:r w:rsidRPr="009D5EA7">
        <w:rPr>
          <w:rStyle w:val="Refdenotaalpie"/>
          <w:rFonts w:ascii="Verdana" w:hAnsi="Verdana" w:cs="Arial"/>
          <w:sz w:val="20"/>
        </w:rPr>
        <w:footnoteReference w:id="108"/>
      </w:r>
      <w:r w:rsidRPr="009D5EA7">
        <w:rPr>
          <w:rFonts w:ascii="Verdana" w:hAnsi="Verdana" w:cs="Arial"/>
          <w:sz w:val="20"/>
        </w:rPr>
        <w:t>.</w:t>
      </w:r>
    </w:p>
    <w:p w14:paraId="7C010E98" w14:textId="77777777" w:rsidR="009A4633" w:rsidRDefault="009A4633" w:rsidP="009A4633">
      <w:pPr>
        <w:pStyle w:val="Prrafodelista"/>
        <w:ind w:left="1440"/>
        <w:jc w:val="both"/>
        <w:rPr>
          <w:rFonts w:ascii="Verdana" w:hAnsi="Verdana" w:cs="Arial"/>
          <w:sz w:val="20"/>
        </w:rPr>
      </w:pPr>
    </w:p>
    <w:p w14:paraId="0217AA8B" w14:textId="77777777" w:rsidR="00124D40" w:rsidRPr="009D5EA7" w:rsidRDefault="00124D40" w:rsidP="009A4633">
      <w:pPr>
        <w:pStyle w:val="Prrafodelista"/>
        <w:ind w:left="1440"/>
        <w:jc w:val="both"/>
        <w:rPr>
          <w:rFonts w:ascii="Verdana" w:hAnsi="Verdana" w:cs="Arial"/>
          <w:sz w:val="20"/>
        </w:rPr>
      </w:pPr>
    </w:p>
    <w:p w14:paraId="4F99DE78" w14:textId="77777777" w:rsidR="009A4633" w:rsidRPr="009D5EA7" w:rsidRDefault="009A4633" w:rsidP="00667F79">
      <w:pPr>
        <w:pStyle w:val="Prrafodelista"/>
        <w:numPr>
          <w:ilvl w:val="0"/>
          <w:numId w:val="13"/>
        </w:numPr>
        <w:spacing w:after="200" w:line="276" w:lineRule="auto"/>
        <w:jc w:val="both"/>
        <w:rPr>
          <w:rFonts w:ascii="Verdana" w:hAnsi="Verdana" w:cs="Arial"/>
          <w:b/>
          <w:sz w:val="20"/>
        </w:rPr>
      </w:pPr>
      <w:r w:rsidRPr="009D5EA7">
        <w:rPr>
          <w:rFonts w:ascii="Verdana" w:hAnsi="Verdana" w:cs="Arial"/>
          <w:b/>
          <w:sz w:val="20"/>
        </w:rPr>
        <w:t>Otras denuncias y procesos incoados contra la señora Acosta</w:t>
      </w:r>
    </w:p>
    <w:p w14:paraId="5CF8882B" w14:textId="77777777" w:rsidR="009A4633" w:rsidRPr="009D5EA7" w:rsidRDefault="009A4633" w:rsidP="009A4633">
      <w:pPr>
        <w:pStyle w:val="Prrafodelista"/>
        <w:ind w:left="1080"/>
        <w:jc w:val="both"/>
        <w:rPr>
          <w:rFonts w:ascii="Verdana" w:hAnsi="Verdana" w:cs="Arial"/>
          <w:b/>
          <w:sz w:val="20"/>
        </w:rPr>
      </w:pPr>
    </w:p>
    <w:p w14:paraId="458CCD03" w14:textId="77777777" w:rsidR="009A4633" w:rsidRPr="009D5EA7" w:rsidRDefault="009A4633" w:rsidP="009A4633">
      <w:pPr>
        <w:pStyle w:val="Prrafodelista"/>
        <w:ind w:left="1080"/>
        <w:jc w:val="both"/>
        <w:rPr>
          <w:rFonts w:ascii="Verdana" w:hAnsi="Verdana" w:cs="Arial"/>
          <w:b/>
          <w:i/>
          <w:sz w:val="20"/>
        </w:rPr>
      </w:pPr>
      <w:r w:rsidRPr="009D5EA7">
        <w:rPr>
          <w:rFonts w:ascii="Verdana" w:hAnsi="Verdana" w:cs="Arial"/>
          <w:b/>
          <w:i/>
          <w:sz w:val="20"/>
        </w:rPr>
        <w:t xml:space="preserve">E.1. </w:t>
      </w:r>
      <w:r w:rsidRPr="009D5EA7">
        <w:rPr>
          <w:rFonts w:ascii="Verdana" w:hAnsi="Verdana" w:cs="Arial"/>
          <w:b/>
          <w:i/>
          <w:sz w:val="20"/>
        </w:rPr>
        <w:tab/>
        <w:t xml:space="preserve">Embargo preventivo y demanda civil por daños y perjuicios </w:t>
      </w:r>
    </w:p>
    <w:p w14:paraId="45A1BB70" w14:textId="77777777" w:rsidR="009A4633" w:rsidRPr="009D5EA7" w:rsidRDefault="009A4633" w:rsidP="009A4633">
      <w:pPr>
        <w:pStyle w:val="Prrafodelista"/>
        <w:ind w:left="1080"/>
        <w:jc w:val="both"/>
        <w:rPr>
          <w:rFonts w:ascii="Verdana" w:hAnsi="Verdana" w:cs="Arial"/>
          <w:b/>
          <w:sz w:val="20"/>
        </w:rPr>
      </w:pPr>
    </w:p>
    <w:p w14:paraId="68A09F3C" w14:textId="636AE56F"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15 de mayo de 2002 </w:t>
      </w:r>
      <w:r w:rsidR="0023621A" w:rsidRPr="009D5EA7">
        <w:rPr>
          <w:rFonts w:ascii="Verdana" w:hAnsi="Verdana" w:cs="Arial"/>
          <w:sz w:val="20"/>
        </w:rPr>
        <w:t>PMF</w:t>
      </w:r>
      <w:r w:rsidRPr="009D5EA7">
        <w:rPr>
          <w:rFonts w:ascii="Verdana" w:hAnsi="Verdana" w:cs="Arial"/>
          <w:sz w:val="20"/>
        </w:rPr>
        <w:t xml:space="preserve">, en representación propia y de </w:t>
      </w:r>
      <w:r w:rsidR="00FB2B82" w:rsidRPr="009D5EA7">
        <w:rPr>
          <w:rFonts w:ascii="Verdana" w:hAnsi="Verdana" w:cs="Arial"/>
          <w:sz w:val="20"/>
        </w:rPr>
        <w:t>PT</w:t>
      </w:r>
      <w:r w:rsidRPr="009D5EA7">
        <w:rPr>
          <w:rFonts w:ascii="Verdana" w:hAnsi="Verdana" w:cs="Arial"/>
          <w:sz w:val="20"/>
        </w:rPr>
        <w:t xml:space="preserve">, solicitó al Juzgado de lo Civil de Bluefields el embargo preventivo sobre cualquier bien perteneciente a la señora Acosta Castellón, pero principalmente sobre su casa, por presuntamente deberle a él y a su poderdante </w:t>
      </w:r>
      <w:r w:rsidRPr="009D5EA7">
        <w:rPr>
          <w:rFonts w:ascii="Verdana" w:hAnsi="Verdana" w:cs="Arial"/>
          <w:sz w:val="20"/>
        </w:rPr>
        <w:lastRenderedPageBreak/>
        <w:t>la suma de US$100,000.00 (cien mil dólares de los Estados Unidos de América)</w:t>
      </w:r>
      <w:r w:rsidR="00246C40" w:rsidRPr="009D5EA7">
        <w:rPr>
          <w:rStyle w:val="Refdenotaalpie"/>
          <w:rFonts w:ascii="Verdana" w:hAnsi="Verdana" w:cs="Arial"/>
          <w:sz w:val="20"/>
        </w:rPr>
        <w:footnoteReference w:id="109"/>
      </w:r>
      <w:r w:rsidRPr="009D5EA7">
        <w:rPr>
          <w:rFonts w:ascii="Verdana" w:hAnsi="Verdana" w:cs="Arial"/>
          <w:sz w:val="20"/>
        </w:rPr>
        <w:t>.  Según lo solicitado, e</w:t>
      </w:r>
      <w:r w:rsidR="00246C40" w:rsidRPr="009D5EA7">
        <w:rPr>
          <w:rFonts w:ascii="Verdana" w:hAnsi="Verdana" w:cs="Arial"/>
          <w:sz w:val="20"/>
        </w:rPr>
        <w:t>se</w:t>
      </w:r>
      <w:r w:rsidRPr="009D5EA7">
        <w:rPr>
          <w:rFonts w:ascii="Verdana" w:hAnsi="Verdana" w:cs="Arial"/>
          <w:sz w:val="20"/>
        </w:rPr>
        <w:t xml:space="preserve"> mismo día</w:t>
      </w:r>
      <w:r w:rsidR="00246C40" w:rsidRPr="009D5EA7">
        <w:rPr>
          <w:rFonts w:ascii="Verdana" w:hAnsi="Verdana" w:cs="Arial"/>
          <w:sz w:val="20"/>
        </w:rPr>
        <w:t>, dos horas más tarde,</w:t>
      </w:r>
      <w:r w:rsidRPr="009D5EA7">
        <w:rPr>
          <w:rFonts w:ascii="Verdana" w:hAnsi="Verdana" w:cs="Arial"/>
          <w:sz w:val="20"/>
        </w:rPr>
        <w:t xml:space="preserve"> el Juzgado dictó acto de embargo preventivo de la residencia de la señora Acosta</w:t>
      </w:r>
      <w:r w:rsidRPr="009D5EA7">
        <w:rPr>
          <w:rStyle w:val="Refdenotaalpie"/>
          <w:rFonts w:ascii="Verdana" w:hAnsi="Verdana" w:cs="Arial"/>
          <w:sz w:val="20"/>
        </w:rPr>
        <w:footnoteReference w:id="110"/>
      </w:r>
      <w:r w:rsidRPr="009D5EA7">
        <w:rPr>
          <w:rFonts w:ascii="Verdana" w:hAnsi="Verdana" w:cs="Arial"/>
          <w:sz w:val="20"/>
        </w:rPr>
        <w:t>.</w:t>
      </w:r>
    </w:p>
    <w:p w14:paraId="7509C20C" w14:textId="77777777" w:rsidR="009A4633" w:rsidRPr="009D5EA7" w:rsidRDefault="009A4633" w:rsidP="009A4633">
      <w:pPr>
        <w:pStyle w:val="Prrafodelista"/>
        <w:ind w:left="0"/>
        <w:jc w:val="both"/>
        <w:rPr>
          <w:rFonts w:ascii="Verdana" w:hAnsi="Verdana" w:cs="Arial"/>
          <w:sz w:val="20"/>
        </w:rPr>
      </w:pPr>
    </w:p>
    <w:p w14:paraId="12662CDD" w14:textId="7647AAF6"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30 de mayo de 2002 </w:t>
      </w:r>
      <w:r w:rsidR="0023621A" w:rsidRPr="009D5EA7">
        <w:rPr>
          <w:rFonts w:ascii="Verdana" w:hAnsi="Verdana" w:cs="Arial"/>
          <w:sz w:val="20"/>
        </w:rPr>
        <w:t>PMF</w:t>
      </w:r>
      <w:r w:rsidRPr="009D5EA7">
        <w:rPr>
          <w:rFonts w:ascii="Verdana" w:hAnsi="Verdana" w:cs="Arial"/>
          <w:sz w:val="20"/>
        </w:rPr>
        <w:t xml:space="preserve">, en representación propia y de </w:t>
      </w:r>
      <w:r w:rsidR="00FB2B82" w:rsidRPr="009D5EA7">
        <w:rPr>
          <w:rFonts w:ascii="Verdana" w:hAnsi="Verdana" w:cs="Arial"/>
          <w:sz w:val="20"/>
        </w:rPr>
        <w:t>PT</w:t>
      </w:r>
      <w:r w:rsidRPr="009D5EA7">
        <w:rPr>
          <w:rFonts w:ascii="Verdana" w:hAnsi="Verdana" w:cs="Arial"/>
          <w:sz w:val="20"/>
        </w:rPr>
        <w:t>, demandó a la señora Acosta Castellón por daños y perjuicios ante el Juzgado Civil de</w:t>
      </w:r>
      <w:r w:rsidR="00246C40" w:rsidRPr="009D5EA7">
        <w:rPr>
          <w:rFonts w:ascii="Verdana" w:hAnsi="Verdana" w:cs="Arial"/>
          <w:sz w:val="20"/>
        </w:rPr>
        <w:t>l</w:t>
      </w:r>
      <w:r w:rsidRPr="009D5EA7">
        <w:rPr>
          <w:rFonts w:ascii="Verdana" w:hAnsi="Verdana" w:cs="Arial"/>
          <w:sz w:val="20"/>
        </w:rPr>
        <w:t xml:space="preserve"> Distrito de Bluefields por involucrarlos con el crimen perpetrado contra el señor García Valle, al señalarlos como autores intelectuales de este hecho</w:t>
      </w:r>
      <w:r w:rsidRPr="009D5EA7">
        <w:rPr>
          <w:rStyle w:val="Refdenotaalpie"/>
          <w:rFonts w:ascii="Verdana" w:hAnsi="Verdana" w:cs="Arial"/>
          <w:sz w:val="20"/>
        </w:rPr>
        <w:footnoteReference w:id="111"/>
      </w:r>
      <w:r w:rsidRPr="009D5EA7">
        <w:rPr>
          <w:rFonts w:ascii="Verdana" w:hAnsi="Verdana" w:cs="Arial"/>
          <w:sz w:val="20"/>
        </w:rPr>
        <w:t>.</w:t>
      </w:r>
    </w:p>
    <w:p w14:paraId="74D3E057" w14:textId="77777777" w:rsidR="009A4633" w:rsidRPr="009D5EA7" w:rsidRDefault="009A4633" w:rsidP="009A4633">
      <w:pPr>
        <w:pStyle w:val="Prrafodelista"/>
        <w:jc w:val="both"/>
        <w:rPr>
          <w:rFonts w:ascii="Verdana" w:hAnsi="Verdana" w:cs="Arial"/>
          <w:sz w:val="20"/>
        </w:rPr>
      </w:pPr>
    </w:p>
    <w:p w14:paraId="7F52636F" w14:textId="685888D1"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26 de junio de 2002 el representante de la señora Acosta solicitó al Juzgado de lo Civil del Distr</w:t>
      </w:r>
      <w:r w:rsidR="005704ED" w:rsidRPr="009D5EA7">
        <w:rPr>
          <w:rFonts w:ascii="Verdana" w:hAnsi="Verdana" w:cs="Arial"/>
          <w:sz w:val="20"/>
        </w:rPr>
        <w:t>ito de Bluefields que se levantara</w:t>
      </w:r>
      <w:r w:rsidRPr="009D5EA7">
        <w:rPr>
          <w:rFonts w:ascii="Verdana" w:hAnsi="Verdana" w:cs="Arial"/>
          <w:sz w:val="20"/>
        </w:rPr>
        <w:t xml:space="preserve"> el embargo preventivo, </w:t>
      </w:r>
      <w:r w:rsidR="00246C40" w:rsidRPr="009D5EA7">
        <w:rPr>
          <w:rFonts w:ascii="Verdana" w:hAnsi="Verdana" w:cs="Arial"/>
          <w:sz w:val="20"/>
        </w:rPr>
        <w:t>por fianza insuficiente y no haber congruencia en las razones para decretarlo</w:t>
      </w:r>
      <w:r w:rsidR="005704ED" w:rsidRPr="009D5EA7">
        <w:rPr>
          <w:rFonts w:ascii="Verdana" w:hAnsi="Verdana" w:cs="Arial"/>
          <w:sz w:val="20"/>
        </w:rPr>
        <w:t>; se rechazara</w:t>
      </w:r>
      <w:r w:rsidRPr="009D5EA7">
        <w:rPr>
          <w:rFonts w:ascii="Verdana" w:hAnsi="Verdana" w:cs="Arial"/>
          <w:sz w:val="20"/>
        </w:rPr>
        <w:t xml:space="preserve"> de plano la demanda de daños y perjuicios </w:t>
      </w:r>
      <w:r w:rsidR="005704ED" w:rsidRPr="009D5EA7">
        <w:rPr>
          <w:rFonts w:ascii="Verdana" w:hAnsi="Verdana" w:cs="Arial"/>
          <w:sz w:val="20"/>
        </w:rPr>
        <w:t xml:space="preserve">con base en </w:t>
      </w:r>
      <w:r w:rsidRPr="009D5EA7">
        <w:rPr>
          <w:rFonts w:ascii="Verdana" w:hAnsi="Verdana" w:cs="Arial"/>
          <w:sz w:val="20"/>
        </w:rPr>
        <w:t>las excepciones de oscuridad en la demanda, ineptitud de libelo y litispendencia sobre los hechos que la soportan; se conden</w:t>
      </w:r>
      <w:r w:rsidR="005704ED" w:rsidRPr="009D5EA7">
        <w:rPr>
          <w:rFonts w:ascii="Verdana" w:hAnsi="Verdana" w:cs="Arial"/>
          <w:sz w:val="20"/>
        </w:rPr>
        <w:t>ara</w:t>
      </w:r>
      <w:r w:rsidRPr="009D5EA7">
        <w:rPr>
          <w:rFonts w:ascii="Verdana" w:hAnsi="Verdana" w:cs="Arial"/>
          <w:sz w:val="20"/>
        </w:rPr>
        <w:t xml:space="preserve"> a </w:t>
      </w:r>
      <w:r w:rsidR="005704ED" w:rsidRPr="009D5EA7">
        <w:rPr>
          <w:rFonts w:ascii="Verdana" w:hAnsi="Verdana" w:cs="Arial"/>
          <w:sz w:val="20"/>
        </w:rPr>
        <w:t xml:space="preserve">PT y PMF </w:t>
      </w:r>
      <w:r w:rsidRPr="009D5EA7">
        <w:rPr>
          <w:rFonts w:ascii="Verdana" w:hAnsi="Verdana" w:cs="Arial"/>
          <w:sz w:val="20"/>
        </w:rPr>
        <w:t>por daños y costas por el ilegal embargo;</w:t>
      </w:r>
      <w:r w:rsidR="005704ED" w:rsidRPr="009D5EA7">
        <w:rPr>
          <w:rFonts w:ascii="Verdana" w:hAnsi="Verdana" w:cs="Arial"/>
          <w:sz w:val="20"/>
        </w:rPr>
        <w:t xml:space="preserve"> y</w:t>
      </w:r>
      <w:r w:rsidRPr="009D5EA7">
        <w:rPr>
          <w:rFonts w:ascii="Verdana" w:hAnsi="Verdana" w:cs="Arial"/>
          <w:sz w:val="20"/>
        </w:rPr>
        <w:t xml:space="preserve"> se </w:t>
      </w:r>
      <w:r w:rsidR="005704ED" w:rsidRPr="009D5EA7">
        <w:rPr>
          <w:rFonts w:ascii="Verdana" w:hAnsi="Verdana" w:cs="Arial"/>
          <w:sz w:val="20"/>
        </w:rPr>
        <w:t>diera</w:t>
      </w:r>
      <w:r w:rsidRPr="009D5EA7">
        <w:rPr>
          <w:rFonts w:ascii="Verdana" w:hAnsi="Verdana" w:cs="Arial"/>
          <w:sz w:val="20"/>
        </w:rPr>
        <w:t xml:space="preserve"> cuenta de las acciones del abogado </w:t>
      </w:r>
      <w:r w:rsidR="0023621A" w:rsidRPr="009D5EA7">
        <w:rPr>
          <w:rFonts w:ascii="Verdana" w:hAnsi="Verdana" w:cs="Arial"/>
          <w:sz w:val="20"/>
        </w:rPr>
        <w:t>PMF</w:t>
      </w:r>
      <w:r w:rsidRPr="009D5EA7">
        <w:rPr>
          <w:rFonts w:ascii="Verdana" w:hAnsi="Verdana" w:cs="Arial"/>
          <w:sz w:val="20"/>
        </w:rPr>
        <w:t xml:space="preserve"> a la Comisión de Régimen </w:t>
      </w:r>
      <w:r w:rsidR="005704ED" w:rsidRPr="009D5EA7">
        <w:rPr>
          <w:rFonts w:ascii="Verdana" w:hAnsi="Verdana" w:cs="Arial"/>
          <w:sz w:val="20"/>
        </w:rPr>
        <w:t>D</w:t>
      </w:r>
      <w:r w:rsidRPr="009D5EA7">
        <w:rPr>
          <w:rFonts w:ascii="Verdana" w:hAnsi="Verdana" w:cs="Arial"/>
          <w:sz w:val="20"/>
        </w:rPr>
        <w:t>isciplinario de la Corte Suprema de Justicia</w:t>
      </w:r>
      <w:r w:rsidRPr="009D5EA7">
        <w:rPr>
          <w:rStyle w:val="Refdenotaalpie"/>
          <w:rFonts w:ascii="Verdana" w:hAnsi="Verdana" w:cs="Arial"/>
          <w:sz w:val="20"/>
        </w:rPr>
        <w:footnoteReference w:id="112"/>
      </w:r>
      <w:r w:rsidRPr="009D5EA7">
        <w:rPr>
          <w:rFonts w:ascii="Verdana" w:hAnsi="Verdana" w:cs="Arial"/>
          <w:sz w:val="20"/>
        </w:rPr>
        <w:t>.</w:t>
      </w:r>
      <w:r w:rsidR="005704ED" w:rsidRPr="009D5EA7">
        <w:rPr>
          <w:rFonts w:ascii="Verdana" w:hAnsi="Verdana" w:cs="Arial"/>
          <w:sz w:val="20"/>
        </w:rPr>
        <w:t xml:space="preserve"> </w:t>
      </w:r>
    </w:p>
    <w:p w14:paraId="16BDA704" w14:textId="77777777" w:rsidR="009A4633" w:rsidRPr="009D5EA7" w:rsidRDefault="009A4633" w:rsidP="009A4633">
      <w:pPr>
        <w:pStyle w:val="Prrafodelista"/>
        <w:jc w:val="both"/>
        <w:rPr>
          <w:rFonts w:ascii="Verdana" w:hAnsi="Verdana" w:cs="Arial"/>
          <w:sz w:val="20"/>
        </w:rPr>
      </w:pPr>
    </w:p>
    <w:p w14:paraId="04BD0A84" w14:textId="6C62104D"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1, 16 y 23 de octubre de 2002 el representante de la señora Acosta compareció ante el Juzgado para solicitar que se resolviera</w:t>
      </w:r>
      <w:r w:rsidR="00246C40" w:rsidRPr="009D5EA7">
        <w:rPr>
          <w:rFonts w:ascii="Verdana" w:hAnsi="Verdana" w:cs="Arial"/>
          <w:sz w:val="20"/>
        </w:rPr>
        <w:t xml:space="preserve"> la nulidad del embargo</w:t>
      </w:r>
      <w:r w:rsidRPr="009D5EA7">
        <w:rPr>
          <w:rFonts w:ascii="Verdana" w:hAnsi="Verdana" w:cs="Arial"/>
          <w:sz w:val="20"/>
        </w:rPr>
        <w:t xml:space="preserve"> con la mayor premura posible</w:t>
      </w:r>
      <w:r w:rsidRPr="009D5EA7">
        <w:rPr>
          <w:rStyle w:val="Refdenotaalpie"/>
          <w:rFonts w:ascii="Verdana" w:hAnsi="Verdana" w:cs="Arial"/>
          <w:sz w:val="20"/>
        </w:rPr>
        <w:footnoteReference w:id="113"/>
      </w:r>
      <w:r w:rsidRPr="009D5EA7">
        <w:rPr>
          <w:rFonts w:ascii="Verdana" w:hAnsi="Verdana" w:cs="Arial"/>
          <w:sz w:val="20"/>
        </w:rPr>
        <w:t xml:space="preserve">.  </w:t>
      </w:r>
    </w:p>
    <w:p w14:paraId="6349170F" w14:textId="77777777" w:rsidR="009A4633" w:rsidRPr="009D5EA7" w:rsidRDefault="009A4633" w:rsidP="009A4633">
      <w:pPr>
        <w:pStyle w:val="Prrafodelista"/>
        <w:jc w:val="both"/>
        <w:rPr>
          <w:rFonts w:ascii="Verdana" w:hAnsi="Verdana" w:cs="Arial"/>
          <w:sz w:val="20"/>
        </w:rPr>
      </w:pPr>
    </w:p>
    <w:p w14:paraId="060681A1" w14:textId="77777777"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Mediante auto de 24 de octubre de 2002, el Juzgado determinó la apertura del término probatorio en el juicio civil por daños y perjuicios</w:t>
      </w:r>
      <w:r w:rsidRPr="009D5EA7">
        <w:rPr>
          <w:rStyle w:val="Refdenotaalpie"/>
          <w:rFonts w:ascii="Verdana" w:hAnsi="Verdana" w:cs="Arial"/>
          <w:sz w:val="20"/>
        </w:rPr>
        <w:footnoteReference w:id="114"/>
      </w:r>
      <w:r w:rsidRPr="009D5EA7">
        <w:rPr>
          <w:rFonts w:ascii="Verdana" w:hAnsi="Verdana" w:cs="Arial"/>
          <w:sz w:val="20"/>
        </w:rPr>
        <w:t>.</w:t>
      </w:r>
    </w:p>
    <w:p w14:paraId="42A7B589" w14:textId="77777777" w:rsidR="009A4633" w:rsidRPr="009D5EA7" w:rsidRDefault="009A4633" w:rsidP="009A4633">
      <w:pPr>
        <w:pStyle w:val="Prrafodelista"/>
        <w:jc w:val="both"/>
        <w:rPr>
          <w:rFonts w:ascii="Verdana" w:hAnsi="Verdana" w:cs="Arial"/>
          <w:sz w:val="20"/>
        </w:rPr>
      </w:pPr>
    </w:p>
    <w:p w14:paraId="36EC1D84" w14:textId="097D4C31"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27 de febrero de 2003 el Juzgado Civil de Distrito de Bluefields </w:t>
      </w:r>
      <w:r w:rsidR="005704ED" w:rsidRPr="009D5EA7">
        <w:rPr>
          <w:rFonts w:ascii="Verdana" w:hAnsi="Verdana" w:cs="Arial"/>
          <w:sz w:val="20"/>
        </w:rPr>
        <w:t xml:space="preserve">declaró </w:t>
      </w:r>
      <w:r w:rsidRPr="009D5EA7">
        <w:rPr>
          <w:rFonts w:ascii="Verdana" w:hAnsi="Verdana" w:cs="Arial"/>
          <w:sz w:val="20"/>
        </w:rPr>
        <w:t>procedente el incidente de nulidad interpuesto por el representante de la señora Acosta y ordenó que se levantara el embargo al quedar firme la resolución</w:t>
      </w:r>
      <w:r w:rsidRPr="009D5EA7">
        <w:rPr>
          <w:rStyle w:val="Refdenotaalpie"/>
          <w:rFonts w:ascii="Verdana" w:hAnsi="Verdana" w:cs="Arial"/>
          <w:sz w:val="20"/>
        </w:rPr>
        <w:footnoteReference w:id="115"/>
      </w:r>
      <w:r w:rsidRPr="009D5EA7">
        <w:rPr>
          <w:rFonts w:ascii="Verdana" w:hAnsi="Verdana" w:cs="Arial"/>
          <w:sz w:val="20"/>
        </w:rPr>
        <w:t xml:space="preserve">. El 5 de marzo de 2003 </w:t>
      </w:r>
      <w:r w:rsidR="0023621A" w:rsidRPr="009D5EA7">
        <w:rPr>
          <w:rFonts w:ascii="Verdana" w:hAnsi="Verdana" w:cs="Arial"/>
          <w:sz w:val="20"/>
        </w:rPr>
        <w:t>PMF</w:t>
      </w:r>
      <w:r w:rsidRPr="009D5EA7">
        <w:rPr>
          <w:rFonts w:ascii="Verdana" w:hAnsi="Verdana" w:cs="Arial"/>
          <w:sz w:val="20"/>
        </w:rPr>
        <w:t xml:space="preserve"> interpuso recurso de apelación contra esta sentencia</w:t>
      </w:r>
      <w:r w:rsidRPr="009D5EA7">
        <w:rPr>
          <w:rStyle w:val="Refdenotaalpie"/>
          <w:rFonts w:ascii="Verdana" w:hAnsi="Verdana" w:cs="Arial"/>
          <w:sz w:val="20"/>
        </w:rPr>
        <w:footnoteReference w:id="116"/>
      </w:r>
      <w:r w:rsidRPr="009D5EA7">
        <w:rPr>
          <w:rFonts w:ascii="Verdana" w:hAnsi="Verdana" w:cs="Arial"/>
          <w:sz w:val="20"/>
        </w:rPr>
        <w:t>, el cual fue admitido el 25 de marzo siguiente por la Sala de lo Civil del Tribunal de Apelaciones Circunscripción Atlántico Sur</w:t>
      </w:r>
      <w:r w:rsidRPr="009D5EA7">
        <w:rPr>
          <w:rStyle w:val="Refdenotaalpie"/>
          <w:rFonts w:ascii="Verdana" w:hAnsi="Verdana" w:cs="Arial"/>
          <w:sz w:val="20"/>
        </w:rPr>
        <w:footnoteReference w:id="117"/>
      </w:r>
      <w:r w:rsidRPr="009D5EA7">
        <w:rPr>
          <w:rFonts w:ascii="Verdana" w:hAnsi="Verdana" w:cs="Arial"/>
          <w:sz w:val="20"/>
        </w:rPr>
        <w:t>.</w:t>
      </w:r>
    </w:p>
    <w:p w14:paraId="1B351524" w14:textId="77777777" w:rsidR="009A4633" w:rsidRPr="009D5EA7" w:rsidRDefault="009A4633" w:rsidP="009A4633">
      <w:pPr>
        <w:pStyle w:val="Prrafodelista"/>
        <w:jc w:val="both"/>
        <w:rPr>
          <w:rFonts w:ascii="Verdana" w:hAnsi="Verdana" w:cs="Arial"/>
          <w:sz w:val="20"/>
        </w:rPr>
      </w:pPr>
    </w:p>
    <w:p w14:paraId="5E78C4CB" w14:textId="77777777"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25 de agosto de 2004 la señora Acosta interpuso un recurso de retardación de justicia ante la Corte Suprema de Justicia, pues había transcurrido más de un año y cinco meses desde que ella había contestado y la Sala de lo Civil del Tribunal de Apelaciones Circunscripción Atlántico Sur aún no se había pronunciado al respecto</w:t>
      </w:r>
      <w:r w:rsidRPr="009D5EA7">
        <w:rPr>
          <w:rStyle w:val="Refdenotaalpie"/>
          <w:rFonts w:ascii="Verdana" w:hAnsi="Verdana" w:cs="Arial"/>
          <w:sz w:val="20"/>
        </w:rPr>
        <w:footnoteReference w:id="118"/>
      </w:r>
      <w:r w:rsidRPr="009D5EA7">
        <w:rPr>
          <w:rFonts w:ascii="Verdana" w:hAnsi="Verdana" w:cs="Arial"/>
          <w:sz w:val="20"/>
        </w:rPr>
        <w:t>.</w:t>
      </w:r>
    </w:p>
    <w:p w14:paraId="5A227ADC" w14:textId="77777777" w:rsidR="009A4633" w:rsidRPr="009D5EA7" w:rsidRDefault="009A4633" w:rsidP="009A4633">
      <w:pPr>
        <w:pStyle w:val="Prrafodelista"/>
        <w:jc w:val="both"/>
        <w:rPr>
          <w:rFonts w:ascii="Verdana" w:hAnsi="Verdana" w:cs="Arial"/>
          <w:sz w:val="20"/>
        </w:rPr>
      </w:pPr>
    </w:p>
    <w:p w14:paraId="77D01EF6" w14:textId="77777777"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10 de diciembre de 2004 la referida Sala Civil del Tribunal de Apelaciones confirmó la sentencia del Juzgado de Distrito de lo Civil de Bluefields de 27 de febrero de 2003.</w:t>
      </w:r>
    </w:p>
    <w:p w14:paraId="0640C9CB" w14:textId="77777777" w:rsidR="009A4633" w:rsidRPr="009D5EA7" w:rsidRDefault="009A4633" w:rsidP="009A4633">
      <w:pPr>
        <w:pStyle w:val="Prrafodelista"/>
        <w:jc w:val="both"/>
        <w:rPr>
          <w:rFonts w:ascii="Verdana" w:hAnsi="Verdana" w:cs="Arial"/>
          <w:sz w:val="20"/>
        </w:rPr>
      </w:pPr>
    </w:p>
    <w:p w14:paraId="7E8A1F20" w14:textId="77777777" w:rsidR="009A4633" w:rsidRPr="009D5EA7" w:rsidRDefault="009A4633" w:rsidP="009A4633">
      <w:pPr>
        <w:pStyle w:val="Prrafodelista"/>
        <w:jc w:val="both"/>
        <w:rPr>
          <w:rFonts w:ascii="Verdana" w:hAnsi="Verdana" w:cs="Arial"/>
          <w:sz w:val="20"/>
        </w:rPr>
      </w:pPr>
    </w:p>
    <w:p w14:paraId="13D8F92D" w14:textId="66C8BC56" w:rsidR="009A4633" w:rsidRPr="009D5EA7" w:rsidRDefault="009A4633" w:rsidP="009A4633">
      <w:pPr>
        <w:pStyle w:val="Prrafodelista"/>
        <w:ind w:left="1080"/>
        <w:jc w:val="both"/>
        <w:rPr>
          <w:rFonts w:ascii="Verdana" w:hAnsi="Verdana" w:cs="Arial"/>
          <w:b/>
          <w:i/>
          <w:sz w:val="20"/>
        </w:rPr>
      </w:pPr>
      <w:r w:rsidRPr="009D5EA7">
        <w:rPr>
          <w:rFonts w:ascii="Verdana" w:hAnsi="Verdana" w:cs="Arial"/>
          <w:b/>
          <w:i/>
          <w:sz w:val="20"/>
        </w:rPr>
        <w:t>E.2</w:t>
      </w:r>
      <w:r w:rsidRPr="009D5EA7">
        <w:rPr>
          <w:rFonts w:ascii="Verdana" w:hAnsi="Verdana" w:cs="Arial"/>
          <w:b/>
          <w:i/>
          <w:sz w:val="20"/>
        </w:rPr>
        <w:tab/>
        <w:t>Denuncias por delitos de falso testimonio y denuncia falsa</w:t>
      </w:r>
    </w:p>
    <w:p w14:paraId="05DBF237" w14:textId="77777777" w:rsidR="009A4633" w:rsidRPr="009D5EA7" w:rsidRDefault="009A4633" w:rsidP="009A4633">
      <w:pPr>
        <w:pStyle w:val="Prrafodelista"/>
        <w:jc w:val="both"/>
        <w:rPr>
          <w:rFonts w:ascii="Verdana" w:hAnsi="Verdana" w:cs="Arial"/>
          <w:sz w:val="20"/>
        </w:rPr>
      </w:pPr>
    </w:p>
    <w:p w14:paraId="61E7EAAA" w14:textId="58BD28E9"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2 de octubre de 2002 </w:t>
      </w:r>
      <w:r w:rsidR="0023621A" w:rsidRPr="009D5EA7">
        <w:rPr>
          <w:rFonts w:ascii="Verdana" w:hAnsi="Verdana" w:cs="Arial"/>
          <w:sz w:val="20"/>
        </w:rPr>
        <w:t>PMF</w:t>
      </w:r>
      <w:r w:rsidRPr="009D5EA7">
        <w:rPr>
          <w:rFonts w:ascii="Verdana" w:hAnsi="Verdana" w:cs="Arial"/>
          <w:sz w:val="20"/>
        </w:rPr>
        <w:t xml:space="preserve">, en representación propia y a nombre de </w:t>
      </w:r>
      <w:r w:rsidR="00FB2B82" w:rsidRPr="009D5EA7">
        <w:rPr>
          <w:rFonts w:ascii="Verdana" w:hAnsi="Verdana" w:cs="Arial"/>
          <w:sz w:val="20"/>
        </w:rPr>
        <w:t>PT</w:t>
      </w:r>
      <w:r w:rsidRPr="009D5EA7">
        <w:rPr>
          <w:rFonts w:ascii="Verdana" w:hAnsi="Verdana" w:cs="Arial"/>
          <w:sz w:val="20"/>
        </w:rPr>
        <w:t>, interpuso una denuncia contra la señora Acosta por delitos de falso testimonio y denuncia falsa ante el Juzgado de Distrito del Crimen de Bluefields, por las acusaciones en contra de ambos dentro del proceso judicial referente al crimen del señor García Valle</w:t>
      </w:r>
      <w:r w:rsidRPr="009D5EA7">
        <w:rPr>
          <w:rStyle w:val="Refdenotaalpie"/>
          <w:rFonts w:ascii="Verdana" w:hAnsi="Verdana" w:cs="Arial"/>
          <w:sz w:val="20"/>
        </w:rPr>
        <w:footnoteReference w:id="119"/>
      </w:r>
      <w:r w:rsidRPr="009D5EA7">
        <w:rPr>
          <w:rFonts w:ascii="Verdana" w:hAnsi="Verdana" w:cs="Arial"/>
          <w:sz w:val="20"/>
        </w:rPr>
        <w:t>. Mediante auto de 21 de octubre de 2002, el Juzgado tuvo por admitida la denuncia en contra de la señora Acos</w:t>
      </w:r>
      <w:r w:rsidR="006233D1">
        <w:rPr>
          <w:rFonts w:ascii="Verdana" w:hAnsi="Verdana" w:cs="Arial"/>
          <w:sz w:val="20"/>
        </w:rPr>
        <w:t>t</w:t>
      </w:r>
      <w:r w:rsidRPr="009D5EA7">
        <w:rPr>
          <w:rFonts w:ascii="Verdana" w:hAnsi="Verdana" w:cs="Arial"/>
          <w:sz w:val="20"/>
        </w:rPr>
        <w:t>a</w:t>
      </w:r>
      <w:r w:rsidRPr="009D5EA7">
        <w:rPr>
          <w:rStyle w:val="Refdenotaalpie"/>
          <w:rFonts w:ascii="Verdana" w:hAnsi="Verdana" w:cs="Arial"/>
          <w:sz w:val="20"/>
        </w:rPr>
        <w:footnoteReference w:id="120"/>
      </w:r>
      <w:r w:rsidRPr="009D5EA7">
        <w:rPr>
          <w:rFonts w:ascii="Verdana" w:hAnsi="Verdana" w:cs="Arial"/>
          <w:sz w:val="20"/>
        </w:rPr>
        <w:t xml:space="preserve">. </w:t>
      </w:r>
    </w:p>
    <w:p w14:paraId="19226EED" w14:textId="77777777" w:rsidR="009A4633" w:rsidRPr="009D5EA7" w:rsidRDefault="009A4633" w:rsidP="009A4633">
      <w:pPr>
        <w:pStyle w:val="Prrafodelista"/>
        <w:jc w:val="both"/>
        <w:rPr>
          <w:rFonts w:ascii="Verdana" w:hAnsi="Verdana" w:cs="Arial"/>
          <w:sz w:val="20"/>
        </w:rPr>
      </w:pPr>
    </w:p>
    <w:p w14:paraId="5906348A" w14:textId="77777777"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14 de agosto de 2003 la señora Acosta solicitó, por medio de su representante, al Juzgado que se archivaran las diligencias porque la acusación por falso testimonio y denuncia falsa entraña abuso de derecho y fraude a la ley, señalando que “</w:t>
      </w:r>
      <w:r w:rsidRPr="009D5EA7">
        <w:rPr>
          <w:rStyle w:val="st"/>
          <w:rFonts w:ascii="Verdana" w:hAnsi="Verdana" w:cs="Arial"/>
          <w:sz w:val="20"/>
        </w:rPr>
        <w:t xml:space="preserve">los querellantes quieren </w:t>
      </w:r>
      <w:hyperlink r:id="rId17" w:anchor="Corchetes_.5B_.5D" w:history="1">
        <w:r w:rsidRPr="009D5EA7">
          <w:rPr>
            <w:rFonts w:ascii="Verdana" w:hAnsi="Verdana" w:cs="Arial"/>
            <w:sz w:val="20"/>
          </w:rPr>
          <w:t>[…]</w:t>
        </w:r>
      </w:hyperlink>
      <w:r w:rsidRPr="009D5EA7">
        <w:rPr>
          <w:rStyle w:val="st"/>
          <w:rFonts w:ascii="Verdana" w:hAnsi="Verdana" w:cs="Arial"/>
          <w:sz w:val="20"/>
        </w:rPr>
        <w:t xml:space="preserve"> continuar utilizando la acción penal y al sistema judicial como un medio de hostigamiento y coacción para que yo desista de llevar a los asesinos de mi esposo a juicio”</w:t>
      </w:r>
      <w:r w:rsidRPr="009D5EA7">
        <w:rPr>
          <w:rFonts w:ascii="Verdana" w:hAnsi="Verdana" w:cs="Arial"/>
          <w:sz w:val="20"/>
        </w:rPr>
        <w:t>. Además, solicitó que, en caso contrario, se le tomara declaración indagatoria en Chinandega por razones de seguridad personal</w:t>
      </w:r>
      <w:r w:rsidRPr="009D5EA7">
        <w:rPr>
          <w:rStyle w:val="Refdenotaalpie"/>
          <w:rFonts w:ascii="Verdana" w:hAnsi="Verdana" w:cs="Arial"/>
          <w:sz w:val="20"/>
        </w:rPr>
        <w:footnoteReference w:id="121"/>
      </w:r>
      <w:r w:rsidRPr="009D5EA7">
        <w:rPr>
          <w:rFonts w:ascii="Verdana" w:hAnsi="Verdana" w:cs="Arial"/>
          <w:sz w:val="20"/>
        </w:rPr>
        <w:t xml:space="preserve">. </w:t>
      </w:r>
    </w:p>
    <w:p w14:paraId="5E1A860C" w14:textId="77777777" w:rsidR="009A4633" w:rsidRPr="009D5EA7" w:rsidRDefault="009A4633" w:rsidP="009A4633">
      <w:pPr>
        <w:pStyle w:val="Prrafodelista"/>
        <w:jc w:val="both"/>
        <w:rPr>
          <w:rFonts w:ascii="Verdana" w:hAnsi="Verdana" w:cs="Arial"/>
          <w:sz w:val="20"/>
        </w:rPr>
      </w:pPr>
    </w:p>
    <w:p w14:paraId="3A955420" w14:textId="3E14B0BB"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23 de agosto de 2004 el Juez de Distrito de lo Civil y Penal </w:t>
      </w:r>
      <w:r w:rsidRPr="00BE5706">
        <w:rPr>
          <w:rFonts w:ascii="Verdana" w:hAnsi="Verdana" w:cs="Arial"/>
          <w:sz w:val="20"/>
        </w:rPr>
        <w:t>del In por Ministerio de Ley</w:t>
      </w:r>
      <w:r w:rsidRPr="009D5EA7">
        <w:rPr>
          <w:rFonts w:ascii="Verdana" w:hAnsi="Verdana" w:cs="Arial"/>
          <w:sz w:val="20"/>
        </w:rPr>
        <w:t xml:space="preserve"> de Bluefields declaró la caducidad en el juicio por el delito de falso testimonio y denuncia falsa, por haber transcurrido más de ocho meses sin que las partes procesales hubiesen hecho gestión alguna</w:t>
      </w:r>
      <w:r w:rsidRPr="009D5EA7">
        <w:rPr>
          <w:rStyle w:val="Refdenotaalpie"/>
          <w:rFonts w:ascii="Verdana" w:hAnsi="Verdana" w:cs="Arial"/>
          <w:sz w:val="20"/>
        </w:rPr>
        <w:footnoteReference w:id="122"/>
      </w:r>
      <w:r w:rsidRPr="009D5EA7">
        <w:rPr>
          <w:rFonts w:ascii="Verdana" w:hAnsi="Verdana" w:cs="Arial"/>
          <w:sz w:val="20"/>
        </w:rPr>
        <w:t xml:space="preserve">. El 30 de septiembre de 2004 </w:t>
      </w:r>
      <w:r w:rsidR="0023621A" w:rsidRPr="009D5EA7">
        <w:rPr>
          <w:rFonts w:ascii="Verdana" w:hAnsi="Verdana" w:cs="Arial"/>
          <w:sz w:val="20"/>
        </w:rPr>
        <w:t>PMF</w:t>
      </w:r>
      <w:r w:rsidRPr="009D5EA7">
        <w:rPr>
          <w:rFonts w:ascii="Verdana" w:hAnsi="Verdana" w:cs="Arial"/>
          <w:sz w:val="20"/>
        </w:rPr>
        <w:t xml:space="preserve"> interpuso recurso de apelación contra este auto</w:t>
      </w:r>
      <w:r w:rsidRPr="009D5EA7">
        <w:rPr>
          <w:rStyle w:val="Refdenotaalpie"/>
          <w:rFonts w:ascii="Verdana" w:hAnsi="Verdana" w:cs="Arial"/>
          <w:sz w:val="20"/>
        </w:rPr>
        <w:footnoteReference w:id="123"/>
      </w:r>
      <w:r w:rsidRPr="009D5EA7">
        <w:rPr>
          <w:rFonts w:ascii="Verdana" w:hAnsi="Verdana" w:cs="Arial"/>
          <w:sz w:val="20"/>
        </w:rPr>
        <w:t>. El 18 de octubre de 2004 la Sala Penal del Tribunal de Apelaciones Circunscripción Atlántico Sur declaró inadmisible el recurso interpuesto por</w:t>
      </w:r>
      <w:r w:rsidR="00191EE1">
        <w:rPr>
          <w:rFonts w:ascii="Verdana" w:hAnsi="Verdana" w:cs="Arial"/>
          <w:sz w:val="20"/>
        </w:rPr>
        <w:t xml:space="preserve"> PMF</w:t>
      </w:r>
      <w:r w:rsidRPr="009D5EA7">
        <w:rPr>
          <w:rFonts w:ascii="Verdana" w:hAnsi="Verdana" w:cs="Arial"/>
          <w:sz w:val="20"/>
        </w:rPr>
        <w:t>, por no apersona</w:t>
      </w:r>
      <w:r w:rsidR="00246C40" w:rsidRPr="009D5EA7">
        <w:rPr>
          <w:rFonts w:ascii="Verdana" w:hAnsi="Verdana" w:cs="Arial"/>
          <w:sz w:val="20"/>
        </w:rPr>
        <w:t>r</w:t>
      </w:r>
      <w:r w:rsidRPr="009D5EA7">
        <w:rPr>
          <w:rFonts w:ascii="Verdana" w:hAnsi="Verdana" w:cs="Arial"/>
          <w:sz w:val="20"/>
        </w:rPr>
        <w:t xml:space="preserve">se en forma el apelante y no expresar los agravios </w:t>
      </w:r>
      <w:r w:rsidR="00246C40" w:rsidRPr="009D5EA7">
        <w:rPr>
          <w:rFonts w:ascii="Verdana" w:hAnsi="Verdana" w:cs="Arial"/>
          <w:sz w:val="20"/>
        </w:rPr>
        <w:t>correspondientes en el respectivo apersonamiento</w:t>
      </w:r>
      <w:r w:rsidRPr="009D5EA7">
        <w:rPr>
          <w:rStyle w:val="Refdenotaalpie"/>
          <w:rFonts w:ascii="Verdana" w:hAnsi="Verdana" w:cs="Arial"/>
          <w:sz w:val="20"/>
        </w:rPr>
        <w:footnoteReference w:id="124"/>
      </w:r>
      <w:r w:rsidRPr="009D5EA7">
        <w:rPr>
          <w:rFonts w:ascii="Verdana" w:hAnsi="Verdana" w:cs="Arial"/>
          <w:sz w:val="20"/>
        </w:rPr>
        <w:t>.</w:t>
      </w:r>
    </w:p>
    <w:p w14:paraId="0DC91A55" w14:textId="77777777" w:rsidR="009A4633" w:rsidRPr="009D5EA7" w:rsidRDefault="009A4633" w:rsidP="009A4633">
      <w:pPr>
        <w:pStyle w:val="Prrafodelista"/>
        <w:ind w:left="0"/>
        <w:jc w:val="both"/>
        <w:rPr>
          <w:rFonts w:ascii="Verdana" w:hAnsi="Verdana" w:cs="Arial"/>
          <w:sz w:val="20"/>
        </w:rPr>
      </w:pPr>
    </w:p>
    <w:p w14:paraId="7703E606" w14:textId="77777777" w:rsidR="009A4633" w:rsidRPr="009D5EA7" w:rsidRDefault="009A4633" w:rsidP="009A4633">
      <w:pPr>
        <w:pStyle w:val="Prrafodelista"/>
        <w:ind w:left="0"/>
        <w:jc w:val="both"/>
        <w:rPr>
          <w:rFonts w:ascii="Verdana" w:hAnsi="Verdana" w:cs="Arial"/>
          <w:sz w:val="20"/>
        </w:rPr>
      </w:pPr>
    </w:p>
    <w:p w14:paraId="6B9C6864" w14:textId="77777777" w:rsidR="009A4633" w:rsidRPr="009D5EA7" w:rsidRDefault="009A4633" w:rsidP="00667F79">
      <w:pPr>
        <w:pStyle w:val="Prrafodelista"/>
        <w:numPr>
          <w:ilvl w:val="0"/>
          <w:numId w:val="13"/>
        </w:numPr>
        <w:spacing w:after="200" w:line="276" w:lineRule="auto"/>
        <w:jc w:val="both"/>
        <w:rPr>
          <w:rFonts w:ascii="Verdana" w:hAnsi="Verdana" w:cs="Arial"/>
          <w:b/>
          <w:sz w:val="20"/>
        </w:rPr>
      </w:pPr>
      <w:r w:rsidRPr="009D5EA7">
        <w:rPr>
          <w:rFonts w:ascii="Verdana" w:hAnsi="Verdana" w:cs="Arial"/>
          <w:b/>
          <w:sz w:val="20"/>
        </w:rPr>
        <w:t>Quejas ante la Comisión de Régimen Disciplinario de la Corte Suprema de Justicia</w:t>
      </w:r>
    </w:p>
    <w:p w14:paraId="6A5DBA0A" w14:textId="77777777" w:rsidR="009A4633" w:rsidRPr="009D5EA7" w:rsidRDefault="009A4633" w:rsidP="009A4633">
      <w:pPr>
        <w:pStyle w:val="Prrafodelista"/>
        <w:jc w:val="both"/>
        <w:rPr>
          <w:rFonts w:ascii="Verdana" w:hAnsi="Verdana" w:cs="Arial"/>
          <w:sz w:val="20"/>
        </w:rPr>
      </w:pPr>
    </w:p>
    <w:p w14:paraId="28B6F943" w14:textId="36ECFA08" w:rsidR="009A4633" w:rsidRPr="009D5EA7" w:rsidRDefault="009A4633" w:rsidP="00667F79">
      <w:pPr>
        <w:pStyle w:val="Prrafodelista"/>
        <w:numPr>
          <w:ilvl w:val="0"/>
          <w:numId w:val="5"/>
        </w:numPr>
        <w:ind w:left="0" w:firstLine="0"/>
        <w:jc w:val="both"/>
        <w:rPr>
          <w:rFonts w:ascii="Verdana" w:hAnsi="Verdana"/>
          <w:sz w:val="20"/>
          <w:lang w:eastAsia="es-CR"/>
        </w:rPr>
      </w:pPr>
      <w:r w:rsidRPr="009D5EA7">
        <w:rPr>
          <w:rFonts w:ascii="Verdana" w:hAnsi="Verdana" w:cs="Arial"/>
          <w:sz w:val="20"/>
        </w:rPr>
        <w:t xml:space="preserve">Entre los meses de mayo de 2002 y octubre de 2003, la señora Acosta interpuso cinco quejas disciplinarias contra </w:t>
      </w:r>
      <w:r w:rsidR="00BE5706">
        <w:rPr>
          <w:rFonts w:ascii="Verdana" w:hAnsi="Verdana" w:cs="Arial"/>
          <w:sz w:val="20"/>
        </w:rPr>
        <w:t>varios</w:t>
      </w:r>
      <w:r w:rsidRPr="009D5EA7">
        <w:rPr>
          <w:rFonts w:ascii="Verdana" w:hAnsi="Verdana" w:cs="Arial"/>
          <w:sz w:val="20"/>
        </w:rPr>
        <w:t xml:space="preserve"> funcionarios judiciales que conocieron del proceso penal seguido por el homicidio de su esposo.</w:t>
      </w:r>
      <w:r w:rsidRPr="009D5EA7">
        <w:rPr>
          <w:rFonts w:ascii="Verdana" w:hAnsi="Verdana"/>
          <w:sz w:val="20"/>
          <w:lang w:eastAsia="es-CR"/>
        </w:rPr>
        <w:t xml:space="preserve"> </w:t>
      </w:r>
    </w:p>
    <w:p w14:paraId="0E853AD6" w14:textId="77777777" w:rsidR="009A4633" w:rsidRPr="009D5EA7" w:rsidRDefault="009A4633" w:rsidP="009A4633">
      <w:pPr>
        <w:pStyle w:val="Prrafodelista"/>
        <w:jc w:val="both"/>
        <w:rPr>
          <w:rFonts w:ascii="Verdana" w:hAnsi="Verdana" w:cs="Arial"/>
          <w:sz w:val="20"/>
        </w:rPr>
      </w:pPr>
    </w:p>
    <w:p w14:paraId="282EDFC3" w14:textId="2E4AC5D6"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6 de mayo de 2002 la señora Acosta Castellón interpuso queja ante la Comisión de Régimen Disciplinario de la Corte Suprema de Justicia contra Julio Acuña Cambronero, en su calidad de Juez de Distrito del Crimen de Bluefields, por sus actuaciones en el proceso </w:t>
      </w:r>
      <w:r w:rsidR="00746348" w:rsidRPr="009D5EA7">
        <w:rPr>
          <w:rFonts w:ascii="Verdana" w:hAnsi="Verdana" w:cs="Arial"/>
          <w:sz w:val="20"/>
        </w:rPr>
        <w:t>penal</w:t>
      </w:r>
      <w:r w:rsidRPr="009D5EA7">
        <w:rPr>
          <w:rFonts w:ascii="Verdana" w:hAnsi="Verdana" w:cs="Arial"/>
          <w:sz w:val="20"/>
        </w:rPr>
        <w:t>, particularmente por haberla mandado detener en lo que consider</w:t>
      </w:r>
      <w:r w:rsidR="00246C40" w:rsidRPr="009D5EA7">
        <w:rPr>
          <w:rFonts w:ascii="Verdana" w:hAnsi="Verdana" w:cs="Arial"/>
          <w:sz w:val="20"/>
        </w:rPr>
        <w:t>aba</w:t>
      </w:r>
      <w:r w:rsidRPr="009D5EA7">
        <w:rPr>
          <w:rFonts w:ascii="Verdana" w:hAnsi="Verdana" w:cs="Arial"/>
          <w:sz w:val="20"/>
        </w:rPr>
        <w:t xml:space="preserve"> “un ilegal acto de </w:t>
      </w:r>
      <w:r w:rsidRPr="009D5EA7">
        <w:rPr>
          <w:rFonts w:ascii="Verdana" w:hAnsi="Verdana" w:cs="Arial"/>
          <w:sz w:val="20"/>
        </w:rPr>
        <w:lastRenderedPageBreak/>
        <w:t>hostigamiento y persecución […] en abierta complicidad con los sindicados de la muerte de su esposo”, además de señalar una serie de actuaciones suyas dentro del proceso que consideró violaciones al debido proceso, por lo cual solicitó la destitución inmediata de aquél</w:t>
      </w:r>
      <w:r w:rsidRPr="009D5EA7">
        <w:rPr>
          <w:rStyle w:val="Refdenotaalpie"/>
          <w:rFonts w:ascii="Verdana" w:hAnsi="Verdana" w:cs="Arial"/>
          <w:sz w:val="20"/>
        </w:rPr>
        <w:footnoteReference w:id="125"/>
      </w:r>
      <w:r w:rsidRPr="009D5EA7">
        <w:rPr>
          <w:rFonts w:ascii="Verdana" w:hAnsi="Verdana" w:cs="Arial"/>
          <w:sz w:val="20"/>
        </w:rPr>
        <w:t xml:space="preserve">. El 13 de mayo siguiente la señora Acosta </w:t>
      </w:r>
      <w:r w:rsidR="00764688" w:rsidRPr="009D5EA7">
        <w:rPr>
          <w:rFonts w:ascii="Verdana" w:hAnsi="Verdana" w:cs="Arial"/>
          <w:sz w:val="20"/>
        </w:rPr>
        <w:t xml:space="preserve">solicitó a </w:t>
      </w:r>
      <w:r w:rsidRPr="009D5EA7">
        <w:rPr>
          <w:rFonts w:ascii="Verdana" w:hAnsi="Verdana" w:cs="Arial"/>
          <w:sz w:val="20"/>
        </w:rPr>
        <w:t xml:space="preserve">la referida Comisión </w:t>
      </w:r>
      <w:r w:rsidR="00764688" w:rsidRPr="009D5EA7">
        <w:rPr>
          <w:rFonts w:ascii="Verdana" w:hAnsi="Verdana" w:cs="Arial"/>
          <w:sz w:val="20"/>
        </w:rPr>
        <w:t xml:space="preserve">que </w:t>
      </w:r>
      <w:r w:rsidRPr="009D5EA7">
        <w:rPr>
          <w:rFonts w:ascii="Verdana" w:hAnsi="Verdana" w:cs="Arial"/>
          <w:sz w:val="20"/>
        </w:rPr>
        <w:t>se incorporara como prueba</w:t>
      </w:r>
      <w:r w:rsidR="00764688" w:rsidRPr="009D5EA7">
        <w:rPr>
          <w:rFonts w:ascii="Verdana" w:hAnsi="Verdana" w:cs="Arial"/>
          <w:sz w:val="20"/>
        </w:rPr>
        <w:t xml:space="preserve"> </w:t>
      </w:r>
      <w:r w:rsidRPr="009D5EA7">
        <w:rPr>
          <w:rFonts w:ascii="Verdana" w:hAnsi="Verdana" w:cs="Arial"/>
          <w:sz w:val="20"/>
        </w:rPr>
        <w:t>una publicación en el diario “La Prensa” en</w:t>
      </w:r>
      <w:r w:rsidR="00246C40" w:rsidRPr="009D5EA7">
        <w:rPr>
          <w:rFonts w:ascii="Verdana" w:hAnsi="Verdana" w:cs="Arial"/>
          <w:sz w:val="20"/>
        </w:rPr>
        <w:t xml:space="preserve"> la</w:t>
      </w:r>
      <w:r w:rsidRPr="009D5EA7">
        <w:rPr>
          <w:rFonts w:ascii="Verdana" w:hAnsi="Verdana" w:cs="Arial"/>
          <w:sz w:val="20"/>
        </w:rPr>
        <w:t xml:space="preserve"> que el juez Acuña Cambronero la habría señalado como encubrid</w:t>
      </w:r>
      <w:r w:rsidR="00BE5706">
        <w:rPr>
          <w:rFonts w:ascii="Verdana" w:hAnsi="Verdana" w:cs="Arial"/>
          <w:sz w:val="20"/>
        </w:rPr>
        <w:t>ora del asesinato de su esposo</w:t>
      </w:r>
      <w:r w:rsidRPr="009D5EA7">
        <w:rPr>
          <w:rFonts w:ascii="Verdana" w:hAnsi="Verdana" w:cs="Arial"/>
          <w:sz w:val="20"/>
        </w:rPr>
        <w:t>, en contra de la ética y de su derecho a un juez imparcial</w:t>
      </w:r>
      <w:r w:rsidRPr="009D5EA7">
        <w:rPr>
          <w:rStyle w:val="Refdenotaalpie"/>
          <w:rFonts w:ascii="Verdana" w:hAnsi="Verdana" w:cs="Arial"/>
          <w:sz w:val="20"/>
        </w:rPr>
        <w:footnoteReference w:id="126"/>
      </w:r>
      <w:r w:rsidRPr="009D5EA7">
        <w:rPr>
          <w:rFonts w:ascii="Verdana" w:hAnsi="Verdana" w:cs="Arial"/>
          <w:sz w:val="20"/>
        </w:rPr>
        <w:t>.</w:t>
      </w:r>
    </w:p>
    <w:p w14:paraId="294B0246" w14:textId="77777777" w:rsidR="009A4633" w:rsidRPr="009D5EA7" w:rsidRDefault="009A4633" w:rsidP="009A4633">
      <w:pPr>
        <w:pStyle w:val="Prrafodelista"/>
        <w:rPr>
          <w:rFonts w:ascii="Verdana" w:hAnsi="Verdana" w:cs="Arial"/>
          <w:sz w:val="20"/>
        </w:rPr>
      </w:pPr>
    </w:p>
    <w:p w14:paraId="3DA30761" w14:textId="77777777"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4 de octubre de 2002 la señora Acosta interpuso una segunda queja contra el juez Acuña Cambronero por una serie de hechos dentro del proceso, particularmente los rechazos de recursos interpuestos y la denegatoria del juez de introducir pruebas al proceso</w:t>
      </w:r>
      <w:r w:rsidRPr="009D5EA7">
        <w:rPr>
          <w:rStyle w:val="Refdenotaalpie"/>
          <w:rFonts w:ascii="Verdana" w:hAnsi="Verdana" w:cs="Arial"/>
          <w:sz w:val="20"/>
        </w:rPr>
        <w:footnoteReference w:id="127"/>
      </w:r>
      <w:r w:rsidRPr="009D5EA7">
        <w:rPr>
          <w:rFonts w:ascii="Verdana" w:hAnsi="Verdana" w:cs="Arial"/>
          <w:sz w:val="20"/>
        </w:rPr>
        <w:t xml:space="preserve">. </w:t>
      </w:r>
    </w:p>
    <w:p w14:paraId="325EE6CF" w14:textId="77777777" w:rsidR="009A4633" w:rsidRPr="009D5EA7" w:rsidRDefault="009A4633" w:rsidP="009A4633">
      <w:pPr>
        <w:pStyle w:val="Prrafodelista"/>
        <w:rPr>
          <w:rFonts w:ascii="Verdana" w:hAnsi="Verdana" w:cs="Arial"/>
          <w:sz w:val="20"/>
        </w:rPr>
      </w:pPr>
    </w:p>
    <w:p w14:paraId="7DC9737B" w14:textId="0A45B096"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14 de marzo de 2003 la señora Acosta compareció en audiencia ante la Comisión de Régimen Disciplinario de la Corte Suprema de Justicia, en la cual reiteró sus quejas contra el juez Acuña Cambronero y amplió la queja contra la jueza Anabel Omier, en su calidad de Jueza Civil del Distrito de Bluefields y Penal del In por Ministerio de Ley, y contra Jorge Ubeda, Jorge Berry y Luis Flores, en su calidad de Magistrados de la Sala Penal del Tribunal de Apelaciones de Bluefields, por lo que consideró una serie de anómalas actuaciones en el referido proceso</w:t>
      </w:r>
      <w:r w:rsidRPr="009D5EA7">
        <w:rPr>
          <w:rStyle w:val="Refdenotaalpie"/>
          <w:rFonts w:ascii="Verdana" w:hAnsi="Verdana" w:cs="Arial"/>
          <w:sz w:val="20"/>
        </w:rPr>
        <w:footnoteReference w:id="128"/>
      </w:r>
      <w:r w:rsidRPr="009D5EA7">
        <w:rPr>
          <w:rFonts w:ascii="Verdana" w:hAnsi="Verdana" w:cs="Arial"/>
          <w:sz w:val="20"/>
        </w:rPr>
        <w:t>.</w:t>
      </w:r>
    </w:p>
    <w:p w14:paraId="34601F2F" w14:textId="77777777" w:rsidR="009A4633" w:rsidRPr="009D5EA7" w:rsidRDefault="009A4633" w:rsidP="009A4633">
      <w:pPr>
        <w:pStyle w:val="Prrafodelista"/>
        <w:rPr>
          <w:rFonts w:ascii="Verdana" w:hAnsi="Verdana" w:cs="Arial"/>
          <w:sz w:val="20"/>
        </w:rPr>
      </w:pPr>
    </w:p>
    <w:p w14:paraId="66991E52" w14:textId="77777777"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4 de abril de 2003 solicitó por escrito ante la Comisión de Régimen Disciplinario que diera trámite a las quejas previamente interpuestas</w:t>
      </w:r>
      <w:r w:rsidRPr="009D5EA7">
        <w:rPr>
          <w:rStyle w:val="Refdenotaalpie"/>
          <w:rFonts w:ascii="Verdana" w:hAnsi="Verdana" w:cs="Arial"/>
          <w:sz w:val="20"/>
        </w:rPr>
        <w:footnoteReference w:id="129"/>
      </w:r>
      <w:r w:rsidRPr="009D5EA7">
        <w:rPr>
          <w:rFonts w:ascii="Verdana" w:hAnsi="Verdana" w:cs="Arial"/>
          <w:sz w:val="20"/>
        </w:rPr>
        <w:t xml:space="preserve">. </w:t>
      </w:r>
    </w:p>
    <w:p w14:paraId="1B2D1E3C" w14:textId="77777777" w:rsidR="009A4633" w:rsidRPr="009D5EA7" w:rsidRDefault="009A4633" w:rsidP="009A4633">
      <w:pPr>
        <w:pStyle w:val="Prrafodelista"/>
        <w:rPr>
          <w:rFonts w:ascii="Verdana" w:hAnsi="Verdana" w:cs="Arial"/>
          <w:sz w:val="20"/>
        </w:rPr>
      </w:pPr>
    </w:p>
    <w:p w14:paraId="2CEDB399" w14:textId="7BDA13DB"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b/>
          <w:i/>
          <w:sz w:val="20"/>
        </w:rPr>
        <w:t>Denuncia ante la Procuraduría para la Defensa de los Derechos Humanos.</w:t>
      </w:r>
      <w:r w:rsidRPr="009D5EA7">
        <w:rPr>
          <w:rFonts w:ascii="Verdana" w:hAnsi="Verdana" w:cs="Arial"/>
          <w:b/>
          <w:sz w:val="20"/>
        </w:rPr>
        <w:t xml:space="preserve"> - </w:t>
      </w:r>
      <w:r w:rsidRPr="009D5EA7">
        <w:rPr>
          <w:rFonts w:ascii="Verdana" w:hAnsi="Verdana" w:cs="Arial"/>
          <w:sz w:val="20"/>
        </w:rPr>
        <w:t>El 9 de abril de 2003 la señora Acosta presentó denuncia ante la Procuraduría para la D</w:t>
      </w:r>
      <w:r w:rsidR="002D0D3E" w:rsidRPr="009D5EA7">
        <w:rPr>
          <w:rFonts w:ascii="Verdana" w:hAnsi="Verdana" w:cs="Arial"/>
          <w:sz w:val="20"/>
        </w:rPr>
        <w:t>efensa de los Derechos Humanos</w:t>
      </w:r>
      <w:r w:rsidR="00B6274E" w:rsidRPr="009D5EA7">
        <w:rPr>
          <w:rFonts w:ascii="Verdana" w:hAnsi="Verdana" w:cs="Arial"/>
          <w:sz w:val="20"/>
        </w:rPr>
        <w:t xml:space="preserve"> (en adelante “Procuraduría</w:t>
      </w:r>
      <w:r w:rsidR="00713C0A">
        <w:rPr>
          <w:rFonts w:ascii="Verdana" w:hAnsi="Verdana" w:cs="Arial"/>
          <w:sz w:val="20"/>
        </w:rPr>
        <w:t xml:space="preserve"> P</w:t>
      </w:r>
      <w:r w:rsidR="00B6274E" w:rsidRPr="009D5EA7">
        <w:rPr>
          <w:rFonts w:ascii="Verdana" w:hAnsi="Verdana" w:cs="Arial"/>
          <w:sz w:val="20"/>
        </w:rPr>
        <w:t>DHH”)</w:t>
      </w:r>
      <w:r w:rsidRPr="009D5EA7">
        <w:rPr>
          <w:rFonts w:ascii="Verdana" w:hAnsi="Verdana" w:cs="Arial"/>
          <w:sz w:val="20"/>
        </w:rPr>
        <w:t>, por “violación de sus derechos humanos referidos a acceso a una justicia pronta por acción de retardación de la misma”, señalando como responsables a los Magistrados de la Comisión de Régimen Disciplinario de la Corte Suprema de Justicia, en relación con la falta de respuesta de su primer queja disciplinaria</w:t>
      </w:r>
      <w:r w:rsidRPr="009D5EA7">
        <w:rPr>
          <w:rStyle w:val="Refdenotaalpie"/>
          <w:rFonts w:ascii="Verdana" w:hAnsi="Verdana"/>
          <w:sz w:val="20"/>
        </w:rPr>
        <w:footnoteReference w:id="130"/>
      </w:r>
      <w:r w:rsidRPr="009D5EA7">
        <w:rPr>
          <w:rFonts w:ascii="Verdana" w:hAnsi="Verdana" w:cs="Arial"/>
          <w:sz w:val="20"/>
        </w:rPr>
        <w:t>. El</w:t>
      </w:r>
      <w:r w:rsidR="00EB1396" w:rsidRPr="009D5EA7">
        <w:rPr>
          <w:rFonts w:ascii="Verdana" w:hAnsi="Verdana" w:cs="Arial"/>
          <w:sz w:val="20"/>
        </w:rPr>
        <w:t xml:space="preserve"> día 20 de </w:t>
      </w:r>
      <w:r w:rsidR="002D0D3E" w:rsidRPr="009D5EA7">
        <w:rPr>
          <w:rFonts w:ascii="Verdana" w:hAnsi="Verdana" w:cs="Arial"/>
          <w:sz w:val="20"/>
        </w:rPr>
        <w:t>abril siguiente</w:t>
      </w:r>
      <w:r w:rsidRPr="009D5EA7">
        <w:rPr>
          <w:rFonts w:ascii="Verdana" w:hAnsi="Verdana" w:cs="Arial"/>
          <w:sz w:val="20"/>
        </w:rPr>
        <w:t xml:space="preserve">, el Procurador </w:t>
      </w:r>
      <w:r w:rsidR="00713C0A">
        <w:rPr>
          <w:rFonts w:ascii="Verdana" w:hAnsi="Verdana" w:cs="Arial"/>
          <w:sz w:val="20"/>
        </w:rPr>
        <w:t xml:space="preserve">PDDH </w:t>
      </w:r>
      <w:r w:rsidRPr="009D5EA7">
        <w:rPr>
          <w:rFonts w:ascii="Verdana" w:hAnsi="Verdana" w:cs="Arial"/>
          <w:sz w:val="20"/>
        </w:rPr>
        <w:t>requirió al Presidente de la Comisión de Régimen Disciplinario que le informara, en el término de 72 horas, sobre las investigaciones realiza</w:t>
      </w:r>
      <w:r w:rsidR="00BE5706">
        <w:rPr>
          <w:rFonts w:ascii="Verdana" w:hAnsi="Verdana" w:cs="Arial"/>
          <w:sz w:val="20"/>
        </w:rPr>
        <w:t>das en relación con las quejas</w:t>
      </w:r>
      <w:r w:rsidRPr="009D5EA7">
        <w:rPr>
          <w:rFonts w:ascii="Verdana" w:hAnsi="Verdana" w:cs="Arial"/>
          <w:sz w:val="20"/>
        </w:rPr>
        <w:t xml:space="preserve">. </w:t>
      </w:r>
    </w:p>
    <w:p w14:paraId="360FB938" w14:textId="77777777" w:rsidR="009A4633" w:rsidRPr="009D5EA7" w:rsidRDefault="009A4633" w:rsidP="009A4633">
      <w:pPr>
        <w:pStyle w:val="Prrafodelista"/>
        <w:rPr>
          <w:rFonts w:ascii="Verdana" w:hAnsi="Verdana" w:cs="Arial"/>
          <w:sz w:val="20"/>
        </w:rPr>
      </w:pPr>
    </w:p>
    <w:p w14:paraId="14415B82" w14:textId="77777777"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t>El 13 de junio de 2003 la señora Acosta Castellón interpuso una cuarta queja ante la Comisión de Régimen Disciplinario de la Corte Suprema de Justicia contra la señora Anabell Omier, en su calidad de Jueza Civil del Distrito de Bluefields y Penal del In por Ministerio de Ley, por una serie de actuaciones suyas en el proceso</w:t>
      </w:r>
      <w:r w:rsidRPr="009D5EA7">
        <w:rPr>
          <w:rStyle w:val="Refdenotaalpie"/>
          <w:rFonts w:ascii="Verdana" w:hAnsi="Verdana" w:cs="Arial"/>
          <w:sz w:val="20"/>
        </w:rPr>
        <w:footnoteReference w:id="131"/>
      </w:r>
      <w:r w:rsidRPr="009D5EA7">
        <w:rPr>
          <w:rFonts w:ascii="Verdana" w:hAnsi="Verdana" w:cs="Arial"/>
          <w:sz w:val="20"/>
        </w:rPr>
        <w:t>.</w:t>
      </w:r>
    </w:p>
    <w:p w14:paraId="2A604C9D" w14:textId="77777777" w:rsidR="009A4633" w:rsidRPr="009D5EA7" w:rsidRDefault="009A4633" w:rsidP="009A4633">
      <w:pPr>
        <w:pStyle w:val="Prrafodelista"/>
        <w:rPr>
          <w:rFonts w:ascii="Verdana" w:hAnsi="Verdana" w:cs="Arial"/>
          <w:sz w:val="20"/>
        </w:rPr>
      </w:pPr>
    </w:p>
    <w:p w14:paraId="4B67FA54" w14:textId="7709EC29" w:rsidR="009A4633" w:rsidRPr="009D5EA7" w:rsidRDefault="009A4633" w:rsidP="00667F79">
      <w:pPr>
        <w:pStyle w:val="Prrafodelista"/>
        <w:numPr>
          <w:ilvl w:val="0"/>
          <w:numId w:val="5"/>
        </w:numPr>
        <w:ind w:left="0" w:firstLine="0"/>
        <w:jc w:val="both"/>
        <w:rPr>
          <w:rFonts w:ascii="Verdana" w:hAnsi="Verdana" w:cs="Arial"/>
          <w:sz w:val="20"/>
        </w:rPr>
      </w:pPr>
      <w:r w:rsidRPr="009D5EA7">
        <w:rPr>
          <w:rFonts w:ascii="Verdana" w:hAnsi="Verdana" w:cs="Arial"/>
          <w:sz w:val="20"/>
        </w:rPr>
        <w:lastRenderedPageBreak/>
        <w:t>El 31 de octubre de 2003, la señora Acosta interpuso una quinta queja contra los señores Jorge Ubeda, Jorge Berry y Luis Flores, en su calidad de Magistrados de la Sala Penal del Tribunal de Apelaciones, por sus actuaciones en el proceso penal</w:t>
      </w:r>
      <w:r w:rsidR="00B6274E" w:rsidRPr="009D5EA7">
        <w:rPr>
          <w:rFonts w:ascii="Verdana" w:hAnsi="Verdana" w:cs="Arial"/>
          <w:sz w:val="20"/>
        </w:rPr>
        <w:t>, referidas en una queja anterior (</w:t>
      </w:r>
      <w:r w:rsidR="00B6274E" w:rsidRPr="009D5EA7">
        <w:rPr>
          <w:rFonts w:ascii="Verdana" w:hAnsi="Verdana" w:cs="Arial"/>
          <w:i/>
          <w:sz w:val="20"/>
        </w:rPr>
        <w:t xml:space="preserve">supra </w:t>
      </w:r>
      <w:r w:rsidR="00B6274E" w:rsidRPr="009D5EA7">
        <w:rPr>
          <w:rFonts w:ascii="Verdana" w:hAnsi="Verdana" w:cs="Arial"/>
          <w:sz w:val="20"/>
        </w:rPr>
        <w:t>párr. 116) y solicitó su destitución</w:t>
      </w:r>
      <w:r w:rsidRPr="009D5EA7">
        <w:rPr>
          <w:rStyle w:val="Refdenotaalpie"/>
          <w:rFonts w:ascii="Verdana" w:hAnsi="Verdana" w:cs="Arial"/>
          <w:sz w:val="20"/>
        </w:rPr>
        <w:footnoteReference w:id="132"/>
      </w:r>
      <w:r w:rsidRPr="009D5EA7">
        <w:rPr>
          <w:rFonts w:ascii="Verdana" w:hAnsi="Verdana" w:cs="Arial"/>
          <w:sz w:val="20"/>
        </w:rPr>
        <w:t xml:space="preserve">. </w:t>
      </w:r>
    </w:p>
    <w:p w14:paraId="6EFB3371" w14:textId="77777777" w:rsidR="009A4633" w:rsidRPr="009D5EA7" w:rsidRDefault="009A4633" w:rsidP="009A4633">
      <w:pPr>
        <w:pStyle w:val="Prrafodelista"/>
        <w:rPr>
          <w:rFonts w:ascii="Verdana" w:hAnsi="Verdana" w:cs="Arial"/>
          <w:sz w:val="20"/>
        </w:rPr>
      </w:pPr>
    </w:p>
    <w:p w14:paraId="1B471774" w14:textId="7838AFFE" w:rsidR="009A4633" w:rsidRPr="009D5EA7" w:rsidRDefault="009A4633" w:rsidP="00B56282">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El 6 de octubre de 2003 la Procuraduría </w:t>
      </w:r>
      <w:r w:rsidR="00713C0A">
        <w:rPr>
          <w:rFonts w:ascii="Verdana" w:hAnsi="Verdana" w:cs="Arial"/>
          <w:sz w:val="20"/>
        </w:rPr>
        <w:t>P</w:t>
      </w:r>
      <w:r w:rsidR="00B6274E" w:rsidRPr="009D5EA7">
        <w:rPr>
          <w:rFonts w:ascii="Verdana" w:hAnsi="Verdana" w:cs="Arial"/>
          <w:sz w:val="20"/>
        </w:rPr>
        <w:t>DHH</w:t>
      </w:r>
      <w:r w:rsidRPr="009D5EA7">
        <w:rPr>
          <w:rFonts w:ascii="Verdana" w:hAnsi="Verdana" w:cs="Arial"/>
          <w:sz w:val="20"/>
        </w:rPr>
        <w:t xml:space="preserve"> dictó resolución en la cual declaró “que los magistrados miembros de la Comisión de Régimen Disciplinario de la Corte Suprema de Justicia vulneraron el derecho de Acceso a una Justicia Pronta por acción de retardación de la misma, en contra de la señora María Luisa </w:t>
      </w:r>
      <w:r w:rsidR="00B56282" w:rsidRPr="009D5EA7">
        <w:rPr>
          <w:rFonts w:ascii="Verdana" w:hAnsi="Verdana" w:cs="Arial"/>
          <w:sz w:val="20"/>
        </w:rPr>
        <w:t>Acosta Castellón”. La Procuraduría recomendó q</w:t>
      </w:r>
      <w:r w:rsidRPr="009D5EA7">
        <w:rPr>
          <w:rFonts w:ascii="Verdana" w:hAnsi="Verdana" w:cs="Arial"/>
          <w:sz w:val="20"/>
        </w:rPr>
        <w:t>ue la Magistrada Presidenta de la Corte Suprema de Just</w:t>
      </w:r>
      <w:r w:rsidR="00B56282" w:rsidRPr="009D5EA7">
        <w:rPr>
          <w:rFonts w:ascii="Verdana" w:hAnsi="Verdana" w:cs="Arial"/>
          <w:sz w:val="20"/>
        </w:rPr>
        <w:t>icia instara por escrito a los m</w:t>
      </w:r>
      <w:r w:rsidRPr="009D5EA7">
        <w:rPr>
          <w:rFonts w:ascii="Verdana" w:hAnsi="Verdana" w:cs="Arial"/>
          <w:sz w:val="20"/>
        </w:rPr>
        <w:t>agistrados miembros de la Comisión a resolver la queja</w:t>
      </w:r>
      <w:r w:rsidR="00B56282" w:rsidRPr="009D5EA7">
        <w:rPr>
          <w:rFonts w:ascii="Verdana" w:hAnsi="Verdana" w:cs="Arial"/>
          <w:sz w:val="20"/>
        </w:rPr>
        <w:t>; q</w:t>
      </w:r>
      <w:r w:rsidRPr="009D5EA7">
        <w:rPr>
          <w:rFonts w:ascii="Verdana" w:hAnsi="Verdana" w:cs="Arial"/>
          <w:sz w:val="20"/>
        </w:rPr>
        <w:t xml:space="preserve">ue se enviara copia de la resolución a la Procuraduría General de la República para que diera seguimiento al cumplimiento de las recomendaciones; y </w:t>
      </w:r>
      <w:r w:rsidR="00B56282" w:rsidRPr="009D5EA7">
        <w:rPr>
          <w:rFonts w:ascii="Verdana" w:hAnsi="Verdana" w:cs="Arial"/>
          <w:sz w:val="20"/>
        </w:rPr>
        <w:t>q</w:t>
      </w:r>
      <w:r w:rsidRPr="009D5EA7">
        <w:rPr>
          <w:rFonts w:ascii="Verdana" w:hAnsi="Verdana" w:cs="Arial"/>
          <w:sz w:val="20"/>
        </w:rPr>
        <w:t>ue en un término no mayor de 15 días, la Magistrada Presidenta le informara por escrito sobre el cumplimiento de las recomendaciones señaladas</w:t>
      </w:r>
      <w:r w:rsidRPr="009D5EA7">
        <w:rPr>
          <w:rStyle w:val="Refdenotaalpie"/>
          <w:rFonts w:ascii="Verdana" w:hAnsi="Verdana" w:cs="Arial"/>
          <w:sz w:val="20"/>
        </w:rPr>
        <w:footnoteReference w:id="133"/>
      </w:r>
      <w:r w:rsidRPr="009D5EA7">
        <w:rPr>
          <w:rFonts w:ascii="Verdana" w:hAnsi="Verdana" w:cs="Arial"/>
          <w:sz w:val="20"/>
        </w:rPr>
        <w:t>.</w:t>
      </w:r>
      <w:r w:rsidR="00B56282" w:rsidRPr="009D5EA7">
        <w:rPr>
          <w:rFonts w:ascii="Verdana" w:hAnsi="Verdana" w:cs="Arial"/>
          <w:sz w:val="20"/>
        </w:rPr>
        <w:t xml:space="preserve"> No consta que la Procuraduría recibiese respuesta.</w:t>
      </w:r>
    </w:p>
    <w:p w14:paraId="115B8513" w14:textId="77777777" w:rsidR="009A4633" w:rsidRPr="009D5EA7" w:rsidRDefault="009A4633" w:rsidP="009A4633">
      <w:pPr>
        <w:pStyle w:val="Prrafodelista"/>
        <w:ind w:left="1440"/>
        <w:jc w:val="both"/>
        <w:rPr>
          <w:rFonts w:ascii="Verdana" w:hAnsi="Verdana" w:cs="Arial"/>
          <w:sz w:val="20"/>
        </w:rPr>
      </w:pPr>
    </w:p>
    <w:p w14:paraId="7F0CEBC3" w14:textId="31C491CB" w:rsidR="009A4633" w:rsidRPr="009D5EA7" w:rsidRDefault="009A4633" w:rsidP="00667F79">
      <w:pPr>
        <w:pStyle w:val="Prrafodelista"/>
        <w:numPr>
          <w:ilvl w:val="0"/>
          <w:numId w:val="5"/>
        </w:numPr>
        <w:ind w:left="0" w:firstLine="0"/>
        <w:jc w:val="both"/>
        <w:rPr>
          <w:rFonts w:ascii="Verdana" w:hAnsi="Verdana"/>
          <w:sz w:val="20"/>
          <w:lang w:eastAsia="es-CR"/>
        </w:rPr>
      </w:pPr>
      <w:r w:rsidRPr="009D5EA7">
        <w:rPr>
          <w:rFonts w:ascii="Verdana" w:hAnsi="Verdana" w:cs="Arial"/>
          <w:sz w:val="20"/>
        </w:rPr>
        <w:t xml:space="preserve">El 10 de junio de 2004 la Procuraduría </w:t>
      </w:r>
      <w:r w:rsidR="00713C0A">
        <w:rPr>
          <w:rFonts w:ascii="Verdana" w:hAnsi="Verdana" w:cs="Arial"/>
          <w:sz w:val="20"/>
        </w:rPr>
        <w:t>P</w:t>
      </w:r>
      <w:r w:rsidRPr="009D5EA7">
        <w:rPr>
          <w:rFonts w:ascii="Verdana" w:hAnsi="Verdana" w:cs="Arial"/>
          <w:sz w:val="20"/>
        </w:rPr>
        <w:t>DH</w:t>
      </w:r>
      <w:r w:rsidR="00BD2006">
        <w:rPr>
          <w:rFonts w:ascii="Verdana" w:hAnsi="Verdana" w:cs="Arial"/>
          <w:sz w:val="20"/>
        </w:rPr>
        <w:t>H</w:t>
      </w:r>
      <w:r w:rsidRPr="009D5EA7">
        <w:rPr>
          <w:rFonts w:ascii="Verdana" w:hAnsi="Verdana" w:cs="Arial"/>
          <w:sz w:val="20"/>
        </w:rPr>
        <w:t xml:space="preserve"> dictó un Informe Final de Seguimiento en que concluyó que la Presidenta de la Corte Suprema había desacatado las recomendaciones y no había remitido información al respecto, por lo que censuró públicamente su actuación al decidir que se hiciera referencia al respecto en el informe anual de esa Procuraduría ante la Asamblea Nacional</w:t>
      </w:r>
      <w:r w:rsidRPr="009D5EA7">
        <w:rPr>
          <w:rStyle w:val="Refdenotaalpie"/>
          <w:rFonts w:ascii="Verdana" w:hAnsi="Verdana" w:cs="Arial Narrow"/>
          <w:spacing w:val="6"/>
          <w:sz w:val="20"/>
        </w:rPr>
        <w:footnoteReference w:id="134"/>
      </w:r>
      <w:r w:rsidRPr="009D5EA7">
        <w:rPr>
          <w:rFonts w:ascii="Verdana" w:hAnsi="Verdana" w:cs="Arial Narrow"/>
          <w:iCs/>
          <w:spacing w:val="6"/>
          <w:sz w:val="20"/>
        </w:rPr>
        <w:t>.</w:t>
      </w:r>
      <w:r w:rsidRPr="009D5EA7">
        <w:rPr>
          <w:rFonts w:ascii="Verdana" w:hAnsi="Verdana"/>
          <w:sz w:val="20"/>
          <w:lang w:eastAsia="es-CR"/>
        </w:rPr>
        <w:t xml:space="preserve"> </w:t>
      </w:r>
    </w:p>
    <w:p w14:paraId="2DBD8B15" w14:textId="77777777" w:rsidR="009A4633" w:rsidRPr="009D5EA7" w:rsidRDefault="009A4633" w:rsidP="009A4633">
      <w:pPr>
        <w:pStyle w:val="Prrafodelista"/>
        <w:ind w:left="0"/>
        <w:jc w:val="both"/>
        <w:rPr>
          <w:rFonts w:ascii="Verdana" w:hAnsi="Verdana"/>
          <w:sz w:val="20"/>
          <w:lang w:eastAsia="es-CR"/>
        </w:rPr>
      </w:pPr>
    </w:p>
    <w:p w14:paraId="5B8D6631" w14:textId="77777777" w:rsidR="009A4633" w:rsidRPr="009D5EA7" w:rsidRDefault="009A4633" w:rsidP="00667F79">
      <w:pPr>
        <w:pStyle w:val="Prrafodelista"/>
        <w:numPr>
          <w:ilvl w:val="0"/>
          <w:numId w:val="5"/>
        </w:numPr>
        <w:ind w:left="0" w:firstLine="0"/>
        <w:jc w:val="both"/>
        <w:rPr>
          <w:rFonts w:ascii="Verdana" w:hAnsi="Verdana"/>
          <w:sz w:val="20"/>
          <w:lang w:eastAsia="es-CR"/>
        </w:rPr>
      </w:pPr>
      <w:r w:rsidRPr="009D5EA7">
        <w:rPr>
          <w:rFonts w:ascii="Verdana" w:hAnsi="Verdana" w:cs="Arial"/>
          <w:sz w:val="20"/>
        </w:rPr>
        <w:t>El 28 de septiembre de 2016 el Consejo Nacional de Administración y Carrera  Judicial de la Corte Suprema de Justicia de Nicaragua notificó a la señora Acosta Castellón de su resolución de 3 de mayo de 2005, en la cual determinó no ha lugar a la queja en contra de los Magistrados de la Sala Penal del Tribunal de Apelaciones de la Circunscripción Atlántico Sur por considerar que se trata de hechos de orden estrictamente jurisdiccional</w:t>
      </w:r>
      <w:r w:rsidRPr="009D5EA7">
        <w:rPr>
          <w:rStyle w:val="Refdenotaalpie"/>
          <w:rFonts w:ascii="Verdana" w:hAnsi="Verdana" w:cs="Arial"/>
          <w:sz w:val="20"/>
        </w:rPr>
        <w:footnoteReference w:id="135"/>
      </w:r>
      <w:r w:rsidRPr="009D5EA7">
        <w:rPr>
          <w:rFonts w:ascii="Verdana" w:hAnsi="Verdana" w:cs="Arial"/>
          <w:sz w:val="20"/>
        </w:rPr>
        <w:t>.</w:t>
      </w:r>
    </w:p>
    <w:p w14:paraId="5A963D2A" w14:textId="77777777" w:rsidR="009A4633" w:rsidRPr="009D5EA7" w:rsidRDefault="009A4633" w:rsidP="009A4633">
      <w:pPr>
        <w:pStyle w:val="Prrafodelista"/>
        <w:rPr>
          <w:rFonts w:ascii="Verdana" w:hAnsi="Verdana" w:cs="Arial"/>
          <w:sz w:val="20"/>
        </w:rPr>
      </w:pPr>
    </w:p>
    <w:p w14:paraId="50B56C84" w14:textId="2C699FE6" w:rsidR="009A4633" w:rsidRPr="009D5EA7" w:rsidRDefault="009A4633" w:rsidP="00667F79">
      <w:pPr>
        <w:pStyle w:val="Prrafodelista"/>
        <w:numPr>
          <w:ilvl w:val="0"/>
          <w:numId w:val="5"/>
        </w:numPr>
        <w:ind w:left="0" w:firstLine="0"/>
        <w:jc w:val="both"/>
        <w:rPr>
          <w:rFonts w:ascii="Verdana" w:hAnsi="Verdana"/>
          <w:sz w:val="20"/>
          <w:lang w:eastAsia="es-CR"/>
        </w:rPr>
      </w:pPr>
      <w:r w:rsidRPr="009D5EA7">
        <w:rPr>
          <w:rFonts w:ascii="Verdana" w:hAnsi="Verdana" w:cs="Arial"/>
          <w:sz w:val="20"/>
        </w:rPr>
        <w:t>El mismo 2</w:t>
      </w:r>
      <w:r w:rsidR="00191EE1">
        <w:rPr>
          <w:rFonts w:ascii="Verdana" w:hAnsi="Verdana" w:cs="Arial"/>
          <w:sz w:val="20"/>
        </w:rPr>
        <w:t>8 de s</w:t>
      </w:r>
      <w:r w:rsidRPr="009D5EA7">
        <w:rPr>
          <w:rFonts w:ascii="Verdana" w:hAnsi="Verdana" w:cs="Arial"/>
          <w:sz w:val="20"/>
        </w:rPr>
        <w:t>eptiembre de 2016 el Consejo Nacional de Administración y Carrera  Judicial de la Corte Suprema de Justicia también notificó a la señora Acosta Castellón de su resolución de 11 de julio de 2006, en la cual determinó no ha lugar a la queja en contra de Julio Antonio Acuña Cambronero en su calidad de Juez de Distrito del Crimen de Bluefields por considerar que se han desvirtuado los hechos que dieron lugar a la queja.</w:t>
      </w:r>
      <w:r w:rsidRPr="009D5EA7">
        <w:rPr>
          <w:rStyle w:val="Refdenotaalpie"/>
          <w:rFonts w:ascii="Verdana" w:hAnsi="Verdana" w:cs="Arial"/>
          <w:sz w:val="20"/>
        </w:rPr>
        <w:footnoteReference w:id="136"/>
      </w:r>
    </w:p>
    <w:p w14:paraId="63C43738" w14:textId="77777777" w:rsidR="00EB1396" w:rsidRPr="00AB531C" w:rsidRDefault="00EB1396" w:rsidP="00AB531C">
      <w:pPr>
        <w:pStyle w:val="Prrafodelista"/>
        <w:rPr>
          <w:rFonts w:ascii="Verdana" w:hAnsi="Verdana" w:cs="Arial"/>
          <w:sz w:val="20"/>
        </w:rPr>
      </w:pPr>
    </w:p>
    <w:p w14:paraId="3E37FE88" w14:textId="25F7F72D" w:rsidR="00AB531C" w:rsidRDefault="00AB531C">
      <w:pPr>
        <w:rPr>
          <w:rFonts w:ascii="Verdana" w:eastAsia="Times New Roman" w:hAnsi="Verdana" w:cs="Arial"/>
          <w:sz w:val="20"/>
          <w:szCs w:val="20"/>
          <w:lang w:val="es-ES_tradnl"/>
        </w:rPr>
      </w:pPr>
      <w:r>
        <w:rPr>
          <w:rFonts w:ascii="Verdana" w:hAnsi="Verdana" w:cs="Arial"/>
          <w:sz w:val="20"/>
        </w:rPr>
        <w:br w:type="page"/>
      </w:r>
    </w:p>
    <w:p w14:paraId="052C88BE" w14:textId="2C27BFDE" w:rsidR="00C21BAB" w:rsidRPr="009D5EA7" w:rsidRDefault="00C21BAB" w:rsidP="00C21BAB">
      <w:pPr>
        <w:pStyle w:val="Ttulo1"/>
        <w:spacing w:before="0" w:after="0" w:line="240" w:lineRule="auto"/>
        <w:jc w:val="center"/>
        <w:rPr>
          <w:rFonts w:ascii="Verdana" w:hAnsi="Verdana" w:cs="Verdana"/>
          <w:b w:val="0"/>
          <w:bCs w:val="0"/>
          <w:caps/>
          <w:snapToGrid w:val="0"/>
          <w:sz w:val="20"/>
          <w:szCs w:val="20"/>
          <w:lang w:val="es-ES_tradnl"/>
        </w:rPr>
      </w:pPr>
      <w:bookmarkStart w:id="16" w:name="_Toc476251456"/>
      <w:r w:rsidRPr="009D5EA7">
        <w:rPr>
          <w:rFonts w:ascii="Verdana" w:hAnsi="Verdana" w:cs="Verdana"/>
          <w:caps/>
          <w:snapToGrid w:val="0"/>
          <w:sz w:val="20"/>
          <w:szCs w:val="20"/>
          <w:lang w:val="es-ES_tradnl" w:eastAsia="es-ES"/>
        </w:rPr>
        <w:lastRenderedPageBreak/>
        <w:t>VII</w:t>
      </w:r>
      <w:r w:rsidR="00CB1C5C" w:rsidRPr="009D5EA7">
        <w:rPr>
          <w:rFonts w:ascii="Verdana" w:hAnsi="Verdana" w:cs="Verdana"/>
          <w:caps/>
          <w:snapToGrid w:val="0"/>
          <w:sz w:val="20"/>
          <w:szCs w:val="20"/>
          <w:lang w:val="es-ES_tradnl" w:eastAsia="es-ES"/>
        </w:rPr>
        <w:t>I</w:t>
      </w:r>
      <w:r w:rsidRPr="009D5EA7">
        <w:rPr>
          <w:rFonts w:ascii="Verdana" w:hAnsi="Verdana" w:cs="Verdana"/>
          <w:caps/>
          <w:snapToGrid w:val="0"/>
          <w:sz w:val="20"/>
          <w:szCs w:val="20"/>
          <w:lang w:val="es-ES_tradnl" w:eastAsia="es-ES"/>
        </w:rPr>
        <w:br/>
        <w:t>FONDO</w:t>
      </w:r>
      <w:bookmarkEnd w:id="16"/>
    </w:p>
    <w:p w14:paraId="07517AC9" w14:textId="77777777" w:rsidR="00CB1C5C" w:rsidRPr="009D5EA7" w:rsidRDefault="00CB1C5C" w:rsidP="00CB1C5C">
      <w:pPr>
        <w:spacing w:after="0" w:line="240" w:lineRule="auto"/>
        <w:jc w:val="both"/>
        <w:rPr>
          <w:rFonts w:ascii="Verdana" w:eastAsia="Times New Roman" w:hAnsi="Verdana" w:cs="Times New Roman"/>
          <w:sz w:val="20"/>
          <w:szCs w:val="20"/>
          <w:lang w:val="es-ES_tradnl" w:eastAsia="es-ES"/>
        </w:rPr>
      </w:pPr>
    </w:p>
    <w:p w14:paraId="5BE03667" w14:textId="1BEDC21D" w:rsidR="00CB1C5C" w:rsidRPr="009D5EA7" w:rsidRDefault="00AF5026" w:rsidP="00CB1C5C">
      <w:pPr>
        <w:pStyle w:val="Ttulo1"/>
        <w:spacing w:before="0" w:after="0" w:line="240" w:lineRule="auto"/>
        <w:ind w:firstLine="4"/>
        <w:jc w:val="center"/>
        <w:rPr>
          <w:rFonts w:ascii="Verdana" w:hAnsi="Verdana" w:cs="Verdana"/>
          <w:caps/>
          <w:snapToGrid w:val="0"/>
          <w:sz w:val="20"/>
          <w:szCs w:val="20"/>
          <w:lang w:val="es-ES_tradnl" w:eastAsia="es-ES"/>
        </w:rPr>
      </w:pPr>
      <w:bookmarkStart w:id="17" w:name="_Toc340752594"/>
      <w:bookmarkStart w:id="18" w:name="_Toc476251457"/>
      <w:r w:rsidRPr="009D5EA7">
        <w:rPr>
          <w:rFonts w:ascii="Verdana" w:hAnsi="Verdana" w:cs="Verdana"/>
          <w:caps/>
          <w:snapToGrid w:val="0"/>
          <w:sz w:val="20"/>
          <w:szCs w:val="20"/>
          <w:lang w:val="es-ES_tradnl" w:eastAsia="es-ES"/>
        </w:rPr>
        <w:t>ViIi.1</w:t>
      </w:r>
      <w:r w:rsidR="00CB1C5C" w:rsidRPr="009D5EA7">
        <w:rPr>
          <w:rFonts w:ascii="Verdana" w:hAnsi="Verdana" w:cs="Verdana"/>
          <w:caps/>
          <w:snapToGrid w:val="0"/>
          <w:sz w:val="20"/>
          <w:szCs w:val="20"/>
          <w:lang w:val="es-ES_tradnl" w:eastAsia="es-ES"/>
        </w:rPr>
        <w:br/>
      </w:r>
      <w:bookmarkEnd w:id="17"/>
      <w:r w:rsidR="00CB1C5C" w:rsidRPr="009D5EA7">
        <w:rPr>
          <w:rFonts w:ascii="Verdana" w:hAnsi="Verdana" w:cs="Verdana"/>
          <w:caps/>
          <w:snapToGrid w:val="0"/>
          <w:sz w:val="20"/>
          <w:szCs w:val="20"/>
          <w:lang w:val="es-ES_tradnl" w:eastAsia="es-ES"/>
        </w:rPr>
        <w:t>derecho a las garantías judiciales y Protección judicial</w:t>
      </w:r>
      <w:bookmarkEnd w:id="18"/>
    </w:p>
    <w:p w14:paraId="4393EEE6" w14:textId="09593227" w:rsidR="00CB1C5C" w:rsidRPr="009D5EA7" w:rsidRDefault="00CB1C5C" w:rsidP="00CB1C5C">
      <w:pPr>
        <w:spacing w:after="0" w:line="240" w:lineRule="auto"/>
        <w:jc w:val="center"/>
        <w:rPr>
          <w:rFonts w:ascii="Times New Roman" w:hAnsi="Times New Roman" w:cs="Times New Roman"/>
          <w:sz w:val="24"/>
          <w:szCs w:val="24"/>
          <w:lang w:val="es-ES_tradnl" w:eastAsia="es-CR"/>
        </w:rPr>
      </w:pPr>
      <w:r w:rsidRPr="009D5EA7">
        <w:rPr>
          <w:rFonts w:ascii="Verdana" w:hAnsi="Verdana" w:cs="Verdana"/>
          <w:b/>
          <w:smallCaps/>
          <w:snapToGrid w:val="0"/>
          <w:sz w:val="20"/>
          <w:szCs w:val="20"/>
          <w:lang w:val="es-ES_tradnl" w:eastAsia="es-ES"/>
        </w:rPr>
        <w:t>(</w:t>
      </w:r>
      <w:r w:rsidRPr="009D5EA7">
        <w:rPr>
          <w:rFonts w:ascii="Verdana" w:hAnsi="Verdana" w:cs="Verdana"/>
          <w:b/>
          <w:snapToGrid w:val="0"/>
          <w:sz w:val="20"/>
          <w:szCs w:val="20"/>
          <w:lang w:val="es-ES_tradnl" w:eastAsia="es-ES"/>
        </w:rPr>
        <w:t xml:space="preserve">Artículos </w:t>
      </w:r>
      <w:r w:rsidRPr="009D5EA7">
        <w:rPr>
          <w:rFonts w:ascii="Verdana" w:hAnsi="Verdana"/>
          <w:b/>
          <w:sz w:val="20"/>
          <w:szCs w:val="20"/>
          <w:lang w:val="es-ES_tradnl" w:eastAsia="es-ES"/>
        </w:rPr>
        <w:t>1.1</w:t>
      </w:r>
      <w:r w:rsidR="00B93224" w:rsidRPr="00B12A37">
        <w:rPr>
          <w:rStyle w:val="Refdenotaalpie"/>
          <w:rFonts w:ascii="Verdana" w:hAnsi="Verdana" w:cs="Tahoma"/>
          <w:sz w:val="20"/>
          <w:szCs w:val="20"/>
          <w:lang w:val="es-MX"/>
        </w:rPr>
        <w:footnoteReference w:id="137"/>
      </w:r>
      <w:r w:rsidRPr="009D5EA7">
        <w:rPr>
          <w:rFonts w:ascii="Verdana" w:hAnsi="Verdana"/>
          <w:b/>
          <w:sz w:val="20"/>
          <w:szCs w:val="20"/>
          <w:lang w:val="es-ES_tradnl" w:eastAsia="es-ES"/>
        </w:rPr>
        <w:t>, 8</w:t>
      </w:r>
      <w:r w:rsidRPr="009D5EA7">
        <w:rPr>
          <w:rStyle w:val="Refdenotaalpie"/>
          <w:rFonts w:ascii="Verdana" w:hAnsi="Verdana"/>
          <w:sz w:val="20"/>
          <w:szCs w:val="20"/>
          <w:lang w:val="es-ES_tradnl"/>
        </w:rPr>
        <w:footnoteReference w:id="138"/>
      </w:r>
      <w:r w:rsidRPr="009D5EA7">
        <w:rPr>
          <w:rFonts w:ascii="Verdana" w:hAnsi="Verdana"/>
          <w:b/>
          <w:sz w:val="20"/>
          <w:szCs w:val="20"/>
          <w:lang w:val="es-ES_tradnl" w:eastAsia="es-ES"/>
        </w:rPr>
        <w:t xml:space="preserve"> y 25</w:t>
      </w:r>
      <w:r w:rsidRPr="009D5EA7">
        <w:rPr>
          <w:rStyle w:val="Refdenotaalpie"/>
          <w:rFonts w:ascii="Verdana" w:hAnsi="Verdana"/>
          <w:sz w:val="20"/>
          <w:szCs w:val="20"/>
          <w:lang w:val="es-ES_tradnl"/>
        </w:rPr>
        <w:footnoteReference w:id="139"/>
      </w:r>
      <w:r w:rsidRPr="009D5EA7">
        <w:rPr>
          <w:rFonts w:ascii="Verdana" w:hAnsi="Verdana"/>
          <w:b/>
          <w:sz w:val="20"/>
          <w:szCs w:val="20"/>
          <w:lang w:val="es-ES_tradnl" w:eastAsia="es-ES"/>
        </w:rPr>
        <w:t xml:space="preserve"> de la Convención Americana)</w:t>
      </w:r>
    </w:p>
    <w:p w14:paraId="77D91196" w14:textId="77777777" w:rsidR="00807C77" w:rsidRPr="009D5EA7" w:rsidRDefault="00807C77" w:rsidP="00807C77">
      <w:pPr>
        <w:pStyle w:val="Prrafodelista"/>
        <w:ind w:left="0"/>
        <w:jc w:val="both"/>
        <w:rPr>
          <w:rFonts w:ascii="Verdana" w:hAnsi="Verdana" w:cs="Arial"/>
          <w:i/>
          <w:sz w:val="20"/>
        </w:rPr>
      </w:pPr>
    </w:p>
    <w:p w14:paraId="2F85879D" w14:textId="573C6966" w:rsidR="00FC4B19" w:rsidRPr="009D5EA7" w:rsidRDefault="00FC4B19" w:rsidP="00FC4B1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Según lo planteado por la Comisión y las representantes, en este caso se alega que el Estado es responsable por la violación de los derechos a las garantías judiciales y protección judicial de la señora Acosta y otros familiares de una persona que fue asesinada, a saber el señor Francisco García Valle, en particular por insuficiencias en la respuesta investigativa y judicial del Estado al respecto, lo cual estaría ligado a los derechos de acceso a la justicia y a la verdad de aquéllos. Es decir, no se alega la responsabilidad por acción </w:t>
      </w:r>
      <w:r w:rsidR="008515C8" w:rsidRPr="009D5EA7">
        <w:rPr>
          <w:rFonts w:ascii="Verdana" w:hAnsi="Verdana" w:cs="Arial"/>
          <w:sz w:val="20"/>
        </w:rPr>
        <w:t xml:space="preserve">del Estado </w:t>
      </w:r>
      <w:r w:rsidRPr="009D5EA7">
        <w:rPr>
          <w:rFonts w:ascii="Verdana" w:hAnsi="Verdana" w:cs="Arial"/>
          <w:sz w:val="20"/>
        </w:rPr>
        <w:t xml:space="preserve">en el homicidio del señor García Valle, como tal. </w:t>
      </w:r>
    </w:p>
    <w:p w14:paraId="07036A8B" w14:textId="77777777" w:rsidR="00FC4B19" w:rsidRPr="009D5EA7" w:rsidRDefault="00FC4B19" w:rsidP="00FC4B19">
      <w:pPr>
        <w:pStyle w:val="Prrafodelista"/>
        <w:ind w:left="0"/>
        <w:jc w:val="both"/>
        <w:rPr>
          <w:rFonts w:ascii="Verdana" w:hAnsi="Verdana" w:cs="Arial"/>
          <w:sz w:val="20"/>
        </w:rPr>
      </w:pPr>
    </w:p>
    <w:p w14:paraId="30B06668" w14:textId="25EF0E73" w:rsidR="00FC4B19" w:rsidRPr="009D5EA7" w:rsidRDefault="00FC4B19" w:rsidP="00FC4B19">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Es un hecho que dos personas fueron condenados en el proceso penal abierto al respecto, como autores materiales del </w:t>
      </w:r>
      <w:r w:rsidR="006233D1">
        <w:rPr>
          <w:rFonts w:ascii="Verdana" w:hAnsi="Verdana" w:cs="Arial"/>
          <w:sz w:val="20"/>
        </w:rPr>
        <w:t>homicidio</w:t>
      </w:r>
      <w:r w:rsidR="006233D1" w:rsidRPr="009D5EA7">
        <w:rPr>
          <w:rFonts w:ascii="Verdana" w:hAnsi="Verdana" w:cs="Arial"/>
          <w:sz w:val="20"/>
        </w:rPr>
        <w:t xml:space="preserve"> </w:t>
      </w:r>
      <w:r w:rsidRPr="009D5EA7">
        <w:rPr>
          <w:rFonts w:ascii="Verdana" w:hAnsi="Verdana" w:cs="Arial"/>
          <w:sz w:val="20"/>
        </w:rPr>
        <w:t>(</w:t>
      </w:r>
      <w:r w:rsidRPr="009D5EA7">
        <w:rPr>
          <w:rFonts w:ascii="Verdana" w:hAnsi="Verdana" w:cs="Arial"/>
          <w:i/>
          <w:sz w:val="20"/>
        </w:rPr>
        <w:t xml:space="preserve">supra </w:t>
      </w:r>
      <w:r w:rsidR="00763DCA" w:rsidRPr="009D5EA7">
        <w:rPr>
          <w:rFonts w:ascii="Verdana" w:hAnsi="Verdana" w:cs="Arial"/>
          <w:sz w:val="20"/>
        </w:rPr>
        <w:t>párr</w:t>
      </w:r>
      <w:r w:rsidR="00AF541E">
        <w:rPr>
          <w:rFonts w:ascii="Verdana" w:hAnsi="Verdana" w:cs="Arial"/>
          <w:sz w:val="20"/>
        </w:rPr>
        <w:t>. 93</w:t>
      </w:r>
      <w:r w:rsidRPr="009D5EA7">
        <w:rPr>
          <w:rFonts w:ascii="Verdana" w:hAnsi="Verdana" w:cs="Arial"/>
          <w:sz w:val="20"/>
        </w:rPr>
        <w:t xml:space="preserve">). Así, lo que se alega es la responsabilidad del Estado por </w:t>
      </w:r>
      <w:r w:rsidR="00C135A6" w:rsidRPr="009D5EA7">
        <w:rPr>
          <w:rFonts w:ascii="Verdana" w:hAnsi="Verdana" w:cs="Arial"/>
          <w:sz w:val="20"/>
        </w:rPr>
        <w:t>una</w:t>
      </w:r>
      <w:r w:rsidRPr="009D5EA7">
        <w:rPr>
          <w:rFonts w:ascii="Verdana" w:hAnsi="Verdana" w:cs="Arial"/>
          <w:sz w:val="20"/>
        </w:rPr>
        <w:t xml:space="preserve"> impunidad parcial en que se encontraría el hecho, por falta de debida diligencia de las autoridades en </w:t>
      </w:r>
      <w:r w:rsidR="00764E82" w:rsidRPr="009D5EA7">
        <w:rPr>
          <w:rFonts w:ascii="Verdana" w:hAnsi="Verdana" w:cs="Arial"/>
          <w:sz w:val="20"/>
        </w:rPr>
        <w:t>investigar</w:t>
      </w:r>
      <w:r w:rsidRPr="009D5EA7">
        <w:rPr>
          <w:rFonts w:ascii="Verdana" w:hAnsi="Verdana" w:cs="Arial"/>
          <w:sz w:val="20"/>
        </w:rPr>
        <w:t xml:space="preserve"> el móvil del </w:t>
      </w:r>
      <w:r w:rsidR="00AF541E">
        <w:rPr>
          <w:rFonts w:ascii="Verdana" w:hAnsi="Verdana" w:cs="Arial"/>
          <w:sz w:val="20"/>
        </w:rPr>
        <w:t>mismo</w:t>
      </w:r>
      <w:r w:rsidRPr="009D5EA7">
        <w:rPr>
          <w:rFonts w:ascii="Verdana" w:hAnsi="Verdana" w:cs="Arial"/>
          <w:sz w:val="20"/>
        </w:rPr>
        <w:t xml:space="preserve"> y las hipótesis de participación de un tercer autor material y dos autores intelectuales; particularmente de estos últimos dos, a favor de quienes fue dictado un sobreseimiento definitivo en el proceso penal, de manera irregular o ilegítima. Por otro lado, se plantea la falta de resolución en un plazo razonable de causas penales y civiles abiertas por esas dos personas contra la señora Acosta, favoreciendo así </w:t>
      </w:r>
      <w:r w:rsidR="00B93224" w:rsidRPr="00AF541E">
        <w:rPr>
          <w:rFonts w:ascii="Verdana" w:hAnsi="Verdana" w:cs="Arial"/>
          <w:sz w:val="20"/>
        </w:rPr>
        <w:t>su hostigamiento judicial</w:t>
      </w:r>
      <w:r w:rsidRPr="009D5EA7">
        <w:rPr>
          <w:rFonts w:ascii="Verdana" w:hAnsi="Verdana" w:cs="Arial"/>
          <w:sz w:val="20"/>
        </w:rPr>
        <w:t xml:space="preserve"> como defensora de derechos humanos y como parte ofendida dentro del proceso por la muerte de su esposo.</w:t>
      </w:r>
    </w:p>
    <w:p w14:paraId="7A556B7C" w14:textId="77777777" w:rsidR="00FC4B19" w:rsidRPr="009D5EA7" w:rsidRDefault="00FC4B19" w:rsidP="00483B63">
      <w:pPr>
        <w:pStyle w:val="Prrafodelista"/>
        <w:ind w:left="0"/>
        <w:jc w:val="both"/>
        <w:rPr>
          <w:rFonts w:ascii="Verdana" w:hAnsi="Verdana" w:cs="Arial"/>
          <w:sz w:val="20"/>
        </w:rPr>
      </w:pPr>
    </w:p>
    <w:p w14:paraId="172C84C3" w14:textId="564A2C53" w:rsidR="00483B63" w:rsidRPr="009D5EA7" w:rsidRDefault="00483B63" w:rsidP="00483B63">
      <w:pPr>
        <w:pStyle w:val="Prrafodelista"/>
        <w:numPr>
          <w:ilvl w:val="0"/>
          <w:numId w:val="5"/>
        </w:numPr>
        <w:ind w:left="0" w:firstLine="0"/>
        <w:jc w:val="both"/>
        <w:rPr>
          <w:rFonts w:ascii="Verdana" w:hAnsi="Verdana" w:cs="Arial"/>
          <w:sz w:val="20"/>
        </w:rPr>
      </w:pPr>
      <w:r w:rsidRPr="009D5EA7">
        <w:rPr>
          <w:rFonts w:ascii="Verdana" w:hAnsi="Verdana" w:cs="Arial"/>
          <w:sz w:val="20"/>
        </w:rPr>
        <w:t xml:space="preserve">Aclarado lo anterior, y en atención a lo alegado por las partes, corresponde analizar las alegadas violaciones en el siguiente orden: a) derechos de acceso a la justicia y a la verdad de los familiares del señor García Valle en relación con la investigación y proceso penal por el </w:t>
      </w:r>
      <w:r w:rsidR="006233D1">
        <w:rPr>
          <w:rFonts w:ascii="Verdana" w:hAnsi="Verdana" w:cs="Arial"/>
          <w:sz w:val="20"/>
        </w:rPr>
        <w:t>homicidio</w:t>
      </w:r>
      <w:r w:rsidR="006233D1" w:rsidRPr="009D5EA7">
        <w:rPr>
          <w:rFonts w:ascii="Verdana" w:hAnsi="Verdana" w:cs="Arial"/>
          <w:sz w:val="20"/>
        </w:rPr>
        <w:t xml:space="preserve"> </w:t>
      </w:r>
      <w:r w:rsidRPr="009D5EA7">
        <w:rPr>
          <w:rFonts w:ascii="Verdana" w:hAnsi="Verdana" w:cs="Arial"/>
          <w:sz w:val="20"/>
        </w:rPr>
        <w:t>de éste; y b) derecho a las garantías judiciales de la señora Acosta en relación con los procesos penales y civiles abiertos en su contra.</w:t>
      </w:r>
    </w:p>
    <w:p w14:paraId="3B647014" w14:textId="77777777" w:rsidR="00483B63" w:rsidRPr="009D5EA7" w:rsidRDefault="00483B63" w:rsidP="00AF5026">
      <w:pPr>
        <w:pStyle w:val="Prrafodelista"/>
        <w:ind w:left="0"/>
        <w:jc w:val="both"/>
        <w:rPr>
          <w:rFonts w:ascii="Verdana" w:hAnsi="Verdana" w:cs="Arial"/>
          <w:sz w:val="20"/>
        </w:rPr>
      </w:pPr>
    </w:p>
    <w:p w14:paraId="5C590814" w14:textId="77777777" w:rsidR="00364CC7" w:rsidRPr="009D5EA7" w:rsidRDefault="00364CC7" w:rsidP="00AF5026">
      <w:pPr>
        <w:pStyle w:val="Prrafodelista"/>
        <w:ind w:left="0"/>
        <w:jc w:val="both"/>
        <w:rPr>
          <w:rFonts w:ascii="Verdana" w:hAnsi="Verdana" w:cs="Arial"/>
          <w:sz w:val="20"/>
        </w:rPr>
      </w:pPr>
    </w:p>
    <w:p w14:paraId="5EC264A3" w14:textId="3B40A620" w:rsidR="00AF5026" w:rsidRPr="009D5EA7" w:rsidRDefault="00AF5026" w:rsidP="00C15BA7">
      <w:pPr>
        <w:pStyle w:val="Ttulo2"/>
        <w:numPr>
          <w:ilvl w:val="0"/>
          <w:numId w:val="0"/>
        </w:numPr>
        <w:ind w:left="1410" w:hanging="690"/>
        <w:rPr>
          <w:rFonts w:ascii="Verdana" w:hAnsi="Verdana"/>
          <w:smallCaps/>
          <w:sz w:val="20"/>
          <w:lang w:val="es-ES_tradnl"/>
        </w:rPr>
      </w:pPr>
      <w:bookmarkStart w:id="19" w:name="_Toc476251458"/>
      <w:r w:rsidRPr="009D5EA7">
        <w:rPr>
          <w:rFonts w:ascii="Verdana" w:hAnsi="Verdana"/>
          <w:smallCaps/>
          <w:sz w:val="20"/>
          <w:lang w:val="es-ES_tradnl"/>
        </w:rPr>
        <w:t>1.A</w:t>
      </w:r>
      <w:r w:rsidR="00C66E0D">
        <w:rPr>
          <w:rFonts w:ascii="Verdana" w:hAnsi="Verdana"/>
          <w:smallCaps/>
          <w:sz w:val="20"/>
          <w:lang w:val="es-ES_tradnl"/>
        </w:rPr>
        <w:t>)</w:t>
      </w:r>
      <w:r w:rsidRPr="009D5EA7">
        <w:rPr>
          <w:rFonts w:ascii="Verdana" w:hAnsi="Verdana"/>
          <w:smallCaps/>
          <w:sz w:val="20"/>
          <w:lang w:val="es-ES_tradnl"/>
        </w:rPr>
        <w:tab/>
      </w:r>
      <w:r w:rsidR="00FC4B19" w:rsidRPr="009D5EA7">
        <w:rPr>
          <w:rFonts w:ascii="Verdana" w:hAnsi="Verdana"/>
          <w:smallCaps/>
          <w:sz w:val="20"/>
          <w:lang w:val="es-ES_tradnl"/>
        </w:rPr>
        <w:t xml:space="preserve">Derechos de acceso a la justicia y a la verdad de los familiares del señor García Valle en relación con la investigación y proceso penal por el </w:t>
      </w:r>
      <w:r w:rsidR="006233D1">
        <w:rPr>
          <w:rFonts w:ascii="Verdana" w:hAnsi="Verdana"/>
          <w:smallCaps/>
          <w:sz w:val="20"/>
          <w:lang w:val="es-ES_tradnl"/>
        </w:rPr>
        <w:t>homicidio</w:t>
      </w:r>
      <w:r w:rsidR="00FC4B19" w:rsidRPr="009D5EA7">
        <w:rPr>
          <w:rFonts w:ascii="Verdana" w:hAnsi="Verdana"/>
          <w:smallCaps/>
          <w:sz w:val="20"/>
          <w:lang w:val="es-ES_tradnl"/>
        </w:rPr>
        <w:t xml:space="preserve"> de éste</w:t>
      </w:r>
      <w:bookmarkEnd w:id="19"/>
    </w:p>
    <w:p w14:paraId="080325F9" w14:textId="77777777" w:rsidR="00AF5026" w:rsidRPr="009D5EA7" w:rsidRDefault="00AF5026" w:rsidP="00AF5026">
      <w:pPr>
        <w:pStyle w:val="Prrafodelista"/>
        <w:ind w:left="0"/>
        <w:jc w:val="both"/>
        <w:rPr>
          <w:rFonts w:ascii="Verdana" w:hAnsi="Verdana"/>
          <w:sz w:val="20"/>
        </w:rPr>
      </w:pPr>
    </w:p>
    <w:p w14:paraId="13880CCD" w14:textId="77777777" w:rsidR="00F716AB" w:rsidRPr="009D5EA7" w:rsidRDefault="00F716AB" w:rsidP="00F716AB">
      <w:pPr>
        <w:suppressAutoHyphens/>
        <w:spacing w:after="0" w:line="240" w:lineRule="auto"/>
        <w:ind w:left="708"/>
        <w:jc w:val="both"/>
        <w:rPr>
          <w:rFonts w:ascii="Verdana" w:eastAsia="Times New Roman" w:hAnsi="Verdana" w:cs="Tahoma"/>
          <w:i/>
          <w:sz w:val="20"/>
          <w:szCs w:val="20"/>
          <w:lang w:val="es-ES_tradnl"/>
        </w:rPr>
      </w:pPr>
      <w:r w:rsidRPr="009D5EA7">
        <w:rPr>
          <w:rFonts w:ascii="Verdana" w:eastAsia="Times New Roman" w:hAnsi="Verdana" w:cs="Tahoma"/>
          <w:i/>
          <w:sz w:val="20"/>
          <w:szCs w:val="20"/>
          <w:lang w:val="es-ES_tradnl"/>
        </w:rPr>
        <w:t>Alegatos de la partes y de la Comisión</w:t>
      </w:r>
    </w:p>
    <w:p w14:paraId="2766BCDD" w14:textId="77777777" w:rsidR="00F716AB" w:rsidRPr="009D5EA7" w:rsidRDefault="00F716AB" w:rsidP="00F716AB">
      <w:pPr>
        <w:suppressAutoHyphens/>
        <w:spacing w:after="0" w:line="240" w:lineRule="auto"/>
        <w:jc w:val="both"/>
        <w:rPr>
          <w:rFonts w:ascii="Verdana" w:eastAsia="Times New Roman" w:hAnsi="Verdana" w:cs="Tahoma"/>
          <w:sz w:val="20"/>
          <w:szCs w:val="20"/>
          <w:lang w:val="es-ES_tradnl"/>
        </w:rPr>
      </w:pPr>
    </w:p>
    <w:p w14:paraId="31CAC1D3" w14:textId="708277F1" w:rsidR="00985001" w:rsidRPr="009D5EA7" w:rsidRDefault="00F716AB" w:rsidP="00194173">
      <w:pPr>
        <w:pStyle w:val="Prrafodelista"/>
        <w:numPr>
          <w:ilvl w:val="0"/>
          <w:numId w:val="5"/>
        </w:numPr>
        <w:autoSpaceDE w:val="0"/>
        <w:autoSpaceDN w:val="0"/>
        <w:adjustRightInd w:val="0"/>
        <w:ind w:left="0" w:right="34" w:firstLine="0"/>
        <w:jc w:val="both"/>
        <w:rPr>
          <w:rFonts w:ascii="Verdana" w:hAnsi="Verdana" w:cs="Cambria"/>
          <w:sz w:val="20"/>
        </w:rPr>
      </w:pPr>
      <w:r w:rsidRPr="009D5EA7">
        <w:rPr>
          <w:rFonts w:ascii="Verdana" w:hAnsi="Verdana" w:cs="Arial"/>
          <w:sz w:val="20"/>
        </w:rPr>
        <w:t xml:space="preserve">La </w:t>
      </w:r>
      <w:r w:rsidRPr="009D5EA7">
        <w:rPr>
          <w:rFonts w:ascii="Verdana" w:hAnsi="Verdana" w:cs="Arial"/>
          <w:b/>
          <w:sz w:val="20"/>
        </w:rPr>
        <w:t>Comisión</w:t>
      </w:r>
      <w:r w:rsidRPr="009D5EA7">
        <w:rPr>
          <w:rFonts w:ascii="Verdana" w:hAnsi="Verdana" w:cs="Arial"/>
          <w:sz w:val="20"/>
        </w:rPr>
        <w:t xml:space="preserve"> consideró que </w:t>
      </w:r>
      <w:r w:rsidR="00985001" w:rsidRPr="009D5EA7">
        <w:rPr>
          <w:rFonts w:ascii="Verdana" w:hAnsi="Verdana" w:cs="Arial"/>
          <w:sz w:val="20"/>
        </w:rPr>
        <w:t>el Estado tenía</w:t>
      </w:r>
      <w:r w:rsidRPr="009D5EA7">
        <w:rPr>
          <w:rFonts w:ascii="Verdana" w:hAnsi="Verdana" w:cs="Arial"/>
          <w:sz w:val="20"/>
        </w:rPr>
        <w:t xml:space="preserve"> obligaciones especiales y reforzadas de investigación, </w:t>
      </w:r>
      <w:r w:rsidR="00985001" w:rsidRPr="009D5EA7">
        <w:rPr>
          <w:rFonts w:ascii="Verdana" w:hAnsi="Verdana" w:cs="Arial"/>
          <w:sz w:val="20"/>
        </w:rPr>
        <w:t xml:space="preserve">por </w:t>
      </w:r>
      <w:r w:rsidRPr="009D5EA7">
        <w:rPr>
          <w:rFonts w:ascii="Verdana" w:hAnsi="Verdana" w:cs="Arial"/>
          <w:sz w:val="20"/>
        </w:rPr>
        <w:t>trata</w:t>
      </w:r>
      <w:r w:rsidR="00985001" w:rsidRPr="009D5EA7">
        <w:rPr>
          <w:rFonts w:ascii="Verdana" w:hAnsi="Verdana" w:cs="Arial"/>
          <w:sz w:val="20"/>
        </w:rPr>
        <w:t>rse</w:t>
      </w:r>
      <w:r w:rsidRPr="009D5EA7">
        <w:rPr>
          <w:rFonts w:ascii="Verdana" w:hAnsi="Verdana" w:cs="Arial"/>
          <w:sz w:val="20"/>
        </w:rPr>
        <w:t xml:space="preserve"> de </w:t>
      </w:r>
      <w:r w:rsidR="00985001" w:rsidRPr="009D5EA7">
        <w:rPr>
          <w:rFonts w:ascii="Verdana" w:hAnsi="Verdana" w:cs="Arial"/>
          <w:sz w:val="20"/>
        </w:rPr>
        <w:t>una defensora</w:t>
      </w:r>
      <w:r w:rsidRPr="009D5EA7">
        <w:rPr>
          <w:rFonts w:ascii="Verdana" w:hAnsi="Verdana" w:cs="Arial"/>
          <w:sz w:val="20"/>
        </w:rPr>
        <w:t xml:space="preserve"> de derechos humanos, por la relación entre </w:t>
      </w:r>
      <w:r w:rsidR="00985001" w:rsidRPr="009D5EA7">
        <w:rPr>
          <w:rFonts w:ascii="Verdana" w:hAnsi="Verdana" w:cs="Arial"/>
          <w:sz w:val="20"/>
        </w:rPr>
        <w:t xml:space="preserve">su </w:t>
      </w:r>
      <w:r w:rsidRPr="009D5EA7">
        <w:rPr>
          <w:rFonts w:ascii="Verdana" w:hAnsi="Verdana" w:cs="Arial"/>
          <w:sz w:val="20"/>
        </w:rPr>
        <w:t xml:space="preserve">labor y el </w:t>
      </w:r>
      <w:r w:rsidR="006233D1">
        <w:rPr>
          <w:rFonts w:ascii="Verdana" w:hAnsi="Verdana" w:cs="Arial"/>
          <w:sz w:val="20"/>
        </w:rPr>
        <w:t>homicidio</w:t>
      </w:r>
      <w:r w:rsidR="006233D1" w:rsidRPr="009D5EA7">
        <w:rPr>
          <w:rFonts w:ascii="Verdana" w:hAnsi="Verdana" w:cs="Arial"/>
          <w:sz w:val="20"/>
        </w:rPr>
        <w:t xml:space="preserve"> </w:t>
      </w:r>
      <w:r w:rsidRPr="009D5EA7">
        <w:rPr>
          <w:rFonts w:ascii="Verdana" w:hAnsi="Verdana" w:cs="Arial"/>
          <w:sz w:val="20"/>
        </w:rPr>
        <w:t xml:space="preserve">su esposo. Planteó </w:t>
      </w:r>
      <w:r w:rsidRPr="009D5EA7">
        <w:rPr>
          <w:rFonts w:ascii="Verdana" w:hAnsi="Verdana" w:cs="Cambria"/>
          <w:sz w:val="20"/>
        </w:rPr>
        <w:t xml:space="preserve">que una investigación exhaustiva, seria e imparcial debió garantizar el análisis de las hipótesis de autoría surgidas a raíz de la muerte violenta, explorando todas las líneas investigativas posibles </w:t>
      </w:r>
      <w:r w:rsidR="00985001" w:rsidRPr="009D5EA7">
        <w:rPr>
          <w:rFonts w:ascii="Verdana" w:hAnsi="Verdana" w:cs="Cambria"/>
          <w:sz w:val="20"/>
        </w:rPr>
        <w:t>para</w:t>
      </w:r>
      <w:r w:rsidRPr="009D5EA7">
        <w:rPr>
          <w:rFonts w:ascii="Verdana" w:hAnsi="Verdana" w:cs="Cambria"/>
          <w:sz w:val="20"/>
        </w:rPr>
        <w:t xml:space="preserve"> identifica</w:t>
      </w:r>
      <w:r w:rsidR="00985001" w:rsidRPr="009D5EA7">
        <w:rPr>
          <w:rFonts w:ascii="Verdana" w:hAnsi="Verdana" w:cs="Cambria"/>
          <w:sz w:val="20"/>
        </w:rPr>
        <w:t>r</w:t>
      </w:r>
      <w:r w:rsidRPr="009D5EA7">
        <w:rPr>
          <w:rFonts w:ascii="Verdana" w:hAnsi="Verdana" w:cs="Cambria"/>
          <w:sz w:val="20"/>
        </w:rPr>
        <w:t xml:space="preserve"> </w:t>
      </w:r>
      <w:r w:rsidR="00985001" w:rsidRPr="009D5EA7">
        <w:rPr>
          <w:rFonts w:ascii="Verdana" w:hAnsi="Verdana" w:cs="Cambria"/>
          <w:sz w:val="20"/>
        </w:rPr>
        <w:t xml:space="preserve">a </w:t>
      </w:r>
      <w:r w:rsidRPr="009D5EA7">
        <w:rPr>
          <w:rFonts w:ascii="Verdana" w:hAnsi="Verdana" w:cs="Cambria"/>
          <w:sz w:val="20"/>
        </w:rPr>
        <w:t xml:space="preserve">los autores del delito, tomando en cuenta </w:t>
      </w:r>
      <w:r w:rsidR="00764E82" w:rsidRPr="009D5EA7">
        <w:rPr>
          <w:rFonts w:ascii="Verdana" w:hAnsi="Verdana" w:cs="Cambria"/>
          <w:sz w:val="20"/>
        </w:rPr>
        <w:t>tal</w:t>
      </w:r>
      <w:r w:rsidRPr="009D5EA7">
        <w:rPr>
          <w:rFonts w:ascii="Verdana" w:hAnsi="Verdana" w:cs="Cambria"/>
          <w:sz w:val="20"/>
        </w:rPr>
        <w:t xml:space="preserve"> actividad. Sin embargo, </w:t>
      </w:r>
      <w:r w:rsidR="00985001" w:rsidRPr="009D5EA7">
        <w:rPr>
          <w:rFonts w:ascii="Verdana" w:hAnsi="Verdana" w:cs="Cambria"/>
          <w:sz w:val="20"/>
        </w:rPr>
        <w:t>esa</w:t>
      </w:r>
      <w:r w:rsidRPr="009D5EA7">
        <w:rPr>
          <w:rFonts w:ascii="Verdana" w:hAnsi="Verdana" w:cs="Cambria"/>
          <w:sz w:val="20"/>
        </w:rPr>
        <w:t xml:space="preserve"> posibilidad no fue asumida de manera seria y diligente, dadas una serie de falencias e insuficiencias en la investigación de un posible tercer autor material y dos posibles autores intelectuales</w:t>
      </w:r>
      <w:r w:rsidR="00E92D66" w:rsidRPr="009D5EA7">
        <w:rPr>
          <w:rFonts w:ascii="Verdana" w:hAnsi="Verdana" w:cs="Cambria"/>
          <w:sz w:val="20"/>
        </w:rPr>
        <w:t>, a favor de quienes fue dictado un sobreseimiento definitivo a los pocos días de haber rendido indagatoria</w:t>
      </w:r>
      <w:r w:rsidR="00F35938" w:rsidRPr="009D5EA7">
        <w:rPr>
          <w:rFonts w:ascii="Verdana" w:hAnsi="Verdana" w:cs="Cambria"/>
          <w:sz w:val="20"/>
        </w:rPr>
        <w:t xml:space="preserve">. </w:t>
      </w:r>
      <w:r w:rsidR="004664FF" w:rsidRPr="009D5EA7">
        <w:rPr>
          <w:rFonts w:ascii="Verdana" w:hAnsi="Verdana" w:cs="Cambria"/>
          <w:sz w:val="20"/>
        </w:rPr>
        <w:t>L</w:t>
      </w:r>
      <w:r w:rsidR="00F35938" w:rsidRPr="009D5EA7">
        <w:rPr>
          <w:rFonts w:ascii="Verdana" w:hAnsi="Verdana" w:cs="Cambria"/>
          <w:sz w:val="20"/>
        </w:rPr>
        <w:t xml:space="preserve">a denegación del recurso planteado contra </w:t>
      </w:r>
      <w:r w:rsidR="00194173" w:rsidRPr="009D5EA7">
        <w:rPr>
          <w:rFonts w:ascii="Verdana" w:hAnsi="Verdana" w:cs="Cambria"/>
          <w:sz w:val="20"/>
        </w:rPr>
        <w:t>ese</w:t>
      </w:r>
      <w:r w:rsidR="00F35938" w:rsidRPr="009D5EA7">
        <w:rPr>
          <w:rFonts w:ascii="Verdana" w:hAnsi="Verdana" w:cs="Cambria"/>
          <w:sz w:val="20"/>
        </w:rPr>
        <w:t xml:space="preserve"> sobreseimiento resultó </w:t>
      </w:r>
      <w:r w:rsidR="00F35938" w:rsidRPr="009D5EA7">
        <w:rPr>
          <w:rFonts w:ascii="Verdana" w:hAnsi="Verdana" w:cs="Cambria"/>
          <w:i/>
          <w:sz w:val="20"/>
        </w:rPr>
        <w:t>per se</w:t>
      </w:r>
      <w:r w:rsidR="00F35938" w:rsidRPr="009D5EA7">
        <w:rPr>
          <w:rFonts w:ascii="Verdana" w:hAnsi="Verdana" w:cs="Cambria"/>
          <w:sz w:val="20"/>
        </w:rPr>
        <w:t xml:space="preserve"> una formalidad excesiva para acceder a la justicia </w:t>
      </w:r>
      <w:r w:rsidR="00194173" w:rsidRPr="009D5EA7">
        <w:rPr>
          <w:rFonts w:ascii="Verdana" w:hAnsi="Verdana" w:cs="Cambria"/>
          <w:sz w:val="20"/>
        </w:rPr>
        <w:t>que</w:t>
      </w:r>
      <w:r w:rsidR="00F35938" w:rsidRPr="009D5EA7">
        <w:rPr>
          <w:rFonts w:ascii="Verdana" w:hAnsi="Verdana" w:cs="Cambria"/>
          <w:sz w:val="20"/>
        </w:rPr>
        <w:t xml:space="preserve"> en este caso</w:t>
      </w:r>
      <w:r w:rsidR="00194173" w:rsidRPr="009D5EA7">
        <w:rPr>
          <w:rFonts w:ascii="Verdana" w:hAnsi="Verdana" w:cs="Cambria"/>
          <w:sz w:val="20"/>
        </w:rPr>
        <w:t>, además,</w:t>
      </w:r>
      <w:r w:rsidR="00F35938" w:rsidRPr="009D5EA7">
        <w:rPr>
          <w:rFonts w:ascii="Verdana" w:hAnsi="Verdana" w:cs="Cambria"/>
          <w:sz w:val="20"/>
        </w:rPr>
        <w:t xml:space="preserve"> </w:t>
      </w:r>
      <w:r w:rsidR="00194173" w:rsidRPr="009D5EA7">
        <w:rPr>
          <w:rFonts w:ascii="Verdana" w:hAnsi="Verdana" w:cs="Cambria"/>
          <w:sz w:val="20"/>
        </w:rPr>
        <w:t xml:space="preserve">no </w:t>
      </w:r>
      <w:r w:rsidR="00F35938" w:rsidRPr="009D5EA7">
        <w:rPr>
          <w:rFonts w:ascii="Verdana" w:hAnsi="Verdana" w:cs="Cambria"/>
          <w:sz w:val="20"/>
        </w:rPr>
        <w:t xml:space="preserve">resultaba aplicable. </w:t>
      </w:r>
      <w:r w:rsidRPr="009D5EA7">
        <w:rPr>
          <w:rFonts w:ascii="Verdana" w:hAnsi="Verdana" w:cs="Cambria"/>
          <w:sz w:val="20"/>
        </w:rPr>
        <w:t xml:space="preserve">Además, </w:t>
      </w:r>
      <w:r w:rsidR="00FF2EC6" w:rsidRPr="009D5EA7">
        <w:rPr>
          <w:rFonts w:ascii="Verdana" w:hAnsi="Verdana" w:cs="Verdana"/>
          <w:sz w:val="20"/>
          <w:lang w:bidi="en-US"/>
        </w:rPr>
        <w:t xml:space="preserve">por la manera inexplicable y apresurada con que se dictó, además de un claro incumplimiento del deber de debida diligencia, podría tratarse </w:t>
      </w:r>
      <w:r w:rsidRPr="009D5EA7">
        <w:rPr>
          <w:rFonts w:ascii="Verdana" w:hAnsi="Verdana" w:cs="Cambria"/>
          <w:sz w:val="20"/>
        </w:rPr>
        <w:t xml:space="preserve">de un supuesto de </w:t>
      </w:r>
      <w:r w:rsidR="00E92D66" w:rsidRPr="009D5EA7">
        <w:rPr>
          <w:rFonts w:ascii="Verdana" w:hAnsi="Verdana" w:cs="Cambria"/>
          <w:sz w:val="20"/>
        </w:rPr>
        <w:t>“</w:t>
      </w:r>
      <w:r w:rsidRPr="009D5EA7">
        <w:rPr>
          <w:rFonts w:ascii="Verdana" w:hAnsi="Verdana" w:cs="Cambria"/>
          <w:sz w:val="20"/>
        </w:rPr>
        <w:t>encubrimiento deliberado</w:t>
      </w:r>
      <w:r w:rsidR="004664FF" w:rsidRPr="009D5EA7">
        <w:rPr>
          <w:rFonts w:ascii="Verdana" w:hAnsi="Verdana" w:cs="Cambria"/>
          <w:sz w:val="20"/>
        </w:rPr>
        <w:t>”</w:t>
      </w:r>
      <w:r w:rsidRPr="009D5EA7">
        <w:rPr>
          <w:rFonts w:ascii="Verdana" w:hAnsi="Verdana" w:cs="Cambria"/>
          <w:sz w:val="20"/>
        </w:rPr>
        <w:t>.</w:t>
      </w:r>
      <w:r w:rsidR="00194173" w:rsidRPr="009D5EA7">
        <w:rPr>
          <w:rFonts w:ascii="Verdana" w:hAnsi="Verdana" w:cs="Cambria"/>
          <w:sz w:val="20"/>
        </w:rPr>
        <w:t xml:space="preserve"> </w:t>
      </w:r>
      <w:r w:rsidR="00BC132A" w:rsidRPr="009D5EA7">
        <w:rPr>
          <w:rFonts w:ascii="Verdana" w:hAnsi="Verdana" w:cs="Cambria"/>
          <w:sz w:val="20"/>
        </w:rPr>
        <w:t>A</w:t>
      </w:r>
      <w:r w:rsidR="00194173" w:rsidRPr="009D5EA7">
        <w:rPr>
          <w:rFonts w:ascii="Verdana" w:hAnsi="Verdana" w:cs="Cambria"/>
          <w:sz w:val="20"/>
        </w:rPr>
        <w:t xml:space="preserve">legó que </w:t>
      </w:r>
      <w:r w:rsidR="00985001" w:rsidRPr="009D5EA7">
        <w:rPr>
          <w:rFonts w:ascii="Verdana" w:hAnsi="Verdana" w:cs="Cambria"/>
          <w:sz w:val="20"/>
        </w:rPr>
        <w:t xml:space="preserve">la investigación </w:t>
      </w:r>
      <w:r w:rsidR="004664FF" w:rsidRPr="009D5EA7">
        <w:rPr>
          <w:rFonts w:ascii="Verdana" w:hAnsi="Verdana" w:cs="Cambria"/>
          <w:sz w:val="20"/>
        </w:rPr>
        <w:t>incumplió</w:t>
      </w:r>
      <w:r w:rsidR="00985001" w:rsidRPr="009D5EA7">
        <w:rPr>
          <w:rFonts w:ascii="Verdana" w:hAnsi="Verdana" w:cs="Cambria"/>
          <w:sz w:val="20"/>
        </w:rPr>
        <w:t xml:space="preserve"> l</w:t>
      </w:r>
      <w:r w:rsidR="00194173" w:rsidRPr="009D5EA7">
        <w:rPr>
          <w:rFonts w:ascii="Verdana" w:hAnsi="Verdana" w:cs="Cambria"/>
          <w:sz w:val="20"/>
        </w:rPr>
        <w:t>a garantía del plazo razonable</w:t>
      </w:r>
      <w:r w:rsidR="00985001" w:rsidRPr="009D5EA7">
        <w:rPr>
          <w:rFonts w:ascii="Verdana" w:hAnsi="Verdana" w:cs="Cambria"/>
          <w:sz w:val="20"/>
        </w:rPr>
        <w:t xml:space="preserve">, </w:t>
      </w:r>
      <w:r w:rsidR="00194173" w:rsidRPr="009D5EA7">
        <w:rPr>
          <w:rFonts w:ascii="Verdana" w:hAnsi="Verdana" w:cs="Cambria"/>
          <w:sz w:val="20"/>
        </w:rPr>
        <w:t>además de la demora y desacato en que incurrieron la Comisión del Régimen Disciplinario y la Corte Suprema de Justicia ante las quejas disciplinarias y frente a las recomendaciones emitidas por la Procuraduría. Por lo anterior, la Comisión consideró que l</w:t>
      </w:r>
      <w:r w:rsidR="00194173" w:rsidRPr="009D5EA7">
        <w:rPr>
          <w:rFonts w:ascii="Verdana" w:hAnsi="Verdana"/>
          <w:sz w:val="20"/>
        </w:rPr>
        <w:t>a familia del señor García Valle no contó con</w:t>
      </w:r>
      <w:r w:rsidR="00BC132A" w:rsidRPr="009D5EA7">
        <w:rPr>
          <w:rFonts w:ascii="Verdana" w:hAnsi="Verdana"/>
          <w:sz w:val="20"/>
        </w:rPr>
        <w:t xml:space="preserve"> un recurso sencillo y efectivo</w:t>
      </w:r>
      <w:r w:rsidR="00194173" w:rsidRPr="009D5EA7">
        <w:rPr>
          <w:rFonts w:ascii="Verdana" w:hAnsi="Verdana"/>
          <w:spacing w:val="-2"/>
          <w:sz w:val="20"/>
        </w:rPr>
        <w:t>.</w:t>
      </w:r>
      <w:r w:rsidR="00FF2EC6" w:rsidRPr="009D5EA7">
        <w:rPr>
          <w:rFonts w:ascii="Verdana" w:hAnsi="Verdana"/>
          <w:spacing w:val="-2"/>
          <w:sz w:val="20"/>
        </w:rPr>
        <w:t xml:space="preserve"> En sus observaciones finales, la Comisión alegó </w:t>
      </w:r>
      <w:r w:rsidR="00FF2EC6" w:rsidRPr="009D5EA7">
        <w:rPr>
          <w:rFonts w:ascii="Verdana" w:hAnsi="Verdana" w:cs="Verdana"/>
          <w:sz w:val="20"/>
          <w:lang w:bidi="en-US"/>
        </w:rPr>
        <w:t>que en este caso se configuró un supuesto de “cosa juzgada fraudulenta”.</w:t>
      </w:r>
    </w:p>
    <w:p w14:paraId="31271D45" w14:textId="7F0FF8EE" w:rsidR="00F35938" w:rsidRPr="009D5EA7" w:rsidRDefault="00F35938" w:rsidP="00F35938">
      <w:pPr>
        <w:pStyle w:val="Prrafodelista"/>
        <w:autoSpaceDE w:val="0"/>
        <w:autoSpaceDN w:val="0"/>
        <w:adjustRightInd w:val="0"/>
        <w:ind w:left="0" w:right="34"/>
        <w:jc w:val="both"/>
        <w:rPr>
          <w:rFonts w:ascii="Verdana" w:hAnsi="Verdana" w:cs="Cambria"/>
          <w:sz w:val="20"/>
        </w:rPr>
      </w:pPr>
    </w:p>
    <w:p w14:paraId="4D256648" w14:textId="4FFBE813" w:rsidR="00194173" w:rsidRPr="009D5EA7" w:rsidRDefault="00F35938" w:rsidP="00194173">
      <w:pPr>
        <w:pStyle w:val="Prrafodelista"/>
        <w:numPr>
          <w:ilvl w:val="0"/>
          <w:numId w:val="5"/>
        </w:numPr>
        <w:autoSpaceDE w:val="0"/>
        <w:autoSpaceDN w:val="0"/>
        <w:adjustRightInd w:val="0"/>
        <w:ind w:left="0" w:right="34" w:firstLine="0"/>
        <w:jc w:val="both"/>
        <w:rPr>
          <w:rFonts w:ascii="Verdana" w:hAnsi="Verdana" w:cs="Cambria"/>
          <w:sz w:val="20"/>
        </w:rPr>
      </w:pPr>
      <w:r w:rsidRPr="009D5EA7">
        <w:rPr>
          <w:rFonts w:ascii="Verdana" w:hAnsi="Verdana" w:cs="Cambria"/>
          <w:sz w:val="20"/>
        </w:rPr>
        <w:t xml:space="preserve">Las </w:t>
      </w:r>
      <w:r w:rsidRPr="009D5EA7">
        <w:rPr>
          <w:rFonts w:ascii="Verdana" w:hAnsi="Verdana" w:cs="Cambria"/>
          <w:b/>
          <w:sz w:val="20"/>
        </w:rPr>
        <w:t>representantes</w:t>
      </w:r>
      <w:r w:rsidR="00194173" w:rsidRPr="009D5EA7">
        <w:rPr>
          <w:rFonts w:ascii="Verdana" w:hAnsi="Verdana" w:cs="Cambria"/>
          <w:sz w:val="20"/>
        </w:rPr>
        <w:t xml:space="preserve"> coincidieron con lo anterior. </w:t>
      </w:r>
      <w:r w:rsidR="00194173" w:rsidRPr="009D5EA7">
        <w:rPr>
          <w:rFonts w:ascii="Verdana" w:hAnsi="Verdana" w:cs="BookAntiqua"/>
          <w:sz w:val="20"/>
          <w:lang w:eastAsia="es-CR"/>
        </w:rPr>
        <w:t>Agregaron o enfatizaron que a pesar de varias evidencias</w:t>
      </w:r>
      <w:r w:rsidR="004664FF" w:rsidRPr="009D5EA7">
        <w:rPr>
          <w:rFonts w:ascii="Verdana" w:hAnsi="Verdana" w:cs="BookAntiqua"/>
          <w:sz w:val="20"/>
          <w:lang w:eastAsia="es-CR"/>
        </w:rPr>
        <w:t xml:space="preserve"> y de que </w:t>
      </w:r>
      <w:r w:rsidR="00194173" w:rsidRPr="009D5EA7">
        <w:rPr>
          <w:rFonts w:ascii="Verdana" w:hAnsi="Verdana" w:cs="BookAntiqua"/>
          <w:sz w:val="20"/>
          <w:lang w:eastAsia="es-CR"/>
        </w:rPr>
        <w:t xml:space="preserve">el juez estaba facultado ampliamente para investigar, deliberadamente no lo hizo para evitar encontrar las pruebas en la etapa instructiva. </w:t>
      </w:r>
      <w:r w:rsidR="00134639" w:rsidRPr="009D5EA7">
        <w:rPr>
          <w:rFonts w:ascii="Verdana" w:hAnsi="Verdana" w:cs="BookAntiqua"/>
          <w:sz w:val="20"/>
          <w:lang w:eastAsia="es-CR"/>
        </w:rPr>
        <w:t>Alegaron que</w:t>
      </w:r>
      <w:r w:rsidR="00194173" w:rsidRPr="009D5EA7">
        <w:rPr>
          <w:rFonts w:ascii="Verdana" w:hAnsi="Verdana" w:cs="BookAntiqua"/>
          <w:sz w:val="20"/>
          <w:lang w:eastAsia="es-CR"/>
        </w:rPr>
        <w:t xml:space="preserve"> la legislación vigente no lo facultaba para dictar el sobreseimiento definitivo</w:t>
      </w:r>
      <w:r w:rsidR="004664FF" w:rsidRPr="009D5EA7">
        <w:rPr>
          <w:rFonts w:ascii="Verdana" w:hAnsi="Verdana" w:cs="BookAntiqua"/>
          <w:sz w:val="20"/>
          <w:lang w:eastAsia="es-CR"/>
        </w:rPr>
        <w:t xml:space="preserve"> a favor de las personas señaladas como autores intelectuales</w:t>
      </w:r>
      <w:r w:rsidR="00194173" w:rsidRPr="009D5EA7">
        <w:rPr>
          <w:rFonts w:ascii="Verdana" w:hAnsi="Verdana" w:cs="BookAntiqua"/>
          <w:sz w:val="20"/>
          <w:lang w:eastAsia="es-CR"/>
        </w:rPr>
        <w:t>,</w:t>
      </w:r>
      <w:r w:rsidR="00B6274E" w:rsidRPr="009D5EA7">
        <w:rPr>
          <w:rFonts w:ascii="Verdana" w:hAnsi="Verdana" w:cs="BookAntiqua"/>
          <w:sz w:val="20"/>
          <w:lang w:eastAsia="es-CR"/>
        </w:rPr>
        <w:t xml:space="preserve"> a pesar de lo cual</w:t>
      </w:r>
      <w:r w:rsidR="00194173" w:rsidRPr="009D5EA7">
        <w:rPr>
          <w:rFonts w:ascii="Verdana" w:hAnsi="Verdana" w:cs="BookAntiqua"/>
          <w:sz w:val="20"/>
          <w:lang w:eastAsia="es-CR"/>
        </w:rPr>
        <w:t xml:space="preserve"> irregularmente </w:t>
      </w:r>
      <w:r w:rsidR="00B6274E" w:rsidRPr="009D5EA7">
        <w:rPr>
          <w:rFonts w:ascii="Verdana" w:hAnsi="Verdana" w:cs="BookAntiqua"/>
          <w:sz w:val="20"/>
          <w:lang w:eastAsia="es-CR"/>
        </w:rPr>
        <w:t xml:space="preserve">se </w:t>
      </w:r>
      <w:r w:rsidR="00194173" w:rsidRPr="009D5EA7">
        <w:rPr>
          <w:rFonts w:ascii="Verdana" w:hAnsi="Verdana" w:cs="BookAntiqua"/>
          <w:sz w:val="20"/>
          <w:lang w:eastAsia="es-CR"/>
        </w:rPr>
        <w:t>l</w:t>
      </w:r>
      <w:r w:rsidR="00B6274E" w:rsidRPr="009D5EA7">
        <w:rPr>
          <w:rFonts w:ascii="Verdana" w:hAnsi="Verdana" w:cs="BookAntiqua"/>
          <w:sz w:val="20"/>
          <w:lang w:eastAsia="es-CR"/>
        </w:rPr>
        <w:t>o</w:t>
      </w:r>
      <w:r w:rsidR="00194173" w:rsidRPr="009D5EA7">
        <w:rPr>
          <w:rFonts w:ascii="Verdana" w:hAnsi="Verdana" w:cs="BookAntiqua"/>
          <w:sz w:val="20"/>
          <w:lang w:eastAsia="es-CR"/>
        </w:rPr>
        <w:t>s otorgó</w:t>
      </w:r>
      <w:r w:rsidR="003441E0" w:rsidRPr="009D5EA7">
        <w:rPr>
          <w:rFonts w:ascii="Verdana" w:hAnsi="Verdana" w:cs="BookAntiqua"/>
          <w:sz w:val="20"/>
          <w:lang w:eastAsia="es-CR"/>
        </w:rPr>
        <w:t xml:space="preserve">, </w:t>
      </w:r>
      <w:r w:rsidR="003441E0" w:rsidRPr="009D5EA7">
        <w:rPr>
          <w:rFonts w:ascii="Verdana" w:hAnsi="Verdana" w:cs="Verdana"/>
          <w:sz w:val="20"/>
          <w:lang w:bidi="en-US"/>
        </w:rPr>
        <w:t>configurándose un supuesto de “cosa juzgada fraudulenta”.</w:t>
      </w:r>
      <w:r w:rsidR="00134639" w:rsidRPr="009D5EA7">
        <w:rPr>
          <w:rFonts w:ascii="Verdana" w:hAnsi="Verdana" w:cs="BookAntiqua"/>
          <w:sz w:val="20"/>
          <w:lang w:eastAsia="es-CR"/>
        </w:rPr>
        <w:t xml:space="preserve"> </w:t>
      </w:r>
      <w:r w:rsidR="00D74820" w:rsidRPr="009D5EA7">
        <w:rPr>
          <w:rFonts w:ascii="Verdana" w:hAnsi="Verdana" w:cs="BookAntiqua"/>
          <w:sz w:val="20"/>
          <w:lang w:eastAsia="es-CR"/>
        </w:rPr>
        <w:t>P</w:t>
      </w:r>
      <w:r w:rsidR="00134639" w:rsidRPr="009D5EA7">
        <w:rPr>
          <w:rFonts w:ascii="Verdana" w:hAnsi="Verdana" w:cs="BookAntiqua"/>
          <w:sz w:val="20"/>
          <w:lang w:eastAsia="es-CR"/>
        </w:rPr>
        <w:t xml:space="preserve">lantearon que </w:t>
      </w:r>
      <w:r w:rsidR="00194173" w:rsidRPr="009D5EA7">
        <w:rPr>
          <w:rFonts w:ascii="Verdana" w:hAnsi="Verdana" w:cs="BookAntiqua"/>
          <w:sz w:val="20"/>
          <w:lang w:eastAsia="es-CR"/>
        </w:rPr>
        <w:t xml:space="preserve">las </w:t>
      </w:r>
      <w:r w:rsidR="00134639" w:rsidRPr="009D5EA7">
        <w:rPr>
          <w:rFonts w:ascii="Verdana" w:hAnsi="Verdana" w:cs="BookAntiqua"/>
          <w:sz w:val="20"/>
          <w:lang w:eastAsia="es-CR"/>
        </w:rPr>
        <w:t xml:space="preserve">presuntas </w:t>
      </w:r>
      <w:r w:rsidR="00194173" w:rsidRPr="009D5EA7">
        <w:rPr>
          <w:rFonts w:ascii="Verdana" w:hAnsi="Verdana" w:cs="BookAntiqua"/>
          <w:sz w:val="20"/>
          <w:lang w:eastAsia="es-CR"/>
        </w:rPr>
        <w:t>víctimas no tuvieron acceso a órganos jurisdiccionales</w:t>
      </w:r>
      <w:r w:rsidR="00D74820" w:rsidRPr="009D5EA7">
        <w:rPr>
          <w:rFonts w:ascii="Verdana" w:hAnsi="Verdana" w:cs="BookAntiqua"/>
          <w:sz w:val="20"/>
          <w:lang w:eastAsia="es-CR"/>
        </w:rPr>
        <w:t xml:space="preserve"> independientes e imparciales; que e</w:t>
      </w:r>
      <w:r w:rsidR="00194173" w:rsidRPr="009D5EA7">
        <w:rPr>
          <w:rFonts w:ascii="Verdana" w:hAnsi="Verdana" w:cs="BookAntiqua"/>
          <w:sz w:val="20"/>
          <w:lang w:eastAsia="es-CR"/>
        </w:rPr>
        <w:t xml:space="preserve">l juez de la causa negó la petición de intervenir al apoderado judicial de </w:t>
      </w:r>
      <w:r w:rsidR="00134639" w:rsidRPr="009D5EA7">
        <w:rPr>
          <w:rFonts w:ascii="Verdana" w:hAnsi="Verdana" w:cs="BookAntiqua"/>
          <w:sz w:val="20"/>
          <w:lang w:eastAsia="es-CR"/>
        </w:rPr>
        <w:t xml:space="preserve">la señora </w:t>
      </w:r>
      <w:r w:rsidR="00194173" w:rsidRPr="009D5EA7">
        <w:rPr>
          <w:rFonts w:ascii="Verdana" w:hAnsi="Verdana" w:cs="BookAntiqua"/>
          <w:sz w:val="20"/>
          <w:lang w:eastAsia="es-CR"/>
        </w:rPr>
        <w:t>Aco</w:t>
      </w:r>
      <w:r w:rsidR="00AA0BD8" w:rsidRPr="009D5EA7">
        <w:rPr>
          <w:rFonts w:ascii="Verdana" w:hAnsi="Verdana" w:cs="BookAntiqua"/>
          <w:sz w:val="20"/>
          <w:lang w:eastAsia="es-CR"/>
        </w:rPr>
        <w:t>sta, a quien otorgó</w:t>
      </w:r>
      <w:r w:rsidR="00194173" w:rsidRPr="009D5EA7">
        <w:rPr>
          <w:rFonts w:ascii="Verdana" w:hAnsi="Verdana" w:cs="BookAntiqua"/>
          <w:sz w:val="20"/>
          <w:lang w:eastAsia="es-CR"/>
        </w:rPr>
        <w:t xml:space="preserve"> anómalamente la doble calidad de acusadora y sindicada, </w:t>
      </w:r>
      <w:r w:rsidR="00AA0BD8" w:rsidRPr="009D5EA7">
        <w:rPr>
          <w:rFonts w:ascii="Verdana" w:hAnsi="Verdana" w:cs="BookAntiqua"/>
          <w:sz w:val="20"/>
          <w:lang w:eastAsia="es-CR"/>
        </w:rPr>
        <w:t>violando</w:t>
      </w:r>
      <w:r w:rsidR="00194173" w:rsidRPr="009D5EA7">
        <w:rPr>
          <w:rFonts w:ascii="Verdana" w:hAnsi="Verdana" w:cs="BookAntiqua"/>
          <w:sz w:val="20"/>
          <w:lang w:eastAsia="es-CR"/>
        </w:rPr>
        <w:t xml:space="preserve"> el debido proceso. Las irregularidades continuaron en las instancias superiores, por lo que se instrumentalizó el Poder Judicial como medio para cometer la violación de los derechos que debieron garantizar, </w:t>
      </w:r>
      <w:r w:rsidR="00D74820" w:rsidRPr="009D5EA7">
        <w:rPr>
          <w:rFonts w:ascii="Verdana" w:hAnsi="Verdana" w:cs="BookAntiqua"/>
          <w:sz w:val="20"/>
          <w:lang w:eastAsia="es-CR"/>
        </w:rPr>
        <w:t xml:space="preserve">lo cual es </w:t>
      </w:r>
      <w:r w:rsidR="00194173" w:rsidRPr="009D5EA7">
        <w:rPr>
          <w:rFonts w:ascii="Verdana" w:hAnsi="Verdana" w:cs="BookAntiqua"/>
          <w:sz w:val="20"/>
          <w:lang w:eastAsia="es-CR"/>
        </w:rPr>
        <w:t>síntoma de la práctica sistemática de un sistema judicial carente de independencia e imparcialidad.</w:t>
      </w:r>
      <w:r w:rsidR="00134639" w:rsidRPr="009D5EA7">
        <w:rPr>
          <w:rFonts w:ascii="Verdana" w:hAnsi="Verdana" w:cs="BookAntiqua"/>
          <w:sz w:val="20"/>
          <w:lang w:eastAsia="es-CR"/>
        </w:rPr>
        <w:t xml:space="preserve"> </w:t>
      </w:r>
      <w:r w:rsidR="00194173" w:rsidRPr="009D5EA7">
        <w:rPr>
          <w:rFonts w:ascii="Verdana" w:hAnsi="Verdana" w:cs="BookAntiqua"/>
          <w:sz w:val="20"/>
          <w:lang w:eastAsia="es-CR"/>
        </w:rPr>
        <w:t>Asimismo, alegaron que el Estado violó el derecho a la verdad de los fa</w:t>
      </w:r>
      <w:r w:rsidR="00D74820" w:rsidRPr="009D5EA7">
        <w:rPr>
          <w:rFonts w:ascii="Verdana" w:hAnsi="Verdana" w:cs="BookAntiqua"/>
          <w:sz w:val="20"/>
          <w:lang w:eastAsia="es-CR"/>
        </w:rPr>
        <w:t>miliares</w:t>
      </w:r>
      <w:r w:rsidR="00AA0BD8" w:rsidRPr="009D5EA7">
        <w:rPr>
          <w:rFonts w:ascii="Verdana" w:hAnsi="Verdana" w:cs="BookAntiqua"/>
          <w:sz w:val="20"/>
          <w:lang w:eastAsia="es-CR"/>
        </w:rPr>
        <w:t xml:space="preserve"> y</w:t>
      </w:r>
      <w:r w:rsidR="00D74820" w:rsidRPr="009D5EA7">
        <w:rPr>
          <w:rFonts w:ascii="Verdana" w:hAnsi="Verdana" w:cs="BookAntiqua"/>
          <w:sz w:val="20"/>
          <w:lang w:eastAsia="es-CR"/>
        </w:rPr>
        <w:t xml:space="preserve"> que l</w:t>
      </w:r>
      <w:r w:rsidR="00194173" w:rsidRPr="009D5EA7">
        <w:rPr>
          <w:rFonts w:ascii="Verdana" w:hAnsi="Verdana" w:cs="BookAntiqua"/>
          <w:sz w:val="20"/>
          <w:lang w:eastAsia="es-CR"/>
        </w:rPr>
        <w:t>os recursos judiciales no pudieron desarrollarse con normalidad</w:t>
      </w:r>
      <w:r w:rsidR="00134639" w:rsidRPr="009D5EA7">
        <w:rPr>
          <w:rFonts w:ascii="Verdana" w:hAnsi="Verdana" w:cs="BookAntiqua"/>
          <w:sz w:val="20"/>
          <w:lang w:eastAsia="es-CR"/>
        </w:rPr>
        <w:t>, pues todas las peticiones y recursos fueron rechazados con argumentos infundados, en violación d</w:t>
      </w:r>
      <w:r w:rsidR="00D74820" w:rsidRPr="009D5EA7">
        <w:rPr>
          <w:rFonts w:ascii="Verdana" w:hAnsi="Verdana" w:cs="BookAntiqua"/>
          <w:sz w:val="20"/>
          <w:lang w:eastAsia="es-CR"/>
        </w:rPr>
        <w:t>el artículo 25 de la Convención</w:t>
      </w:r>
      <w:r w:rsidR="00194173" w:rsidRPr="009D5EA7">
        <w:rPr>
          <w:rFonts w:ascii="Verdana" w:hAnsi="Verdana" w:cs="BookAntiqua"/>
          <w:sz w:val="20"/>
          <w:lang w:eastAsia="es-CR"/>
        </w:rPr>
        <w:t>.</w:t>
      </w:r>
    </w:p>
    <w:p w14:paraId="2CE10B06" w14:textId="77777777" w:rsidR="00134639" w:rsidRPr="009D5EA7" w:rsidRDefault="00134639" w:rsidP="00134639">
      <w:pPr>
        <w:pStyle w:val="Prrafodelista"/>
        <w:autoSpaceDE w:val="0"/>
        <w:autoSpaceDN w:val="0"/>
        <w:adjustRightInd w:val="0"/>
        <w:ind w:left="0" w:right="34"/>
        <w:jc w:val="both"/>
        <w:rPr>
          <w:rFonts w:ascii="Verdana" w:hAnsi="Verdana" w:cs="Cambria"/>
          <w:sz w:val="20"/>
        </w:rPr>
      </w:pPr>
    </w:p>
    <w:p w14:paraId="0C96A53E" w14:textId="45A4E390" w:rsidR="00134639" w:rsidRPr="009D5EA7" w:rsidRDefault="00134639" w:rsidP="003441E0">
      <w:pPr>
        <w:pStyle w:val="Prrafodelista"/>
        <w:numPr>
          <w:ilvl w:val="0"/>
          <w:numId w:val="5"/>
        </w:numPr>
        <w:autoSpaceDE w:val="0"/>
        <w:autoSpaceDN w:val="0"/>
        <w:adjustRightInd w:val="0"/>
        <w:ind w:left="0" w:right="34" w:firstLine="0"/>
        <w:jc w:val="both"/>
        <w:rPr>
          <w:rFonts w:ascii="Verdana" w:hAnsi="Verdana" w:cs="Verdana"/>
          <w:sz w:val="20"/>
          <w:lang w:bidi="en-US"/>
        </w:rPr>
      </w:pPr>
      <w:r w:rsidRPr="009D5EA7">
        <w:rPr>
          <w:rFonts w:ascii="Verdana" w:hAnsi="Verdana" w:cs="Cambria"/>
          <w:sz w:val="20"/>
        </w:rPr>
        <w:t>El</w:t>
      </w:r>
      <w:r w:rsidRPr="009D5EA7">
        <w:rPr>
          <w:rFonts w:ascii="Verdana" w:hAnsi="Verdana" w:cs="Cambria"/>
          <w:b/>
          <w:sz w:val="20"/>
        </w:rPr>
        <w:t xml:space="preserve"> Estado </w:t>
      </w:r>
      <w:r w:rsidR="00D74820" w:rsidRPr="009D5EA7">
        <w:rPr>
          <w:rFonts w:ascii="Verdana" w:hAnsi="Verdana" w:cs="Cambria"/>
          <w:sz w:val="20"/>
        </w:rPr>
        <w:t>alegó</w:t>
      </w:r>
      <w:r w:rsidRPr="009D5EA7">
        <w:rPr>
          <w:rFonts w:ascii="Verdana" w:hAnsi="Verdana" w:cs="Cambria"/>
          <w:sz w:val="20"/>
        </w:rPr>
        <w:t xml:space="preserve"> que no corresponde a los órganos del Sistema Interamericano analizar las hipótesis de autoría manejadas durante la investigación</w:t>
      </w:r>
      <w:r w:rsidR="00E93ED2" w:rsidRPr="009D5EA7">
        <w:rPr>
          <w:rFonts w:ascii="Verdana" w:hAnsi="Verdana" w:cs="Cambria"/>
          <w:sz w:val="20"/>
        </w:rPr>
        <w:t>, s</w:t>
      </w:r>
      <w:r w:rsidRPr="009D5EA7">
        <w:rPr>
          <w:rFonts w:ascii="Verdana" w:hAnsi="Verdana" w:cs="Cambria"/>
          <w:sz w:val="20"/>
        </w:rPr>
        <w:t>in perjuicio de</w:t>
      </w:r>
      <w:r w:rsidR="00E93ED2" w:rsidRPr="009D5EA7">
        <w:rPr>
          <w:rFonts w:ascii="Verdana" w:hAnsi="Verdana" w:cs="Cambria"/>
          <w:sz w:val="20"/>
        </w:rPr>
        <w:t xml:space="preserve"> lo cual </w:t>
      </w:r>
      <w:r w:rsidRPr="009D5EA7">
        <w:rPr>
          <w:rFonts w:ascii="Verdana" w:hAnsi="Verdana" w:cs="Cambria"/>
          <w:sz w:val="20"/>
        </w:rPr>
        <w:t xml:space="preserve">señaló que la </w:t>
      </w:r>
      <w:r w:rsidR="00E93ED2" w:rsidRPr="009D5EA7">
        <w:rPr>
          <w:rFonts w:ascii="Verdana" w:hAnsi="Verdana" w:cs="Cambria"/>
          <w:sz w:val="20"/>
        </w:rPr>
        <w:t xml:space="preserve">supuesta </w:t>
      </w:r>
      <w:r w:rsidRPr="009D5EA7">
        <w:rPr>
          <w:rFonts w:ascii="Verdana" w:hAnsi="Verdana" w:cs="Cambria"/>
          <w:sz w:val="20"/>
        </w:rPr>
        <w:t xml:space="preserve">autoría intelectual de dos personas no fue acreditada en la parte instructiva del proceso, </w:t>
      </w:r>
      <w:r w:rsidR="00D74820" w:rsidRPr="009D5EA7">
        <w:rPr>
          <w:rFonts w:ascii="Verdana" w:hAnsi="Verdana" w:cs="Cambria"/>
          <w:sz w:val="20"/>
        </w:rPr>
        <w:t>como tampoco lo fue que el móvil del delito estuviese relacionad</w:t>
      </w:r>
      <w:r w:rsidR="00770FAC" w:rsidRPr="009D5EA7">
        <w:rPr>
          <w:rFonts w:ascii="Verdana" w:hAnsi="Verdana" w:cs="Cambria"/>
          <w:sz w:val="20"/>
        </w:rPr>
        <w:t>o con la actividad de defensora</w:t>
      </w:r>
      <w:r w:rsidRPr="009D5EA7">
        <w:rPr>
          <w:rFonts w:ascii="Verdana" w:hAnsi="Verdana" w:cs="Cambria"/>
          <w:sz w:val="20"/>
        </w:rPr>
        <w:t>.</w:t>
      </w:r>
      <w:r w:rsidR="003E44B8" w:rsidRPr="009D5EA7">
        <w:rPr>
          <w:rFonts w:ascii="Verdana" w:hAnsi="Verdana" w:cs="Cambria"/>
          <w:sz w:val="20"/>
        </w:rPr>
        <w:t xml:space="preserve"> </w:t>
      </w:r>
      <w:r w:rsidR="00D74820" w:rsidRPr="009D5EA7">
        <w:rPr>
          <w:rFonts w:ascii="Verdana" w:hAnsi="Verdana" w:cs="Cambria"/>
          <w:sz w:val="20"/>
        </w:rPr>
        <w:t>Alegó que</w:t>
      </w:r>
      <w:r w:rsidRPr="009D5EA7">
        <w:rPr>
          <w:rFonts w:ascii="Verdana" w:hAnsi="Verdana" w:cs="Cambria"/>
          <w:sz w:val="20"/>
        </w:rPr>
        <w:t xml:space="preserve"> el Estado realizó</w:t>
      </w:r>
      <w:r w:rsidR="00D74820" w:rsidRPr="009D5EA7">
        <w:rPr>
          <w:rFonts w:ascii="Verdana" w:hAnsi="Verdana" w:cs="Cambria"/>
          <w:sz w:val="20"/>
        </w:rPr>
        <w:t>,</w:t>
      </w:r>
      <w:r w:rsidRPr="009D5EA7">
        <w:rPr>
          <w:rFonts w:ascii="Verdana" w:hAnsi="Verdana" w:cs="Cambria"/>
          <w:sz w:val="20"/>
        </w:rPr>
        <w:t xml:space="preserve"> a través de sus órganos de investigación y de persecución</w:t>
      </w:r>
      <w:r w:rsidR="00D74820" w:rsidRPr="009D5EA7">
        <w:rPr>
          <w:rFonts w:ascii="Verdana" w:hAnsi="Verdana" w:cs="Cambria"/>
          <w:sz w:val="20"/>
        </w:rPr>
        <w:t>,</w:t>
      </w:r>
      <w:r w:rsidRPr="009D5EA7">
        <w:rPr>
          <w:rFonts w:ascii="Verdana" w:hAnsi="Verdana" w:cs="Cambria"/>
          <w:sz w:val="20"/>
        </w:rPr>
        <w:t xml:space="preserve"> las acciones pertinentes para aclarar y dar </w:t>
      </w:r>
      <w:r w:rsidR="00E93ED2" w:rsidRPr="009D5EA7">
        <w:rPr>
          <w:rFonts w:ascii="Verdana" w:hAnsi="Verdana" w:cs="Cambria"/>
          <w:sz w:val="20"/>
        </w:rPr>
        <w:t>c</w:t>
      </w:r>
      <w:r w:rsidR="00D74820" w:rsidRPr="009D5EA7">
        <w:rPr>
          <w:rFonts w:ascii="Verdana" w:hAnsi="Verdana" w:cs="Cambria"/>
          <w:sz w:val="20"/>
        </w:rPr>
        <w:t>on los responsables del crimen</w:t>
      </w:r>
      <w:r w:rsidR="00E93ED2" w:rsidRPr="009D5EA7">
        <w:rPr>
          <w:rFonts w:ascii="Verdana" w:hAnsi="Verdana" w:cs="Cambria"/>
          <w:sz w:val="20"/>
        </w:rPr>
        <w:t xml:space="preserve">, luego de </w:t>
      </w:r>
      <w:r w:rsidR="00D74820" w:rsidRPr="009D5EA7">
        <w:rPr>
          <w:rFonts w:ascii="Verdana" w:hAnsi="Verdana" w:cs="Cambria"/>
          <w:sz w:val="20"/>
        </w:rPr>
        <w:t xml:space="preserve">lo cual </w:t>
      </w:r>
      <w:r w:rsidRPr="009D5EA7">
        <w:rPr>
          <w:rFonts w:ascii="Verdana" w:hAnsi="Verdana" w:cs="Cambria"/>
          <w:sz w:val="20"/>
        </w:rPr>
        <w:t xml:space="preserve">dictó sentencia interlocutoria conforme los plazos establecidos en la legislación procesal, la cual, conforme su derecho interno, </w:t>
      </w:r>
      <w:r w:rsidR="00E93ED2" w:rsidRPr="009D5EA7">
        <w:rPr>
          <w:rFonts w:ascii="Verdana" w:hAnsi="Verdana" w:cs="Cambria"/>
          <w:sz w:val="20"/>
        </w:rPr>
        <w:t xml:space="preserve">quedó </w:t>
      </w:r>
      <w:r w:rsidRPr="009D5EA7">
        <w:rPr>
          <w:rFonts w:ascii="Verdana" w:hAnsi="Verdana" w:cs="Cambria"/>
          <w:sz w:val="20"/>
        </w:rPr>
        <w:t>firme con autoridad de cosa juzgada</w:t>
      </w:r>
      <w:r w:rsidR="003441E0" w:rsidRPr="009D5EA7">
        <w:rPr>
          <w:rFonts w:ascii="Verdana" w:hAnsi="Verdana" w:cs="Cambria"/>
          <w:sz w:val="20"/>
        </w:rPr>
        <w:t xml:space="preserve">. </w:t>
      </w:r>
      <w:r w:rsidR="00770FAC" w:rsidRPr="009D5EA7">
        <w:rPr>
          <w:rFonts w:ascii="Verdana" w:hAnsi="Verdana" w:cs="Cambria"/>
          <w:sz w:val="20"/>
        </w:rPr>
        <w:t>Señaló que</w:t>
      </w:r>
      <w:r w:rsidRPr="009D5EA7">
        <w:rPr>
          <w:rFonts w:ascii="Verdana" w:hAnsi="Verdana" w:cs="Cambria"/>
          <w:sz w:val="20"/>
        </w:rPr>
        <w:t xml:space="preserve"> el peritaje sobre el arma utilizada se p</w:t>
      </w:r>
      <w:r w:rsidR="00E93ED2" w:rsidRPr="009D5EA7">
        <w:rPr>
          <w:rFonts w:ascii="Verdana" w:hAnsi="Verdana" w:cs="Cambria"/>
          <w:sz w:val="20"/>
        </w:rPr>
        <w:t>rodujo tiempo después de dictado</w:t>
      </w:r>
      <w:r w:rsidRPr="009D5EA7">
        <w:rPr>
          <w:rFonts w:ascii="Verdana" w:hAnsi="Verdana" w:cs="Cambria"/>
          <w:sz w:val="20"/>
        </w:rPr>
        <w:t xml:space="preserve"> </w:t>
      </w:r>
      <w:r w:rsidR="00E93ED2" w:rsidRPr="009D5EA7">
        <w:rPr>
          <w:rFonts w:ascii="Verdana" w:hAnsi="Verdana" w:cs="Cambria"/>
          <w:sz w:val="20"/>
        </w:rPr>
        <w:t xml:space="preserve">el </w:t>
      </w:r>
      <w:r w:rsidRPr="009D5EA7">
        <w:rPr>
          <w:rFonts w:ascii="Verdana" w:hAnsi="Verdana" w:cs="Cambria"/>
          <w:sz w:val="20"/>
        </w:rPr>
        <w:lastRenderedPageBreak/>
        <w:t xml:space="preserve">sobreseimiento, por lo que iniciar una segunda investigación violaría el artículo 34 de </w:t>
      </w:r>
      <w:r w:rsidR="00E93ED2" w:rsidRPr="009D5EA7">
        <w:rPr>
          <w:rFonts w:ascii="Verdana" w:hAnsi="Verdana" w:cs="Cambria"/>
          <w:sz w:val="20"/>
        </w:rPr>
        <w:t xml:space="preserve">su </w:t>
      </w:r>
      <w:r w:rsidRPr="009D5EA7">
        <w:rPr>
          <w:rFonts w:ascii="Verdana" w:hAnsi="Verdana" w:cs="Cambria"/>
          <w:sz w:val="20"/>
        </w:rPr>
        <w:t>Constitución y el artículo 8.4 de la Convención (</w:t>
      </w:r>
      <w:r w:rsidRPr="009D5EA7">
        <w:rPr>
          <w:rFonts w:ascii="Verdana" w:hAnsi="Verdana" w:cs="Cambria"/>
          <w:i/>
          <w:sz w:val="20"/>
        </w:rPr>
        <w:t>ne bis in idem</w:t>
      </w:r>
      <w:r w:rsidRPr="009D5EA7">
        <w:rPr>
          <w:rFonts w:ascii="Verdana" w:hAnsi="Verdana" w:cs="Cambria"/>
          <w:sz w:val="20"/>
        </w:rPr>
        <w:t>)</w:t>
      </w:r>
      <w:r w:rsidR="00E93ED2" w:rsidRPr="009D5EA7">
        <w:rPr>
          <w:rFonts w:ascii="Verdana" w:hAnsi="Verdana" w:cs="Cambria"/>
          <w:sz w:val="20"/>
        </w:rPr>
        <w:t xml:space="preserve">. </w:t>
      </w:r>
      <w:r w:rsidR="007D5668" w:rsidRPr="009D5EA7">
        <w:rPr>
          <w:rFonts w:ascii="Verdana" w:hAnsi="Verdana" w:cs="Cambria"/>
          <w:sz w:val="20"/>
        </w:rPr>
        <w:t>A</w:t>
      </w:r>
      <w:r w:rsidR="007D5668" w:rsidRPr="009D5EA7">
        <w:rPr>
          <w:rFonts w:ascii="Verdana" w:hAnsi="Verdana" w:cs="Verdana"/>
          <w:sz w:val="20"/>
          <w:lang w:bidi="en-US"/>
        </w:rPr>
        <w:t xml:space="preserve">legó que la Corte no debe considerar tal supuesto de encubrimiento sobre la base de la “intención de un judicial al aplicar las normas procesales penales vigentes en ese momento, pues además la Comisión no indica cuál era el interés o motivación del Estado de encubrir a los supuestos autores intelectuales del </w:t>
      </w:r>
      <w:r w:rsidR="006233D1">
        <w:rPr>
          <w:rFonts w:ascii="Verdana" w:hAnsi="Verdana" w:cs="Arial"/>
          <w:sz w:val="20"/>
        </w:rPr>
        <w:t>homicidio</w:t>
      </w:r>
      <w:r w:rsidR="007D5668" w:rsidRPr="009D5EA7">
        <w:rPr>
          <w:rFonts w:ascii="Verdana" w:hAnsi="Verdana" w:cs="Verdana"/>
          <w:sz w:val="20"/>
          <w:lang w:bidi="en-US"/>
        </w:rPr>
        <w:t>, cuando el propio Estado desarrolló acciones legales en contra de PT y su abogado PMF hasta lograr en casación la cancelación de los asientos registrales de los Cayos [Perlas] en litigio [mediante] Sentencia de la Sala de lo Civil de la Corte Suprema de Jus</w:t>
      </w:r>
      <w:r w:rsidR="00AF541E">
        <w:rPr>
          <w:rFonts w:ascii="Verdana" w:hAnsi="Verdana" w:cs="Verdana"/>
          <w:sz w:val="20"/>
          <w:lang w:bidi="en-US"/>
        </w:rPr>
        <w:t>ticia de 4 de octubre de 2016”</w:t>
      </w:r>
      <w:r w:rsidR="007D5668" w:rsidRPr="009D5EA7">
        <w:rPr>
          <w:rFonts w:ascii="Verdana" w:hAnsi="Verdana" w:cs="Verdana"/>
          <w:sz w:val="20"/>
          <w:lang w:bidi="en-US"/>
        </w:rPr>
        <w:t xml:space="preserve">. </w:t>
      </w:r>
      <w:r w:rsidR="00D74820" w:rsidRPr="009D5EA7">
        <w:rPr>
          <w:rFonts w:ascii="Verdana" w:hAnsi="Verdana" w:cs="Cambria"/>
          <w:sz w:val="20"/>
        </w:rPr>
        <w:t xml:space="preserve">Indicó </w:t>
      </w:r>
      <w:r w:rsidRPr="009D5EA7">
        <w:rPr>
          <w:rFonts w:ascii="Verdana" w:hAnsi="Verdana" w:cs="Cambria"/>
          <w:sz w:val="20"/>
        </w:rPr>
        <w:t>que la Comisión pretende incorporar una tercera persona como supuesto autor material, lo cual no fue demostrado.</w:t>
      </w:r>
      <w:r w:rsidR="00E93ED2" w:rsidRPr="009D5EA7">
        <w:rPr>
          <w:rFonts w:ascii="Verdana" w:hAnsi="Verdana" w:cs="Cambria"/>
          <w:sz w:val="20"/>
        </w:rPr>
        <w:t xml:space="preserve"> A</w:t>
      </w:r>
      <w:r w:rsidRPr="009D5EA7">
        <w:rPr>
          <w:rFonts w:ascii="Verdana" w:hAnsi="Verdana" w:cs="Cambria"/>
          <w:sz w:val="20"/>
        </w:rPr>
        <w:t xml:space="preserve">legó que el requisito </w:t>
      </w:r>
      <w:r w:rsidR="00E93ED2" w:rsidRPr="009D5EA7">
        <w:rPr>
          <w:rFonts w:ascii="Verdana" w:hAnsi="Verdana" w:cs="Cambria"/>
          <w:sz w:val="20"/>
        </w:rPr>
        <w:t>de presentar papel</w:t>
      </w:r>
      <w:r w:rsidRPr="009D5EA7">
        <w:rPr>
          <w:rFonts w:ascii="Verdana" w:hAnsi="Verdana" w:cs="Cambria"/>
          <w:sz w:val="20"/>
        </w:rPr>
        <w:t xml:space="preserve"> no </w:t>
      </w:r>
      <w:r w:rsidR="00D74820" w:rsidRPr="009D5EA7">
        <w:rPr>
          <w:rFonts w:ascii="Verdana" w:hAnsi="Verdana" w:cs="Cambria"/>
          <w:sz w:val="20"/>
        </w:rPr>
        <w:t xml:space="preserve">era </w:t>
      </w:r>
      <w:r w:rsidRPr="009D5EA7">
        <w:rPr>
          <w:rFonts w:ascii="Verdana" w:hAnsi="Verdana" w:cs="Cambria"/>
          <w:sz w:val="20"/>
        </w:rPr>
        <w:t xml:space="preserve">una barrera en el acceso a la justicia, pues </w:t>
      </w:r>
      <w:r w:rsidR="00770FAC" w:rsidRPr="009D5EA7">
        <w:rPr>
          <w:rFonts w:ascii="Verdana" w:hAnsi="Verdana" w:cs="Cambria"/>
          <w:sz w:val="20"/>
        </w:rPr>
        <w:t xml:space="preserve">era un requisito legal que no estaba </w:t>
      </w:r>
      <w:r w:rsidRPr="009D5EA7">
        <w:rPr>
          <w:rFonts w:ascii="Verdana" w:hAnsi="Verdana" w:cs="Cambria"/>
          <w:sz w:val="20"/>
        </w:rPr>
        <w:t>a discrecionalidad del juzgador</w:t>
      </w:r>
      <w:r w:rsidR="00770FAC" w:rsidRPr="009D5EA7">
        <w:rPr>
          <w:rFonts w:ascii="Verdana" w:hAnsi="Verdana" w:cs="Cambria"/>
          <w:sz w:val="20"/>
        </w:rPr>
        <w:t>,</w:t>
      </w:r>
      <w:r w:rsidRPr="009D5EA7">
        <w:rPr>
          <w:rFonts w:ascii="Verdana" w:hAnsi="Verdana" w:cs="Cambria"/>
          <w:sz w:val="20"/>
        </w:rPr>
        <w:t xml:space="preserve"> </w:t>
      </w:r>
      <w:r w:rsidR="003E0A79" w:rsidRPr="009D5EA7">
        <w:rPr>
          <w:rFonts w:ascii="Verdana" w:hAnsi="Verdana" w:cs="Cambria"/>
          <w:sz w:val="20"/>
        </w:rPr>
        <w:t xml:space="preserve">y </w:t>
      </w:r>
      <w:r w:rsidRPr="009D5EA7">
        <w:rPr>
          <w:rFonts w:ascii="Verdana" w:hAnsi="Verdana" w:cs="Cambria"/>
          <w:sz w:val="20"/>
        </w:rPr>
        <w:t xml:space="preserve">el representante de la señora Acosta no </w:t>
      </w:r>
      <w:r w:rsidR="00770FAC" w:rsidRPr="009D5EA7">
        <w:rPr>
          <w:rFonts w:ascii="Verdana" w:hAnsi="Verdana" w:cs="Cambria"/>
          <w:sz w:val="20"/>
        </w:rPr>
        <w:t xml:space="preserve">lo cumplió, por lo que </w:t>
      </w:r>
      <w:r w:rsidRPr="009D5EA7">
        <w:rPr>
          <w:rFonts w:ascii="Verdana" w:hAnsi="Verdana" w:cs="Cambria"/>
          <w:sz w:val="20"/>
        </w:rPr>
        <w:t>el recurso fue declar</w:t>
      </w:r>
      <w:r w:rsidR="00AF541E">
        <w:rPr>
          <w:rFonts w:ascii="Verdana" w:hAnsi="Verdana" w:cs="Cambria"/>
          <w:sz w:val="20"/>
        </w:rPr>
        <w:t xml:space="preserve">ado desierto vencido el término y </w:t>
      </w:r>
      <w:r w:rsidRPr="009D5EA7">
        <w:rPr>
          <w:rFonts w:ascii="Verdana" w:hAnsi="Verdana" w:cs="Cambria"/>
          <w:sz w:val="20"/>
        </w:rPr>
        <w:t>la secretaría no est</w:t>
      </w:r>
      <w:r w:rsidR="00770FAC" w:rsidRPr="009D5EA7">
        <w:rPr>
          <w:rFonts w:ascii="Verdana" w:hAnsi="Verdana" w:cs="Cambria"/>
          <w:sz w:val="20"/>
        </w:rPr>
        <w:t>aba autorizada a recibir dinero</w:t>
      </w:r>
      <w:r w:rsidR="00AF541E">
        <w:rPr>
          <w:rFonts w:ascii="Verdana" w:hAnsi="Verdana" w:cs="Cambria"/>
          <w:sz w:val="20"/>
        </w:rPr>
        <w:t>; es decir, b</w:t>
      </w:r>
      <w:r w:rsidRPr="009D5EA7">
        <w:rPr>
          <w:rFonts w:ascii="Verdana" w:hAnsi="Verdana" w:cs="Cambria"/>
          <w:sz w:val="20"/>
        </w:rPr>
        <w:t>ajo ninguna ópt</w:t>
      </w:r>
      <w:r w:rsidR="00E93ED2" w:rsidRPr="009D5EA7">
        <w:rPr>
          <w:rFonts w:ascii="Verdana" w:hAnsi="Verdana" w:cs="Cambria"/>
          <w:sz w:val="20"/>
        </w:rPr>
        <w:t xml:space="preserve">ica las omisiones y errores de ese </w:t>
      </w:r>
      <w:r w:rsidRPr="009D5EA7">
        <w:rPr>
          <w:rFonts w:ascii="Verdana" w:hAnsi="Verdana" w:cs="Cambria"/>
          <w:sz w:val="20"/>
        </w:rPr>
        <w:t>represent</w:t>
      </w:r>
      <w:r w:rsidR="00E93ED2" w:rsidRPr="009D5EA7">
        <w:rPr>
          <w:rFonts w:ascii="Verdana" w:hAnsi="Verdana" w:cs="Cambria"/>
          <w:sz w:val="20"/>
        </w:rPr>
        <w:t>ant</w:t>
      </w:r>
      <w:r w:rsidRPr="009D5EA7">
        <w:rPr>
          <w:rFonts w:ascii="Verdana" w:hAnsi="Verdana" w:cs="Cambria"/>
          <w:sz w:val="20"/>
        </w:rPr>
        <w:t xml:space="preserve">e </w:t>
      </w:r>
      <w:r w:rsidR="00AF541E">
        <w:rPr>
          <w:rFonts w:ascii="Verdana" w:hAnsi="Verdana" w:cs="Cambria"/>
          <w:sz w:val="20"/>
        </w:rPr>
        <w:t>son atribuibles a</w:t>
      </w:r>
      <w:r w:rsidR="00E93ED2" w:rsidRPr="009D5EA7">
        <w:rPr>
          <w:rFonts w:ascii="Verdana" w:hAnsi="Verdana" w:cs="Cambria"/>
          <w:sz w:val="20"/>
        </w:rPr>
        <w:t>l Estado</w:t>
      </w:r>
      <w:r w:rsidRPr="009D5EA7">
        <w:rPr>
          <w:rFonts w:ascii="Verdana" w:hAnsi="Verdana" w:cs="Cambria"/>
          <w:sz w:val="20"/>
        </w:rPr>
        <w:t xml:space="preserve">. </w:t>
      </w:r>
      <w:r w:rsidR="00E93ED2" w:rsidRPr="009D5EA7">
        <w:rPr>
          <w:rFonts w:ascii="Verdana" w:hAnsi="Verdana" w:cs="Cambria"/>
          <w:sz w:val="20"/>
        </w:rPr>
        <w:t xml:space="preserve">Por último, el Estado describió los hechos de investigación efectivamente realizados para alegar que </w:t>
      </w:r>
      <w:r w:rsidR="00AF541E">
        <w:rPr>
          <w:rFonts w:ascii="Verdana" w:hAnsi="Verdana" w:cs="Cambria"/>
          <w:sz w:val="20"/>
        </w:rPr>
        <w:t>fue realizada</w:t>
      </w:r>
      <w:r w:rsidR="00E93ED2" w:rsidRPr="009D5EA7">
        <w:rPr>
          <w:rFonts w:ascii="Verdana" w:hAnsi="Verdana" w:cs="Cambria"/>
          <w:sz w:val="20"/>
        </w:rPr>
        <w:t xml:space="preserve"> en un plazo razonable.</w:t>
      </w:r>
    </w:p>
    <w:p w14:paraId="16A5C8C1" w14:textId="77777777" w:rsidR="00F716AB" w:rsidRPr="009D5EA7" w:rsidRDefault="00F716AB" w:rsidP="00C135A6">
      <w:pPr>
        <w:suppressAutoHyphens/>
        <w:spacing w:after="0" w:line="240" w:lineRule="auto"/>
        <w:ind w:left="33" w:hanging="33"/>
        <w:jc w:val="both"/>
        <w:rPr>
          <w:rFonts w:ascii="Verdana" w:eastAsia="Times New Roman" w:hAnsi="Verdana" w:cs="Tahoma"/>
          <w:sz w:val="20"/>
          <w:szCs w:val="20"/>
          <w:lang w:val="es-ES_tradnl"/>
        </w:rPr>
      </w:pPr>
    </w:p>
    <w:p w14:paraId="71135393" w14:textId="77777777" w:rsidR="00F716AB" w:rsidRPr="009D5EA7" w:rsidRDefault="00F716AB" w:rsidP="00364CC7">
      <w:pPr>
        <w:pStyle w:val="Prrafodelista"/>
        <w:ind w:left="33" w:firstLine="675"/>
        <w:jc w:val="both"/>
        <w:rPr>
          <w:rFonts w:ascii="Verdana" w:hAnsi="Verdana" w:cs="Arial"/>
          <w:i/>
          <w:sz w:val="20"/>
        </w:rPr>
      </w:pPr>
      <w:r w:rsidRPr="009D5EA7">
        <w:rPr>
          <w:rFonts w:ascii="Verdana" w:hAnsi="Verdana" w:cs="Arial"/>
          <w:i/>
          <w:sz w:val="20"/>
        </w:rPr>
        <w:t>Consideraciones de la Corte</w:t>
      </w:r>
    </w:p>
    <w:p w14:paraId="2FF539B3" w14:textId="77777777" w:rsidR="00F716AB" w:rsidRPr="009D5EA7" w:rsidRDefault="00F716AB" w:rsidP="00C135A6">
      <w:pPr>
        <w:pStyle w:val="Prrafodelista"/>
        <w:autoSpaceDE w:val="0"/>
        <w:autoSpaceDN w:val="0"/>
        <w:adjustRightInd w:val="0"/>
        <w:ind w:left="33" w:hanging="33"/>
        <w:jc w:val="both"/>
        <w:rPr>
          <w:rFonts w:ascii="Verdana" w:hAnsi="Verdana" w:cs="Cambria"/>
          <w:sz w:val="20"/>
        </w:rPr>
      </w:pPr>
    </w:p>
    <w:p w14:paraId="5DDF88BE" w14:textId="102AAC08" w:rsidR="00C135A6" w:rsidRPr="009D5EA7" w:rsidRDefault="00C135A6" w:rsidP="00C135A6">
      <w:pPr>
        <w:pStyle w:val="Prrafodelista"/>
        <w:numPr>
          <w:ilvl w:val="0"/>
          <w:numId w:val="5"/>
        </w:numPr>
        <w:autoSpaceDE w:val="0"/>
        <w:autoSpaceDN w:val="0"/>
        <w:adjustRightInd w:val="0"/>
        <w:ind w:left="0" w:right="34" w:firstLine="0"/>
        <w:jc w:val="both"/>
        <w:rPr>
          <w:rFonts w:ascii="Verdana" w:hAnsi="Verdana"/>
          <w:b/>
          <w:sz w:val="20"/>
        </w:rPr>
      </w:pPr>
      <w:r w:rsidRPr="009D5EA7">
        <w:rPr>
          <w:rFonts w:ascii="Verdana" w:hAnsi="Verdana" w:cs="Cambria"/>
          <w:sz w:val="20"/>
        </w:rPr>
        <w:t>De conformidad con la Convenci</w:t>
      </w:r>
      <w:r w:rsidR="00F36CBB">
        <w:rPr>
          <w:rFonts w:ascii="Verdana" w:hAnsi="Verdana" w:cs="Cambria"/>
          <w:sz w:val="20"/>
        </w:rPr>
        <w:t>ón Americana, los Estados Parte</w:t>
      </w:r>
      <w:r w:rsidRPr="009D5EA7">
        <w:rPr>
          <w:rFonts w:ascii="Verdana" w:hAnsi="Verdana" w:cs="Cambria"/>
          <w:sz w:val="20"/>
        </w:rPr>
        <w:t xml:space="preserve"> están</w:t>
      </w:r>
      <w:r w:rsidRPr="009D5EA7">
        <w:rPr>
          <w:rFonts w:ascii="Verdana" w:hAnsi="Verdana"/>
          <w:sz w:val="20"/>
        </w:rPr>
        <w:t xml:space="preserve"> obligados a suministrar recursos judiciales efectivos a las víctimas de violaciones de los derechos humanos (artículo 25), recursos que deben ser sustanciados de conformidad con las reglas del debido proceso legal (artículo 8.1). Asimismo, el derecho de acceso a la justicia debe asegurar, en tiempo razonable, el derecho de las presuntas víctimas o sus familiares a que se haga todo lo necesario para conocer la verdad de lo sucedido e investigar, juzgar y, en su caso, sancionar a los eventuales responsables</w:t>
      </w:r>
      <w:r w:rsidRPr="009D5EA7">
        <w:rPr>
          <w:rFonts w:ascii="Verdana" w:hAnsi="Verdana"/>
          <w:sz w:val="20"/>
          <w:vertAlign w:val="superscript"/>
        </w:rPr>
        <w:footnoteReference w:id="140"/>
      </w:r>
      <w:r w:rsidRPr="009D5EA7">
        <w:rPr>
          <w:rFonts w:ascii="Verdana" w:hAnsi="Verdana"/>
          <w:sz w:val="20"/>
        </w:rPr>
        <w:t>.</w:t>
      </w:r>
    </w:p>
    <w:p w14:paraId="1F26938D" w14:textId="77777777" w:rsidR="00C135A6" w:rsidRPr="009D5EA7" w:rsidRDefault="00C135A6" w:rsidP="00C135A6">
      <w:pPr>
        <w:pStyle w:val="Prrafodelista"/>
        <w:autoSpaceDE w:val="0"/>
        <w:autoSpaceDN w:val="0"/>
        <w:adjustRightInd w:val="0"/>
        <w:ind w:left="33" w:hanging="33"/>
        <w:jc w:val="both"/>
        <w:rPr>
          <w:rFonts w:ascii="Verdana" w:hAnsi="Verdana"/>
          <w:b/>
          <w:sz w:val="20"/>
        </w:rPr>
      </w:pPr>
    </w:p>
    <w:p w14:paraId="638DD263" w14:textId="7CFC9BA6" w:rsidR="00C135A6" w:rsidRPr="009D5EA7" w:rsidRDefault="00C135A6" w:rsidP="00C135A6">
      <w:pPr>
        <w:pStyle w:val="Prrafodelista"/>
        <w:numPr>
          <w:ilvl w:val="0"/>
          <w:numId w:val="5"/>
        </w:numPr>
        <w:autoSpaceDE w:val="0"/>
        <w:autoSpaceDN w:val="0"/>
        <w:adjustRightInd w:val="0"/>
        <w:ind w:left="0" w:right="34" w:firstLine="0"/>
        <w:jc w:val="both"/>
        <w:rPr>
          <w:rFonts w:ascii="Verdana" w:hAnsi="Verdana"/>
          <w:sz w:val="20"/>
          <w:lang w:eastAsia="es-CR"/>
        </w:rPr>
      </w:pPr>
      <w:r w:rsidRPr="009D5EA7">
        <w:rPr>
          <w:rFonts w:ascii="Verdana" w:hAnsi="Verdana" w:cs="Arial"/>
          <w:sz w:val="20"/>
        </w:rPr>
        <w:t xml:space="preserve">La Corte ha señalado en su </w:t>
      </w:r>
      <w:r w:rsidRPr="009D5EA7">
        <w:rPr>
          <w:rFonts w:ascii="Verdana" w:hAnsi="Verdana" w:cs="Cambria"/>
          <w:sz w:val="20"/>
        </w:rPr>
        <w:t>jurisprudencia</w:t>
      </w:r>
      <w:r w:rsidRPr="009D5EA7">
        <w:rPr>
          <w:rFonts w:ascii="Verdana" w:hAnsi="Verdana" w:cs="Arial"/>
          <w:sz w:val="20"/>
        </w:rPr>
        <w:t xml:space="preserve"> reiterada </w:t>
      </w:r>
      <w:r w:rsidR="004C5040" w:rsidRPr="009D5EA7">
        <w:rPr>
          <w:rFonts w:ascii="Verdana" w:hAnsi="Verdana"/>
          <w:sz w:val="20"/>
        </w:rPr>
        <w:t>que, en casos de privación de la vida, es fundamental que los Estados</w:t>
      </w:r>
      <w:r w:rsidR="00B93224">
        <w:rPr>
          <w:rFonts w:ascii="Verdana" w:hAnsi="Verdana"/>
          <w:sz w:val="20"/>
        </w:rPr>
        <w:t xml:space="preserve"> identifiquen,</w:t>
      </w:r>
      <w:r w:rsidR="004C5040" w:rsidRPr="009D5EA7">
        <w:rPr>
          <w:rFonts w:ascii="Verdana" w:hAnsi="Verdana"/>
          <w:sz w:val="20"/>
        </w:rPr>
        <w:t xml:space="preserve"> investiguen efectivamente y, </w:t>
      </w:r>
      <w:r w:rsidR="00B93224" w:rsidRPr="006C4BA4">
        <w:rPr>
          <w:rFonts w:ascii="Verdana" w:hAnsi="Verdana"/>
          <w:sz w:val="20"/>
        </w:rPr>
        <w:t>eventualmente</w:t>
      </w:r>
      <w:r w:rsidR="004C5040" w:rsidRPr="009D5EA7">
        <w:rPr>
          <w:rFonts w:ascii="Verdana" w:hAnsi="Verdana"/>
          <w:sz w:val="20"/>
        </w:rPr>
        <w:t>, sancionen a sus responsables, pues de lo contrario se estarían creando, dentro de un ambiente de impunidad, las condiciones para que este tipo de hechos se repitan. E</w:t>
      </w:r>
      <w:r w:rsidRPr="009D5EA7">
        <w:rPr>
          <w:rFonts w:ascii="Verdana" w:hAnsi="Verdana" w:cs="Arial"/>
          <w:sz w:val="20"/>
        </w:rPr>
        <w:t xml:space="preserve">l deber de investigar es una obligación de medios y no de resultado, que debe ser asumida por el Estado como un deber jurídico </w:t>
      </w:r>
      <w:r w:rsidRPr="009D5EA7">
        <w:rPr>
          <w:rFonts w:ascii="Verdana" w:hAnsi="Verdana"/>
          <w:sz w:val="20"/>
        </w:rPr>
        <w:t>propio</w:t>
      </w:r>
      <w:r w:rsidRPr="009D5EA7">
        <w:rPr>
          <w:rFonts w:ascii="Verdana" w:hAnsi="Verdana"/>
          <w:sz w:val="20"/>
          <w:lang w:eastAsia="es-MX"/>
        </w:rPr>
        <w:t xml:space="preserve">, que </w:t>
      </w:r>
      <w:r w:rsidR="004C5040" w:rsidRPr="009D5EA7">
        <w:rPr>
          <w:rFonts w:ascii="Verdana" w:hAnsi="Verdana"/>
          <w:sz w:val="20"/>
          <w:lang w:eastAsia="es-MX"/>
        </w:rPr>
        <w:t xml:space="preserve">no </w:t>
      </w:r>
      <w:r w:rsidRPr="009D5EA7">
        <w:rPr>
          <w:rFonts w:ascii="Verdana" w:hAnsi="Verdana"/>
          <w:sz w:val="20"/>
          <w:lang w:eastAsia="es-MX"/>
        </w:rPr>
        <w:t xml:space="preserve">dependa </w:t>
      </w:r>
      <w:r w:rsidR="004C5040" w:rsidRPr="009D5EA7">
        <w:rPr>
          <w:rFonts w:ascii="Verdana" w:hAnsi="Verdana"/>
          <w:sz w:val="20"/>
          <w:lang w:eastAsia="es-MX"/>
        </w:rPr>
        <w:t xml:space="preserve">única o necesariamente </w:t>
      </w:r>
      <w:r w:rsidRPr="009D5EA7">
        <w:rPr>
          <w:rFonts w:ascii="Verdana" w:hAnsi="Verdana"/>
          <w:sz w:val="20"/>
          <w:lang w:eastAsia="es-MX"/>
        </w:rPr>
        <w:t xml:space="preserve">de la iniciativa procesal de las víctimas o de sus familiares o de la aportación privada de </w:t>
      </w:r>
      <w:r w:rsidRPr="009D5EA7">
        <w:rPr>
          <w:rFonts w:ascii="Verdana" w:hAnsi="Verdana"/>
          <w:sz w:val="20"/>
        </w:rPr>
        <w:t>elementos</w:t>
      </w:r>
      <w:r w:rsidRPr="009D5EA7">
        <w:rPr>
          <w:rFonts w:ascii="Verdana" w:hAnsi="Verdana"/>
          <w:sz w:val="20"/>
          <w:lang w:eastAsia="es-MX"/>
        </w:rPr>
        <w:t xml:space="preserve"> probatorios</w:t>
      </w:r>
      <w:r w:rsidRPr="009D5EA7">
        <w:rPr>
          <w:rFonts w:ascii="Verdana" w:hAnsi="Verdana" w:cs="Arial"/>
          <w:sz w:val="20"/>
        </w:rPr>
        <w:t>. La investigación debe ser seria, imparcial y efectiva, y estar orientada a la determinación de la verdad y a la persecución, captura, enjuiciamiento y eventual castigo de los autores de los hechos</w:t>
      </w:r>
      <w:r w:rsidRPr="009D5EA7">
        <w:rPr>
          <w:rFonts w:ascii="Verdana" w:hAnsi="Verdana"/>
          <w:sz w:val="20"/>
          <w:vertAlign w:val="superscript"/>
        </w:rPr>
        <w:footnoteReference w:id="141"/>
      </w:r>
      <w:r w:rsidRPr="009D5EA7">
        <w:rPr>
          <w:rFonts w:ascii="Verdana" w:hAnsi="Verdana" w:cs="Arial"/>
          <w:sz w:val="20"/>
        </w:rPr>
        <w:t xml:space="preserve">. </w:t>
      </w:r>
    </w:p>
    <w:p w14:paraId="5E9DB526" w14:textId="77777777" w:rsidR="00C135A6" w:rsidRPr="009D5EA7" w:rsidRDefault="00C135A6" w:rsidP="00AF5026">
      <w:pPr>
        <w:pStyle w:val="Prrafodelista"/>
        <w:ind w:left="0"/>
        <w:jc w:val="both"/>
        <w:rPr>
          <w:rFonts w:ascii="Verdana" w:hAnsi="Verdana"/>
          <w:sz w:val="20"/>
        </w:rPr>
      </w:pPr>
    </w:p>
    <w:p w14:paraId="52A254C2" w14:textId="3A55FF67" w:rsidR="00AF5026" w:rsidRPr="009D5EA7" w:rsidRDefault="00AF5026" w:rsidP="00C135A6">
      <w:pPr>
        <w:pStyle w:val="Prrafodelista"/>
        <w:numPr>
          <w:ilvl w:val="0"/>
          <w:numId w:val="5"/>
        </w:numPr>
        <w:autoSpaceDE w:val="0"/>
        <w:autoSpaceDN w:val="0"/>
        <w:adjustRightInd w:val="0"/>
        <w:ind w:left="0" w:right="34" w:firstLine="0"/>
        <w:jc w:val="both"/>
        <w:rPr>
          <w:rFonts w:ascii="Verdana" w:hAnsi="Verdana"/>
          <w:sz w:val="20"/>
        </w:rPr>
      </w:pPr>
      <w:r w:rsidRPr="009D5EA7">
        <w:rPr>
          <w:rFonts w:ascii="Verdana" w:hAnsi="Verdana" w:cs="Arial"/>
          <w:sz w:val="20"/>
        </w:rPr>
        <w:t xml:space="preserve">En casos anteriores, la Corte ha considerado que la determinación efectiva de los hechos en la vía penal tenía la posibilidad de constituir tanto la explicación suficiente y satisfactoria sobre la privación de la vida de una persona, como </w:t>
      </w:r>
      <w:r w:rsidR="00F36CBB">
        <w:rPr>
          <w:rFonts w:ascii="Verdana" w:hAnsi="Verdana" w:cs="Arial"/>
          <w:sz w:val="20"/>
        </w:rPr>
        <w:t xml:space="preserve">un medio para </w:t>
      </w:r>
      <w:r w:rsidRPr="009D5EA7">
        <w:rPr>
          <w:rFonts w:ascii="Verdana" w:hAnsi="Verdana" w:cs="Arial"/>
          <w:sz w:val="20"/>
        </w:rPr>
        <w:t xml:space="preserve">satisfacer los derechos de acceso a la justicia y de conocer la verdad de sus familiares. Así, se ha analizado si </w:t>
      </w:r>
      <w:r w:rsidR="00F36CBB">
        <w:rPr>
          <w:rFonts w:ascii="Verdana" w:hAnsi="Verdana" w:cs="Arial"/>
          <w:sz w:val="20"/>
        </w:rPr>
        <w:t>un</w:t>
      </w:r>
      <w:r w:rsidRPr="009D5EA7">
        <w:rPr>
          <w:rFonts w:ascii="Verdana" w:hAnsi="Verdana" w:cs="Arial"/>
          <w:sz w:val="20"/>
        </w:rPr>
        <w:t xml:space="preserve"> proceso penal, en tanto respuesta investigativa y judicial del Estado, constituyó un medio adecuado para permitir una búsqueda genuina de la verdad de lo sucedido mediante una evaluación adecuada de las hipótesis consideradas sobre el modo y circunstancias de la privación de la vida. En ese sentido, se ha analizado si lo decidido formal y materialmente en el proceso penal puede considerarse, a la luz de lo dispuesto en los artículos 8.1 y 25 de la Convención, como una adecuada motivación o fundamentación de la respuesta que las autoridades judiciales debieron dar al respecto. Por ello, el deber de motivación es una de las “debidas garantías” </w:t>
      </w:r>
      <w:r w:rsidRPr="009D5EA7">
        <w:rPr>
          <w:rFonts w:ascii="Verdana" w:hAnsi="Verdana" w:cs="Arial"/>
          <w:sz w:val="20"/>
        </w:rPr>
        <w:lastRenderedPageBreak/>
        <w:t>incluidas en el artículo 8.1 para salvaguardar el derecho a un debido proceso del imputado</w:t>
      </w:r>
      <w:r w:rsidR="00642227" w:rsidRPr="009D5EA7">
        <w:rPr>
          <w:rFonts w:ascii="Verdana" w:hAnsi="Verdana" w:cs="Arial"/>
          <w:sz w:val="20"/>
        </w:rPr>
        <w:t xml:space="preserve"> y</w:t>
      </w:r>
      <w:r w:rsidRPr="009D5EA7">
        <w:rPr>
          <w:rFonts w:ascii="Verdana" w:hAnsi="Verdana" w:cs="Arial"/>
          <w:sz w:val="20"/>
        </w:rPr>
        <w:t>, en casos como el presente,</w:t>
      </w:r>
      <w:r w:rsidRPr="009D5EA7">
        <w:rPr>
          <w:rFonts w:ascii="Verdana" w:hAnsi="Verdana"/>
          <w:sz w:val="20"/>
        </w:rPr>
        <w:t xml:space="preserve"> también los derechos de acceso a la justicia y a conocer la verdad de los familiares, en relación con el artículo 25 de la Convención</w:t>
      </w:r>
      <w:r w:rsidRPr="009D5EA7">
        <w:rPr>
          <w:rStyle w:val="Refdenotaalpie"/>
          <w:rFonts w:ascii="Verdana" w:hAnsi="Verdana"/>
          <w:sz w:val="20"/>
        </w:rPr>
        <w:footnoteReference w:id="142"/>
      </w:r>
      <w:r w:rsidRPr="009D5EA7">
        <w:rPr>
          <w:rFonts w:ascii="Verdana" w:hAnsi="Verdana"/>
          <w:sz w:val="20"/>
        </w:rPr>
        <w:t xml:space="preserve">. </w:t>
      </w:r>
    </w:p>
    <w:p w14:paraId="389A8286" w14:textId="77777777" w:rsidR="00AF5026" w:rsidRPr="009D5EA7" w:rsidRDefault="00AF5026" w:rsidP="00AF5026">
      <w:pPr>
        <w:pStyle w:val="Prrafodelista"/>
        <w:ind w:left="0"/>
        <w:jc w:val="both"/>
        <w:rPr>
          <w:rFonts w:ascii="Verdana" w:hAnsi="Verdana"/>
          <w:sz w:val="20"/>
        </w:rPr>
      </w:pPr>
    </w:p>
    <w:p w14:paraId="1A8E25AD" w14:textId="690D7B26" w:rsidR="00AF5026" w:rsidRPr="009D5EA7" w:rsidRDefault="00AF5026" w:rsidP="00C135A6">
      <w:pPr>
        <w:pStyle w:val="Prrafodelista"/>
        <w:numPr>
          <w:ilvl w:val="0"/>
          <w:numId w:val="5"/>
        </w:numPr>
        <w:autoSpaceDE w:val="0"/>
        <w:autoSpaceDN w:val="0"/>
        <w:adjustRightInd w:val="0"/>
        <w:ind w:left="0" w:right="34" w:firstLine="0"/>
        <w:jc w:val="both"/>
        <w:rPr>
          <w:rFonts w:ascii="Verdana" w:hAnsi="Verdana"/>
          <w:sz w:val="20"/>
        </w:rPr>
      </w:pPr>
      <w:r w:rsidRPr="009D5EA7">
        <w:rPr>
          <w:rFonts w:ascii="Verdana" w:hAnsi="Verdana"/>
          <w:sz w:val="20"/>
        </w:rPr>
        <w:t xml:space="preserve">En este punto, la Corte recuerda que no es un tribunal penal en el que pueda determinarse la responsabilidad penal de los individuos y que </w:t>
      </w:r>
      <w:r w:rsidRPr="009D5EA7">
        <w:rPr>
          <w:rFonts w:ascii="Verdana" w:hAnsi="Verdana"/>
          <w:sz w:val="20"/>
          <w:lang w:eastAsia="de-DE"/>
        </w:rPr>
        <w:t xml:space="preserve">corresponde a los tribunales del Estado el examen de los hechos y las pruebas </w:t>
      </w:r>
      <w:r w:rsidRPr="009D5EA7">
        <w:rPr>
          <w:rFonts w:ascii="Verdana" w:hAnsi="Verdana"/>
          <w:sz w:val="20"/>
        </w:rPr>
        <w:t>presentadas</w:t>
      </w:r>
      <w:r w:rsidRPr="009D5EA7">
        <w:rPr>
          <w:rFonts w:ascii="Verdana" w:hAnsi="Verdana"/>
          <w:sz w:val="20"/>
          <w:lang w:eastAsia="de-DE"/>
        </w:rPr>
        <w:t xml:space="preserve"> en las causas particulares,</w:t>
      </w:r>
      <w:r w:rsidRPr="009D5EA7">
        <w:rPr>
          <w:rFonts w:ascii="Verdana" w:hAnsi="Verdana"/>
          <w:sz w:val="20"/>
        </w:rPr>
        <w:t xml:space="preserve"> por lo que la responsabilidad de los Estados bajo la Convención no debe ser confundida con la responsabilidad criminal de individuos particulares</w:t>
      </w:r>
      <w:r w:rsidRPr="009D5EA7">
        <w:rPr>
          <w:rFonts w:ascii="Verdana" w:hAnsi="Verdana"/>
          <w:sz w:val="20"/>
          <w:vertAlign w:val="superscript"/>
        </w:rPr>
        <w:footnoteReference w:id="143"/>
      </w:r>
      <w:r w:rsidRPr="009D5EA7">
        <w:rPr>
          <w:rFonts w:ascii="Verdana" w:hAnsi="Verdana"/>
          <w:sz w:val="20"/>
        </w:rPr>
        <w:t xml:space="preserve">. </w:t>
      </w:r>
    </w:p>
    <w:p w14:paraId="5A480CE7" w14:textId="77777777" w:rsidR="00AF5026" w:rsidRPr="009D5EA7" w:rsidRDefault="00AF5026" w:rsidP="004C5040">
      <w:pPr>
        <w:pStyle w:val="Prrafodelista"/>
        <w:autoSpaceDE w:val="0"/>
        <w:autoSpaceDN w:val="0"/>
        <w:adjustRightInd w:val="0"/>
        <w:ind w:left="0" w:right="34"/>
        <w:jc w:val="both"/>
        <w:rPr>
          <w:rFonts w:ascii="Verdana" w:hAnsi="Verdana"/>
          <w:sz w:val="20"/>
        </w:rPr>
      </w:pPr>
    </w:p>
    <w:p w14:paraId="5CB9BFB6" w14:textId="77777777" w:rsidR="00642227" w:rsidRPr="009D5EA7" w:rsidRDefault="00642227" w:rsidP="004C5040">
      <w:pPr>
        <w:pStyle w:val="Prrafodelista"/>
        <w:autoSpaceDE w:val="0"/>
        <w:autoSpaceDN w:val="0"/>
        <w:adjustRightInd w:val="0"/>
        <w:ind w:left="0" w:right="34"/>
        <w:jc w:val="both"/>
        <w:rPr>
          <w:rFonts w:ascii="Verdana" w:hAnsi="Verdana"/>
          <w:sz w:val="20"/>
        </w:rPr>
      </w:pPr>
    </w:p>
    <w:p w14:paraId="108DC91A" w14:textId="55A6C3BA" w:rsidR="00FC4B19" w:rsidRPr="009D5EA7" w:rsidRDefault="004C5040" w:rsidP="004C5040">
      <w:pPr>
        <w:pStyle w:val="Prrafodelista"/>
        <w:autoSpaceDE w:val="0"/>
        <w:autoSpaceDN w:val="0"/>
        <w:adjustRightInd w:val="0"/>
        <w:ind w:left="708" w:right="34" w:firstLine="708"/>
        <w:jc w:val="both"/>
        <w:rPr>
          <w:rFonts w:ascii="Verdana" w:hAnsi="Verdana"/>
          <w:b/>
          <w:i/>
          <w:sz w:val="20"/>
        </w:rPr>
      </w:pPr>
      <w:r w:rsidRPr="009D5EA7">
        <w:rPr>
          <w:rFonts w:ascii="Verdana" w:hAnsi="Verdana"/>
          <w:b/>
          <w:i/>
          <w:sz w:val="20"/>
        </w:rPr>
        <w:t xml:space="preserve">a) </w:t>
      </w:r>
      <w:r w:rsidRPr="009D5EA7">
        <w:rPr>
          <w:rFonts w:ascii="Verdana" w:hAnsi="Verdana"/>
          <w:b/>
          <w:i/>
          <w:sz w:val="20"/>
        </w:rPr>
        <w:tab/>
      </w:r>
      <w:r w:rsidR="007324F2" w:rsidRPr="009D5EA7">
        <w:rPr>
          <w:rFonts w:ascii="Verdana" w:hAnsi="Verdana"/>
          <w:b/>
          <w:i/>
          <w:sz w:val="20"/>
        </w:rPr>
        <w:t>F</w:t>
      </w:r>
      <w:r w:rsidR="00FC4B19" w:rsidRPr="009D5EA7">
        <w:rPr>
          <w:rFonts w:ascii="Verdana" w:hAnsi="Verdana"/>
          <w:b/>
          <w:i/>
          <w:sz w:val="20"/>
        </w:rPr>
        <w:t xml:space="preserve">alta de debida diligencia en la investigación </w:t>
      </w:r>
    </w:p>
    <w:p w14:paraId="704BCC76" w14:textId="77777777" w:rsidR="003B41AA" w:rsidRPr="009D5EA7" w:rsidRDefault="003B41AA" w:rsidP="00364CC7">
      <w:pPr>
        <w:pStyle w:val="Prrafodelista"/>
        <w:autoSpaceDE w:val="0"/>
        <w:autoSpaceDN w:val="0"/>
        <w:adjustRightInd w:val="0"/>
        <w:ind w:left="0" w:right="34"/>
        <w:jc w:val="both"/>
        <w:rPr>
          <w:rFonts w:ascii="Verdana" w:hAnsi="Verdana" w:cs="Arial"/>
          <w:spacing w:val="-2"/>
          <w:sz w:val="20"/>
        </w:rPr>
      </w:pPr>
    </w:p>
    <w:p w14:paraId="304B2F74" w14:textId="1F1A0A27" w:rsidR="00364CC7" w:rsidRPr="009D5EA7" w:rsidRDefault="00FC4B19" w:rsidP="00364CC7">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z w:val="20"/>
        </w:rPr>
        <w:t>En la investigación de la muerte violenta de una persona, es crucial la importancia que tienen las primeras etapas de la investigación y el impacto negativo que las omisiones e irregularidades en tales etapas puede tener en las perspectivas reales y efectivas de esclarecer el hecho</w:t>
      </w:r>
      <w:r w:rsidRPr="009D5EA7">
        <w:rPr>
          <w:rStyle w:val="Refdenotaalpie"/>
          <w:rFonts w:ascii="Verdana" w:hAnsi="Verdana" w:cs="Arial"/>
          <w:sz w:val="20"/>
        </w:rPr>
        <w:footnoteReference w:id="144"/>
      </w:r>
      <w:r w:rsidRPr="009D5EA7">
        <w:rPr>
          <w:rFonts w:ascii="Verdana" w:hAnsi="Verdana" w:cs="Arial"/>
          <w:sz w:val="20"/>
        </w:rPr>
        <w:t xml:space="preserve">. </w:t>
      </w:r>
      <w:r w:rsidRPr="009D5EA7">
        <w:rPr>
          <w:rFonts w:ascii="Verdana" w:hAnsi="Verdana" w:cs="Arial"/>
          <w:spacing w:val="-2"/>
          <w:sz w:val="20"/>
        </w:rPr>
        <w:t>En este sentido, este Tribunal ha especificado los principios rectores que son precisos observar en una investigación cuando se está frente a una muerte violenta</w:t>
      </w:r>
      <w:r w:rsidR="00AA107D" w:rsidRPr="009D5EA7">
        <w:rPr>
          <w:rFonts w:ascii="Verdana" w:hAnsi="Verdana" w:cs="Arial"/>
          <w:spacing w:val="-2"/>
          <w:sz w:val="20"/>
        </w:rPr>
        <w:t>,</w:t>
      </w:r>
      <w:r w:rsidRPr="009D5EA7">
        <w:rPr>
          <w:rFonts w:ascii="Verdana" w:hAnsi="Verdana" w:cs="Arial"/>
          <w:spacing w:val="-2"/>
          <w:sz w:val="20"/>
        </w:rPr>
        <w:t xml:space="preserve"> tal como </w:t>
      </w:r>
      <w:r w:rsidR="00AD7D0F" w:rsidRPr="009D5EA7">
        <w:rPr>
          <w:rFonts w:ascii="Verdana" w:hAnsi="Verdana" w:cs="Arial"/>
          <w:spacing w:val="-2"/>
          <w:sz w:val="20"/>
        </w:rPr>
        <w:t>lo fue</w:t>
      </w:r>
      <w:r w:rsidR="00364CC7" w:rsidRPr="009D5EA7">
        <w:rPr>
          <w:rFonts w:ascii="Verdana" w:hAnsi="Verdana" w:cs="Arial"/>
          <w:spacing w:val="-2"/>
          <w:sz w:val="20"/>
        </w:rPr>
        <w:t xml:space="preserve"> el homicidio del señor Francisco García Valle</w:t>
      </w:r>
      <w:r w:rsidR="00396B12" w:rsidRPr="009D5EA7">
        <w:rPr>
          <w:rFonts w:ascii="Verdana" w:hAnsi="Verdana" w:cs="Arial"/>
          <w:spacing w:val="-2"/>
          <w:sz w:val="20"/>
        </w:rPr>
        <w:t xml:space="preserve">. Respecto de lo alegado por el Estado, </w:t>
      </w:r>
      <w:r w:rsidR="00DD2120" w:rsidRPr="009D5EA7">
        <w:rPr>
          <w:rFonts w:ascii="Verdana" w:hAnsi="Verdana" w:cs="Arial"/>
          <w:spacing w:val="-2"/>
          <w:sz w:val="20"/>
        </w:rPr>
        <w:t xml:space="preserve">en varios casos </w:t>
      </w:r>
      <w:r w:rsidR="00396B12" w:rsidRPr="009D5EA7">
        <w:rPr>
          <w:rFonts w:ascii="Verdana" w:hAnsi="Verdana" w:cs="Arial"/>
          <w:spacing w:val="-2"/>
          <w:sz w:val="20"/>
        </w:rPr>
        <w:t xml:space="preserve">este Tribunal ha considerado que tales principios deben ser observados por las autoridades respectivas </w:t>
      </w:r>
      <w:r w:rsidR="003B41AA" w:rsidRPr="009D5EA7">
        <w:rPr>
          <w:rFonts w:ascii="Verdana" w:hAnsi="Verdana" w:cs="Arial"/>
          <w:spacing w:val="-2"/>
          <w:sz w:val="20"/>
        </w:rPr>
        <w:t xml:space="preserve">independientemente de que </w:t>
      </w:r>
      <w:r w:rsidR="00396B12" w:rsidRPr="009D5EA7">
        <w:rPr>
          <w:rFonts w:ascii="Verdana" w:hAnsi="Verdana" w:cs="Arial"/>
          <w:spacing w:val="-2"/>
          <w:sz w:val="20"/>
        </w:rPr>
        <w:t>la</w:t>
      </w:r>
      <w:r w:rsidR="003B41AA" w:rsidRPr="009D5EA7">
        <w:rPr>
          <w:rFonts w:ascii="Verdana" w:hAnsi="Verdana" w:cs="Arial"/>
          <w:spacing w:val="-2"/>
          <w:sz w:val="20"/>
        </w:rPr>
        <w:t xml:space="preserve"> muerte</w:t>
      </w:r>
      <w:r w:rsidR="00396B12" w:rsidRPr="009D5EA7">
        <w:rPr>
          <w:rFonts w:ascii="Verdana" w:hAnsi="Verdana" w:cs="Arial"/>
          <w:spacing w:val="-2"/>
          <w:sz w:val="20"/>
        </w:rPr>
        <w:t xml:space="preserve"> violenta</w:t>
      </w:r>
      <w:r w:rsidR="003B41AA" w:rsidRPr="009D5EA7">
        <w:rPr>
          <w:rFonts w:ascii="Verdana" w:hAnsi="Verdana" w:cs="Arial"/>
          <w:spacing w:val="-2"/>
          <w:sz w:val="20"/>
        </w:rPr>
        <w:t xml:space="preserve"> sea calificable como una </w:t>
      </w:r>
      <w:r w:rsidR="00396B12" w:rsidRPr="009D5EA7">
        <w:rPr>
          <w:rFonts w:ascii="Verdana" w:hAnsi="Verdana" w:cs="Arial"/>
          <w:spacing w:val="-2"/>
          <w:sz w:val="20"/>
        </w:rPr>
        <w:t>“</w:t>
      </w:r>
      <w:r w:rsidR="003B41AA" w:rsidRPr="009D5EA7">
        <w:rPr>
          <w:rFonts w:ascii="Verdana" w:hAnsi="Verdana" w:cs="Arial"/>
          <w:spacing w:val="-2"/>
          <w:sz w:val="20"/>
        </w:rPr>
        <w:t>ejecución extrajudicial</w:t>
      </w:r>
      <w:r w:rsidR="00396B12" w:rsidRPr="009D5EA7">
        <w:rPr>
          <w:rFonts w:ascii="Verdana" w:hAnsi="Verdana" w:cs="Arial"/>
          <w:spacing w:val="-2"/>
          <w:sz w:val="20"/>
        </w:rPr>
        <w:t>”, que no es lo que se analiza en el presente caso</w:t>
      </w:r>
      <w:r w:rsidR="00AA107D" w:rsidRPr="009D5EA7">
        <w:rPr>
          <w:rStyle w:val="Refdenotaalpie"/>
          <w:rFonts w:ascii="Verdana" w:hAnsi="Verdana" w:cs="Arial"/>
          <w:spacing w:val="-2"/>
          <w:sz w:val="20"/>
        </w:rPr>
        <w:footnoteReference w:id="145"/>
      </w:r>
      <w:r w:rsidRPr="009D5EA7">
        <w:rPr>
          <w:rFonts w:ascii="Verdana" w:hAnsi="Verdana" w:cs="Arial"/>
          <w:spacing w:val="-2"/>
          <w:sz w:val="20"/>
        </w:rPr>
        <w:t xml:space="preserve">. </w:t>
      </w:r>
    </w:p>
    <w:p w14:paraId="201CC12F" w14:textId="77777777" w:rsidR="00901B72" w:rsidRPr="009D5EA7" w:rsidRDefault="00901B72" w:rsidP="00901B72">
      <w:pPr>
        <w:pStyle w:val="Prrafodelista"/>
        <w:autoSpaceDE w:val="0"/>
        <w:autoSpaceDN w:val="0"/>
        <w:adjustRightInd w:val="0"/>
        <w:ind w:left="0" w:right="34"/>
        <w:jc w:val="both"/>
        <w:rPr>
          <w:rFonts w:ascii="Verdana" w:hAnsi="Verdana" w:cs="Arial"/>
          <w:spacing w:val="-2"/>
          <w:sz w:val="20"/>
        </w:rPr>
      </w:pPr>
    </w:p>
    <w:p w14:paraId="1BA46BB0" w14:textId="15D5265B" w:rsidR="00901B72" w:rsidRPr="009D5EA7" w:rsidRDefault="00901B72" w:rsidP="00901B72">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 xml:space="preserve">Para que una investigación sea efectiva en los términos de la Convención, debe llevarse a cabo con la debida diligencia, la cual exige que el órgano que investiga lleve a cabo todas aquellas </w:t>
      </w:r>
      <w:r w:rsidRPr="009D5EA7">
        <w:rPr>
          <w:rFonts w:ascii="Verdana" w:hAnsi="Verdana" w:cs="Arial"/>
          <w:sz w:val="20"/>
        </w:rPr>
        <w:t>actuaciones</w:t>
      </w:r>
      <w:r w:rsidRPr="009D5EA7">
        <w:rPr>
          <w:rFonts w:ascii="Verdana" w:hAnsi="Verdana" w:cs="Arial"/>
          <w:spacing w:val="-2"/>
          <w:sz w:val="20"/>
        </w:rPr>
        <w:t xml:space="preserve"> y averiguaciones necesarias para procurar el resultado que se persigue. Es decir que debe sustanciarse por todos lo</w:t>
      </w:r>
      <w:r w:rsidR="006B5E3F">
        <w:rPr>
          <w:rFonts w:ascii="Verdana" w:hAnsi="Verdana" w:cs="Arial"/>
          <w:spacing w:val="-2"/>
          <w:sz w:val="20"/>
        </w:rPr>
        <w:t xml:space="preserve">s medios legales disponibles y </w:t>
      </w:r>
      <w:r w:rsidRPr="009D5EA7">
        <w:rPr>
          <w:rFonts w:ascii="Verdana" w:hAnsi="Verdana" w:cs="Arial"/>
          <w:spacing w:val="-2"/>
          <w:sz w:val="20"/>
        </w:rPr>
        <w:t>estar orientada a la determinación de la verdad</w:t>
      </w:r>
      <w:r w:rsidRPr="009D5EA7">
        <w:rPr>
          <w:rStyle w:val="Refdenotaalpie"/>
          <w:rFonts w:ascii="Verdana" w:hAnsi="Verdana" w:cs="Arial"/>
          <w:spacing w:val="-2"/>
          <w:sz w:val="20"/>
        </w:rPr>
        <w:footnoteReference w:id="146"/>
      </w:r>
      <w:r w:rsidRPr="009D5EA7">
        <w:rPr>
          <w:rFonts w:ascii="Verdana" w:hAnsi="Verdana" w:cs="Arial"/>
          <w:spacing w:val="-2"/>
          <w:sz w:val="20"/>
        </w:rPr>
        <w:t xml:space="preserve">. </w:t>
      </w:r>
    </w:p>
    <w:p w14:paraId="6AE7FBB0" w14:textId="77777777" w:rsidR="00364CC7" w:rsidRPr="009D5EA7" w:rsidRDefault="00364CC7" w:rsidP="00364CC7">
      <w:pPr>
        <w:pStyle w:val="Prrafodelista"/>
        <w:rPr>
          <w:rFonts w:ascii="Verdana" w:hAnsi="Verdana" w:cs="Arial"/>
          <w:spacing w:val="-2"/>
          <w:sz w:val="20"/>
        </w:rPr>
      </w:pPr>
    </w:p>
    <w:p w14:paraId="795E4182" w14:textId="0C83E954" w:rsidR="00AD7D0F" w:rsidRPr="009D5EA7" w:rsidRDefault="00364CC7" w:rsidP="00AD7D0F">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En este caso, es claro que las autoridades policiales y judiciales realizaron diligencias necesarias, relevantes y efectivas para investigar las causas y circunstancias del homicidio del señor Garc</w:t>
      </w:r>
      <w:r w:rsidR="00642227" w:rsidRPr="009D5EA7">
        <w:rPr>
          <w:rFonts w:ascii="Verdana" w:hAnsi="Verdana" w:cs="Arial"/>
          <w:spacing w:val="-2"/>
          <w:sz w:val="20"/>
        </w:rPr>
        <w:t>ía Va</w:t>
      </w:r>
      <w:r w:rsidR="001060C9">
        <w:rPr>
          <w:rFonts w:ascii="Verdana" w:hAnsi="Verdana" w:cs="Arial"/>
          <w:spacing w:val="-2"/>
          <w:sz w:val="20"/>
        </w:rPr>
        <w:t>lle, según ha sido establecido</w:t>
      </w:r>
      <w:r w:rsidR="00642227" w:rsidRPr="009D5EA7">
        <w:rPr>
          <w:rFonts w:ascii="Verdana" w:hAnsi="Verdana" w:cs="Arial"/>
          <w:spacing w:val="-2"/>
          <w:sz w:val="20"/>
        </w:rPr>
        <w:t>. S</w:t>
      </w:r>
      <w:r w:rsidR="001060C9">
        <w:rPr>
          <w:rFonts w:ascii="Verdana" w:hAnsi="Verdana" w:cs="Arial"/>
          <w:spacing w:val="-2"/>
          <w:sz w:val="20"/>
        </w:rPr>
        <w:t>in embargo, s</w:t>
      </w:r>
      <w:r w:rsidR="00642227" w:rsidRPr="009D5EA7">
        <w:rPr>
          <w:rFonts w:ascii="Verdana" w:hAnsi="Verdana" w:cs="Arial"/>
          <w:spacing w:val="-2"/>
          <w:sz w:val="20"/>
        </w:rPr>
        <w:t xml:space="preserve">egún lo alegado, el problema habría estado en la falta de investigación diligente del móvil del </w:t>
      </w:r>
      <w:r w:rsidR="006233D1">
        <w:rPr>
          <w:rFonts w:ascii="Verdana" w:hAnsi="Verdana" w:cs="Arial"/>
          <w:sz w:val="20"/>
        </w:rPr>
        <w:t>homicidio</w:t>
      </w:r>
      <w:r w:rsidR="006233D1" w:rsidRPr="009D5EA7">
        <w:rPr>
          <w:rFonts w:ascii="Verdana" w:hAnsi="Verdana" w:cs="Arial"/>
          <w:sz w:val="20"/>
        </w:rPr>
        <w:t xml:space="preserve"> </w:t>
      </w:r>
      <w:r w:rsidR="00642227" w:rsidRPr="009D5EA7">
        <w:rPr>
          <w:rFonts w:ascii="Verdana" w:hAnsi="Verdana" w:cs="Arial"/>
          <w:spacing w:val="-2"/>
          <w:sz w:val="20"/>
        </w:rPr>
        <w:t xml:space="preserve">en relación con las actividades de defensa de derechos </w:t>
      </w:r>
      <w:r w:rsidR="00DF31F7" w:rsidRPr="009D5EA7">
        <w:rPr>
          <w:rFonts w:ascii="Verdana" w:hAnsi="Verdana" w:cs="Arial"/>
          <w:spacing w:val="-2"/>
          <w:sz w:val="20"/>
        </w:rPr>
        <w:t xml:space="preserve">humanos por parte de su esposa, la señora Acosta, </w:t>
      </w:r>
      <w:r w:rsidR="00642227" w:rsidRPr="009D5EA7">
        <w:rPr>
          <w:rFonts w:ascii="Verdana" w:hAnsi="Verdana" w:cs="Arial"/>
          <w:spacing w:val="-2"/>
          <w:sz w:val="20"/>
        </w:rPr>
        <w:t xml:space="preserve">frente </w:t>
      </w:r>
      <w:r w:rsidR="00AD7D0F" w:rsidRPr="009D5EA7">
        <w:rPr>
          <w:rFonts w:ascii="Verdana" w:hAnsi="Verdana" w:cs="Arial"/>
          <w:spacing w:val="-2"/>
          <w:sz w:val="20"/>
        </w:rPr>
        <w:t xml:space="preserve">a personas cuyos intereses </w:t>
      </w:r>
      <w:r w:rsidR="000F7135">
        <w:rPr>
          <w:rFonts w:ascii="Verdana" w:hAnsi="Verdana" w:cs="Arial"/>
          <w:spacing w:val="-2"/>
          <w:sz w:val="20"/>
        </w:rPr>
        <w:t>podían verse</w:t>
      </w:r>
      <w:r w:rsidR="00AD7D0F" w:rsidRPr="009D5EA7">
        <w:rPr>
          <w:rFonts w:ascii="Verdana" w:hAnsi="Verdana" w:cs="Arial"/>
          <w:spacing w:val="-2"/>
          <w:sz w:val="20"/>
        </w:rPr>
        <w:t xml:space="preserve"> </w:t>
      </w:r>
      <w:r w:rsidR="00763DCA" w:rsidRPr="009D5EA7">
        <w:rPr>
          <w:rFonts w:ascii="Verdana" w:hAnsi="Verdana" w:cs="Arial"/>
          <w:spacing w:val="-2"/>
          <w:sz w:val="20"/>
        </w:rPr>
        <w:t>perjudicados</w:t>
      </w:r>
      <w:r w:rsidR="00AD7D0F" w:rsidRPr="009D5EA7">
        <w:rPr>
          <w:rFonts w:ascii="Verdana" w:hAnsi="Verdana" w:cs="Arial"/>
          <w:spacing w:val="-2"/>
          <w:sz w:val="20"/>
        </w:rPr>
        <w:t xml:space="preserve"> por ello, particularmente </w:t>
      </w:r>
      <w:r w:rsidR="00901B72" w:rsidRPr="009D5EA7">
        <w:rPr>
          <w:rFonts w:ascii="Verdana" w:hAnsi="Verdana" w:cs="Arial"/>
          <w:spacing w:val="-2"/>
          <w:sz w:val="20"/>
        </w:rPr>
        <w:t>tres</w:t>
      </w:r>
      <w:r w:rsidR="00AD7D0F" w:rsidRPr="009D5EA7">
        <w:rPr>
          <w:rFonts w:ascii="Verdana" w:hAnsi="Verdana" w:cs="Arial"/>
          <w:spacing w:val="-2"/>
          <w:sz w:val="20"/>
        </w:rPr>
        <w:t xml:space="preserve"> personas señaladas por </w:t>
      </w:r>
      <w:r w:rsidR="00DF31F7" w:rsidRPr="009D5EA7">
        <w:rPr>
          <w:rFonts w:ascii="Verdana" w:hAnsi="Verdana" w:cs="Arial"/>
          <w:spacing w:val="-2"/>
          <w:sz w:val="20"/>
        </w:rPr>
        <w:t>ella</w:t>
      </w:r>
      <w:r w:rsidR="00AD7D0F" w:rsidRPr="009D5EA7">
        <w:rPr>
          <w:rFonts w:ascii="Verdana" w:hAnsi="Verdana" w:cs="Arial"/>
          <w:spacing w:val="-2"/>
          <w:sz w:val="20"/>
        </w:rPr>
        <w:t xml:space="preserve"> como posibles autor</w:t>
      </w:r>
      <w:r w:rsidR="00901B72" w:rsidRPr="009D5EA7">
        <w:rPr>
          <w:rFonts w:ascii="Verdana" w:hAnsi="Verdana" w:cs="Arial"/>
          <w:spacing w:val="-2"/>
          <w:sz w:val="20"/>
        </w:rPr>
        <w:t>es intelectuales y un autor material más del homicidio</w:t>
      </w:r>
      <w:r w:rsidR="00AD7D0F" w:rsidRPr="009D5EA7">
        <w:rPr>
          <w:rFonts w:ascii="Verdana" w:hAnsi="Verdana" w:cs="Arial"/>
          <w:spacing w:val="-2"/>
          <w:sz w:val="20"/>
        </w:rPr>
        <w:t xml:space="preserve">. </w:t>
      </w:r>
    </w:p>
    <w:p w14:paraId="0E1FB477" w14:textId="77777777" w:rsidR="00EC3B70" w:rsidRPr="009D5EA7" w:rsidRDefault="00EC3B70" w:rsidP="00EC3B70">
      <w:pPr>
        <w:pStyle w:val="Prrafodelista"/>
        <w:rPr>
          <w:rFonts w:ascii="Verdana" w:hAnsi="Verdana" w:cs="Arial"/>
          <w:spacing w:val="-2"/>
          <w:sz w:val="20"/>
        </w:rPr>
      </w:pPr>
    </w:p>
    <w:p w14:paraId="33D3C277" w14:textId="42B53C04" w:rsidR="00EC3B70" w:rsidRPr="009D5EA7" w:rsidRDefault="00EC3B70" w:rsidP="002721CE">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 xml:space="preserve">En este sentido, es un hecho no controvertido que la señora Acosta era defensora de derechos humanos a la época de los hechos. En particular, tal como manifestó en su declaración en audiencia y no ha sido controvertido, la señora Acosta realizaba diversas actuaciones judiciales y administrativas </w:t>
      </w:r>
      <w:r w:rsidR="005B1E80" w:rsidRPr="009D5EA7">
        <w:rPr>
          <w:rFonts w:ascii="Verdana" w:hAnsi="Verdana" w:cs="Arial"/>
          <w:spacing w:val="-2"/>
          <w:sz w:val="20"/>
        </w:rPr>
        <w:t>como</w:t>
      </w:r>
      <w:r w:rsidRPr="009D5EA7">
        <w:rPr>
          <w:rFonts w:ascii="Verdana" w:hAnsi="Verdana" w:cs="Arial"/>
          <w:spacing w:val="-2"/>
          <w:sz w:val="20"/>
        </w:rPr>
        <w:t xml:space="preserve"> abogada a favor de la defensa de derechos de los territorios y tierras </w:t>
      </w:r>
      <w:r w:rsidRPr="009D5EA7">
        <w:rPr>
          <w:rFonts w:ascii="Verdana" w:hAnsi="Verdana" w:cs="Arial"/>
          <w:spacing w:val="-2"/>
          <w:sz w:val="20"/>
        </w:rPr>
        <w:lastRenderedPageBreak/>
        <w:t xml:space="preserve">ancestrales de </w:t>
      </w:r>
      <w:r w:rsidR="008D7B3E" w:rsidRPr="009D5EA7">
        <w:rPr>
          <w:rFonts w:ascii="Verdana" w:hAnsi="Verdana" w:cs="Arial"/>
          <w:spacing w:val="-2"/>
          <w:sz w:val="20"/>
        </w:rPr>
        <w:t xml:space="preserve">varios </w:t>
      </w:r>
      <w:r w:rsidRPr="009D5EA7">
        <w:rPr>
          <w:rFonts w:ascii="Verdana" w:hAnsi="Verdana" w:cs="Arial"/>
          <w:spacing w:val="-2"/>
          <w:sz w:val="20"/>
        </w:rPr>
        <w:t xml:space="preserve">pueblos indígenas. </w:t>
      </w:r>
      <w:r w:rsidR="002721CE" w:rsidRPr="009D5EA7">
        <w:rPr>
          <w:rFonts w:ascii="Verdana" w:hAnsi="Verdana" w:cs="Arial"/>
          <w:spacing w:val="-2"/>
          <w:sz w:val="20"/>
        </w:rPr>
        <w:t xml:space="preserve">Al día de hoy ella </w:t>
      </w:r>
      <w:r w:rsidRPr="009D5EA7">
        <w:rPr>
          <w:rFonts w:ascii="Verdana" w:hAnsi="Verdana" w:cs="Arial"/>
          <w:spacing w:val="-2"/>
          <w:sz w:val="20"/>
        </w:rPr>
        <w:t>continúa realizando actividades de defensa</w:t>
      </w:r>
      <w:r w:rsidR="002721CE" w:rsidRPr="009D5EA7">
        <w:rPr>
          <w:rFonts w:ascii="Verdana" w:hAnsi="Verdana" w:cs="Arial"/>
          <w:spacing w:val="-2"/>
          <w:sz w:val="20"/>
        </w:rPr>
        <w:t xml:space="preserve"> en ese sentido. Sin perjuicio de lo anterior, </w:t>
      </w:r>
      <w:r w:rsidRPr="009D5EA7">
        <w:rPr>
          <w:rFonts w:ascii="Verdana" w:hAnsi="Verdana" w:cs="Arial"/>
          <w:spacing w:val="-2"/>
          <w:sz w:val="20"/>
        </w:rPr>
        <w:t xml:space="preserve">lo que ha sido controvertido por el Estado es que </w:t>
      </w:r>
      <w:r w:rsidR="002721CE" w:rsidRPr="009D5EA7">
        <w:rPr>
          <w:rFonts w:ascii="Verdana" w:hAnsi="Verdana" w:cs="Arial"/>
          <w:spacing w:val="-2"/>
          <w:sz w:val="20"/>
        </w:rPr>
        <w:t xml:space="preserve">ella </w:t>
      </w:r>
      <w:r w:rsidRPr="009D5EA7">
        <w:rPr>
          <w:rFonts w:ascii="Verdana" w:hAnsi="Verdana" w:cs="Arial"/>
          <w:spacing w:val="-2"/>
          <w:sz w:val="20"/>
        </w:rPr>
        <w:t>no se “apersonó” explícitamente como defensora de derechos humanos en el proceso</w:t>
      </w:r>
      <w:r w:rsidR="002721CE" w:rsidRPr="009D5EA7">
        <w:rPr>
          <w:rFonts w:ascii="Verdana" w:hAnsi="Verdana" w:cs="Arial"/>
          <w:spacing w:val="-2"/>
          <w:sz w:val="20"/>
        </w:rPr>
        <w:t xml:space="preserve"> </w:t>
      </w:r>
      <w:r w:rsidRPr="009D5EA7">
        <w:rPr>
          <w:rFonts w:ascii="Verdana" w:hAnsi="Verdana" w:cs="Arial"/>
          <w:spacing w:val="-2"/>
          <w:sz w:val="20"/>
        </w:rPr>
        <w:t xml:space="preserve">seguido por la muerte de su esposo, de </w:t>
      </w:r>
      <w:r w:rsidR="002721CE" w:rsidRPr="009D5EA7">
        <w:rPr>
          <w:rFonts w:ascii="Verdana" w:hAnsi="Verdana" w:cs="Arial"/>
          <w:spacing w:val="-2"/>
          <w:sz w:val="20"/>
        </w:rPr>
        <w:t xml:space="preserve">modo </w:t>
      </w:r>
      <w:r w:rsidRPr="009D5EA7">
        <w:rPr>
          <w:rFonts w:ascii="Verdana" w:hAnsi="Verdana" w:cs="Arial"/>
          <w:spacing w:val="-2"/>
          <w:sz w:val="20"/>
        </w:rPr>
        <w:t xml:space="preserve">que </w:t>
      </w:r>
      <w:r w:rsidR="002721CE" w:rsidRPr="009D5EA7">
        <w:rPr>
          <w:rFonts w:ascii="Verdana" w:hAnsi="Verdana" w:cs="Arial"/>
          <w:spacing w:val="-2"/>
          <w:sz w:val="20"/>
        </w:rPr>
        <w:t xml:space="preserve">las autoridades judiciales </w:t>
      </w:r>
      <w:r w:rsidRPr="009D5EA7">
        <w:rPr>
          <w:rFonts w:ascii="Verdana" w:hAnsi="Verdana" w:cs="Arial"/>
          <w:spacing w:val="-2"/>
          <w:sz w:val="20"/>
        </w:rPr>
        <w:t>no habría</w:t>
      </w:r>
      <w:r w:rsidR="002721CE" w:rsidRPr="009D5EA7">
        <w:rPr>
          <w:rFonts w:ascii="Verdana" w:hAnsi="Verdana" w:cs="Arial"/>
          <w:spacing w:val="-2"/>
          <w:sz w:val="20"/>
        </w:rPr>
        <w:t>n</w:t>
      </w:r>
      <w:r w:rsidRPr="009D5EA7">
        <w:rPr>
          <w:rFonts w:ascii="Verdana" w:hAnsi="Verdana" w:cs="Arial"/>
          <w:spacing w:val="-2"/>
          <w:sz w:val="20"/>
        </w:rPr>
        <w:t xml:space="preserve"> tenido conocimiento de tal calidad</w:t>
      </w:r>
      <w:r w:rsidR="002721CE" w:rsidRPr="009D5EA7">
        <w:rPr>
          <w:rFonts w:ascii="Verdana" w:hAnsi="Verdana" w:cs="Arial"/>
          <w:spacing w:val="-2"/>
          <w:sz w:val="20"/>
        </w:rPr>
        <w:t>, pues además en ese momento manifestó que no había sido anteriormente amenazada.</w:t>
      </w:r>
    </w:p>
    <w:p w14:paraId="4D96448F" w14:textId="77777777" w:rsidR="002721CE" w:rsidRPr="009D5EA7" w:rsidRDefault="002721CE" w:rsidP="002721CE">
      <w:pPr>
        <w:pStyle w:val="Prrafodelista"/>
        <w:rPr>
          <w:rFonts w:ascii="Verdana" w:hAnsi="Verdana" w:cs="Arial"/>
          <w:spacing w:val="-2"/>
          <w:sz w:val="20"/>
        </w:rPr>
      </w:pPr>
    </w:p>
    <w:p w14:paraId="1D9132D1" w14:textId="1B4D0CF2" w:rsidR="008538C4" w:rsidRPr="009D5EA7" w:rsidRDefault="002721CE" w:rsidP="008538C4">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Al respecto, la Corte</w:t>
      </w:r>
      <w:r w:rsidR="00BC072C" w:rsidRPr="009D5EA7">
        <w:rPr>
          <w:rFonts w:ascii="Verdana" w:hAnsi="Verdana" w:cs="Arial"/>
          <w:spacing w:val="-2"/>
          <w:sz w:val="20"/>
        </w:rPr>
        <w:t xml:space="preserve"> reitera</w:t>
      </w:r>
      <w:r w:rsidRPr="009D5EA7">
        <w:rPr>
          <w:rFonts w:ascii="Verdana" w:hAnsi="Verdana" w:cs="Arial"/>
          <w:spacing w:val="-2"/>
          <w:sz w:val="20"/>
        </w:rPr>
        <w:t xml:space="preserve"> que el criterio determinante para identificar que una persona ejerce actividades de defensa de derechos humanos no se define en función de cómo se autodenomina el sujeto o persona defensora, sino en la identificación </w:t>
      </w:r>
      <w:r w:rsidR="00BC072C" w:rsidRPr="009D5EA7">
        <w:rPr>
          <w:rFonts w:ascii="Verdana" w:hAnsi="Verdana" w:cs="Arial"/>
          <w:spacing w:val="-2"/>
          <w:sz w:val="20"/>
        </w:rPr>
        <w:t>de la actividad que realiza</w:t>
      </w:r>
      <w:r w:rsidRPr="009D5EA7">
        <w:rPr>
          <w:rStyle w:val="Refdenotaalpie"/>
          <w:rFonts w:ascii="Verdana" w:hAnsi="Verdana" w:cs="Arial"/>
          <w:spacing w:val="-2"/>
          <w:sz w:val="20"/>
        </w:rPr>
        <w:footnoteReference w:id="147"/>
      </w:r>
      <w:r w:rsidRPr="009D5EA7">
        <w:rPr>
          <w:rFonts w:ascii="Verdana" w:hAnsi="Verdana" w:cs="Arial"/>
          <w:spacing w:val="-2"/>
          <w:sz w:val="20"/>
        </w:rPr>
        <w:t xml:space="preserve">. </w:t>
      </w:r>
      <w:r w:rsidR="00885EE5" w:rsidRPr="009D5EA7">
        <w:rPr>
          <w:rFonts w:ascii="Verdana" w:hAnsi="Verdana" w:cs="Arial"/>
          <w:spacing w:val="-2"/>
          <w:sz w:val="20"/>
        </w:rPr>
        <w:t>En este caso,</w:t>
      </w:r>
      <w:r w:rsidR="00EC4BFB" w:rsidRPr="009D5EA7">
        <w:rPr>
          <w:rFonts w:ascii="Verdana" w:hAnsi="Verdana" w:cs="Arial"/>
          <w:spacing w:val="-2"/>
          <w:sz w:val="20"/>
        </w:rPr>
        <w:t xml:space="preserve"> desde su declaración</w:t>
      </w:r>
      <w:r w:rsidR="00190B34">
        <w:rPr>
          <w:rFonts w:ascii="Verdana" w:hAnsi="Verdana" w:cs="Arial"/>
          <w:spacing w:val="-2"/>
          <w:sz w:val="20"/>
        </w:rPr>
        <w:t xml:space="preserve"> como ofendida (</w:t>
      </w:r>
      <w:r w:rsidR="00190B34">
        <w:rPr>
          <w:rFonts w:ascii="Verdana" w:hAnsi="Verdana" w:cs="Arial"/>
          <w:i/>
          <w:spacing w:val="-2"/>
          <w:sz w:val="20"/>
        </w:rPr>
        <w:t>ad-inquirendum</w:t>
      </w:r>
      <w:r w:rsidR="00190B34">
        <w:rPr>
          <w:rFonts w:ascii="Verdana" w:hAnsi="Verdana" w:cs="Arial"/>
          <w:spacing w:val="-2"/>
          <w:sz w:val="20"/>
        </w:rPr>
        <w:t>)</w:t>
      </w:r>
      <w:r w:rsidR="00EC4BFB" w:rsidRPr="009D5EA7">
        <w:rPr>
          <w:rFonts w:ascii="Verdana" w:hAnsi="Verdana" w:cs="Arial"/>
          <w:spacing w:val="-2"/>
          <w:sz w:val="20"/>
        </w:rPr>
        <w:t xml:space="preserve"> de 16 de abril de 2002 ante el juez instructor, realizada ocho días después de la muerte de su esposo, la señora Acosta manifestó claramente que el </w:t>
      </w:r>
      <w:r w:rsidR="006233D1">
        <w:rPr>
          <w:rFonts w:ascii="Verdana" w:hAnsi="Verdana" w:cs="Arial"/>
          <w:sz w:val="20"/>
        </w:rPr>
        <w:t>homicidio</w:t>
      </w:r>
      <w:r w:rsidR="006233D1" w:rsidRPr="009D5EA7">
        <w:rPr>
          <w:rFonts w:ascii="Verdana" w:hAnsi="Verdana" w:cs="Arial"/>
          <w:sz w:val="20"/>
        </w:rPr>
        <w:t xml:space="preserve"> </w:t>
      </w:r>
      <w:r w:rsidR="00EC4BFB" w:rsidRPr="009D5EA7">
        <w:rPr>
          <w:rFonts w:ascii="Verdana" w:hAnsi="Verdana" w:cs="Arial"/>
          <w:spacing w:val="-2"/>
          <w:sz w:val="20"/>
        </w:rPr>
        <w:t xml:space="preserve">de su esposo </w:t>
      </w:r>
      <w:r w:rsidR="00190B34">
        <w:rPr>
          <w:rFonts w:ascii="Verdana" w:hAnsi="Verdana" w:cs="Arial"/>
          <w:spacing w:val="-2"/>
          <w:sz w:val="20"/>
        </w:rPr>
        <w:t>pudo tener relación con</w:t>
      </w:r>
      <w:r w:rsidR="00EC4BFB" w:rsidRPr="009D5EA7">
        <w:rPr>
          <w:rFonts w:ascii="Verdana" w:hAnsi="Verdana" w:cs="Arial"/>
          <w:spacing w:val="-2"/>
          <w:sz w:val="20"/>
        </w:rPr>
        <w:t xml:space="preserve"> “la asesoría legal que [ella] les h[a] estado dando a las comunidades de Monkey Poin</w:t>
      </w:r>
      <w:r w:rsidR="00DD2120" w:rsidRPr="009D5EA7">
        <w:rPr>
          <w:rFonts w:ascii="Verdana" w:hAnsi="Verdana" w:cs="Arial"/>
          <w:spacing w:val="-2"/>
          <w:sz w:val="20"/>
        </w:rPr>
        <w:t>t, Rama y la Cuenca de Laguna de</w:t>
      </w:r>
      <w:r w:rsidR="00EC4BFB" w:rsidRPr="009D5EA7">
        <w:rPr>
          <w:rFonts w:ascii="Verdana" w:hAnsi="Verdana" w:cs="Arial"/>
          <w:spacing w:val="-2"/>
          <w:sz w:val="20"/>
        </w:rPr>
        <w:t xml:space="preserve"> Perlas, donde [</w:t>
      </w:r>
      <w:r w:rsidR="00FB2B82" w:rsidRPr="009D5EA7">
        <w:rPr>
          <w:rFonts w:ascii="Verdana" w:hAnsi="Verdana" w:cs="Arial"/>
          <w:spacing w:val="-2"/>
          <w:sz w:val="20"/>
        </w:rPr>
        <w:t>PT</w:t>
      </w:r>
      <w:r w:rsidR="00EC4BFB" w:rsidRPr="009D5EA7">
        <w:rPr>
          <w:rFonts w:ascii="Verdana" w:hAnsi="Verdana" w:cs="Arial"/>
          <w:spacing w:val="-2"/>
          <w:sz w:val="20"/>
        </w:rPr>
        <w:t xml:space="preserve"> y </w:t>
      </w:r>
      <w:r w:rsidR="0023621A" w:rsidRPr="009D5EA7">
        <w:rPr>
          <w:rFonts w:ascii="Verdana" w:hAnsi="Verdana" w:cs="Arial"/>
          <w:spacing w:val="-2"/>
          <w:sz w:val="20"/>
        </w:rPr>
        <w:t>PMF</w:t>
      </w:r>
      <w:r w:rsidR="00EC4BFB" w:rsidRPr="009D5EA7">
        <w:rPr>
          <w:rFonts w:ascii="Verdana" w:hAnsi="Verdana" w:cs="Arial"/>
          <w:spacing w:val="-2"/>
          <w:sz w:val="20"/>
        </w:rPr>
        <w:t xml:space="preserve">] tienen intereses millonarios en apoderarse de las tierras indígenas de estas comunidades”. </w:t>
      </w:r>
      <w:r w:rsidR="00024459" w:rsidRPr="009D5EA7">
        <w:rPr>
          <w:rFonts w:ascii="Verdana" w:hAnsi="Verdana" w:cs="Arial"/>
          <w:spacing w:val="-2"/>
          <w:sz w:val="20"/>
        </w:rPr>
        <w:t xml:space="preserve">Además, ella salió de la ciudad de Bluefields temiendo por su seguridad e informó al juez al respecto. </w:t>
      </w:r>
      <w:r w:rsidR="000F7135">
        <w:rPr>
          <w:rFonts w:ascii="Verdana" w:hAnsi="Verdana" w:cs="Arial"/>
          <w:spacing w:val="-2"/>
          <w:sz w:val="20"/>
        </w:rPr>
        <w:t>Además, u</w:t>
      </w:r>
      <w:r w:rsidR="00885EE5" w:rsidRPr="009D5EA7">
        <w:rPr>
          <w:rFonts w:ascii="Verdana" w:hAnsi="Verdana" w:cs="Arial"/>
          <w:spacing w:val="-2"/>
          <w:sz w:val="20"/>
        </w:rPr>
        <w:t>nos días después del homicidio, al solicitar a la policía destinar sus mejores esfuerzos para esclarecerlo, el Procurador para la Defensa de los Derechos Humanos manifestó que la señora Acosta “se ha caracterizado por ser la principal defensora de los derechos indígenas y especialmente defiende con valentía y desde la perspectiva de los derechos humanos, las tierras indígenas”.</w:t>
      </w:r>
      <w:r w:rsidR="00885EE5" w:rsidRPr="009D5EA7">
        <w:rPr>
          <w:rFonts w:ascii="Cambria" w:hAnsi="Cambria" w:cs="Cambria"/>
        </w:rPr>
        <w:t xml:space="preserve"> </w:t>
      </w:r>
      <w:r w:rsidR="00EC4BFB" w:rsidRPr="009D5EA7">
        <w:rPr>
          <w:rFonts w:ascii="Verdana" w:hAnsi="Verdana" w:cs="Arial"/>
          <w:spacing w:val="-2"/>
          <w:sz w:val="20"/>
        </w:rPr>
        <w:t xml:space="preserve">En este sentido, desde el inicio de la investigación estaba claramente señalada </w:t>
      </w:r>
      <w:r w:rsidR="003727F8" w:rsidRPr="009D5EA7">
        <w:rPr>
          <w:rFonts w:ascii="Verdana" w:hAnsi="Verdana" w:cs="Arial"/>
          <w:spacing w:val="-2"/>
          <w:sz w:val="20"/>
        </w:rPr>
        <w:t xml:space="preserve">la posibilidad de que el </w:t>
      </w:r>
      <w:r w:rsidR="006233D1">
        <w:rPr>
          <w:rFonts w:ascii="Verdana" w:hAnsi="Verdana" w:cs="Arial"/>
          <w:sz w:val="20"/>
        </w:rPr>
        <w:t>homicidio</w:t>
      </w:r>
      <w:r w:rsidR="006233D1" w:rsidRPr="009D5EA7">
        <w:rPr>
          <w:rFonts w:ascii="Verdana" w:hAnsi="Verdana" w:cs="Arial"/>
          <w:sz w:val="20"/>
        </w:rPr>
        <w:t xml:space="preserve"> </w:t>
      </w:r>
      <w:r w:rsidR="003727F8" w:rsidRPr="009D5EA7">
        <w:rPr>
          <w:rFonts w:ascii="Verdana" w:hAnsi="Verdana" w:cs="Arial"/>
          <w:spacing w:val="-2"/>
          <w:sz w:val="20"/>
        </w:rPr>
        <w:t xml:space="preserve">pudiese haber sido </w:t>
      </w:r>
      <w:r w:rsidR="00885EE5" w:rsidRPr="009D5EA7">
        <w:rPr>
          <w:rFonts w:ascii="Verdana" w:hAnsi="Verdana" w:cs="Arial"/>
          <w:spacing w:val="-2"/>
          <w:sz w:val="20"/>
        </w:rPr>
        <w:t>un acto de</w:t>
      </w:r>
      <w:r w:rsidR="004F5865">
        <w:rPr>
          <w:rFonts w:ascii="Verdana" w:hAnsi="Verdana" w:cs="Arial"/>
          <w:spacing w:val="-2"/>
          <w:sz w:val="20"/>
        </w:rPr>
        <w:t xml:space="preserve"> represalia a</w:t>
      </w:r>
      <w:r w:rsidR="003727F8" w:rsidRPr="009D5EA7">
        <w:rPr>
          <w:rFonts w:ascii="Verdana" w:hAnsi="Verdana" w:cs="Arial"/>
          <w:spacing w:val="-2"/>
          <w:sz w:val="20"/>
        </w:rPr>
        <w:t xml:space="preserve"> </w:t>
      </w:r>
      <w:r w:rsidR="00EC4BFB" w:rsidRPr="009D5EA7">
        <w:rPr>
          <w:rFonts w:ascii="Verdana" w:hAnsi="Verdana" w:cs="Arial"/>
          <w:spacing w:val="-2"/>
          <w:sz w:val="20"/>
        </w:rPr>
        <w:t>la actividad de defensa de esos pueblos indígenas por parte de la señora Acosta</w:t>
      </w:r>
      <w:r w:rsidR="006133CA" w:rsidRPr="009D5EA7">
        <w:rPr>
          <w:rFonts w:ascii="Verdana" w:hAnsi="Verdana" w:cs="Arial"/>
          <w:spacing w:val="-2"/>
          <w:sz w:val="20"/>
        </w:rPr>
        <w:t>.</w:t>
      </w:r>
      <w:r w:rsidR="003727F8" w:rsidRPr="009D5EA7">
        <w:rPr>
          <w:rFonts w:ascii="Verdana" w:hAnsi="Verdana" w:cs="Arial"/>
          <w:spacing w:val="-2"/>
          <w:sz w:val="20"/>
        </w:rPr>
        <w:t xml:space="preserve"> </w:t>
      </w:r>
    </w:p>
    <w:p w14:paraId="0D87F7D7" w14:textId="77777777" w:rsidR="008D7B3E" w:rsidRPr="009D5EA7" w:rsidRDefault="008D7B3E" w:rsidP="008D7B3E">
      <w:pPr>
        <w:pStyle w:val="Prrafodelista"/>
        <w:autoSpaceDE w:val="0"/>
        <w:autoSpaceDN w:val="0"/>
        <w:adjustRightInd w:val="0"/>
        <w:ind w:left="0" w:right="34"/>
        <w:jc w:val="both"/>
        <w:rPr>
          <w:rFonts w:ascii="Verdana" w:hAnsi="Verdana" w:cs="Arial"/>
          <w:spacing w:val="-2"/>
          <w:sz w:val="20"/>
        </w:rPr>
      </w:pPr>
    </w:p>
    <w:p w14:paraId="1B254717" w14:textId="54698F24" w:rsidR="007D3F65" w:rsidRPr="009D5EA7" w:rsidRDefault="00EC4BFB" w:rsidP="002A16AD">
      <w:pPr>
        <w:pStyle w:val="Prrafodelista"/>
        <w:numPr>
          <w:ilvl w:val="0"/>
          <w:numId w:val="5"/>
        </w:numPr>
        <w:autoSpaceDE w:val="0"/>
        <w:autoSpaceDN w:val="0"/>
        <w:adjustRightInd w:val="0"/>
        <w:ind w:left="0" w:right="34" w:firstLine="0"/>
        <w:jc w:val="both"/>
        <w:rPr>
          <w:rFonts w:ascii="Verdana" w:hAnsi="Verdana"/>
          <w:sz w:val="20"/>
          <w:lang w:eastAsia="es-CR"/>
        </w:rPr>
      </w:pPr>
      <w:r w:rsidRPr="009D5EA7">
        <w:rPr>
          <w:rFonts w:ascii="Verdana" w:hAnsi="Verdana" w:cs="Arial"/>
          <w:spacing w:val="-2"/>
          <w:sz w:val="20"/>
        </w:rPr>
        <w:t xml:space="preserve"> </w:t>
      </w:r>
      <w:r w:rsidR="00FB1D90" w:rsidRPr="009D5EA7">
        <w:rPr>
          <w:rFonts w:ascii="Verdana" w:hAnsi="Verdana"/>
          <w:sz w:val="20"/>
        </w:rPr>
        <w:t xml:space="preserve">La Corte reitera que la defensa de los derechos humanos sólo puede ejercerse libremente cuando las personas que la realizan no son víctimas de amenazas </w:t>
      </w:r>
      <w:r w:rsidR="00436E3F">
        <w:rPr>
          <w:rFonts w:ascii="Verdana" w:hAnsi="Verdana"/>
          <w:sz w:val="20"/>
        </w:rPr>
        <w:t>o</w:t>
      </w:r>
      <w:r w:rsidR="00FB1D90" w:rsidRPr="009D5EA7">
        <w:rPr>
          <w:rFonts w:ascii="Verdana" w:hAnsi="Verdana"/>
          <w:sz w:val="20"/>
        </w:rPr>
        <w:t xml:space="preserve"> de cualquier tipo de agresiones físicas, psíquicas o </w:t>
      </w:r>
      <w:r w:rsidR="00FB1D90" w:rsidRPr="009D5EA7">
        <w:rPr>
          <w:rFonts w:ascii="Verdana" w:hAnsi="Verdana" w:cs="Arial"/>
          <w:spacing w:val="-2"/>
          <w:sz w:val="20"/>
        </w:rPr>
        <w:t>morales</w:t>
      </w:r>
      <w:r w:rsidR="00FB1D90" w:rsidRPr="009D5EA7">
        <w:rPr>
          <w:rFonts w:ascii="Verdana" w:hAnsi="Verdana"/>
          <w:sz w:val="20"/>
        </w:rPr>
        <w:t xml:space="preserve"> u otros actos de hostigamiento</w:t>
      </w:r>
      <w:r w:rsidR="00FB1D90" w:rsidRPr="009D5EA7">
        <w:rPr>
          <w:rStyle w:val="Refdenotaalpie"/>
          <w:rFonts w:ascii="Verdana" w:hAnsi="Verdana"/>
          <w:sz w:val="20"/>
        </w:rPr>
        <w:footnoteReference w:id="148"/>
      </w:r>
      <w:r w:rsidR="00FB1D90" w:rsidRPr="009D5EA7">
        <w:rPr>
          <w:rFonts w:ascii="Verdana" w:hAnsi="Verdana"/>
          <w:sz w:val="20"/>
        </w:rPr>
        <w:t>. Para garantizar las condiciones fácticas en las cuales los defensores puedan desarrollar libremente su función, los Estados deben facilitar los medios necesarios para q</w:t>
      </w:r>
      <w:r w:rsidR="00644624" w:rsidRPr="009D5EA7">
        <w:rPr>
          <w:rFonts w:ascii="Verdana" w:hAnsi="Verdana"/>
          <w:sz w:val="20"/>
        </w:rPr>
        <w:t>ue puedan ser protegidos si se encuentra</w:t>
      </w:r>
      <w:r w:rsidR="00FB1D90" w:rsidRPr="009D5EA7">
        <w:rPr>
          <w:rFonts w:ascii="Verdana" w:hAnsi="Verdana"/>
          <w:sz w:val="20"/>
        </w:rPr>
        <w:t>n amenazados o e</w:t>
      </w:r>
      <w:r w:rsidR="00644624" w:rsidRPr="009D5EA7">
        <w:rPr>
          <w:rFonts w:ascii="Verdana" w:hAnsi="Verdana"/>
          <w:sz w:val="20"/>
        </w:rPr>
        <w:t>n situación de riesgo o denuncia</w:t>
      </w:r>
      <w:r w:rsidR="00FB1D90" w:rsidRPr="009D5EA7">
        <w:rPr>
          <w:rFonts w:ascii="Verdana" w:hAnsi="Verdana"/>
          <w:sz w:val="20"/>
        </w:rPr>
        <w:t xml:space="preserve">n violaciones a derechos humanos, </w:t>
      </w:r>
      <w:r w:rsidR="00644624" w:rsidRPr="009D5EA7">
        <w:rPr>
          <w:rFonts w:ascii="Verdana" w:hAnsi="Verdana"/>
          <w:sz w:val="20"/>
        </w:rPr>
        <w:t>así como</w:t>
      </w:r>
      <w:r w:rsidR="00FB1D90" w:rsidRPr="009D5EA7">
        <w:rPr>
          <w:rFonts w:ascii="Verdana" w:hAnsi="Verdana"/>
          <w:sz w:val="20"/>
        </w:rPr>
        <w:t xml:space="preserve"> investigar seria y eficazmente las violaciones cometidas en su contra, combatiendo la impunidad</w:t>
      </w:r>
      <w:r w:rsidR="00FB1D90" w:rsidRPr="009D5EA7">
        <w:rPr>
          <w:rStyle w:val="Refdenotaalpie"/>
          <w:rFonts w:ascii="Verdana" w:hAnsi="Verdana"/>
          <w:sz w:val="20"/>
        </w:rPr>
        <w:footnoteReference w:id="149"/>
      </w:r>
      <w:r w:rsidR="00FB1D90" w:rsidRPr="009D5EA7">
        <w:rPr>
          <w:rFonts w:ascii="Verdana" w:hAnsi="Verdana"/>
          <w:sz w:val="20"/>
        </w:rPr>
        <w:t xml:space="preserve">. </w:t>
      </w:r>
    </w:p>
    <w:p w14:paraId="24D04633" w14:textId="77777777" w:rsidR="007D3F65" w:rsidRPr="009D5EA7" w:rsidRDefault="007D3F65" w:rsidP="007D3F65">
      <w:pPr>
        <w:pStyle w:val="Prrafodelista"/>
        <w:rPr>
          <w:rFonts w:ascii="Verdana" w:hAnsi="Verdana" w:cs="Arial"/>
          <w:spacing w:val="-2"/>
          <w:sz w:val="20"/>
        </w:rPr>
      </w:pPr>
    </w:p>
    <w:p w14:paraId="17B69079" w14:textId="71A1E82D" w:rsidR="007D3F65" w:rsidRPr="009D5EA7" w:rsidRDefault="007D3F65" w:rsidP="002A16AD">
      <w:pPr>
        <w:pStyle w:val="Prrafodelista"/>
        <w:numPr>
          <w:ilvl w:val="0"/>
          <w:numId w:val="5"/>
        </w:numPr>
        <w:autoSpaceDE w:val="0"/>
        <w:autoSpaceDN w:val="0"/>
        <w:adjustRightInd w:val="0"/>
        <w:ind w:left="0" w:right="34" w:firstLine="0"/>
        <w:jc w:val="both"/>
        <w:rPr>
          <w:rFonts w:ascii="Verdana" w:hAnsi="Verdana"/>
          <w:sz w:val="20"/>
          <w:lang w:eastAsia="es-CR"/>
        </w:rPr>
      </w:pPr>
      <w:r w:rsidRPr="009D5EA7">
        <w:rPr>
          <w:rFonts w:ascii="Verdana" w:hAnsi="Verdana" w:cs="Arial"/>
          <w:spacing w:val="-2"/>
          <w:sz w:val="20"/>
        </w:rPr>
        <w:lastRenderedPageBreak/>
        <w:t>En definitiva, es irrelevante si la señora Acosta se apersonó explícita y específicamente al proceso como “defensora de derechos humanos”, pues el juez instructor tuvo conocimiento de las actividades realizadas por ella</w:t>
      </w:r>
      <w:r w:rsidR="006133CA" w:rsidRPr="009D5EA7">
        <w:rPr>
          <w:rFonts w:ascii="Verdana" w:hAnsi="Verdana" w:cs="Arial"/>
          <w:spacing w:val="-2"/>
          <w:sz w:val="20"/>
        </w:rPr>
        <w:t>. La cuestión es, entonces, si el juez debía</w:t>
      </w:r>
      <w:r w:rsidRPr="009D5EA7">
        <w:rPr>
          <w:rFonts w:ascii="Verdana" w:hAnsi="Verdana" w:cs="Arial"/>
          <w:spacing w:val="-2"/>
          <w:sz w:val="20"/>
        </w:rPr>
        <w:t xml:space="preserve"> abrir una línea lógica de investigación en ese sentido, en el marco de sus facultades y según las evidencias o indicios con que contara o que le correspondía procurar de oficio</w:t>
      </w:r>
      <w:r w:rsidRPr="009D5EA7">
        <w:rPr>
          <w:rStyle w:val="Refdenotaalpie"/>
          <w:rFonts w:ascii="Verdana" w:hAnsi="Verdana" w:cs="Arial"/>
          <w:spacing w:val="-2"/>
          <w:sz w:val="20"/>
        </w:rPr>
        <w:footnoteReference w:id="150"/>
      </w:r>
      <w:r w:rsidRPr="009D5EA7">
        <w:rPr>
          <w:rFonts w:ascii="Verdana" w:hAnsi="Verdana" w:cs="Arial"/>
          <w:spacing w:val="-2"/>
          <w:sz w:val="20"/>
        </w:rPr>
        <w:t>.</w:t>
      </w:r>
    </w:p>
    <w:p w14:paraId="51D13252" w14:textId="77777777" w:rsidR="007D3F65" w:rsidRPr="009D5EA7" w:rsidRDefault="007D3F65" w:rsidP="002A16AD">
      <w:pPr>
        <w:pStyle w:val="Prrafodelista"/>
        <w:autoSpaceDE w:val="0"/>
        <w:autoSpaceDN w:val="0"/>
        <w:adjustRightInd w:val="0"/>
        <w:ind w:left="0" w:right="34"/>
        <w:jc w:val="both"/>
        <w:rPr>
          <w:rFonts w:ascii="Verdana" w:hAnsi="Verdana"/>
          <w:i/>
          <w:szCs w:val="24"/>
        </w:rPr>
      </w:pPr>
    </w:p>
    <w:p w14:paraId="70E0B54B" w14:textId="02141865" w:rsidR="007D3F65" w:rsidRPr="009D5EA7" w:rsidRDefault="007D3F65" w:rsidP="00C56C8C">
      <w:pPr>
        <w:pStyle w:val="Prrafodelista"/>
        <w:numPr>
          <w:ilvl w:val="0"/>
          <w:numId w:val="5"/>
        </w:numPr>
        <w:autoSpaceDE w:val="0"/>
        <w:autoSpaceDN w:val="0"/>
        <w:adjustRightInd w:val="0"/>
        <w:ind w:left="0" w:right="34" w:firstLine="0"/>
        <w:jc w:val="both"/>
        <w:rPr>
          <w:rFonts w:ascii="Verdana" w:hAnsi="Verdana"/>
          <w:i/>
          <w:szCs w:val="24"/>
        </w:rPr>
      </w:pPr>
      <w:r w:rsidRPr="009D5EA7">
        <w:rPr>
          <w:rFonts w:ascii="Verdana" w:hAnsi="Verdana" w:cs="Arial"/>
          <w:sz w:val="20"/>
        </w:rPr>
        <w:t xml:space="preserve">Ciertamente la obligación de investigar es de medio o </w:t>
      </w:r>
      <w:r w:rsidRPr="009D5EA7">
        <w:rPr>
          <w:rFonts w:ascii="Verdana" w:eastAsia="Cambria" w:hAnsi="Verdana" w:cs="Arial"/>
          <w:sz w:val="20"/>
        </w:rPr>
        <w:t>comportamiento</w:t>
      </w:r>
      <w:r w:rsidRPr="009D5EA7">
        <w:rPr>
          <w:rFonts w:ascii="Verdana" w:hAnsi="Verdana" w:cs="Arial"/>
          <w:sz w:val="20"/>
        </w:rPr>
        <w:t xml:space="preserve">, por lo que no necesariamente es incumplida por el solo hecho de que la investigación no produzca un resultado satisfactorio. </w:t>
      </w:r>
      <w:r w:rsidRPr="009D5EA7">
        <w:rPr>
          <w:rFonts w:ascii="Verdana" w:hAnsi="Verdana" w:cs="Arial"/>
          <w:spacing w:val="-2"/>
          <w:sz w:val="20"/>
        </w:rPr>
        <w:t xml:space="preserve">Por ello, </w:t>
      </w:r>
      <w:r w:rsidRPr="009D5EA7">
        <w:rPr>
          <w:rFonts w:ascii="Verdana" w:hAnsi="Verdana" w:cs="Arial"/>
          <w:sz w:val="20"/>
        </w:rPr>
        <w:t>las diligencias realizadas para la investigación de los hechos deben ser valoradas en su conjunto y, si bien no compete a la Corte, en principio, resolver la procedencia de las medidas de investigación ni determinar las hipótesis de autoría</w:t>
      </w:r>
      <w:r w:rsidRPr="009D5EA7">
        <w:rPr>
          <w:rFonts w:ascii="Verdana" w:hAnsi="Verdana" w:cs="Arial"/>
          <w:b/>
          <w:sz w:val="20"/>
        </w:rPr>
        <w:t xml:space="preserve"> </w:t>
      </w:r>
      <w:r w:rsidRPr="009D5EA7">
        <w:rPr>
          <w:rFonts w:ascii="Verdana" w:hAnsi="Verdana" w:cs="Arial"/>
          <w:sz w:val="20"/>
        </w:rPr>
        <w:t>manejadas durante la misma</w:t>
      </w:r>
      <w:r w:rsidRPr="009D5EA7">
        <w:rPr>
          <w:rStyle w:val="Refdenotaalpie"/>
          <w:rFonts w:ascii="Verdana" w:eastAsia="Batang" w:hAnsi="Verdana" w:cs="Arial"/>
          <w:spacing w:val="-2"/>
          <w:sz w:val="20"/>
        </w:rPr>
        <w:footnoteReference w:id="151"/>
      </w:r>
      <w:r w:rsidR="009E0E8D" w:rsidRPr="009D5EA7">
        <w:rPr>
          <w:rFonts w:ascii="Verdana" w:hAnsi="Verdana"/>
          <w:sz w:val="20"/>
        </w:rPr>
        <w:t xml:space="preserve">, en este caso la debida diligencia debe evaluarse en relación con la necesidad de determinar la veracidad de las versiones o hipótesis sobre lo ocurrido, particularmente </w:t>
      </w:r>
      <w:r w:rsidR="009E0E8D" w:rsidRPr="009D5EA7">
        <w:rPr>
          <w:rFonts w:ascii="Verdana" w:eastAsia="Cambria" w:hAnsi="Verdana"/>
          <w:sz w:val="20"/>
        </w:rPr>
        <w:t xml:space="preserve">si </w:t>
      </w:r>
      <w:r w:rsidR="009E0E8D" w:rsidRPr="009D5EA7">
        <w:rPr>
          <w:rFonts w:ascii="Verdana" w:hAnsi="Verdana"/>
          <w:sz w:val="20"/>
        </w:rPr>
        <w:t xml:space="preserve">las falencias alegadas </w:t>
      </w:r>
      <w:r w:rsidR="009E0E8D" w:rsidRPr="009D5EA7">
        <w:rPr>
          <w:rFonts w:ascii="Verdana" w:eastAsia="Cambria" w:hAnsi="Verdana"/>
          <w:sz w:val="20"/>
        </w:rPr>
        <w:t xml:space="preserve">en </w:t>
      </w:r>
      <w:r w:rsidR="009E0E8D" w:rsidRPr="009D5EA7">
        <w:rPr>
          <w:rFonts w:ascii="Verdana" w:hAnsi="Verdana"/>
          <w:sz w:val="20"/>
        </w:rPr>
        <w:t>relación con el conjunto de</w:t>
      </w:r>
      <w:r w:rsidR="009E0E8D" w:rsidRPr="009D5EA7">
        <w:rPr>
          <w:rFonts w:ascii="Verdana" w:eastAsia="Cambria" w:hAnsi="Verdana"/>
          <w:sz w:val="20"/>
        </w:rPr>
        <w:t xml:space="preserve"> las diligencias efectuadas </w:t>
      </w:r>
      <w:r w:rsidR="009E0E8D" w:rsidRPr="009D5EA7">
        <w:rPr>
          <w:rFonts w:ascii="Verdana" w:hAnsi="Verdana"/>
          <w:sz w:val="20"/>
        </w:rPr>
        <w:t>por las autoridades judiciales</w:t>
      </w:r>
      <w:r w:rsidR="009E0E8D" w:rsidRPr="009D5EA7">
        <w:rPr>
          <w:rFonts w:ascii="Verdana" w:eastAsia="Cambria" w:hAnsi="Verdana"/>
          <w:sz w:val="20"/>
        </w:rPr>
        <w:t>, incidieron de manera determinante en el esclarecimiento de las circunstancias del caso, en una</w:t>
      </w:r>
      <w:r w:rsidR="009E0E8D" w:rsidRPr="009D5EA7">
        <w:rPr>
          <w:rFonts w:ascii="Verdana" w:hAnsi="Verdana"/>
          <w:sz w:val="20"/>
        </w:rPr>
        <w:t xml:space="preserve"> calificación jurídica de los hechos acorde con lo sucedido</w:t>
      </w:r>
      <w:r w:rsidR="009E0E8D" w:rsidRPr="009D5EA7">
        <w:rPr>
          <w:rFonts w:ascii="Verdana" w:eastAsia="Cambria" w:hAnsi="Verdana"/>
          <w:sz w:val="20"/>
        </w:rPr>
        <w:t xml:space="preserve"> o en el resultado final del proceso</w:t>
      </w:r>
      <w:r w:rsidR="009E0E8D" w:rsidRPr="009D5EA7">
        <w:rPr>
          <w:rStyle w:val="Refdenotaalpie"/>
          <w:rFonts w:ascii="Verdana" w:eastAsia="Cambria" w:hAnsi="Verdana"/>
          <w:sz w:val="20"/>
        </w:rPr>
        <w:footnoteReference w:id="152"/>
      </w:r>
      <w:r w:rsidR="009E0E8D" w:rsidRPr="009D5EA7">
        <w:rPr>
          <w:rFonts w:ascii="Verdana" w:eastAsia="Cambria" w:hAnsi="Verdana"/>
          <w:sz w:val="20"/>
        </w:rPr>
        <w:t>.</w:t>
      </w:r>
    </w:p>
    <w:p w14:paraId="7797EE56" w14:textId="77777777" w:rsidR="007D3F65" w:rsidRPr="009D5EA7" w:rsidRDefault="007D3F65" w:rsidP="007D3F65">
      <w:pPr>
        <w:pStyle w:val="Prrafodelista"/>
        <w:rPr>
          <w:rFonts w:ascii="Verdana" w:hAnsi="Verdana"/>
          <w:sz w:val="20"/>
        </w:rPr>
      </w:pPr>
    </w:p>
    <w:p w14:paraId="504C7A8F" w14:textId="75F64D64" w:rsidR="00C56C8C" w:rsidRPr="009D5EA7" w:rsidRDefault="00392C60" w:rsidP="009C4EBE">
      <w:pPr>
        <w:pStyle w:val="Prrafodelista"/>
        <w:numPr>
          <w:ilvl w:val="0"/>
          <w:numId w:val="5"/>
        </w:numPr>
        <w:autoSpaceDE w:val="0"/>
        <w:autoSpaceDN w:val="0"/>
        <w:adjustRightInd w:val="0"/>
        <w:ind w:left="0" w:right="34" w:firstLine="0"/>
        <w:jc w:val="both"/>
        <w:rPr>
          <w:rFonts w:ascii="Verdana" w:hAnsi="Verdana"/>
          <w:i/>
          <w:szCs w:val="24"/>
        </w:rPr>
      </w:pPr>
      <w:r w:rsidRPr="009D5EA7">
        <w:rPr>
          <w:rFonts w:ascii="Verdana" w:hAnsi="Verdana"/>
          <w:sz w:val="20"/>
        </w:rPr>
        <w:t xml:space="preserve">En </w:t>
      </w:r>
      <w:r w:rsidR="006133CA" w:rsidRPr="009D5EA7">
        <w:rPr>
          <w:rFonts w:ascii="Verdana" w:hAnsi="Verdana"/>
          <w:sz w:val="20"/>
        </w:rPr>
        <w:t>particular</w:t>
      </w:r>
      <w:r w:rsidR="00C56C8C" w:rsidRPr="009D5EA7">
        <w:rPr>
          <w:rFonts w:ascii="Verdana" w:hAnsi="Verdana"/>
          <w:sz w:val="20"/>
        </w:rPr>
        <w:t>,</w:t>
      </w:r>
      <w:r w:rsidRPr="009D5EA7">
        <w:rPr>
          <w:rFonts w:ascii="Verdana" w:hAnsi="Verdana"/>
          <w:sz w:val="20"/>
        </w:rPr>
        <w:t xml:space="preserve"> </w:t>
      </w:r>
      <w:r w:rsidR="006133CA" w:rsidRPr="009D5EA7">
        <w:rPr>
          <w:rFonts w:ascii="Verdana" w:hAnsi="Verdana"/>
          <w:sz w:val="20"/>
        </w:rPr>
        <w:t xml:space="preserve">este caso </w:t>
      </w:r>
      <w:r w:rsidR="0066242F" w:rsidRPr="009D5EA7">
        <w:rPr>
          <w:rFonts w:ascii="Verdana" w:hAnsi="Verdana"/>
          <w:sz w:val="20"/>
        </w:rPr>
        <w:t>trata sobre la agresión a</w:t>
      </w:r>
      <w:r w:rsidRPr="009D5EA7">
        <w:rPr>
          <w:rFonts w:ascii="Verdana" w:hAnsi="Verdana"/>
          <w:sz w:val="20"/>
        </w:rPr>
        <w:t xml:space="preserve">l entorno familiar de </w:t>
      </w:r>
      <w:r w:rsidR="006133CA" w:rsidRPr="009D5EA7">
        <w:rPr>
          <w:rFonts w:ascii="Verdana" w:hAnsi="Verdana"/>
          <w:sz w:val="20"/>
        </w:rPr>
        <w:t xml:space="preserve">una defensora de derechos humanos que </w:t>
      </w:r>
      <w:r w:rsidR="009C4EBE" w:rsidRPr="009D5EA7">
        <w:rPr>
          <w:rFonts w:ascii="Verdana" w:hAnsi="Verdana"/>
          <w:sz w:val="20"/>
        </w:rPr>
        <w:t xml:space="preserve">inclusive </w:t>
      </w:r>
      <w:r w:rsidR="006133CA" w:rsidRPr="009D5EA7">
        <w:rPr>
          <w:rFonts w:ascii="Verdana" w:hAnsi="Verdana"/>
          <w:sz w:val="20"/>
        </w:rPr>
        <w:t>había señalado específicamente a determinadas personas como posibles</w:t>
      </w:r>
      <w:r w:rsidR="009C4EBE" w:rsidRPr="009D5EA7">
        <w:rPr>
          <w:rFonts w:ascii="Verdana" w:hAnsi="Verdana"/>
          <w:sz w:val="20"/>
        </w:rPr>
        <w:t xml:space="preserve"> interesados en el crimen o beneficiarios d</w:t>
      </w:r>
      <w:r w:rsidR="006133CA" w:rsidRPr="009D5EA7">
        <w:rPr>
          <w:rFonts w:ascii="Verdana" w:hAnsi="Verdana"/>
          <w:sz w:val="20"/>
        </w:rPr>
        <w:t>el</w:t>
      </w:r>
      <w:r w:rsidR="009C4EBE" w:rsidRPr="009D5EA7">
        <w:rPr>
          <w:rFonts w:ascii="Verdana" w:hAnsi="Verdana"/>
          <w:sz w:val="20"/>
        </w:rPr>
        <w:t xml:space="preserve"> mismo</w:t>
      </w:r>
      <w:r w:rsidR="006133CA" w:rsidRPr="009D5EA7">
        <w:rPr>
          <w:rFonts w:ascii="Verdana" w:hAnsi="Verdana"/>
          <w:sz w:val="20"/>
        </w:rPr>
        <w:t>.</w:t>
      </w:r>
      <w:r w:rsidR="009C4EBE" w:rsidRPr="009D5EA7">
        <w:rPr>
          <w:rFonts w:ascii="Verdana" w:hAnsi="Verdana"/>
          <w:sz w:val="20"/>
        </w:rPr>
        <w:t xml:space="preserve"> </w:t>
      </w:r>
      <w:r w:rsidR="006133CA" w:rsidRPr="009D5EA7">
        <w:rPr>
          <w:rFonts w:ascii="Verdana" w:hAnsi="Verdana"/>
          <w:sz w:val="20"/>
        </w:rPr>
        <w:t>La Corte considera que,</w:t>
      </w:r>
      <w:r w:rsidR="006133CA" w:rsidRPr="009D5EA7">
        <w:rPr>
          <w:rFonts w:ascii="Verdana" w:hAnsi="Verdana" w:cs="Arial"/>
          <w:spacing w:val="-2"/>
          <w:sz w:val="20"/>
        </w:rPr>
        <w:t xml:space="preserve"> en casos de atentados contra defensores de derechos humanos, los</w:t>
      </w:r>
      <w:r w:rsidR="006133CA" w:rsidRPr="009D5EA7">
        <w:rPr>
          <w:rFonts w:ascii="Verdana" w:hAnsi="Verdana"/>
          <w:sz w:val="20"/>
        </w:rPr>
        <w:t xml:space="preserve"> Estados tienen la obligación de asegurar una justicia imparcial, oportuna y oficiosa, que implique una búsqueda exhaustiva de toda la información para </w:t>
      </w:r>
      <w:r w:rsidR="009C4EBE" w:rsidRPr="009D5EA7">
        <w:rPr>
          <w:rFonts w:ascii="Verdana" w:hAnsi="Verdana"/>
          <w:sz w:val="20"/>
        </w:rPr>
        <w:t>diseñar</w:t>
      </w:r>
      <w:r w:rsidR="006133CA" w:rsidRPr="009D5EA7">
        <w:rPr>
          <w:rFonts w:ascii="Verdana" w:hAnsi="Verdana"/>
          <w:sz w:val="20"/>
        </w:rPr>
        <w:t xml:space="preserve"> y </w:t>
      </w:r>
      <w:r w:rsidR="009C4EBE" w:rsidRPr="009D5EA7">
        <w:rPr>
          <w:rFonts w:ascii="Verdana" w:hAnsi="Verdana"/>
          <w:sz w:val="20"/>
        </w:rPr>
        <w:t>ejecutar</w:t>
      </w:r>
      <w:r w:rsidR="006133CA" w:rsidRPr="009D5EA7">
        <w:rPr>
          <w:rFonts w:ascii="Verdana" w:hAnsi="Verdana"/>
          <w:sz w:val="20"/>
        </w:rPr>
        <w:t xml:space="preserve"> </w:t>
      </w:r>
      <w:r w:rsidR="009C4EBE" w:rsidRPr="009D5EA7">
        <w:rPr>
          <w:rFonts w:ascii="Verdana" w:hAnsi="Verdana"/>
          <w:sz w:val="20"/>
        </w:rPr>
        <w:t xml:space="preserve">una </w:t>
      </w:r>
      <w:r w:rsidR="006133CA" w:rsidRPr="009D5EA7">
        <w:rPr>
          <w:rFonts w:ascii="Verdana" w:hAnsi="Verdana"/>
          <w:sz w:val="20"/>
        </w:rPr>
        <w:t xml:space="preserve">investigación </w:t>
      </w:r>
      <w:r w:rsidR="009C4EBE" w:rsidRPr="009D5EA7">
        <w:rPr>
          <w:rFonts w:ascii="Verdana" w:hAnsi="Verdana"/>
          <w:sz w:val="20"/>
        </w:rPr>
        <w:t xml:space="preserve">que conduzca al debido análisis de las hipótesis de </w:t>
      </w:r>
      <w:r w:rsidR="009C4EBE" w:rsidRPr="009D5EA7">
        <w:rPr>
          <w:rFonts w:ascii="Verdana" w:hAnsi="Verdana" w:cs="Arial"/>
          <w:spacing w:val="-2"/>
          <w:sz w:val="20"/>
        </w:rPr>
        <w:t xml:space="preserve">autoría, </w:t>
      </w:r>
      <w:r w:rsidR="006133CA" w:rsidRPr="009D5EA7">
        <w:rPr>
          <w:rFonts w:ascii="Verdana" w:hAnsi="Verdana"/>
          <w:sz w:val="20"/>
        </w:rPr>
        <w:t>por acción o por omisión, en</w:t>
      </w:r>
      <w:r w:rsidR="009C4EBE" w:rsidRPr="009D5EA7">
        <w:rPr>
          <w:rFonts w:ascii="Verdana" w:hAnsi="Verdana"/>
          <w:sz w:val="20"/>
        </w:rPr>
        <w:t xml:space="preserve"> diferentes</w:t>
      </w:r>
      <w:r w:rsidR="006133CA" w:rsidRPr="009D5EA7">
        <w:rPr>
          <w:rFonts w:ascii="Verdana" w:hAnsi="Verdana"/>
          <w:sz w:val="20"/>
        </w:rPr>
        <w:t xml:space="preserve"> niveles</w:t>
      </w:r>
      <w:r w:rsidR="009C4EBE" w:rsidRPr="009D5EA7">
        <w:rPr>
          <w:rFonts w:ascii="Verdana" w:hAnsi="Verdana"/>
          <w:sz w:val="20"/>
        </w:rPr>
        <w:t>, explorando</w:t>
      </w:r>
      <w:r w:rsidR="00C56C8C" w:rsidRPr="009D5EA7">
        <w:rPr>
          <w:rFonts w:ascii="Verdana" w:hAnsi="Verdana"/>
          <w:sz w:val="20"/>
        </w:rPr>
        <w:t xml:space="preserve"> todas las líneas investigativas </w:t>
      </w:r>
      <w:r w:rsidR="009C4EBE" w:rsidRPr="009D5EA7">
        <w:rPr>
          <w:rFonts w:ascii="Verdana" w:hAnsi="Verdana"/>
          <w:sz w:val="20"/>
        </w:rPr>
        <w:t>pertinentes</w:t>
      </w:r>
      <w:r w:rsidR="00C56C8C" w:rsidRPr="009D5EA7">
        <w:rPr>
          <w:rFonts w:ascii="Verdana" w:hAnsi="Verdana"/>
          <w:sz w:val="20"/>
        </w:rPr>
        <w:t xml:space="preserve"> para ident</w:t>
      </w:r>
      <w:r w:rsidR="007D3F65" w:rsidRPr="009D5EA7">
        <w:rPr>
          <w:rFonts w:ascii="Verdana" w:hAnsi="Verdana"/>
          <w:sz w:val="20"/>
        </w:rPr>
        <w:t>ificar a los autores</w:t>
      </w:r>
      <w:r w:rsidR="00C56C8C" w:rsidRPr="009D5EA7">
        <w:rPr>
          <w:rStyle w:val="Refdenotaalpie"/>
          <w:rFonts w:ascii="Verdana" w:hAnsi="Verdana" w:cs="Arial"/>
          <w:sz w:val="20"/>
        </w:rPr>
        <w:footnoteReference w:id="153"/>
      </w:r>
      <w:r w:rsidR="00C56C8C" w:rsidRPr="009D5EA7">
        <w:rPr>
          <w:rFonts w:ascii="Verdana" w:hAnsi="Verdana"/>
          <w:sz w:val="20"/>
        </w:rPr>
        <w:t>.</w:t>
      </w:r>
      <w:r w:rsidR="00C56C8C" w:rsidRPr="009D5EA7">
        <w:rPr>
          <w:rFonts w:ascii="Verdana" w:hAnsi="Verdana" w:cs="Calibri"/>
          <w:sz w:val="20"/>
        </w:rPr>
        <w:t xml:space="preserve"> </w:t>
      </w:r>
      <w:r w:rsidR="00D835AD" w:rsidRPr="009D5EA7">
        <w:rPr>
          <w:rFonts w:ascii="Verdana" w:hAnsi="Verdana" w:cs="Calibri"/>
          <w:sz w:val="20"/>
        </w:rPr>
        <w:t>A</w:t>
      </w:r>
      <w:r w:rsidR="009C4EBE" w:rsidRPr="009D5EA7">
        <w:rPr>
          <w:rFonts w:ascii="Verdana" w:hAnsi="Verdana" w:cs="Calibri"/>
          <w:sz w:val="20"/>
        </w:rPr>
        <w:t>sí, a</w:t>
      </w:r>
      <w:r w:rsidR="00C56C8C" w:rsidRPr="009D5EA7">
        <w:rPr>
          <w:rFonts w:ascii="Verdana" w:hAnsi="Verdana" w:cs="Calibri"/>
          <w:sz w:val="20"/>
        </w:rPr>
        <w:t>nte indicios o alegaciones de que determinado</w:t>
      </w:r>
      <w:r w:rsidR="0046246B">
        <w:rPr>
          <w:rFonts w:ascii="Verdana" w:hAnsi="Verdana" w:cs="Calibri"/>
          <w:sz w:val="20"/>
        </w:rPr>
        <w:t xml:space="preserve"> hecho o</w:t>
      </w:r>
      <w:r w:rsidR="00C56C8C" w:rsidRPr="009D5EA7">
        <w:rPr>
          <w:rFonts w:ascii="Verdana" w:hAnsi="Verdana" w:cs="Calibri"/>
          <w:sz w:val="20"/>
        </w:rPr>
        <w:t xml:space="preserve"> </w:t>
      </w:r>
      <w:r w:rsidR="00C56C8C" w:rsidRPr="009D5EA7">
        <w:rPr>
          <w:rFonts w:ascii="Verdana" w:hAnsi="Verdana"/>
          <w:sz w:val="20"/>
        </w:rPr>
        <w:t>delito pudo constituir una represalia por las actividades o labores de un defensor o defensora de derechos humanos agredido, la</w:t>
      </w:r>
      <w:r w:rsidR="009C4EBE" w:rsidRPr="009D5EA7">
        <w:rPr>
          <w:rFonts w:ascii="Verdana" w:hAnsi="Verdana"/>
          <w:sz w:val="20"/>
        </w:rPr>
        <w:t>s</w:t>
      </w:r>
      <w:r w:rsidR="00C56C8C" w:rsidRPr="009D5EA7">
        <w:rPr>
          <w:rFonts w:ascii="Verdana" w:hAnsi="Verdana"/>
          <w:sz w:val="20"/>
        </w:rPr>
        <w:t xml:space="preserve"> autoridad</w:t>
      </w:r>
      <w:r w:rsidR="009C4EBE" w:rsidRPr="009D5EA7">
        <w:rPr>
          <w:rFonts w:ascii="Verdana" w:hAnsi="Verdana"/>
          <w:sz w:val="20"/>
        </w:rPr>
        <w:t>es</w:t>
      </w:r>
      <w:r w:rsidR="00C56C8C" w:rsidRPr="009D5EA7">
        <w:rPr>
          <w:rFonts w:ascii="Verdana" w:hAnsi="Verdana"/>
          <w:sz w:val="20"/>
        </w:rPr>
        <w:t xml:space="preserve"> investigadora</w:t>
      </w:r>
      <w:r w:rsidR="009C4EBE" w:rsidRPr="009D5EA7">
        <w:rPr>
          <w:rFonts w:ascii="Verdana" w:hAnsi="Verdana"/>
          <w:sz w:val="20"/>
        </w:rPr>
        <w:t>s</w:t>
      </w:r>
      <w:r w:rsidR="00C56C8C" w:rsidRPr="009D5EA7">
        <w:rPr>
          <w:rFonts w:ascii="Verdana" w:hAnsi="Verdana"/>
          <w:sz w:val="20"/>
        </w:rPr>
        <w:t xml:space="preserve"> debe</w:t>
      </w:r>
      <w:r w:rsidR="004F5865">
        <w:rPr>
          <w:rFonts w:ascii="Verdana" w:hAnsi="Verdana"/>
          <w:sz w:val="20"/>
        </w:rPr>
        <w:t>n</w:t>
      </w:r>
      <w:r w:rsidR="00C56C8C" w:rsidRPr="009D5EA7">
        <w:rPr>
          <w:rFonts w:ascii="Verdana" w:hAnsi="Verdana"/>
          <w:sz w:val="20"/>
        </w:rPr>
        <w:t xml:space="preserve"> tomar en cuenta </w:t>
      </w:r>
      <w:r w:rsidR="00A5501E" w:rsidRPr="009D5EA7">
        <w:rPr>
          <w:rFonts w:ascii="Verdana" w:hAnsi="Verdana"/>
          <w:sz w:val="20"/>
        </w:rPr>
        <w:t xml:space="preserve">el contexto de los hechos y </w:t>
      </w:r>
      <w:r w:rsidR="00C56C8C" w:rsidRPr="009D5EA7">
        <w:rPr>
          <w:rFonts w:ascii="Verdana" w:hAnsi="Verdana"/>
          <w:sz w:val="20"/>
        </w:rPr>
        <w:t>tales actividades para identificar los intereses que podrían haber sido afectad</w:t>
      </w:r>
      <w:r w:rsidR="00A5501E" w:rsidRPr="009D5EA7">
        <w:rPr>
          <w:rFonts w:ascii="Verdana" w:hAnsi="Verdana"/>
          <w:sz w:val="20"/>
        </w:rPr>
        <w:t>os en el ejercicio de la misma, a efectos de</w:t>
      </w:r>
      <w:r w:rsidR="00C56C8C" w:rsidRPr="009D5EA7">
        <w:rPr>
          <w:rFonts w:ascii="Verdana" w:hAnsi="Verdana"/>
          <w:sz w:val="20"/>
        </w:rPr>
        <w:t xml:space="preserve"> poder establecer líneas de investigación e hipótesis del delito</w:t>
      </w:r>
      <w:r w:rsidR="008D66C3" w:rsidRPr="009D5EA7">
        <w:rPr>
          <w:rFonts w:ascii="Verdana" w:hAnsi="Verdana"/>
          <w:sz w:val="20"/>
        </w:rPr>
        <w:t>, así como realizar las diligencias pertinentes para determinar si esos indicios podrían estar vinculados al móvil de la agresión</w:t>
      </w:r>
      <w:r w:rsidR="00C56C8C" w:rsidRPr="009D5EA7">
        <w:rPr>
          <w:rStyle w:val="Refdenotaalpie"/>
          <w:rFonts w:ascii="Verdana" w:hAnsi="Verdana"/>
          <w:sz w:val="20"/>
        </w:rPr>
        <w:footnoteReference w:id="154"/>
      </w:r>
      <w:r w:rsidR="00C56C8C" w:rsidRPr="009D5EA7">
        <w:rPr>
          <w:rFonts w:ascii="Verdana" w:hAnsi="Verdana"/>
          <w:sz w:val="20"/>
        </w:rPr>
        <w:t xml:space="preserve">. </w:t>
      </w:r>
    </w:p>
    <w:p w14:paraId="25C01B54" w14:textId="77777777" w:rsidR="00570255" w:rsidRPr="009D5EA7" w:rsidRDefault="00570255" w:rsidP="00570255">
      <w:pPr>
        <w:pStyle w:val="Prrafodelista"/>
        <w:rPr>
          <w:rFonts w:ascii="Verdana" w:hAnsi="Verdana" w:cs="Arial"/>
          <w:spacing w:val="-2"/>
          <w:sz w:val="20"/>
        </w:rPr>
      </w:pPr>
    </w:p>
    <w:p w14:paraId="1024E35E" w14:textId="394E4C8E" w:rsidR="000F0A17" w:rsidRPr="009D5EA7" w:rsidRDefault="00392C60" w:rsidP="008602BA">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 xml:space="preserve">Al respecto, la Comisión aportó el peritaje de la señora Ángela Buitrago, quien </w:t>
      </w:r>
      <w:r w:rsidR="009C4EBE" w:rsidRPr="009D5EA7">
        <w:rPr>
          <w:rFonts w:ascii="Verdana" w:hAnsi="Verdana" w:cs="Arial"/>
          <w:spacing w:val="-2"/>
          <w:sz w:val="20"/>
        </w:rPr>
        <w:t>señaló que</w:t>
      </w:r>
      <w:r w:rsidR="00C05604" w:rsidRPr="009D5EA7">
        <w:rPr>
          <w:rFonts w:ascii="Verdana" w:hAnsi="Verdana" w:cs="Arial"/>
          <w:spacing w:val="-2"/>
          <w:sz w:val="20"/>
        </w:rPr>
        <w:t xml:space="preserve">, al </w:t>
      </w:r>
      <w:r w:rsidR="00C05604" w:rsidRPr="009D5EA7">
        <w:rPr>
          <w:rFonts w:ascii="Verdana" w:hAnsi="Verdana"/>
          <w:sz w:val="20"/>
        </w:rPr>
        <w:t>establecer</w:t>
      </w:r>
      <w:r w:rsidR="00DE2C46" w:rsidRPr="009D5EA7">
        <w:rPr>
          <w:rFonts w:ascii="Verdana" w:hAnsi="Verdana"/>
          <w:sz w:val="20"/>
        </w:rPr>
        <w:t xml:space="preserve"> </w:t>
      </w:r>
      <w:r w:rsidR="000F0A17" w:rsidRPr="009D5EA7">
        <w:rPr>
          <w:rFonts w:ascii="Verdana" w:hAnsi="Verdana"/>
          <w:sz w:val="20"/>
        </w:rPr>
        <w:t xml:space="preserve">una línea lógica y obligatoria </w:t>
      </w:r>
      <w:r w:rsidR="00DE2C46" w:rsidRPr="009D5EA7">
        <w:rPr>
          <w:rFonts w:ascii="Verdana" w:hAnsi="Verdana"/>
          <w:sz w:val="20"/>
        </w:rPr>
        <w:t>de investigación</w:t>
      </w:r>
      <w:r w:rsidR="008602BA" w:rsidRPr="009D5EA7">
        <w:rPr>
          <w:rFonts w:ascii="Verdana" w:hAnsi="Verdana"/>
          <w:sz w:val="20"/>
        </w:rPr>
        <w:t xml:space="preserve"> para </w:t>
      </w:r>
      <w:r w:rsidR="00DE2C46" w:rsidRPr="009D5EA7">
        <w:rPr>
          <w:rFonts w:ascii="Verdana" w:hAnsi="Verdana"/>
          <w:sz w:val="20"/>
        </w:rPr>
        <w:t xml:space="preserve">determinar </w:t>
      </w:r>
      <w:r w:rsidR="000F0A17" w:rsidRPr="009D5EA7">
        <w:rPr>
          <w:rFonts w:ascii="Verdana" w:hAnsi="Verdana"/>
          <w:sz w:val="20"/>
        </w:rPr>
        <w:t>el móvil del</w:t>
      </w:r>
      <w:r w:rsidR="00C05604" w:rsidRPr="009D5EA7">
        <w:rPr>
          <w:rFonts w:ascii="Verdana" w:hAnsi="Verdana"/>
          <w:sz w:val="20"/>
        </w:rPr>
        <w:t xml:space="preserve"> hecho y </w:t>
      </w:r>
      <w:r w:rsidR="00DE2C46" w:rsidRPr="009D5EA7">
        <w:rPr>
          <w:rFonts w:ascii="Verdana" w:hAnsi="Verdana"/>
          <w:sz w:val="20"/>
        </w:rPr>
        <w:t xml:space="preserve">definir si el comportamiento es precisamente una represalia por razón de </w:t>
      </w:r>
      <w:r w:rsidR="00C05604" w:rsidRPr="009D5EA7">
        <w:rPr>
          <w:rFonts w:ascii="Verdana" w:hAnsi="Verdana"/>
          <w:sz w:val="20"/>
        </w:rPr>
        <w:t xml:space="preserve">dicha </w:t>
      </w:r>
      <w:r w:rsidR="00D835AD" w:rsidRPr="009D5EA7">
        <w:rPr>
          <w:rFonts w:ascii="Verdana" w:hAnsi="Verdana"/>
          <w:sz w:val="20"/>
        </w:rPr>
        <w:t>actividad</w:t>
      </w:r>
      <w:r w:rsidR="00DE2C46" w:rsidRPr="009D5EA7">
        <w:rPr>
          <w:rFonts w:ascii="Verdana" w:hAnsi="Verdana"/>
          <w:sz w:val="20"/>
        </w:rPr>
        <w:t xml:space="preserve"> o no, debe analizarse el contexto, l</w:t>
      </w:r>
      <w:r w:rsidR="000F0A17" w:rsidRPr="009D5EA7">
        <w:rPr>
          <w:rFonts w:ascii="Verdana" w:hAnsi="Verdana"/>
          <w:sz w:val="20"/>
        </w:rPr>
        <w:t>a visibili</w:t>
      </w:r>
      <w:r w:rsidR="00DE2C46" w:rsidRPr="009D5EA7">
        <w:rPr>
          <w:rFonts w:ascii="Verdana" w:hAnsi="Verdana"/>
          <w:sz w:val="20"/>
        </w:rPr>
        <w:t>dad de la condición de defensor; l</w:t>
      </w:r>
      <w:r w:rsidR="000F0A17" w:rsidRPr="009D5EA7">
        <w:rPr>
          <w:rFonts w:ascii="Verdana" w:hAnsi="Verdana"/>
          <w:sz w:val="20"/>
        </w:rPr>
        <w:t xml:space="preserve">a búsqueda de </w:t>
      </w:r>
      <w:r w:rsidR="000F0A17" w:rsidRPr="009D5EA7">
        <w:rPr>
          <w:rFonts w:ascii="Verdana" w:hAnsi="Verdana"/>
          <w:sz w:val="20"/>
        </w:rPr>
        <w:lastRenderedPageBreak/>
        <w:t>antecedentes sobre las tipologías que se utilizan para amedrentar, lesionar e intimidar a los defensores</w:t>
      </w:r>
      <w:r w:rsidR="00DE2C46" w:rsidRPr="009D5EA7">
        <w:rPr>
          <w:rFonts w:ascii="Verdana" w:hAnsi="Verdana"/>
          <w:sz w:val="20"/>
        </w:rPr>
        <w:t xml:space="preserve">; </w:t>
      </w:r>
      <w:r w:rsidR="000F0A17" w:rsidRPr="009D5EA7">
        <w:rPr>
          <w:rFonts w:ascii="Verdana" w:hAnsi="Verdana"/>
          <w:sz w:val="20"/>
        </w:rPr>
        <w:t>los asuntos que asumía en ese momento el defensor</w:t>
      </w:r>
      <w:r w:rsidR="00DE2C46" w:rsidRPr="009D5EA7">
        <w:rPr>
          <w:rFonts w:ascii="Verdana" w:hAnsi="Verdana"/>
          <w:sz w:val="20"/>
        </w:rPr>
        <w:t xml:space="preserve">; </w:t>
      </w:r>
      <w:r w:rsidR="000F0A17" w:rsidRPr="009D5EA7">
        <w:rPr>
          <w:rFonts w:ascii="Verdana" w:hAnsi="Verdana"/>
          <w:sz w:val="20"/>
        </w:rPr>
        <w:t xml:space="preserve">quién podía tener interés en </w:t>
      </w:r>
      <w:r w:rsidR="005E1965" w:rsidRPr="009D5EA7">
        <w:rPr>
          <w:rFonts w:ascii="Verdana" w:hAnsi="Verdana"/>
          <w:sz w:val="20"/>
        </w:rPr>
        <w:t>“</w:t>
      </w:r>
      <w:r w:rsidR="000F0A17" w:rsidRPr="009D5EA7">
        <w:rPr>
          <w:rFonts w:ascii="Verdana" w:hAnsi="Verdana"/>
          <w:sz w:val="20"/>
        </w:rPr>
        <w:t>quitar</w:t>
      </w:r>
      <w:r w:rsidR="00DE2C46" w:rsidRPr="009D5EA7">
        <w:rPr>
          <w:rFonts w:ascii="Verdana" w:hAnsi="Verdana"/>
          <w:sz w:val="20"/>
        </w:rPr>
        <w:t xml:space="preserve">lo </w:t>
      </w:r>
      <w:r w:rsidR="00540C65" w:rsidRPr="009D5EA7">
        <w:rPr>
          <w:rFonts w:ascii="Verdana" w:hAnsi="Verdana"/>
          <w:sz w:val="20"/>
        </w:rPr>
        <w:t>del medio</w:t>
      </w:r>
      <w:r w:rsidR="005E1965" w:rsidRPr="009D5EA7">
        <w:rPr>
          <w:rFonts w:ascii="Verdana" w:hAnsi="Verdana"/>
          <w:sz w:val="20"/>
        </w:rPr>
        <w:t>”</w:t>
      </w:r>
      <w:r w:rsidR="00540C65" w:rsidRPr="009D5EA7">
        <w:rPr>
          <w:rFonts w:ascii="Verdana" w:hAnsi="Verdana"/>
          <w:sz w:val="20"/>
        </w:rPr>
        <w:t>; l</w:t>
      </w:r>
      <w:r w:rsidR="000F0A17" w:rsidRPr="009D5EA7">
        <w:rPr>
          <w:rFonts w:ascii="Verdana" w:hAnsi="Verdana"/>
          <w:sz w:val="20"/>
        </w:rPr>
        <w:t>a forma de ejecutar el comportamiento</w:t>
      </w:r>
      <w:r w:rsidR="00540C65" w:rsidRPr="009D5EA7">
        <w:rPr>
          <w:rFonts w:ascii="Verdana" w:hAnsi="Verdana"/>
          <w:sz w:val="20"/>
        </w:rPr>
        <w:t xml:space="preserve"> del autor para descubrir su</w:t>
      </w:r>
      <w:r w:rsidR="000F0A17" w:rsidRPr="009D5EA7">
        <w:rPr>
          <w:rFonts w:ascii="Verdana" w:hAnsi="Verdana"/>
          <w:sz w:val="20"/>
        </w:rPr>
        <w:t xml:space="preserve"> intencionalidad</w:t>
      </w:r>
      <w:r w:rsidR="00C05604" w:rsidRPr="009D5EA7">
        <w:rPr>
          <w:rStyle w:val="Refdenotaalpie"/>
          <w:rFonts w:ascii="Verdana" w:hAnsi="Verdana"/>
          <w:sz w:val="20"/>
        </w:rPr>
        <w:footnoteReference w:id="155"/>
      </w:r>
      <w:r w:rsidR="00540C65" w:rsidRPr="009D5EA7">
        <w:rPr>
          <w:rFonts w:ascii="Verdana" w:hAnsi="Verdana"/>
          <w:sz w:val="20"/>
        </w:rPr>
        <w:t xml:space="preserve">. </w:t>
      </w:r>
      <w:r w:rsidR="00D835AD" w:rsidRPr="009D5EA7">
        <w:rPr>
          <w:rFonts w:ascii="Verdana" w:hAnsi="Verdana"/>
          <w:sz w:val="20"/>
        </w:rPr>
        <w:t>L</w:t>
      </w:r>
      <w:r w:rsidR="000F0A17" w:rsidRPr="009D5EA7">
        <w:rPr>
          <w:rFonts w:ascii="Verdana" w:hAnsi="Verdana"/>
          <w:sz w:val="20"/>
        </w:rPr>
        <w:t xml:space="preserve">a investigación debe reconocer los elementos que permitan establecer </w:t>
      </w:r>
      <w:r w:rsidR="00D835AD" w:rsidRPr="009D5EA7">
        <w:rPr>
          <w:rFonts w:ascii="Verdana" w:hAnsi="Verdana"/>
          <w:sz w:val="20"/>
        </w:rPr>
        <w:t>si</w:t>
      </w:r>
      <w:r w:rsidR="000F0A17" w:rsidRPr="009D5EA7">
        <w:rPr>
          <w:rFonts w:ascii="Verdana" w:hAnsi="Verdana"/>
          <w:sz w:val="20"/>
        </w:rPr>
        <w:t xml:space="preserve"> </w:t>
      </w:r>
      <w:r w:rsidR="005E1965" w:rsidRPr="009D5EA7">
        <w:rPr>
          <w:rFonts w:ascii="Verdana" w:hAnsi="Verdana"/>
          <w:sz w:val="20"/>
        </w:rPr>
        <w:t>hubo</w:t>
      </w:r>
      <w:r w:rsidR="000F0A17" w:rsidRPr="009D5EA7">
        <w:rPr>
          <w:rFonts w:ascii="Verdana" w:hAnsi="Verdana"/>
          <w:sz w:val="20"/>
        </w:rPr>
        <w:t xml:space="preserve"> actores i</w:t>
      </w:r>
      <w:r w:rsidR="00540C65" w:rsidRPr="009D5EA7">
        <w:rPr>
          <w:rFonts w:ascii="Verdana" w:hAnsi="Verdana"/>
          <w:sz w:val="20"/>
        </w:rPr>
        <w:t>ntelectuales</w:t>
      </w:r>
      <w:r w:rsidR="005E1965" w:rsidRPr="009D5EA7">
        <w:rPr>
          <w:rFonts w:ascii="Verdana" w:hAnsi="Verdana"/>
          <w:sz w:val="20"/>
        </w:rPr>
        <w:t xml:space="preserve"> y si</w:t>
      </w:r>
      <w:r w:rsidR="00540C65" w:rsidRPr="009D5EA7">
        <w:rPr>
          <w:rFonts w:ascii="Verdana" w:hAnsi="Verdana"/>
          <w:sz w:val="20"/>
        </w:rPr>
        <w:t xml:space="preserve"> no actuaron solos, a saber: l</w:t>
      </w:r>
      <w:r w:rsidR="000F0A17" w:rsidRPr="009D5EA7">
        <w:rPr>
          <w:rFonts w:ascii="Verdana" w:hAnsi="Verdana"/>
          <w:sz w:val="20"/>
        </w:rPr>
        <w:t>a existencia de móvil resp</w:t>
      </w:r>
      <w:r w:rsidR="00540C65" w:rsidRPr="009D5EA7">
        <w:rPr>
          <w:rFonts w:ascii="Verdana" w:hAnsi="Verdana"/>
          <w:sz w:val="20"/>
        </w:rPr>
        <w:t>ecto de lo</w:t>
      </w:r>
      <w:r w:rsidR="00D835AD" w:rsidRPr="009D5EA7">
        <w:rPr>
          <w:rFonts w:ascii="Verdana" w:hAnsi="Verdana"/>
          <w:sz w:val="20"/>
        </w:rPr>
        <w:t>s autores materiales;</w:t>
      </w:r>
      <w:r w:rsidR="00540C65" w:rsidRPr="009D5EA7">
        <w:rPr>
          <w:rFonts w:ascii="Verdana" w:hAnsi="Verdana"/>
          <w:sz w:val="20"/>
        </w:rPr>
        <w:t xml:space="preserve"> </w:t>
      </w:r>
      <w:r w:rsidR="000F0A17" w:rsidRPr="009D5EA7">
        <w:rPr>
          <w:rFonts w:ascii="Verdana" w:hAnsi="Verdana"/>
          <w:sz w:val="20"/>
        </w:rPr>
        <w:t xml:space="preserve">las armas o mecanismos </w:t>
      </w:r>
      <w:r w:rsidR="00540C65" w:rsidRPr="009D5EA7">
        <w:rPr>
          <w:rFonts w:ascii="Verdana" w:hAnsi="Verdana"/>
          <w:sz w:val="20"/>
        </w:rPr>
        <w:t xml:space="preserve">utilizados; la </w:t>
      </w:r>
      <w:r w:rsidR="000F0A17" w:rsidRPr="009D5EA7">
        <w:rPr>
          <w:rFonts w:ascii="Verdana" w:hAnsi="Verdana"/>
          <w:sz w:val="20"/>
        </w:rPr>
        <w:t>relación o vínculo entre los presuntos autores materiales y l</w:t>
      </w:r>
      <w:r w:rsidR="00540C65" w:rsidRPr="009D5EA7">
        <w:rPr>
          <w:rFonts w:ascii="Verdana" w:hAnsi="Verdana"/>
          <w:sz w:val="20"/>
        </w:rPr>
        <w:t>os presuntos determinadores; l</w:t>
      </w:r>
      <w:r w:rsidR="000F0A17" w:rsidRPr="009D5EA7">
        <w:rPr>
          <w:rFonts w:ascii="Verdana" w:hAnsi="Verdana"/>
          <w:sz w:val="20"/>
        </w:rPr>
        <w:t xml:space="preserve">a relación entre los elementos utilizados para el </w:t>
      </w:r>
      <w:r w:rsidR="00540C65" w:rsidRPr="009D5EA7">
        <w:rPr>
          <w:rFonts w:ascii="Verdana" w:hAnsi="Verdana"/>
          <w:sz w:val="20"/>
        </w:rPr>
        <w:t>crimen y los diferentes sujetos, entre otros</w:t>
      </w:r>
      <w:r w:rsidR="00D835AD" w:rsidRPr="009D5EA7">
        <w:rPr>
          <w:rStyle w:val="Refdenotaalpie"/>
          <w:rFonts w:ascii="Verdana" w:hAnsi="Verdana"/>
          <w:sz w:val="20"/>
        </w:rPr>
        <w:footnoteReference w:id="156"/>
      </w:r>
      <w:r w:rsidR="00540C65" w:rsidRPr="009D5EA7">
        <w:rPr>
          <w:rFonts w:ascii="Verdana" w:hAnsi="Verdana"/>
          <w:sz w:val="20"/>
        </w:rPr>
        <w:t>.</w:t>
      </w:r>
      <w:r w:rsidR="000F0A17" w:rsidRPr="009D5EA7">
        <w:rPr>
          <w:rFonts w:ascii="Verdana" w:hAnsi="Verdana"/>
          <w:sz w:val="20"/>
        </w:rPr>
        <w:t xml:space="preserve"> </w:t>
      </w:r>
    </w:p>
    <w:p w14:paraId="0212E4E7" w14:textId="77777777" w:rsidR="00B408BD" w:rsidRPr="009D5EA7" w:rsidRDefault="00B408BD" w:rsidP="00B408BD">
      <w:pPr>
        <w:pStyle w:val="Prrafodelista"/>
        <w:autoSpaceDE w:val="0"/>
        <w:autoSpaceDN w:val="0"/>
        <w:adjustRightInd w:val="0"/>
        <w:ind w:left="0" w:right="34"/>
        <w:jc w:val="both"/>
        <w:rPr>
          <w:rFonts w:ascii="Verdana" w:hAnsi="Verdana" w:cs="Arial"/>
          <w:spacing w:val="-2"/>
          <w:sz w:val="20"/>
        </w:rPr>
      </w:pPr>
    </w:p>
    <w:p w14:paraId="4E3DD046" w14:textId="24B9BF6A" w:rsidR="00AA107D" w:rsidRPr="009D5EA7" w:rsidRDefault="00AA107D" w:rsidP="00AA107D">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 xml:space="preserve">En este sentido, el Estado alegó que </w:t>
      </w:r>
      <w:r w:rsidR="00944CCF" w:rsidRPr="009D5EA7">
        <w:rPr>
          <w:rFonts w:ascii="Verdana" w:hAnsi="Verdana" w:cs="Arial"/>
          <w:spacing w:val="-2"/>
          <w:sz w:val="20"/>
        </w:rPr>
        <w:t xml:space="preserve">en el proceso penal interno </w:t>
      </w:r>
      <w:r w:rsidRPr="009D5EA7">
        <w:rPr>
          <w:rFonts w:ascii="Verdana" w:hAnsi="Verdana" w:cs="Arial"/>
          <w:spacing w:val="-2"/>
          <w:sz w:val="20"/>
        </w:rPr>
        <w:t>no quedó acreditado que el móvil del delito estuviese relacionado con esa</w:t>
      </w:r>
      <w:r w:rsidR="0046246B">
        <w:rPr>
          <w:rFonts w:ascii="Verdana" w:hAnsi="Verdana" w:cs="Arial"/>
          <w:spacing w:val="-2"/>
          <w:sz w:val="20"/>
        </w:rPr>
        <w:t xml:space="preserve"> actividad de la señora Acosta. </w:t>
      </w:r>
      <w:r w:rsidR="00C05604" w:rsidRPr="009D5EA7">
        <w:rPr>
          <w:rFonts w:ascii="Verdana" w:hAnsi="Verdana" w:cs="Arial"/>
          <w:spacing w:val="-2"/>
          <w:sz w:val="20"/>
        </w:rPr>
        <w:t>Al respecto, el Tribunal</w:t>
      </w:r>
      <w:r w:rsidR="00944CCF" w:rsidRPr="009D5EA7">
        <w:rPr>
          <w:rFonts w:ascii="Verdana" w:hAnsi="Verdana" w:cs="Arial"/>
          <w:spacing w:val="-2"/>
          <w:sz w:val="20"/>
        </w:rPr>
        <w:t xml:space="preserve"> hace notar que, durante la fase instructiva y antes de dictar un sobreseimiento definitivo a su favor, el juez se limitó a escuchar la declaración de los presuntos autores intelectuales, quienes negaron los hechos; </w:t>
      </w:r>
      <w:r w:rsidR="001B7846" w:rsidRPr="009D5EA7">
        <w:rPr>
          <w:rFonts w:ascii="Verdana" w:hAnsi="Verdana" w:cs="Arial"/>
          <w:spacing w:val="-2"/>
          <w:sz w:val="20"/>
        </w:rPr>
        <w:t xml:space="preserve">a </w:t>
      </w:r>
      <w:r w:rsidR="00944CCF" w:rsidRPr="009D5EA7">
        <w:rPr>
          <w:rFonts w:ascii="Verdana" w:hAnsi="Verdana" w:cs="Arial"/>
          <w:spacing w:val="-2"/>
          <w:sz w:val="20"/>
        </w:rPr>
        <w:t>indagar en sus cuentas bancarias y</w:t>
      </w:r>
      <w:r w:rsidR="001B7846" w:rsidRPr="009D5EA7">
        <w:rPr>
          <w:rFonts w:ascii="Verdana" w:hAnsi="Verdana" w:cs="Arial"/>
          <w:spacing w:val="-2"/>
          <w:sz w:val="20"/>
        </w:rPr>
        <w:t xml:space="preserve"> a</w:t>
      </w:r>
      <w:r w:rsidR="00944CCF" w:rsidRPr="009D5EA7">
        <w:rPr>
          <w:rFonts w:ascii="Verdana" w:hAnsi="Verdana" w:cs="Arial"/>
          <w:spacing w:val="-2"/>
          <w:sz w:val="20"/>
        </w:rPr>
        <w:t xml:space="preserve"> realizar un registro del domicilio de uno de ellos, diligencias que el Estado no ha demostrado que resultaran idóneas, suficientes y potencialmente </w:t>
      </w:r>
      <w:r w:rsidR="0066242F" w:rsidRPr="009D5EA7">
        <w:rPr>
          <w:rFonts w:ascii="Verdana" w:hAnsi="Verdana" w:cs="Arial"/>
          <w:spacing w:val="-2"/>
          <w:sz w:val="20"/>
        </w:rPr>
        <w:t>eficaces para</w:t>
      </w:r>
      <w:r w:rsidR="00944CCF" w:rsidRPr="009D5EA7">
        <w:rPr>
          <w:rFonts w:ascii="Verdana" w:hAnsi="Verdana" w:cs="Arial"/>
          <w:spacing w:val="-2"/>
          <w:sz w:val="20"/>
        </w:rPr>
        <w:t xml:space="preserve"> determinar su posible participación en los hechos. </w:t>
      </w:r>
      <w:r w:rsidR="00A23BCA" w:rsidRPr="009D5EA7">
        <w:rPr>
          <w:rFonts w:ascii="Verdana" w:hAnsi="Verdana" w:cs="Arial"/>
          <w:spacing w:val="-2"/>
          <w:sz w:val="20"/>
        </w:rPr>
        <w:t>Además, el Estado no controvirtió que la actuación de la Policía Nacional fue</w:t>
      </w:r>
      <w:r w:rsidR="00255CA7" w:rsidRPr="009D5EA7">
        <w:rPr>
          <w:rFonts w:ascii="Verdana" w:hAnsi="Verdana" w:cs="Arial"/>
          <w:spacing w:val="-2"/>
          <w:sz w:val="20"/>
        </w:rPr>
        <w:t>ra</w:t>
      </w:r>
      <w:r w:rsidR="00A23BCA" w:rsidRPr="009D5EA7">
        <w:rPr>
          <w:rFonts w:ascii="Verdana" w:hAnsi="Verdana" w:cs="Arial"/>
          <w:spacing w:val="-2"/>
          <w:sz w:val="20"/>
        </w:rPr>
        <w:t xml:space="preserve"> menos rigurosa en la inspección de</w:t>
      </w:r>
      <w:r w:rsidR="00255CA7" w:rsidRPr="009D5EA7">
        <w:rPr>
          <w:rFonts w:ascii="Verdana" w:hAnsi="Verdana" w:cs="Arial"/>
          <w:spacing w:val="-2"/>
          <w:sz w:val="20"/>
        </w:rPr>
        <w:t>l</w:t>
      </w:r>
      <w:r w:rsidR="00A23BCA" w:rsidRPr="009D5EA7">
        <w:rPr>
          <w:rFonts w:ascii="Verdana" w:hAnsi="Verdana" w:cs="Arial"/>
          <w:spacing w:val="-2"/>
          <w:sz w:val="20"/>
        </w:rPr>
        <w:t xml:space="preserve"> inmueble de PT </w:t>
      </w:r>
      <w:r w:rsidR="00255CA7" w:rsidRPr="009D5EA7">
        <w:rPr>
          <w:rFonts w:ascii="Verdana" w:hAnsi="Verdana" w:cs="Arial"/>
          <w:spacing w:val="-2"/>
          <w:sz w:val="20"/>
        </w:rPr>
        <w:t xml:space="preserve">respecto de la realizada en </w:t>
      </w:r>
      <w:r w:rsidR="00A23BCA" w:rsidRPr="009D5EA7">
        <w:rPr>
          <w:rFonts w:ascii="Verdana" w:hAnsi="Verdana" w:cs="Arial"/>
          <w:spacing w:val="-2"/>
          <w:sz w:val="20"/>
        </w:rPr>
        <w:t xml:space="preserve">el inmueble del señor García Valle, pues no se especificó el tipo de diligencias realizadas para determinar que el resultado no era de interés policial, ni fue establecido el objetivo del referido registro. </w:t>
      </w:r>
      <w:r w:rsidR="00944CCF" w:rsidRPr="009D5EA7">
        <w:rPr>
          <w:rFonts w:ascii="Verdana" w:hAnsi="Verdana" w:cs="Arial"/>
          <w:spacing w:val="-2"/>
          <w:sz w:val="20"/>
        </w:rPr>
        <w:t>Más allá</w:t>
      </w:r>
      <w:r w:rsidRPr="009D5EA7">
        <w:rPr>
          <w:rFonts w:ascii="Verdana" w:hAnsi="Verdana" w:cs="Arial"/>
          <w:spacing w:val="-2"/>
          <w:sz w:val="20"/>
        </w:rPr>
        <w:t xml:space="preserve"> de </w:t>
      </w:r>
      <w:r w:rsidR="00C05604" w:rsidRPr="009D5EA7">
        <w:rPr>
          <w:rFonts w:ascii="Verdana" w:hAnsi="Verdana" w:cs="Arial"/>
          <w:spacing w:val="-2"/>
          <w:sz w:val="20"/>
        </w:rPr>
        <w:t xml:space="preserve">si </w:t>
      </w:r>
      <w:r w:rsidR="001B7846" w:rsidRPr="009D5EA7">
        <w:rPr>
          <w:rFonts w:ascii="Verdana" w:hAnsi="Verdana" w:cs="Arial"/>
          <w:spacing w:val="-2"/>
          <w:sz w:val="20"/>
        </w:rPr>
        <w:t>esos</w:t>
      </w:r>
      <w:r w:rsidRPr="009D5EA7">
        <w:rPr>
          <w:rFonts w:ascii="Verdana" w:hAnsi="Verdana" w:cs="Arial"/>
          <w:spacing w:val="-2"/>
          <w:sz w:val="20"/>
        </w:rPr>
        <w:t xml:space="preserve"> </w:t>
      </w:r>
      <w:r w:rsidR="00944CCF" w:rsidRPr="009D5EA7">
        <w:rPr>
          <w:rFonts w:ascii="Verdana" w:hAnsi="Verdana" w:cs="Arial"/>
          <w:spacing w:val="-2"/>
          <w:sz w:val="20"/>
        </w:rPr>
        <w:t xml:space="preserve">pocos </w:t>
      </w:r>
      <w:r w:rsidRPr="009D5EA7">
        <w:rPr>
          <w:rFonts w:ascii="Verdana" w:hAnsi="Verdana" w:cs="Arial"/>
          <w:spacing w:val="-2"/>
          <w:sz w:val="20"/>
        </w:rPr>
        <w:t xml:space="preserve">elementos probatorios evacuados </w:t>
      </w:r>
      <w:r w:rsidR="00944CCF" w:rsidRPr="009D5EA7">
        <w:rPr>
          <w:rFonts w:ascii="Verdana" w:hAnsi="Verdana" w:cs="Arial"/>
          <w:spacing w:val="-2"/>
          <w:sz w:val="20"/>
        </w:rPr>
        <w:t xml:space="preserve">por el juez </w:t>
      </w:r>
      <w:r w:rsidRPr="009D5EA7">
        <w:rPr>
          <w:rFonts w:ascii="Verdana" w:hAnsi="Verdana" w:cs="Arial"/>
          <w:spacing w:val="-2"/>
          <w:sz w:val="20"/>
        </w:rPr>
        <w:t xml:space="preserve">en </w:t>
      </w:r>
      <w:r w:rsidR="009C4EBE" w:rsidRPr="009D5EA7">
        <w:rPr>
          <w:rFonts w:ascii="Verdana" w:hAnsi="Verdana" w:cs="Arial"/>
          <w:spacing w:val="-2"/>
          <w:sz w:val="20"/>
        </w:rPr>
        <w:t>el primer mes de la fase instructiva</w:t>
      </w:r>
      <w:r w:rsidR="00C05604" w:rsidRPr="009D5EA7">
        <w:rPr>
          <w:rFonts w:ascii="Verdana" w:hAnsi="Verdana" w:cs="Arial"/>
          <w:spacing w:val="-2"/>
          <w:sz w:val="20"/>
        </w:rPr>
        <w:t xml:space="preserve"> permitían acreditar tal móvil</w:t>
      </w:r>
      <w:r w:rsidR="001B7846" w:rsidRPr="009D5EA7">
        <w:rPr>
          <w:rFonts w:ascii="Verdana" w:hAnsi="Verdana" w:cs="Arial"/>
          <w:spacing w:val="-2"/>
          <w:sz w:val="20"/>
        </w:rPr>
        <w:t>,</w:t>
      </w:r>
      <w:r w:rsidR="009C4EBE" w:rsidRPr="009D5EA7">
        <w:rPr>
          <w:rFonts w:ascii="Verdana" w:hAnsi="Verdana" w:cs="Arial"/>
          <w:spacing w:val="-2"/>
          <w:sz w:val="20"/>
        </w:rPr>
        <w:t xml:space="preserve"> </w:t>
      </w:r>
      <w:r w:rsidRPr="009D5EA7">
        <w:rPr>
          <w:rFonts w:ascii="Verdana" w:hAnsi="Verdana" w:cs="Arial"/>
          <w:spacing w:val="-2"/>
          <w:sz w:val="20"/>
        </w:rPr>
        <w:t>lo cierto es que sí correspondía a la</w:t>
      </w:r>
      <w:r w:rsidR="001B7846" w:rsidRPr="009D5EA7">
        <w:rPr>
          <w:rFonts w:ascii="Verdana" w:hAnsi="Verdana" w:cs="Arial"/>
          <w:spacing w:val="-2"/>
          <w:sz w:val="20"/>
        </w:rPr>
        <w:t xml:space="preserve"> autoridad judicial encargada </w:t>
      </w:r>
      <w:r w:rsidR="00C05604" w:rsidRPr="009D5EA7">
        <w:rPr>
          <w:rFonts w:ascii="Verdana" w:hAnsi="Verdana" w:cs="Arial"/>
          <w:spacing w:val="-2"/>
          <w:sz w:val="20"/>
        </w:rPr>
        <w:t>agotar las diligencias para establecer o descartar</w:t>
      </w:r>
      <w:r w:rsidRPr="009D5EA7">
        <w:rPr>
          <w:rFonts w:ascii="Verdana" w:hAnsi="Verdana" w:cs="Arial"/>
          <w:spacing w:val="-2"/>
          <w:sz w:val="20"/>
        </w:rPr>
        <w:t xml:space="preserve"> </w:t>
      </w:r>
      <w:r w:rsidR="00344C00" w:rsidRPr="009D5EA7">
        <w:rPr>
          <w:rFonts w:ascii="Verdana" w:hAnsi="Verdana" w:cs="Arial"/>
          <w:spacing w:val="-2"/>
          <w:sz w:val="20"/>
        </w:rPr>
        <w:t xml:space="preserve">una hipótesis que </w:t>
      </w:r>
      <w:r w:rsidRPr="009D5EA7">
        <w:rPr>
          <w:rFonts w:ascii="Verdana" w:hAnsi="Verdana" w:cs="Arial"/>
          <w:spacing w:val="-2"/>
          <w:sz w:val="20"/>
        </w:rPr>
        <w:t xml:space="preserve">resultaba plausible a partir del contexto de los hechos </w:t>
      </w:r>
      <w:r w:rsidR="00344C00" w:rsidRPr="009D5EA7">
        <w:rPr>
          <w:rFonts w:ascii="Verdana" w:hAnsi="Verdana" w:cs="Arial"/>
          <w:spacing w:val="-2"/>
          <w:sz w:val="20"/>
        </w:rPr>
        <w:t xml:space="preserve">y </w:t>
      </w:r>
      <w:r w:rsidR="00255CA7" w:rsidRPr="009D5EA7">
        <w:rPr>
          <w:rFonts w:ascii="Verdana" w:hAnsi="Verdana" w:cs="Arial"/>
          <w:spacing w:val="-2"/>
          <w:sz w:val="20"/>
        </w:rPr>
        <w:t>de</w:t>
      </w:r>
      <w:r w:rsidRPr="009D5EA7">
        <w:rPr>
          <w:rFonts w:ascii="Verdana" w:hAnsi="Verdana" w:cs="Arial"/>
          <w:spacing w:val="-2"/>
          <w:sz w:val="20"/>
        </w:rPr>
        <w:t xml:space="preserve"> la declaración de</w:t>
      </w:r>
      <w:r w:rsidR="00344C00" w:rsidRPr="009D5EA7">
        <w:rPr>
          <w:rFonts w:ascii="Verdana" w:hAnsi="Verdana" w:cs="Arial"/>
          <w:spacing w:val="-2"/>
          <w:sz w:val="20"/>
        </w:rPr>
        <w:t xml:space="preserve"> la presunta víctima</w:t>
      </w:r>
      <w:r w:rsidRPr="009D5EA7">
        <w:rPr>
          <w:rStyle w:val="Refdenotaalpie"/>
          <w:rFonts w:ascii="Verdana" w:hAnsi="Verdana" w:cs="Arial"/>
          <w:spacing w:val="-2"/>
          <w:sz w:val="20"/>
        </w:rPr>
        <w:footnoteReference w:id="157"/>
      </w:r>
      <w:r w:rsidRPr="009D5EA7">
        <w:rPr>
          <w:rFonts w:ascii="Verdana" w:hAnsi="Verdana" w:cs="Arial"/>
          <w:spacing w:val="-2"/>
          <w:sz w:val="20"/>
        </w:rPr>
        <w:t xml:space="preserve">. </w:t>
      </w:r>
    </w:p>
    <w:p w14:paraId="46270759" w14:textId="77777777" w:rsidR="004F5941" w:rsidRPr="009D5EA7" w:rsidRDefault="004F5941" w:rsidP="004F5941">
      <w:pPr>
        <w:pStyle w:val="Prrafodelista"/>
        <w:rPr>
          <w:rFonts w:ascii="Cambria" w:hAnsi="Cambria" w:cs="Arial Narrow"/>
          <w:spacing w:val="-2"/>
          <w:sz w:val="20"/>
        </w:rPr>
      </w:pPr>
    </w:p>
    <w:p w14:paraId="0816C194" w14:textId="48A05372" w:rsidR="00FF2DE7" w:rsidRPr="00465A77" w:rsidRDefault="001B7846" w:rsidP="00465A77">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Sin embargo</w:t>
      </w:r>
      <w:r w:rsidR="00540C65" w:rsidRPr="009D5EA7">
        <w:rPr>
          <w:rFonts w:ascii="Verdana" w:hAnsi="Verdana" w:cs="Arial"/>
          <w:spacing w:val="-2"/>
          <w:sz w:val="20"/>
        </w:rPr>
        <w:t>, d</w:t>
      </w:r>
      <w:r w:rsidR="003D18F9" w:rsidRPr="009D5EA7">
        <w:rPr>
          <w:rFonts w:ascii="Verdana" w:hAnsi="Verdana" w:cs="Arial"/>
          <w:spacing w:val="-2"/>
          <w:sz w:val="20"/>
        </w:rPr>
        <w:t>e lo act</w:t>
      </w:r>
      <w:r w:rsidRPr="009D5EA7">
        <w:rPr>
          <w:rFonts w:ascii="Verdana" w:hAnsi="Verdana" w:cs="Arial"/>
          <w:spacing w:val="-2"/>
          <w:sz w:val="20"/>
        </w:rPr>
        <w:t xml:space="preserve">uado en la fase instructiva no </w:t>
      </w:r>
      <w:r w:rsidR="003D18F9" w:rsidRPr="009D5EA7">
        <w:rPr>
          <w:rFonts w:ascii="Verdana" w:hAnsi="Verdana" w:cs="Arial"/>
          <w:spacing w:val="-2"/>
          <w:sz w:val="20"/>
        </w:rPr>
        <w:t>se desprende</w:t>
      </w:r>
      <w:r w:rsidR="00255CA7" w:rsidRPr="009D5EA7">
        <w:rPr>
          <w:rFonts w:ascii="Verdana" w:hAnsi="Verdana" w:cs="Arial"/>
          <w:spacing w:val="-2"/>
          <w:sz w:val="20"/>
        </w:rPr>
        <w:t xml:space="preserve"> que se investigara diligentemente tal hipótesis</w:t>
      </w:r>
      <w:r w:rsidR="00465A77">
        <w:rPr>
          <w:rFonts w:ascii="Verdana" w:hAnsi="Verdana" w:cs="Arial"/>
          <w:spacing w:val="-2"/>
          <w:sz w:val="20"/>
        </w:rPr>
        <w:t xml:space="preserve">, </w:t>
      </w:r>
      <w:r w:rsidR="00465A77" w:rsidRPr="00C10D2F">
        <w:rPr>
          <w:rFonts w:ascii="Verdana" w:hAnsi="Verdana" w:cs="Arial"/>
          <w:spacing w:val="-2"/>
          <w:sz w:val="20"/>
        </w:rPr>
        <w:t>sino que, por el contrario, se procedió con tan grave desvío de las reglas racionales de un curso de investigación criminal, que constituyen indicios de una voluntad dirigida deliberadamente</w:t>
      </w:r>
      <w:r w:rsidR="007F401D" w:rsidRPr="00C10D2F">
        <w:rPr>
          <w:rFonts w:ascii="Verdana" w:hAnsi="Verdana" w:cs="Arial"/>
          <w:spacing w:val="-2"/>
          <w:sz w:val="20"/>
        </w:rPr>
        <w:t xml:space="preserve"> a tal propósito</w:t>
      </w:r>
      <w:r w:rsidR="00465A77" w:rsidRPr="00C10D2F">
        <w:rPr>
          <w:rFonts w:ascii="Verdana" w:hAnsi="Verdana" w:cs="Arial"/>
          <w:spacing w:val="-2"/>
          <w:sz w:val="20"/>
        </w:rPr>
        <w:t xml:space="preserve">, en particular si se lo valora conjuntamente con los obstáculos opuestos a la revisión del sobreseimiento por parte de la alzada. Entre otras circunstancias respecto del hecho mismo del sobreseimiento, cabe observar </w:t>
      </w:r>
      <w:r w:rsidR="00C05604" w:rsidRPr="00465A77">
        <w:rPr>
          <w:rFonts w:ascii="Verdana" w:hAnsi="Verdana" w:cs="Arial"/>
          <w:spacing w:val="-2"/>
          <w:sz w:val="20"/>
        </w:rPr>
        <w:t xml:space="preserve">que </w:t>
      </w:r>
      <w:r w:rsidR="00C10D2F">
        <w:rPr>
          <w:rFonts w:ascii="Verdana" w:hAnsi="Verdana" w:cs="Arial"/>
          <w:spacing w:val="-2"/>
          <w:sz w:val="20"/>
        </w:rPr>
        <w:t xml:space="preserve">no consta que </w:t>
      </w:r>
      <w:r w:rsidRPr="00465A77">
        <w:rPr>
          <w:rFonts w:ascii="Verdana" w:hAnsi="Verdana" w:cs="Arial"/>
          <w:spacing w:val="-2"/>
          <w:sz w:val="20"/>
        </w:rPr>
        <w:t>l</w:t>
      </w:r>
      <w:r w:rsidR="004F5941" w:rsidRPr="00465A77">
        <w:rPr>
          <w:rFonts w:ascii="Verdana" w:hAnsi="Verdana" w:cs="Arial"/>
          <w:spacing w:val="-2"/>
          <w:sz w:val="20"/>
        </w:rPr>
        <w:t xml:space="preserve">as personas que rindieron declaraciones </w:t>
      </w:r>
      <w:r w:rsidRPr="00465A77">
        <w:rPr>
          <w:rFonts w:ascii="Verdana" w:hAnsi="Verdana" w:cs="Arial"/>
          <w:spacing w:val="-2"/>
          <w:sz w:val="20"/>
        </w:rPr>
        <w:t>fuer</w:t>
      </w:r>
      <w:r w:rsidR="00C10D2F">
        <w:rPr>
          <w:rFonts w:ascii="Verdana" w:hAnsi="Verdana" w:cs="Arial"/>
          <w:spacing w:val="-2"/>
          <w:sz w:val="20"/>
        </w:rPr>
        <w:t>a</w:t>
      </w:r>
      <w:r w:rsidRPr="00465A77">
        <w:rPr>
          <w:rFonts w:ascii="Verdana" w:hAnsi="Verdana" w:cs="Arial"/>
          <w:spacing w:val="-2"/>
          <w:sz w:val="20"/>
        </w:rPr>
        <w:t xml:space="preserve">n </w:t>
      </w:r>
      <w:r w:rsidR="004F5941" w:rsidRPr="00465A77">
        <w:rPr>
          <w:rFonts w:ascii="Verdana" w:hAnsi="Verdana" w:cs="Arial"/>
          <w:spacing w:val="-2"/>
          <w:sz w:val="20"/>
        </w:rPr>
        <w:t xml:space="preserve">interrogadas </w:t>
      </w:r>
      <w:r w:rsidR="003D18F9" w:rsidRPr="00465A77">
        <w:rPr>
          <w:rFonts w:ascii="Verdana" w:hAnsi="Verdana" w:cs="Arial"/>
          <w:spacing w:val="-2"/>
          <w:sz w:val="20"/>
        </w:rPr>
        <w:t>en el sentido de establecer relaciones entre el móvil del hecho y las actividades de la señora Acosta o</w:t>
      </w:r>
      <w:r w:rsidR="0066242F" w:rsidRPr="00465A77">
        <w:rPr>
          <w:rFonts w:ascii="Verdana" w:hAnsi="Verdana" w:cs="Arial"/>
          <w:spacing w:val="-2"/>
          <w:sz w:val="20"/>
        </w:rPr>
        <w:t xml:space="preserve"> sobre </w:t>
      </w:r>
      <w:r w:rsidR="00255CA7" w:rsidRPr="00465A77">
        <w:rPr>
          <w:rFonts w:ascii="Verdana" w:hAnsi="Verdana" w:cs="Arial"/>
          <w:spacing w:val="-2"/>
          <w:sz w:val="20"/>
        </w:rPr>
        <w:t xml:space="preserve">intereses posibles o relevantes de los </w:t>
      </w:r>
      <w:r w:rsidR="00763DCA" w:rsidRPr="00465A77">
        <w:rPr>
          <w:rFonts w:ascii="Verdana" w:hAnsi="Verdana" w:cs="Arial"/>
          <w:spacing w:val="-2"/>
          <w:sz w:val="20"/>
        </w:rPr>
        <w:t>sospech</w:t>
      </w:r>
      <w:r w:rsidR="00245A06">
        <w:rPr>
          <w:rFonts w:ascii="Verdana" w:hAnsi="Verdana" w:cs="Arial"/>
          <w:spacing w:val="-2"/>
          <w:sz w:val="20"/>
        </w:rPr>
        <w:t>oso</w:t>
      </w:r>
      <w:r w:rsidR="00763DCA" w:rsidRPr="00465A77">
        <w:rPr>
          <w:rFonts w:ascii="Verdana" w:hAnsi="Verdana" w:cs="Arial"/>
          <w:spacing w:val="-2"/>
          <w:sz w:val="20"/>
        </w:rPr>
        <w:t>s</w:t>
      </w:r>
      <w:r w:rsidR="003D18F9" w:rsidRPr="00465A77">
        <w:rPr>
          <w:rFonts w:ascii="Verdana" w:hAnsi="Verdana" w:cs="Arial"/>
          <w:spacing w:val="-2"/>
          <w:sz w:val="20"/>
        </w:rPr>
        <w:t xml:space="preserve"> </w:t>
      </w:r>
      <w:r w:rsidR="00255CA7" w:rsidRPr="00465A77">
        <w:rPr>
          <w:rFonts w:ascii="Verdana" w:hAnsi="Verdana" w:cs="Arial"/>
          <w:spacing w:val="-2"/>
          <w:sz w:val="20"/>
        </w:rPr>
        <w:t xml:space="preserve">como autores </w:t>
      </w:r>
      <w:r w:rsidR="004F5941" w:rsidRPr="00465A77">
        <w:rPr>
          <w:rFonts w:ascii="Verdana" w:hAnsi="Verdana" w:cs="Arial"/>
          <w:spacing w:val="-2"/>
          <w:sz w:val="20"/>
        </w:rPr>
        <w:t>intelectual</w:t>
      </w:r>
      <w:r w:rsidR="003D18F9" w:rsidRPr="00465A77">
        <w:rPr>
          <w:rFonts w:ascii="Verdana" w:hAnsi="Verdana" w:cs="Arial"/>
          <w:spacing w:val="-2"/>
          <w:sz w:val="20"/>
        </w:rPr>
        <w:t>es</w:t>
      </w:r>
      <w:r w:rsidR="00606E8B" w:rsidRPr="00465A77">
        <w:rPr>
          <w:rFonts w:ascii="Verdana" w:hAnsi="Verdana" w:cs="Arial"/>
          <w:spacing w:val="-2"/>
          <w:sz w:val="20"/>
        </w:rPr>
        <w:t>.</w:t>
      </w:r>
      <w:r w:rsidRPr="00465A77">
        <w:rPr>
          <w:rFonts w:ascii="Verdana" w:hAnsi="Verdana" w:cs="Arial"/>
          <w:spacing w:val="-2"/>
          <w:sz w:val="20"/>
        </w:rPr>
        <w:t xml:space="preserve"> </w:t>
      </w:r>
      <w:r w:rsidR="00A23BCA" w:rsidRPr="00465A77">
        <w:rPr>
          <w:rFonts w:ascii="Verdana" w:hAnsi="Verdana" w:cs="Arial"/>
          <w:spacing w:val="-2"/>
          <w:sz w:val="20"/>
        </w:rPr>
        <w:t xml:space="preserve">Aun cuando </w:t>
      </w:r>
      <w:r w:rsidR="004E2391">
        <w:rPr>
          <w:rFonts w:ascii="Verdana" w:hAnsi="Verdana" w:cs="Arial"/>
          <w:spacing w:val="-2"/>
          <w:sz w:val="20"/>
        </w:rPr>
        <w:t xml:space="preserve">el médico forense remitió </w:t>
      </w:r>
      <w:r w:rsidR="00A23BCA" w:rsidRPr="00465A77">
        <w:rPr>
          <w:rFonts w:ascii="Verdana" w:hAnsi="Verdana" w:cs="Arial"/>
          <w:spacing w:val="-2"/>
          <w:sz w:val="20"/>
        </w:rPr>
        <w:t>el proyectil con el que se privó de la vida al señor García Valle</w:t>
      </w:r>
      <w:r w:rsidR="003020F2" w:rsidRPr="003020F2">
        <w:rPr>
          <w:rFonts w:ascii="Verdana" w:hAnsi="Verdana" w:cs="Arial"/>
          <w:spacing w:val="-2"/>
          <w:sz w:val="20"/>
        </w:rPr>
        <w:t xml:space="preserve"> </w:t>
      </w:r>
      <w:r w:rsidR="003020F2">
        <w:rPr>
          <w:rFonts w:ascii="Verdana" w:hAnsi="Verdana" w:cs="Arial"/>
          <w:spacing w:val="-2"/>
          <w:sz w:val="20"/>
        </w:rPr>
        <w:t xml:space="preserve">a </w:t>
      </w:r>
      <w:r w:rsidR="003020F2" w:rsidRPr="00465A77">
        <w:rPr>
          <w:rFonts w:ascii="Verdana" w:hAnsi="Verdana" w:cs="Arial"/>
          <w:spacing w:val="-2"/>
          <w:sz w:val="20"/>
        </w:rPr>
        <w:t>la Policía Nacional</w:t>
      </w:r>
      <w:r w:rsidR="00A23BCA" w:rsidRPr="00465A77">
        <w:rPr>
          <w:rFonts w:ascii="Verdana" w:hAnsi="Verdana" w:cs="Arial"/>
          <w:spacing w:val="-2"/>
          <w:sz w:val="20"/>
        </w:rPr>
        <w:t>, por considerarlo “de mucha importancia”, el juez no ordenó en esa etapa mayores diligencias para investigar el origen del mismo</w:t>
      </w:r>
      <w:r w:rsidR="0066242F" w:rsidRPr="00465A77">
        <w:rPr>
          <w:rFonts w:ascii="Verdana" w:hAnsi="Verdana" w:cs="Arial"/>
          <w:spacing w:val="-2"/>
          <w:sz w:val="20"/>
        </w:rPr>
        <w:t xml:space="preserve"> ni esperó los posteriores informes periciales</w:t>
      </w:r>
      <w:r w:rsidR="00A23BCA" w:rsidRPr="00465A77">
        <w:rPr>
          <w:rFonts w:ascii="Verdana" w:hAnsi="Verdana" w:cs="Arial"/>
          <w:spacing w:val="-2"/>
          <w:sz w:val="20"/>
        </w:rPr>
        <w:t xml:space="preserve">. </w:t>
      </w:r>
      <w:r w:rsidRPr="00465A77">
        <w:rPr>
          <w:rFonts w:ascii="Verdana" w:hAnsi="Verdana" w:cs="Arial"/>
          <w:spacing w:val="-2"/>
          <w:sz w:val="20"/>
        </w:rPr>
        <w:t>Tampoco surge que el juez procurara determinar o profundizar</w:t>
      </w:r>
      <w:r w:rsidR="00FF2DE7" w:rsidRPr="00465A77">
        <w:rPr>
          <w:rFonts w:ascii="Verdana" w:hAnsi="Verdana" w:cs="Arial"/>
          <w:spacing w:val="-2"/>
          <w:sz w:val="20"/>
        </w:rPr>
        <w:t xml:space="preserve"> en </w:t>
      </w:r>
      <w:r w:rsidR="00F21EA9" w:rsidRPr="00465A77">
        <w:rPr>
          <w:rFonts w:ascii="Verdana" w:hAnsi="Verdana" w:cs="Arial"/>
          <w:spacing w:val="-2"/>
          <w:sz w:val="20"/>
        </w:rPr>
        <w:t>la existencia de vínculo</w:t>
      </w:r>
      <w:r w:rsidR="00FF2DE7" w:rsidRPr="00465A77">
        <w:rPr>
          <w:rFonts w:ascii="Verdana" w:hAnsi="Verdana" w:cs="Arial"/>
          <w:spacing w:val="-2"/>
          <w:sz w:val="20"/>
        </w:rPr>
        <w:t>s</w:t>
      </w:r>
      <w:r w:rsidR="00F21EA9" w:rsidRPr="00465A77">
        <w:rPr>
          <w:rFonts w:ascii="Verdana" w:hAnsi="Verdana" w:cs="Arial"/>
          <w:spacing w:val="-2"/>
          <w:sz w:val="20"/>
        </w:rPr>
        <w:t xml:space="preserve"> entre los autores materiales </w:t>
      </w:r>
      <w:r w:rsidRPr="00465A77">
        <w:rPr>
          <w:rFonts w:ascii="Verdana" w:hAnsi="Verdana" w:cs="Arial"/>
          <w:spacing w:val="-2"/>
          <w:sz w:val="20"/>
        </w:rPr>
        <w:lastRenderedPageBreak/>
        <w:t xml:space="preserve">del hecho </w:t>
      </w:r>
      <w:r w:rsidR="00F21EA9" w:rsidRPr="00465A77">
        <w:rPr>
          <w:rFonts w:ascii="Verdana" w:hAnsi="Verdana" w:cs="Arial"/>
          <w:spacing w:val="-2"/>
          <w:sz w:val="20"/>
        </w:rPr>
        <w:t>y quienes fueron</w:t>
      </w:r>
      <w:r w:rsidR="00FF2DE7" w:rsidRPr="00465A77">
        <w:rPr>
          <w:rFonts w:ascii="Verdana" w:hAnsi="Verdana" w:cs="Arial"/>
          <w:spacing w:val="-2"/>
          <w:sz w:val="20"/>
        </w:rPr>
        <w:t xml:space="preserve"> </w:t>
      </w:r>
      <w:r w:rsidR="00F21EA9" w:rsidRPr="00465A77">
        <w:rPr>
          <w:rFonts w:ascii="Verdana" w:hAnsi="Verdana" w:cs="Arial"/>
          <w:spacing w:val="-2"/>
          <w:sz w:val="20"/>
        </w:rPr>
        <w:t>señalados como intelectuales</w:t>
      </w:r>
      <w:r w:rsidRPr="00465A77">
        <w:rPr>
          <w:rFonts w:ascii="Verdana" w:hAnsi="Verdana" w:cs="Arial"/>
          <w:spacing w:val="-2"/>
          <w:sz w:val="20"/>
        </w:rPr>
        <w:t>,</w:t>
      </w:r>
      <w:r w:rsidR="000B007C" w:rsidRPr="00465A77">
        <w:rPr>
          <w:rFonts w:ascii="Verdana" w:hAnsi="Verdana" w:cs="Arial"/>
          <w:spacing w:val="-2"/>
          <w:sz w:val="20"/>
        </w:rPr>
        <w:t xml:space="preserve"> </w:t>
      </w:r>
      <w:r w:rsidRPr="00465A77">
        <w:rPr>
          <w:rFonts w:ascii="Verdana" w:hAnsi="Verdana" w:cs="Arial"/>
          <w:spacing w:val="-2"/>
          <w:sz w:val="20"/>
        </w:rPr>
        <w:t xml:space="preserve">lo cual tampoco </w:t>
      </w:r>
      <w:r w:rsidR="00A23BCA" w:rsidRPr="00465A77">
        <w:rPr>
          <w:rFonts w:ascii="Verdana" w:hAnsi="Verdana" w:cs="Arial"/>
          <w:spacing w:val="-2"/>
          <w:sz w:val="20"/>
        </w:rPr>
        <w:t>hizo</w:t>
      </w:r>
      <w:r w:rsidRPr="00465A77">
        <w:rPr>
          <w:rFonts w:ascii="Verdana" w:hAnsi="Verdana" w:cs="Arial"/>
          <w:spacing w:val="-2"/>
          <w:sz w:val="20"/>
        </w:rPr>
        <w:t xml:space="preserve"> después </w:t>
      </w:r>
      <w:r w:rsidR="000B007C" w:rsidRPr="00465A77">
        <w:rPr>
          <w:rFonts w:ascii="Verdana" w:hAnsi="Verdana" w:cs="Arial"/>
          <w:spacing w:val="-2"/>
          <w:sz w:val="20"/>
        </w:rPr>
        <w:t xml:space="preserve">precisamente </w:t>
      </w:r>
      <w:r w:rsidR="00A23BCA" w:rsidRPr="00465A77">
        <w:rPr>
          <w:rFonts w:ascii="Verdana" w:hAnsi="Verdana" w:cs="Arial"/>
          <w:spacing w:val="-2"/>
          <w:sz w:val="20"/>
        </w:rPr>
        <w:t xml:space="preserve">con base en que ya había </w:t>
      </w:r>
      <w:r w:rsidRPr="00465A77">
        <w:rPr>
          <w:rFonts w:ascii="Verdana" w:hAnsi="Verdana" w:cs="Arial"/>
          <w:spacing w:val="-2"/>
          <w:sz w:val="20"/>
        </w:rPr>
        <w:t>dict</w:t>
      </w:r>
      <w:r w:rsidR="00A23BCA" w:rsidRPr="00465A77">
        <w:rPr>
          <w:rFonts w:ascii="Verdana" w:hAnsi="Verdana" w:cs="Arial"/>
          <w:spacing w:val="-2"/>
          <w:sz w:val="20"/>
        </w:rPr>
        <w:t>ado</w:t>
      </w:r>
      <w:r w:rsidRPr="00465A77">
        <w:rPr>
          <w:rFonts w:ascii="Verdana" w:hAnsi="Verdana" w:cs="Arial"/>
          <w:spacing w:val="-2"/>
          <w:sz w:val="20"/>
        </w:rPr>
        <w:t xml:space="preserve"> un sobreseimiento definitivo</w:t>
      </w:r>
      <w:r w:rsidR="000B007C" w:rsidRPr="00465A77">
        <w:rPr>
          <w:rFonts w:ascii="Verdana" w:hAnsi="Verdana" w:cs="Arial"/>
          <w:spacing w:val="-2"/>
          <w:sz w:val="20"/>
        </w:rPr>
        <w:t xml:space="preserve"> </w:t>
      </w:r>
      <w:r w:rsidR="00C10D2F">
        <w:rPr>
          <w:rFonts w:ascii="Verdana" w:hAnsi="Verdana" w:cs="Arial"/>
          <w:spacing w:val="-2"/>
          <w:sz w:val="20"/>
        </w:rPr>
        <w:t>a favor de éstos</w:t>
      </w:r>
      <w:r w:rsidRPr="00465A77">
        <w:rPr>
          <w:rFonts w:ascii="Verdana" w:hAnsi="Verdana" w:cs="Arial"/>
          <w:spacing w:val="-2"/>
          <w:sz w:val="20"/>
        </w:rPr>
        <w:t>.</w:t>
      </w:r>
      <w:r w:rsidR="00FF2DE7" w:rsidRPr="00465A77">
        <w:rPr>
          <w:rFonts w:ascii="Verdana" w:hAnsi="Verdana" w:cs="Arial"/>
          <w:spacing w:val="-2"/>
          <w:sz w:val="20"/>
        </w:rPr>
        <w:t xml:space="preserve"> </w:t>
      </w:r>
      <w:r w:rsidR="00575506" w:rsidRPr="00465A77">
        <w:rPr>
          <w:rFonts w:ascii="Verdana" w:hAnsi="Verdana" w:cs="Arial"/>
          <w:spacing w:val="-2"/>
          <w:sz w:val="20"/>
        </w:rPr>
        <w:t>Además, e</w:t>
      </w:r>
      <w:r w:rsidR="00A23BCA" w:rsidRPr="00465A77">
        <w:rPr>
          <w:rFonts w:ascii="Verdana" w:hAnsi="Verdana" w:cs="Arial"/>
          <w:spacing w:val="-2"/>
          <w:sz w:val="20"/>
        </w:rPr>
        <w:t>sto último implicó</w:t>
      </w:r>
      <w:r w:rsidR="00575506" w:rsidRPr="00465A77">
        <w:rPr>
          <w:rFonts w:ascii="Verdana" w:hAnsi="Verdana" w:cs="Arial"/>
          <w:spacing w:val="-2"/>
          <w:sz w:val="20"/>
        </w:rPr>
        <w:t xml:space="preserve"> </w:t>
      </w:r>
      <w:r w:rsidR="00A23BCA" w:rsidRPr="00465A77">
        <w:rPr>
          <w:rFonts w:ascii="Verdana" w:hAnsi="Verdana" w:cs="Arial"/>
          <w:spacing w:val="-2"/>
          <w:sz w:val="20"/>
        </w:rPr>
        <w:t>que no se tomara</w:t>
      </w:r>
      <w:r w:rsidR="00575506" w:rsidRPr="00465A77">
        <w:rPr>
          <w:rFonts w:ascii="Verdana" w:hAnsi="Verdana" w:cs="Arial"/>
          <w:spacing w:val="-2"/>
          <w:sz w:val="20"/>
        </w:rPr>
        <w:t>n</w:t>
      </w:r>
      <w:r w:rsidR="00A23BCA" w:rsidRPr="00465A77">
        <w:rPr>
          <w:rFonts w:ascii="Verdana" w:hAnsi="Verdana" w:cs="Arial"/>
          <w:spacing w:val="-2"/>
          <w:sz w:val="20"/>
        </w:rPr>
        <w:t xml:space="preserve"> en cuenta </w:t>
      </w:r>
      <w:r w:rsidR="001D75A5" w:rsidRPr="00465A77">
        <w:rPr>
          <w:rFonts w:ascii="Verdana" w:hAnsi="Verdana" w:cs="Arial"/>
          <w:spacing w:val="-2"/>
          <w:sz w:val="20"/>
        </w:rPr>
        <w:t>otras pruebas de particular relevancia surgi</w:t>
      </w:r>
      <w:r w:rsidR="006E5706">
        <w:rPr>
          <w:rFonts w:ascii="Verdana" w:hAnsi="Verdana" w:cs="Arial"/>
          <w:spacing w:val="-2"/>
          <w:sz w:val="20"/>
        </w:rPr>
        <w:t>das posteriormente, por ejemplo:</w:t>
      </w:r>
      <w:r w:rsidR="001D75A5" w:rsidRPr="00465A77">
        <w:rPr>
          <w:rFonts w:ascii="Verdana" w:hAnsi="Verdana" w:cs="Arial"/>
          <w:spacing w:val="-2"/>
          <w:sz w:val="20"/>
        </w:rPr>
        <w:t xml:space="preserve"> </w:t>
      </w:r>
      <w:r w:rsidR="00A23BCA" w:rsidRPr="00465A77">
        <w:rPr>
          <w:rFonts w:ascii="Verdana" w:hAnsi="Verdana" w:cs="Arial"/>
          <w:spacing w:val="-2"/>
          <w:sz w:val="20"/>
        </w:rPr>
        <w:t>que luego</w:t>
      </w:r>
      <w:r w:rsidR="00D82092" w:rsidRPr="00465A77">
        <w:rPr>
          <w:rFonts w:ascii="Verdana" w:hAnsi="Verdana" w:cs="Arial"/>
          <w:spacing w:val="-2"/>
          <w:sz w:val="20"/>
        </w:rPr>
        <w:t xml:space="preserve"> </w:t>
      </w:r>
      <w:r w:rsidR="00A23BCA" w:rsidRPr="00465A77">
        <w:rPr>
          <w:rFonts w:ascii="Verdana" w:hAnsi="Verdana" w:cs="Arial"/>
          <w:spacing w:val="-2"/>
          <w:sz w:val="20"/>
        </w:rPr>
        <w:t>se determinara</w:t>
      </w:r>
      <w:r w:rsidR="00D82092" w:rsidRPr="00465A77">
        <w:rPr>
          <w:rFonts w:ascii="Verdana" w:hAnsi="Verdana" w:cs="Arial"/>
          <w:spacing w:val="-2"/>
          <w:sz w:val="20"/>
        </w:rPr>
        <w:t xml:space="preserve"> que el autor material Argüello había sido g</w:t>
      </w:r>
      <w:r w:rsidR="00C0407A" w:rsidRPr="00465A77">
        <w:rPr>
          <w:rFonts w:ascii="Verdana" w:hAnsi="Verdana" w:cs="Arial"/>
          <w:spacing w:val="-2"/>
          <w:sz w:val="20"/>
        </w:rPr>
        <w:t xml:space="preserve">uardia de seguridad privada de </w:t>
      </w:r>
      <w:r w:rsidR="00A23BCA" w:rsidRPr="00465A77">
        <w:rPr>
          <w:rFonts w:ascii="Verdana" w:hAnsi="Verdana" w:cs="Arial"/>
          <w:spacing w:val="-2"/>
          <w:sz w:val="20"/>
        </w:rPr>
        <w:t>PT y que aquél</w:t>
      </w:r>
      <w:r w:rsidR="00D82092" w:rsidRPr="00465A77">
        <w:rPr>
          <w:rFonts w:ascii="Verdana" w:hAnsi="Verdana" w:cs="Arial"/>
          <w:spacing w:val="-2"/>
          <w:sz w:val="20"/>
        </w:rPr>
        <w:t xml:space="preserve"> </w:t>
      </w:r>
      <w:r w:rsidR="00A23BCA" w:rsidRPr="00465A77">
        <w:rPr>
          <w:rFonts w:ascii="Verdana" w:hAnsi="Verdana" w:cs="Arial"/>
          <w:spacing w:val="-2"/>
          <w:sz w:val="20"/>
        </w:rPr>
        <w:t xml:space="preserve">declarara </w:t>
      </w:r>
      <w:r w:rsidR="00D82092" w:rsidRPr="00465A77">
        <w:rPr>
          <w:rFonts w:ascii="Verdana" w:hAnsi="Verdana" w:cs="Arial"/>
          <w:spacing w:val="-2"/>
          <w:sz w:val="20"/>
        </w:rPr>
        <w:t xml:space="preserve">en medios de prensa que </w:t>
      </w:r>
      <w:r w:rsidR="00FD7252">
        <w:rPr>
          <w:rFonts w:ascii="Verdana" w:hAnsi="Verdana" w:cs="Arial"/>
          <w:spacing w:val="-2"/>
          <w:sz w:val="20"/>
        </w:rPr>
        <w:t>éste</w:t>
      </w:r>
      <w:r w:rsidR="00D82092" w:rsidRPr="00465A77">
        <w:rPr>
          <w:rFonts w:ascii="Verdana" w:hAnsi="Verdana" w:cs="Arial"/>
          <w:spacing w:val="-2"/>
          <w:sz w:val="20"/>
        </w:rPr>
        <w:t xml:space="preserve"> lo </w:t>
      </w:r>
      <w:r w:rsidR="00A23BCA" w:rsidRPr="00465A77">
        <w:rPr>
          <w:rFonts w:ascii="Verdana" w:hAnsi="Verdana" w:cs="Arial"/>
          <w:spacing w:val="-2"/>
          <w:sz w:val="20"/>
        </w:rPr>
        <w:t>había orientado</w:t>
      </w:r>
      <w:r w:rsidR="00D82092" w:rsidRPr="00465A77">
        <w:rPr>
          <w:rFonts w:ascii="Verdana" w:hAnsi="Verdana" w:cs="Arial"/>
          <w:spacing w:val="-2"/>
          <w:sz w:val="20"/>
        </w:rPr>
        <w:t xml:space="preserve"> a alquilar la habitación a la señora Acosta.</w:t>
      </w:r>
      <w:r w:rsidR="00A23BCA" w:rsidRPr="00465A77">
        <w:rPr>
          <w:rFonts w:ascii="Verdana" w:hAnsi="Verdana" w:cs="Arial"/>
          <w:spacing w:val="-2"/>
          <w:sz w:val="20"/>
        </w:rPr>
        <w:t xml:space="preserve"> </w:t>
      </w:r>
      <w:r w:rsidR="001D75A5" w:rsidRPr="00465A77">
        <w:rPr>
          <w:rFonts w:ascii="Verdana" w:hAnsi="Verdana" w:cs="Arial"/>
          <w:spacing w:val="-2"/>
          <w:sz w:val="20"/>
        </w:rPr>
        <w:t>T</w:t>
      </w:r>
      <w:r w:rsidR="00A23BCA" w:rsidRPr="00465A77">
        <w:rPr>
          <w:rFonts w:ascii="Verdana" w:hAnsi="Verdana" w:cs="Arial"/>
          <w:spacing w:val="-2"/>
          <w:sz w:val="20"/>
        </w:rPr>
        <w:t xml:space="preserve">ampoco se tomó en cuenta </w:t>
      </w:r>
      <w:r w:rsidR="001D75A5" w:rsidRPr="00465A77">
        <w:rPr>
          <w:rFonts w:ascii="Verdana" w:hAnsi="Verdana" w:cs="Arial"/>
          <w:spacing w:val="-2"/>
          <w:sz w:val="20"/>
        </w:rPr>
        <w:t xml:space="preserve">la posterior </w:t>
      </w:r>
      <w:r w:rsidR="00A23BCA" w:rsidRPr="00465A77">
        <w:rPr>
          <w:rFonts w:ascii="Verdana" w:hAnsi="Verdana" w:cs="Arial"/>
          <w:spacing w:val="-2"/>
          <w:sz w:val="20"/>
        </w:rPr>
        <w:t>determin</w:t>
      </w:r>
      <w:r w:rsidR="001D75A5" w:rsidRPr="00465A77">
        <w:rPr>
          <w:rFonts w:ascii="Verdana" w:hAnsi="Verdana" w:cs="Arial"/>
          <w:spacing w:val="-2"/>
          <w:sz w:val="20"/>
        </w:rPr>
        <w:t>ación</w:t>
      </w:r>
      <w:r w:rsidR="00FF2DE7" w:rsidRPr="00465A77">
        <w:rPr>
          <w:rFonts w:ascii="Verdana" w:hAnsi="Verdana" w:cs="Arial"/>
          <w:spacing w:val="-2"/>
          <w:sz w:val="20"/>
        </w:rPr>
        <w:t xml:space="preserve"> </w:t>
      </w:r>
      <w:r w:rsidR="001D75A5" w:rsidRPr="00465A77">
        <w:rPr>
          <w:rFonts w:ascii="Verdana" w:hAnsi="Verdana" w:cs="Arial"/>
          <w:spacing w:val="-2"/>
          <w:sz w:val="20"/>
        </w:rPr>
        <w:t>pericial de</w:t>
      </w:r>
      <w:r w:rsidR="00A23BCA" w:rsidRPr="00465A77">
        <w:rPr>
          <w:rFonts w:ascii="Verdana" w:hAnsi="Verdana" w:cs="Arial"/>
          <w:spacing w:val="-2"/>
          <w:sz w:val="20"/>
        </w:rPr>
        <w:t xml:space="preserve"> </w:t>
      </w:r>
      <w:r w:rsidR="00FF2DE7" w:rsidRPr="00465A77">
        <w:rPr>
          <w:rFonts w:ascii="Verdana" w:hAnsi="Verdana" w:cs="Arial"/>
          <w:spacing w:val="-2"/>
          <w:sz w:val="20"/>
        </w:rPr>
        <w:t>que el arma utiliza</w:t>
      </w:r>
      <w:r w:rsidR="00C0407A" w:rsidRPr="00465A77">
        <w:rPr>
          <w:rFonts w:ascii="Verdana" w:hAnsi="Verdana" w:cs="Arial"/>
          <w:spacing w:val="-2"/>
          <w:sz w:val="20"/>
        </w:rPr>
        <w:t xml:space="preserve">da </w:t>
      </w:r>
      <w:r w:rsidR="00A23BCA" w:rsidRPr="00465A77">
        <w:rPr>
          <w:rFonts w:ascii="Verdana" w:hAnsi="Verdana" w:cs="Arial"/>
          <w:spacing w:val="-2"/>
          <w:sz w:val="20"/>
        </w:rPr>
        <w:t>perten</w:t>
      </w:r>
      <w:r w:rsidR="001D75A5" w:rsidRPr="00465A77">
        <w:rPr>
          <w:rFonts w:ascii="Verdana" w:hAnsi="Verdana" w:cs="Arial"/>
          <w:spacing w:val="-2"/>
          <w:sz w:val="20"/>
        </w:rPr>
        <w:t>ec</w:t>
      </w:r>
      <w:r w:rsidR="00A23BCA" w:rsidRPr="00465A77">
        <w:rPr>
          <w:rFonts w:ascii="Verdana" w:hAnsi="Verdana" w:cs="Arial"/>
          <w:spacing w:val="-2"/>
          <w:sz w:val="20"/>
        </w:rPr>
        <w:t xml:space="preserve">ía a </w:t>
      </w:r>
      <w:r w:rsidR="00FF2DE7" w:rsidRPr="00465A77">
        <w:rPr>
          <w:rFonts w:ascii="Verdana" w:hAnsi="Verdana" w:cs="Arial"/>
          <w:spacing w:val="-2"/>
          <w:sz w:val="20"/>
        </w:rPr>
        <w:t>PM</w:t>
      </w:r>
      <w:r w:rsidR="00A23BCA" w:rsidRPr="00465A77">
        <w:rPr>
          <w:rFonts w:ascii="Verdana" w:hAnsi="Verdana" w:cs="Arial"/>
          <w:spacing w:val="-2"/>
          <w:sz w:val="20"/>
        </w:rPr>
        <w:t xml:space="preserve">F, precisamente uno de los señalados </w:t>
      </w:r>
      <w:r w:rsidR="00153659" w:rsidRPr="00465A77">
        <w:rPr>
          <w:rFonts w:ascii="Verdana" w:hAnsi="Verdana" w:cs="Arial"/>
          <w:spacing w:val="-2"/>
          <w:sz w:val="20"/>
        </w:rPr>
        <w:t xml:space="preserve">como posible autor </w:t>
      </w:r>
      <w:r w:rsidR="00763DCA" w:rsidRPr="00465A77">
        <w:rPr>
          <w:rFonts w:ascii="Verdana" w:hAnsi="Verdana" w:cs="Arial"/>
          <w:spacing w:val="-2"/>
          <w:sz w:val="20"/>
        </w:rPr>
        <w:t>intelectual</w:t>
      </w:r>
      <w:r w:rsidR="00153659" w:rsidRPr="00465A77">
        <w:rPr>
          <w:rFonts w:ascii="Verdana" w:hAnsi="Verdana" w:cs="Arial"/>
          <w:spacing w:val="-2"/>
          <w:sz w:val="20"/>
        </w:rPr>
        <w:t xml:space="preserve"> del </w:t>
      </w:r>
      <w:r w:rsidR="006233D1" w:rsidRPr="00465A77">
        <w:rPr>
          <w:rFonts w:ascii="Verdana" w:hAnsi="Verdana" w:cs="Arial"/>
          <w:sz w:val="20"/>
        </w:rPr>
        <w:t>homicidio</w:t>
      </w:r>
      <w:r w:rsidR="00A23BCA" w:rsidRPr="00465A77">
        <w:rPr>
          <w:rFonts w:ascii="Verdana" w:hAnsi="Verdana" w:cs="Arial"/>
          <w:spacing w:val="-2"/>
          <w:sz w:val="20"/>
        </w:rPr>
        <w:t xml:space="preserve">. </w:t>
      </w:r>
      <w:r w:rsidR="00344C00" w:rsidRPr="00465A77">
        <w:rPr>
          <w:rFonts w:ascii="Verdana" w:hAnsi="Verdana" w:cs="Arial"/>
          <w:spacing w:val="-2"/>
          <w:sz w:val="20"/>
        </w:rPr>
        <w:t>Por último, n</w:t>
      </w:r>
      <w:r w:rsidR="00FF2DE7" w:rsidRPr="00465A77">
        <w:rPr>
          <w:rFonts w:ascii="Verdana" w:hAnsi="Verdana" w:cs="Arial"/>
          <w:spacing w:val="-2"/>
          <w:sz w:val="20"/>
        </w:rPr>
        <w:t xml:space="preserve">o consta que </w:t>
      </w:r>
      <w:r w:rsidR="00FF2DE7" w:rsidRPr="00FD7252">
        <w:rPr>
          <w:rFonts w:ascii="Verdana" w:hAnsi="Verdana" w:cs="Arial"/>
          <w:spacing w:val="-2"/>
          <w:sz w:val="20"/>
        </w:rPr>
        <w:t xml:space="preserve">el juez haya </w:t>
      </w:r>
      <w:r w:rsidR="00465A77" w:rsidRPr="00FD7252">
        <w:rPr>
          <w:rFonts w:ascii="Verdana" w:hAnsi="Verdana" w:cs="Arial"/>
          <w:spacing w:val="-2"/>
          <w:sz w:val="20"/>
        </w:rPr>
        <w:t>indagado la posible relación de causalidad entre el hecho y la situación particular de la señora Acosta y su actividad de defensa a favor de los pueblos indígenas</w:t>
      </w:r>
      <w:r w:rsidR="00344C00" w:rsidRPr="00FD7252">
        <w:rPr>
          <w:rFonts w:ascii="Verdana" w:hAnsi="Verdana"/>
          <w:sz w:val="20"/>
        </w:rPr>
        <w:t>.</w:t>
      </w:r>
    </w:p>
    <w:p w14:paraId="61E8200B" w14:textId="77777777" w:rsidR="00872E4C" w:rsidRPr="009D5EA7" w:rsidRDefault="00872E4C" w:rsidP="00872E4C">
      <w:pPr>
        <w:pStyle w:val="Prrafodelista"/>
        <w:autoSpaceDE w:val="0"/>
        <w:autoSpaceDN w:val="0"/>
        <w:adjustRightInd w:val="0"/>
        <w:ind w:left="0" w:right="34"/>
        <w:jc w:val="both"/>
        <w:rPr>
          <w:rFonts w:ascii="Verdana" w:hAnsi="Verdana" w:cs="Arial"/>
          <w:spacing w:val="-2"/>
          <w:sz w:val="20"/>
        </w:rPr>
      </w:pPr>
    </w:p>
    <w:p w14:paraId="7B97E1CD" w14:textId="1FC895A7" w:rsidR="00872E4C" w:rsidRPr="009D5EA7" w:rsidRDefault="00872E4C" w:rsidP="00872E4C">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 xml:space="preserve">Por otro lado, la Comisión y las representantes alegaron que tampoco fue adecuadamente investigada la participación de un supuesto tercer autor material, lo cual surgiría de lo que declararon la señora Acosta y tres testigos, a pesar de lo cual el juez </w:t>
      </w:r>
      <w:r w:rsidR="00F54DFD" w:rsidRPr="009D5EA7">
        <w:rPr>
          <w:rFonts w:ascii="Verdana" w:hAnsi="Verdana" w:cs="Arial"/>
          <w:spacing w:val="-2"/>
          <w:sz w:val="20"/>
        </w:rPr>
        <w:t xml:space="preserve">no </w:t>
      </w:r>
      <w:r w:rsidRPr="009D5EA7">
        <w:rPr>
          <w:rFonts w:ascii="Verdana" w:hAnsi="Verdana" w:cs="Arial"/>
          <w:spacing w:val="-2"/>
          <w:sz w:val="20"/>
        </w:rPr>
        <w:t>interrogó a los autores materiales al respecto</w:t>
      </w:r>
      <w:r w:rsidR="00F54DFD" w:rsidRPr="009D5EA7">
        <w:rPr>
          <w:rFonts w:ascii="Verdana" w:hAnsi="Verdana" w:cs="Arial"/>
          <w:spacing w:val="-2"/>
          <w:sz w:val="20"/>
        </w:rPr>
        <w:t>. E</w:t>
      </w:r>
      <w:r w:rsidRPr="009D5EA7">
        <w:rPr>
          <w:rFonts w:ascii="Verdana" w:hAnsi="Verdana" w:cs="Arial"/>
          <w:spacing w:val="-2"/>
          <w:sz w:val="20"/>
        </w:rPr>
        <w:t xml:space="preserve">l Estado </w:t>
      </w:r>
      <w:r w:rsidR="00F54DFD" w:rsidRPr="009D5EA7">
        <w:rPr>
          <w:rFonts w:ascii="Verdana" w:hAnsi="Verdana" w:cs="Arial"/>
          <w:spacing w:val="-2"/>
          <w:sz w:val="20"/>
        </w:rPr>
        <w:t xml:space="preserve">sostuvo </w:t>
      </w:r>
      <w:r w:rsidRPr="009D5EA7">
        <w:rPr>
          <w:rFonts w:ascii="Verdana" w:hAnsi="Verdana" w:cs="Arial"/>
          <w:spacing w:val="-2"/>
          <w:sz w:val="20"/>
        </w:rPr>
        <w:t xml:space="preserve">que </w:t>
      </w:r>
      <w:r w:rsidR="00F54DFD" w:rsidRPr="009D5EA7">
        <w:rPr>
          <w:rFonts w:ascii="Verdana" w:hAnsi="Verdana" w:cs="Arial"/>
          <w:spacing w:val="-2"/>
          <w:sz w:val="20"/>
        </w:rPr>
        <w:t xml:space="preserve">en tales declaraciones no </w:t>
      </w:r>
      <w:r w:rsidRPr="009D5EA7">
        <w:rPr>
          <w:rFonts w:ascii="Verdana" w:hAnsi="Verdana" w:cs="Arial"/>
          <w:spacing w:val="-2"/>
          <w:sz w:val="20"/>
        </w:rPr>
        <w:t>refirieron a una tercera persona, por lo cual, de la p</w:t>
      </w:r>
      <w:r w:rsidR="00F54DFD" w:rsidRPr="009D5EA7">
        <w:rPr>
          <w:rFonts w:ascii="Verdana" w:hAnsi="Verdana" w:cs="Arial"/>
          <w:spacing w:val="-2"/>
          <w:sz w:val="20"/>
        </w:rPr>
        <w:t>rueba recabada por el juez y lo informado</w:t>
      </w:r>
      <w:r w:rsidRPr="009D5EA7">
        <w:rPr>
          <w:rFonts w:ascii="Verdana" w:hAnsi="Verdana" w:cs="Arial"/>
          <w:spacing w:val="-2"/>
          <w:sz w:val="20"/>
        </w:rPr>
        <w:t xml:space="preserve"> por las partes, no se demostró más allá de toda duda razonable la participación de un tercer autor material</w:t>
      </w:r>
      <w:r w:rsidR="00F54DFD" w:rsidRPr="009D5EA7">
        <w:rPr>
          <w:rFonts w:ascii="Verdana" w:hAnsi="Verdana" w:cs="Arial"/>
          <w:spacing w:val="-2"/>
          <w:sz w:val="20"/>
        </w:rPr>
        <w:t xml:space="preserve">. </w:t>
      </w:r>
      <w:r w:rsidR="001D0A73" w:rsidRPr="009D5EA7">
        <w:rPr>
          <w:rFonts w:ascii="Verdana" w:hAnsi="Verdana" w:cs="Arial"/>
          <w:spacing w:val="-2"/>
          <w:sz w:val="20"/>
        </w:rPr>
        <w:t xml:space="preserve">La Corte considera que, </w:t>
      </w:r>
      <w:r w:rsidR="00BC3220" w:rsidRPr="009D5EA7">
        <w:rPr>
          <w:rFonts w:ascii="Verdana" w:hAnsi="Verdana" w:cs="Arial"/>
          <w:spacing w:val="-2"/>
          <w:sz w:val="20"/>
        </w:rPr>
        <w:t>al haber</w:t>
      </w:r>
      <w:r w:rsidR="00F54DFD" w:rsidRPr="009D5EA7">
        <w:rPr>
          <w:rFonts w:ascii="Verdana" w:hAnsi="Verdana" w:cs="Arial"/>
          <w:spacing w:val="-2"/>
          <w:sz w:val="20"/>
        </w:rPr>
        <w:t xml:space="preserve"> </w:t>
      </w:r>
      <w:r w:rsidRPr="009D5EA7">
        <w:rPr>
          <w:rFonts w:ascii="Verdana" w:hAnsi="Verdana" w:cs="Arial"/>
          <w:spacing w:val="-2"/>
          <w:sz w:val="20"/>
        </w:rPr>
        <w:t>referencias</w:t>
      </w:r>
      <w:r w:rsidR="00F54DFD" w:rsidRPr="009D5EA7">
        <w:rPr>
          <w:rFonts w:ascii="Verdana" w:hAnsi="Verdana" w:cs="Arial"/>
          <w:spacing w:val="-2"/>
          <w:sz w:val="20"/>
        </w:rPr>
        <w:t xml:space="preserve"> en esas declaraciones</w:t>
      </w:r>
      <w:r w:rsidRPr="009D5EA7">
        <w:rPr>
          <w:rFonts w:ascii="Verdana" w:hAnsi="Verdana" w:cs="Arial"/>
          <w:spacing w:val="-2"/>
          <w:sz w:val="20"/>
        </w:rPr>
        <w:t xml:space="preserve"> acerca de la posible participación de una tercera persona como autor o encubridor del delito</w:t>
      </w:r>
      <w:r w:rsidR="00F54DFD" w:rsidRPr="009D5EA7">
        <w:rPr>
          <w:rFonts w:ascii="Verdana" w:hAnsi="Verdana" w:cs="Arial"/>
          <w:spacing w:val="-2"/>
          <w:sz w:val="20"/>
        </w:rPr>
        <w:t>,</w:t>
      </w:r>
      <w:r w:rsidR="00BC3220" w:rsidRPr="009D5EA7">
        <w:rPr>
          <w:rFonts w:ascii="Verdana" w:hAnsi="Verdana" w:cs="Arial"/>
          <w:spacing w:val="-2"/>
          <w:sz w:val="20"/>
        </w:rPr>
        <w:t xml:space="preserve"> correspondía a la autoridad judicial encargada averiguar o descartar esta hipótesis. El juez tomó una declaración indagatoria a una persona señalada en ese sentido y, si bien no constan otras diligencias al respecto,</w:t>
      </w:r>
      <w:r w:rsidR="00F54DFD" w:rsidRPr="009D5EA7">
        <w:rPr>
          <w:rFonts w:ascii="Verdana" w:hAnsi="Verdana" w:cs="Arial"/>
          <w:spacing w:val="-2"/>
          <w:sz w:val="20"/>
        </w:rPr>
        <w:t xml:space="preserve"> la Corte considera que</w:t>
      </w:r>
      <w:r w:rsidR="001D0A73" w:rsidRPr="009D5EA7">
        <w:rPr>
          <w:rFonts w:ascii="Verdana" w:hAnsi="Verdana" w:cs="Arial"/>
          <w:spacing w:val="-2"/>
          <w:sz w:val="20"/>
        </w:rPr>
        <w:t xml:space="preserve"> </w:t>
      </w:r>
      <w:r w:rsidR="00BC3220" w:rsidRPr="009D5EA7">
        <w:rPr>
          <w:rFonts w:ascii="Verdana" w:hAnsi="Verdana" w:cs="Arial"/>
          <w:spacing w:val="-2"/>
          <w:sz w:val="20"/>
        </w:rPr>
        <w:t xml:space="preserve">la Comisión y las representantes no han aportado suficientes elementos </w:t>
      </w:r>
      <w:r w:rsidR="00F54DFD" w:rsidRPr="009D5EA7">
        <w:rPr>
          <w:rFonts w:ascii="Verdana" w:hAnsi="Verdana" w:cs="Arial"/>
          <w:spacing w:val="-2"/>
          <w:sz w:val="20"/>
        </w:rPr>
        <w:t>para considerar que el Estado incurriera en responsabilidad por esa alegada falencia específica en la investigación.</w:t>
      </w:r>
    </w:p>
    <w:p w14:paraId="2B11B8B7" w14:textId="77777777" w:rsidR="00872E4C" w:rsidRPr="009D5EA7" w:rsidRDefault="00872E4C" w:rsidP="00606E8B">
      <w:pPr>
        <w:pStyle w:val="Prrafodelista"/>
        <w:autoSpaceDE w:val="0"/>
        <w:autoSpaceDN w:val="0"/>
        <w:adjustRightInd w:val="0"/>
        <w:ind w:left="0" w:right="34"/>
        <w:jc w:val="both"/>
        <w:rPr>
          <w:rFonts w:ascii="Verdana" w:hAnsi="Verdana" w:cs="Arial"/>
          <w:spacing w:val="-2"/>
          <w:sz w:val="20"/>
        </w:rPr>
      </w:pPr>
    </w:p>
    <w:p w14:paraId="2660279D" w14:textId="69FFA92C" w:rsidR="00606E8B" w:rsidRPr="009D5EA7" w:rsidRDefault="00872E4C" w:rsidP="00606E8B">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 xml:space="preserve">En definitiva, </w:t>
      </w:r>
      <w:r w:rsidR="00465A77">
        <w:rPr>
          <w:rFonts w:ascii="Verdana" w:hAnsi="Verdana" w:cs="Arial"/>
          <w:spacing w:val="-2"/>
          <w:sz w:val="20"/>
        </w:rPr>
        <w:t>existían</w:t>
      </w:r>
      <w:r w:rsidR="00D82092" w:rsidRPr="009D5EA7">
        <w:rPr>
          <w:rFonts w:ascii="Verdana" w:hAnsi="Verdana" w:cs="Arial"/>
          <w:spacing w:val="-2"/>
          <w:sz w:val="20"/>
        </w:rPr>
        <w:t xml:space="preserve"> indicios que apuntaban en dirección </w:t>
      </w:r>
      <w:r w:rsidR="00BC3220" w:rsidRPr="009D5EA7">
        <w:rPr>
          <w:rFonts w:ascii="Verdana" w:hAnsi="Verdana" w:cs="Arial"/>
          <w:spacing w:val="-2"/>
          <w:sz w:val="20"/>
        </w:rPr>
        <w:t xml:space="preserve">a la posible autoría intelectual </w:t>
      </w:r>
      <w:r w:rsidR="00D82092" w:rsidRPr="009D5EA7">
        <w:rPr>
          <w:rFonts w:ascii="Verdana" w:hAnsi="Verdana" w:cs="Arial"/>
          <w:spacing w:val="-2"/>
          <w:sz w:val="20"/>
        </w:rPr>
        <w:t xml:space="preserve">y </w:t>
      </w:r>
      <w:r w:rsidR="00606E8B" w:rsidRPr="009D5EA7">
        <w:rPr>
          <w:rFonts w:ascii="Verdana" w:hAnsi="Verdana" w:cs="Arial"/>
          <w:spacing w:val="-2"/>
          <w:sz w:val="20"/>
        </w:rPr>
        <w:t>a</w:t>
      </w:r>
      <w:r w:rsidR="00D82092" w:rsidRPr="009D5EA7">
        <w:rPr>
          <w:rFonts w:ascii="Verdana" w:hAnsi="Verdana" w:cs="Arial"/>
          <w:spacing w:val="-2"/>
          <w:sz w:val="20"/>
        </w:rPr>
        <w:t>ún faltaba</w:t>
      </w:r>
      <w:r w:rsidR="00465A77">
        <w:rPr>
          <w:rFonts w:ascii="Verdana" w:hAnsi="Verdana" w:cs="Arial"/>
          <w:spacing w:val="-2"/>
          <w:sz w:val="20"/>
        </w:rPr>
        <w:t>n</w:t>
      </w:r>
      <w:r w:rsidR="00D82092" w:rsidRPr="009D5EA7">
        <w:rPr>
          <w:rFonts w:ascii="Verdana" w:hAnsi="Verdana" w:cs="Arial"/>
          <w:spacing w:val="-2"/>
          <w:sz w:val="20"/>
        </w:rPr>
        <w:t xml:space="preserve"> </w:t>
      </w:r>
      <w:r w:rsidR="00606E8B" w:rsidRPr="009D5EA7">
        <w:rPr>
          <w:rFonts w:ascii="Verdana" w:hAnsi="Verdana" w:cs="Arial"/>
          <w:spacing w:val="-2"/>
          <w:sz w:val="20"/>
        </w:rPr>
        <w:t>una serie de diligencias investigativas</w:t>
      </w:r>
      <w:r w:rsidR="00D82092" w:rsidRPr="009D5EA7">
        <w:rPr>
          <w:rFonts w:ascii="Verdana" w:hAnsi="Verdana" w:cs="Arial"/>
          <w:spacing w:val="-2"/>
          <w:sz w:val="20"/>
        </w:rPr>
        <w:t xml:space="preserve"> relevantes periciales o policiales</w:t>
      </w:r>
      <w:r w:rsidR="00465A77" w:rsidRPr="00465A77">
        <w:rPr>
          <w:rFonts w:ascii="Verdana" w:hAnsi="Verdana" w:cs="Arial"/>
          <w:spacing w:val="-2"/>
          <w:sz w:val="20"/>
        </w:rPr>
        <w:t xml:space="preserve"> </w:t>
      </w:r>
      <w:r w:rsidR="00465A77" w:rsidRPr="009D5EA7">
        <w:rPr>
          <w:rFonts w:ascii="Verdana" w:hAnsi="Verdana" w:cs="Arial"/>
          <w:spacing w:val="-2"/>
          <w:sz w:val="20"/>
        </w:rPr>
        <w:t>por evacuar</w:t>
      </w:r>
      <w:r w:rsidR="00606E8B" w:rsidRPr="009D5EA7">
        <w:rPr>
          <w:rFonts w:ascii="Verdana" w:hAnsi="Verdana" w:cs="Arial"/>
          <w:spacing w:val="-2"/>
          <w:sz w:val="20"/>
        </w:rPr>
        <w:t>, que en efecto lue</w:t>
      </w:r>
      <w:r w:rsidR="00FD7252">
        <w:rPr>
          <w:rFonts w:ascii="Verdana" w:hAnsi="Verdana" w:cs="Arial"/>
          <w:spacing w:val="-2"/>
          <w:sz w:val="20"/>
        </w:rPr>
        <w:t>go serían aportadas al proceso</w:t>
      </w:r>
      <w:r w:rsidR="00465A77">
        <w:rPr>
          <w:rFonts w:ascii="Verdana" w:hAnsi="Verdana" w:cs="Arial"/>
          <w:spacing w:val="-2"/>
          <w:sz w:val="20"/>
        </w:rPr>
        <w:t>. Sin embargo,</w:t>
      </w:r>
      <w:r w:rsidR="00606E8B" w:rsidRPr="009D5EA7">
        <w:rPr>
          <w:rFonts w:ascii="Verdana" w:hAnsi="Verdana" w:cs="Arial"/>
          <w:spacing w:val="-2"/>
          <w:sz w:val="20"/>
        </w:rPr>
        <w:t xml:space="preserve"> el Estado no ha demostrado que </w:t>
      </w:r>
      <w:r w:rsidR="00D82092" w:rsidRPr="009D5EA7">
        <w:rPr>
          <w:rFonts w:ascii="Verdana" w:hAnsi="Verdana" w:cs="Arial"/>
          <w:spacing w:val="-2"/>
          <w:sz w:val="20"/>
        </w:rPr>
        <w:t xml:space="preserve">el juez instructor investigara seriamente y de manera completa </w:t>
      </w:r>
      <w:r w:rsidR="00606E8B" w:rsidRPr="009D5EA7">
        <w:rPr>
          <w:rFonts w:ascii="Verdana" w:hAnsi="Verdana" w:cs="Arial"/>
          <w:spacing w:val="-2"/>
          <w:sz w:val="20"/>
        </w:rPr>
        <w:t>la hipótesis que indicaba que el señor García Valle</w:t>
      </w:r>
      <w:r w:rsidR="00D82092" w:rsidRPr="009D5EA7">
        <w:rPr>
          <w:rFonts w:ascii="Verdana" w:hAnsi="Verdana" w:cs="Arial"/>
          <w:spacing w:val="-2"/>
          <w:sz w:val="20"/>
        </w:rPr>
        <w:t xml:space="preserve"> pudo haber sido asesinado</w:t>
      </w:r>
      <w:r w:rsidR="00606E8B" w:rsidRPr="009D5EA7">
        <w:rPr>
          <w:rFonts w:ascii="Verdana" w:hAnsi="Verdana" w:cs="Arial"/>
          <w:spacing w:val="-2"/>
          <w:sz w:val="20"/>
        </w:rPr>
        <w:t xml:space="preserve"> por personas cuyos intereses </w:t>
      </w:r>
      <w:r w:rsidR="00D82092" w:rsidRPr="009D5EA7">
        <w:rPr>
          <w:rFonts w:ascii="Verdana" w:hAnsi="Verdana" w:cs="Arial"/>
          <w:spacing w:val="-2"/>
          <w:sz w:val="20"/>
        </w:rPr>
        <w:t xml:space="preserve">podrían verse </w:t>
      </w:r>
      <w:r w:rsidR="00606E8B" w:rsidRPr="009D5EA7">
        <w:rPr>
          <w:rFonts w:ascii="Verdana" w:hAnsi="Verdana" w:cs="Arial"/>
          <w:spacing w:val="-2"/>
          <w:sz w:val="20"/>
        </w:rPr>
        <w:t>afectados por la</w:t>
      </w:r>
      <w:r w:rsidR="00C0407A" w:rsidRPr="009D5EA7">
        <w:rPr>
          <w:rFonts w:ascii="Verdana" w:hAnsi="Verdana" w:cs="Arial"/>
          <w:spacing w:val="-2"/>
          <w:sz w:val="20"/>
        </w:rPr>
        <w:t xml:space="preserve">s </w:t>
      </w:r>
      <w:r w:rsidR="00763DCA" w:rsidRPr="009D5EA7">
        <w:rPr>
          <w:rFonts w:ascii="Verdana" w:hAnsi="Verdana" w:cs="Arial"/>
          <w:spacing w:val="-2"/>
          <w:sz w:val="20"/>
        </w:rPr>
        <w:t>actividades</w:t>
      </w:r>
      <w:r w:rsidR="00606E8B" w:rsidRPr="009D5EA7">
        <w:rPr>
          <w:rFonts w:ascii="Verdana" w:hAnsi="Verdana" w:cs="Arial"/>
          <w:spacing w:val="-2"/>
          <w:sz w:val="20"/>
        </w:rPr>
        <w:t xml:space="preserve"> </w:t>
      </w:r>
      <w:r w:rsidR="00C0407A" w:rsidRPr="009D5EA7">
        <w:rPr>
          <w:rFonts w:ascii="Verdana" w:hAnsi="Verdana" w:cs="Arial"/>
          <w:spacing w:val="-2"/>
          <w:sz w:val="20"/>
        </w:rPr>
        <w:t xml:space="preserve">de </w:t>
      </w:r>
      <w:r w:rsidR="00606E8B" w:rsidRPr="009D5EA7">
        <w:rPr>
          <w:rFonts w:ascii="Verdana" w:hAnsi="Verdana" w:cs="Arial"/>
          <w:spacing w:val="-2"/>
          <w:sz w:val="20"/>
        </w:rPr>
        <w:t xml:space="preserve">defensa </w:t>
      </w:r>
      <w:r w:rsidR="00C0407A" w:rsidRPr="009D5EA7">
        <w:rPr>
          <w:rFonts w:ascii="Verdana" w:hAnsi="Verdana" w:cs="Arial"/>
          <w:spacing w:val="-2"/>
          <w:sz w:val="20"/>
        </w:rPr>
        <w:t xml:space="preserve">de </w:t>
      </w:r>
      <w:r w:rsidR="00606E8B" w:rsidRPr="009D5EA7">
        <w:rPr>
          <w:rFonts w:ascii="Verdana" w:hAnsi="Verdana" w:cs="Arial"/>
          <w:spacing w:val="-2"/>
          <w:sz w:val="20"/>
        </w:rPr>
        <w:t xml:space="preserve">pueblos indígenas </w:t>
      </w:r>
      <w:r w:rsidR="00D82092" w:rsidRPr="009D5EA7">
        <w:rPr>
          <w:rFonts w:ascii="Verdana" w:hAnsi="Verdana" w:cs="Arial"/>
          <w:spacing w:val="-2"/>
          <w:sz w:val="20"/>
        </w:rPr>
        <w:t xml:space="preserve">realizada entonces </w:t>
      </w:r>
      <w:r w:rsidR="00606E8B" w:rsidRPr="009D5EA7">
        <w:rPr>
          <w:rFonts w:ascii="Verdana" w:hAnsi="Verdana" w:cs="Arial"/>
          <w:spacing w:val="-2"/>
          <w:sz w:val="20"/>
        </w:rPr>
        <w:t>por la señora Acosta</w:t>
      </w:r>
      <w:r w:rsidR="00D82092" w:rsidRPr="009D5EA7">
        <w:rPr>
          <w:rFonts w:ascii="Verdana" w:hAnsi="Verdana" w:cs="Arial"/>
          <w:spacing w:val="-2"/>
          <w:sz w:val="20"/>
        </w:rPr>
        <w:t>.</w:t>
      </w:r>
      <w:r w:rsidR="00606E8B" w:rsidRPr="009D5EA7">
        <w:rPr>
          <w:rFonts w:ascii="Verdana" w:hAnsi="Verdana" w:cs="Arial"/>
          <w:spacing w:val="-2"/>
          <w:sz w:val="20"/>
        </w:rPr>
        <w:t xml:space="preserve"> </w:t>
      </w:r>
      <w:r w:rsidR="00D82092" w:rsidRPr="009D5EA7">
        <w:rPr>
          <w:rFonts w:ascii="Verdana" w:hAnsi="Verdana" w:cs="Arial"/>
          <w:spacing w:val="-2"/>
          <w:sz w:val="20"/>
        </w:rPr>
        <w:t xml:space="preserve">A pesar de </w:t>
      </w:r>
      <w:r w:rsidR="00C0407A" w:rsidRPr="009D5EA7">
        <w:rPr>
          <w:rFonts w:ascii="Verdana" w:hAnsi="Verdana" w:cs="Arial"/>
          <w:spacing w:val="-2"/>
          <w:sz w:val="20"/>
        </w:rPr>
        <w:t>ello</w:t>
      </w:r>
      <w:r w:rsidR="00606E8B" w:rsidRPr="009D5EA7">
        <w:rPr>
          <w:rFonts w:ascii="Verdana" w:hAnsi="Verdana" w:cs="Arial"/>
          <w:spacing w:val="-2"/>
          <w:sz w:val="20"/>
        </w:rPr>
        <w:t xml:space="preserve">, </w:t>
      </w:r>
      <w:r w:rsidR="00D82092" w:rsidRPr="009D5EA7">
        <w:rPr>
          <w:rFonts w:ascii="Verdana" w:hAnsi="Verdana" w:cs="Arial"/>
          <w:spacing w:val="-2"/>
          <w:sz w:val="20"/>
        </w:rPr>
        <w:t xml:space="preserve">el juez </w:t>
      </w:r>
      <w:r w:rsidR="00606E8B" w:rsidRPr="009D5EA7">
        <w:rPr>
          <w:rFonts w:ascii="Verdana" w:hAnsi="Verdana" w:cs="Arial"/>
          <w:spacing w:val="-2"/>
          <w:sz w:val="20"/>
        </w:rPr>
        <w:t xml:space="preserve">dictó </w:t>
      </w:r>
      <w:r w:rsidR="00C0407A" w:rsidRPr="009D5EA7">
        <w:rPr>
          <w:rFonts w:ascii="Verdana" w:hAnsi="Verdana" w:cs="Arial"/>
          <w:spacing w:val="-2"/>
          <w:sz w:val="20"/>
        </w:rPr>
        <w:t>un</w:t>
      </w:r>
      <w:r w:rsidR="00606E8B" w:rsidRPr="009D5EA7">
        <w:rPr>
          <w:rFonts w:ascii="Verdana" w:hAnsi="Verdana" w:cs="Arial"/>
          <w:spacing w:val="-2"/>
          <w:sz w:val="20"/>
        </w:rPr>
        <w:t xml:space="preserve"> sobreseimiento definitivo a favor de presuntos autores intelectuales, a poco más de un mes de ocurridos los hechos.</w:t>
      </w:r>
      <w:r w:rsidRPr="009D5EA7">
        <w:rPr>
          <w:rFonts w:ascii="Verdana" w:hAnsi="Verdana" w:cs="Arial"/>
          <w:spacing w:val="-2"/>
          <w:sz w:val="20"/>
        </w:rPr>
        <w:t xml:space="preserve"> </w:t>
      </w:r>
    </w:p>
    <w:p w14:paraId="3D1FBE94" w14:textId="77777777" w:rsidR="00494DA5" w:rsidRPr="009D5EA7" w:rsidRDefault="00494DA5" w:rsidP="00494DA5">
      <w:pPr>
        <w:spacing w:after="0" w:line="240" w:lineRule="auto"/>
        <w:jc w:val="both"/>
        <w:rPr>
          <w:lang w:val="es-ES_tradnl"/>
        </w:rPr>
      </w:pPr>
    </w:p>
    <w:p w14:paraId="05DF1B18" w14:textId="322DF682" w:rsidR="00494DA5" w:rsidRPr="009D5EA7" w:rsidRDefault="00494DA5" w:rsidP="00494DA5">
      <w:pPr>
        <w:pStyle w:val="Prrafodelista"/>
        <w:autoSpaceDE w:val="0"/>
        <w:autoSpaceDN w:val="0"/>
        <w:adjustRightInd w:val="0"/>
        <w:ind w:left="2124" w:right="34" w:hanging="708"/>
        <w:jc w:val="both"/>
        <w:rPr>
          <w:rFonts w:ascii="Verdana" w:hAnsi="Verdana"/>
          <w:b/>
          <w:i/>
          <w:sz w:val="20"/>
        </w:rPr>
      </w:pPr>
      <w:r w:rsidRPr="009D5EA7">
        <w:rPr>
          <w:rFonts w:ascii="Verdana" w:hAnsi="Verdana"/>
          <w:b/>
          <w:i/>
          <w:sz w:val="20"/>
        </w:rPr>
        <w:t>b)</w:t>
      </w:r>
      <w:r w:rsidRPr="009D5EA7">
        <w:rPr>
          <w:rFonts w:ascii="Verdana" w:hAnsi="Verdana"/>
          <w:b/>
          <w:i/>
          <w:sz w:val="20"/>
        </w:rPr>
        <w:tab/>
      </w:r>
      <w:r w:rsidR="007324F2" w:rsidRPr="009D5EA7">
        <w:rPr>
          <w:rFonts w:ascii="Verdana" w:hAnsi="Verdana"/>
          <w:b/>
          <w:i/>
          <w:sz w:val="20"/>
        </w:rPr>
        <w:t>Obstaculizaciones</w:t>
      </w:r>
      <w:r w:rsidRPr="009D5EA7">
        <w:rPr>
          <w:rFonts w:ascii="Verdana" w:hAnsi="Verdana"/>
          <w:b/>
          <w:i/>
          <w:sz w:val="20"/>
        </w:rPr>
        <w:t xml:space="preserve"> a la señora Acosta para participar activamente durante la etapa de instrucción </w:t>
      </w:r>
    </w:p>
    <w:p w14:paraId="5B1F2DB3" w14:textId="1C9C759F" w:rsidR="00494DA5" w:rsidRPr="009D5EA7" w:rsidRDefault="00494DA5" w:rsidP="00494DA5">
      <w:pPr>
        <w:pStyle w:val="Prrafodelista"/>
        <w:autoSpaceDE w:val="0"/>
        <w:autoSpaceDN w:val="0"/>
        <w:adjustRightInd w:val="0"/>
        <w:ind w:left="0" w:right="34"/>
        <w:jc w:val="both"/>
        <w:rPr>
          <w:b/>
          <w:sz w:val="24"/>
          <w:szCs w:val="24"/>
        </w:rPr>
      </w:pPr>
    </w:p>
    <w:p w14:paraId="05AA86DC" w14:textId="1F594BE8" w:rsidR="00494DA5" w:rsidRPr="009D5EA7" w:rsidRDefault="00494DA5" w:rsidP="00494DA5">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 xml:space="preserve">En estrecha relación con lo anterior, es particularmente relevante lo alegado en cuanto a que, paralelamente </w:t>
      </w:r>
      <w:r w:rsidR="00C60E15" w:rsidRPr="009D5EA7">
        <w:rPr>
          <w:rFonts w:ascii="Verdana" w:hAnsi="Verdana" w:cs="Arial"/>
          <w:spacing w:val="-2"/>
          <w:sz w:val="20"/>
        </w:rPr>
        <w:t xml:space="preserve">a las indicadas omisiones por parte de la autoridad </w:t>
      </w:r>
      <w:r w:rsidRPr="009D5EA7">
        <w:rPr>
          <w:rFonts w:ascii="Verdana" w:hAnsi="Verdana" w:cs="Arial"/>
          <w:spacing w:val="-2"/>
          <w:sz w:val="20"/>
        </w:rPr>
        <w:t>investigadora</w:t>
      </w:r>
      <w:r w:rsidR="00C60E15" w:rsidRPr="009D5EA7">
        <w:rPr>
          <w:rFonts w:ascii="Verdana" w:hAnsi="Verdana" w:cs="Arial"/>
          <w:spacing w:val="-2"/>
          <w:sz w:val="20"/>
        </w:rPr>
        <w:t xml:space="preserve">, </w:t>
      </w:r>
      <w:r w:rsidRPr="009D5EA7">
        <w:rPr>
          <w:rFonts w:ascii="Verdana" w:hAnsi="Verdana" w:cs="Arial"/>
          <w:spacing w:val="-2"/>
          <w:sz w:val="20"/>
        </w:rPr>
        <w:t>se impidió a la señora</w:t>
      </w:r>
      <w:r w:rsidR="00C60E15" w:rsidRPr="009D5EA7">
        <w:rPr>
          <w:rFonts w:ascii="Verdana" w:hAnsi="Verdana" w:cs="Arial"/>
          <w:spacing w:val="-2"/>
          <w:sz w:val="20"/>
        </w:rPr>
        <w:t xml:space="preserve"> </w:t>
      </w:r>
      <w:r w:rsidRPr="009D5EA7">
        <w:rPr>
          <w:rFonts w:ascii="Verdana" w:hAnsi="Verdana" w:cs="Arial"/>
          <w:spacing w:val="-2"/>
          <w:sz w:val="20"/>
        </w:rPr>
        <w:t>Acosta participar activamente en la etapa de instrucción</w:t>
      </w:r>
      <w:r w:rsidR="00227075" w:rsidRPr="009D5EA7">
        <w:rPr>
          <w:rFonts w:ascii="Verdana" w:hAnsi="Verdana" w:cs="Arial"/>
          <w:spacing w:val="-2"/>
          <w:sz w:val="20"/>
        </w:rPr>
        <w:t>.</w:t>
      </w:r>
      <w:r w:rsidR="00C60E15" w:rsidRPr="009D5EA7">
        <w:rPr>
          <w:rFonts w:ascii="Verdana" w:hAnsi="Verdana" w:cs="Arial"/>
          <w:spacing w:val="-2"/>
          <w:sz w:val="20"/>
        </w:rPr>
        <w:t xml:space="preserve"> </w:t>
      </w:r>
    </w:p>
    <w:p w14:paraId="4823E21E" w14:textId="77777777" w:rsidR="00C60E15" w:rsidRPr="009D5EA7" w:rsidRDefault="00C60E15" w:rsidP="00C60E15">
      <w:pPr>
        <w:pStyle w:val="Prrafodelista"/>
        <w:autoSpaceDE w:val="0"/>
        <w:autoSpaceDN w:val="0"/>
        <w:adjustRightInd w:val="0"/>
        <w:ind w:left="0" w:right="34"/>
        <w:jc w:val="both"/>
        <w:rPr>
          <w:rFonts w:ascii="Verdana" w:hAnsi="Verdana" w:cs="Arial"/>
          <w:spacing w:val="-2"/>
          <w:sz w:val="20"/>
        </w:rPr>
      </w:pPr>
    </w:p>
    <w:p w14:paraId="2BA98A52" w14:textId="00BC7531" w:rsidR="002D49F9" w:rsidRPr="009D5EA7" w:rsidRDefault="00227075" w:rsidP="00600449">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Cambria"/>
          <w:sz w:val="20"/>
        </w:rPr>
        <w:t>Así, e</w:t>
      </w:r>
      <w:r w:rsidR="002D49F9" w:rsidRPr="009D5EA7">
        <w:rPr>
          <w:rFonts w:ascii="Verdana" w:hAnsi="Verdana" w:cs="Cambria"/>
          <w:sz w:val="20"/>
        </w:rPr>
        <w:t xml:space="preserve">l juez </w:t>
      </w:r>
      <w:r w:rsidR="009250A4">
        <w:rPr>
          <w:rFonts w:ascii="Verdana" w:hAnsi="Verdana" w:cs="Cambria"/>
          <w:sz w:val="20"/>
        </w:rPr>
        <w:t>abrió indagatoria</w:t>
      </w:r>
      <w:r w:rsidR="002D49F9" w:rsidRPr="009D5EA7">
        <w:rPr>
          <w:rFonts w:ascii="Verdana" w:hAnsi="Verdana" w:cs="Cambria"/>
          <w:sz w:val="20"/>
        </w:rPr>
        <w:t xml:space="preserve"> contra la señora Acosta por encubrimiento del </w:t>
      </w:r>
      <w:r w:rsidR="006233D1">
        <w:rPr>
          <w:rFonts w:ascii="Verdana" w:hAnsi="Verdana" w:cs="Arial"/>
          <w:sz w:val="20"/>
        </w:rPr>
        <w:t>homicidio</w:t>
      </w:r>
      <w:r w:rsidR="006233D1" w:rsidRPr="009D5EA7">
        <w:rPr>
          <w:rFonts w:ascii="Verdana" w:hAnsi="Verdana" w:cs="Arial"/>
          <w:sz w:val="20"/>
        </w:rPr>
        <w:t xml:space="preserve"> </w:t>
      </w:r>
      <w:r w:rsidR="002D49F9" w:rsidRPr="009D5EA7">
        <w:rPr>
          <w:rFonts w:ascii="Verdana" w:hAnsi="Verdana" w:cs="Cambria"/>
          <w:sz w:val="20"/>
        </w:rPr>
        <w:t xml:space="preserve">de su esposo, </w:t>
      </w:r>
      <w:r w:rsidR="002D49F9" w:rsidRPr="009D5EA7">
        <w:rPr>
          <w:rFonts w:ascii="Verdana" w:hAnsi="Verdana" w:cs="Arial"/>
          <w:spacing w:val="-2"/>
          <w:sz w:val="20"/>
        </w:rPr>
        <w:t xml:space="preserve">en la misma instrucción, </w:t>
      </w:r>
      <w:r w:rsidR="002D49F9" w:rsidRPr="009D5EA7">
        <w:rPr>
          <w:rFonts w:ascii="Verdana" w:hAnsi="Verdana" w:cs="Cambria"/>
          <w:sz w:val="20"/>
        </w:rPr>
        <w:t xml:space="preserve">exclusivamente con base en </w:t>
      </w:r>
      <w:r w:rsidR="002D49F9" w:rsidRPr="009D5EA7">
        <w:rPr>
          <w:rFonts w:ascii="Verdana" w:hAnsi="Verdana" w:cs="Arial"/>
          <w:spacing w:val="-2"/>
          <w:sz w:val="20"/>
        </w:rPr>
        <w:t>la declaración de una de las personas señaladas por ella</w:t>
      </w:r>
      <w:r w:rsidR="004F18BD" w:rsidRPr="009D5EA7">
        <w:rPr>
          <w:rFonts w:ascii="Verdana" w:hAnsi="Verdana" w:cs="Arial"/>
          <w:spacing w:val="-2"/>
          <w:sz w:val="20"/>
        </w:rPr>
        <w:t xml:space="preserve"> como posible autor intelectual</w:t>
      </w:r>
      <w:r w:rsidR="002D49F9" w:rsidRPr="009D5EA7">
        <w:rPr>
          <w:rFonts w:ascii="Verdana" w:hAnsi="Verdana" w:cs="Arial"/>
          <w:spacing w:val="-2"/>
          <w:sz w:val="20"/>
        </w:rPr>
        <w:t>. Si bien esto se analiza más adelante</w:t>
      </w:r>
      <w:r w:rsidR="002D49F9" w:rsidRPr="009D5EA7">
        <w:rPr>
          <w:rFonts w:ascii="Verdana" w:hAnsi="Verdana" w:cs="Cambria"/>
          <w:sz w:val="20"/>
        </w:rPr>
        <w:t xml:space="preserve"> (</w:t>
      </w:r>
      <w:r w:rsidR="002D49F9" w:rsidRPr="009D5EA7">
        <w:rPr>
          <w:rFonts w:ascii="Verdana" w:hAnsi="Verdana" w:cs="Cambria"/>
          <w:i/>
          <w:sz w:val="20"/>
        </w:rPr>
        <w:t xml:space="preserve">infra </w:t>
      </w:r>
      <w:r w:rsidR="002D49F9" w:rsidRPr="009D5EA7">
        <w:rPr>
          <w:rFonts w:ascii="Verdana" w:hAnsi="Verdana" w:cs="Cambria"/>
          <w:sz w:val="20"/>
        </w:rPr>
        <w:t>párr</w:t>
      </w:r>
      <w:r w:rsidR="00245A06">
        <w:rPr>
          <w:rFonts w:ascii="Verdana" w:hAnsi="Verdana" w:cs="Cambria"/>
          <w:sz w:val="20"/>
        </w:rPr>
        <w:t>s</w:t>
      </w:r>
      <w:r w:rsidR="002D49F9" w:rsidRPr="009D5EA7">
        <w:rPr>
          <w:rFonts w:ascii="Verdana" w:hAnsi="Verdana" w:cs="Cambria"/>
          <w:sz w:val="20"/>
        </w:rPr>
        <w:t xml:space="preserve">. </w:t>
      </w:r>
      <w:r w:rsidR="00245A06">
        <w:rPr>
          <w:rFonts w:ascii="Verdana" w:hAnsi="Verdana" w:cs="Cambria"/>
          <w:sz w:val="20"/>
        </w:rPr>
        <w:t>186 a 188</w:t>
      </w:r>
      <w:r w:rsidR="002D49F9" w:rsidRPr="009D5EA7">
        <w:rPr>
          <w:rFonts w:ascii="Verdana" w:hAnsi="Verdana" w:cs="Cambria"/>
          <w:sz w:val="20"/>
        </w:rPr>
        <w:t xml:space="preserve">), tal cambio de calidad de ofendida a procesada fue calificado por la Fiscal Auxiliar de la RAAS </w:t>
      </w:r>
      <w:r w:rsidR="00C24DC8">
        <w:rPr>
          <w:rFonts w:ascii="Verdana" w:hAnsi="Verdana" w:cs="Cambria"/>
          <w:sz w:val="20"/>
        </w:rPr>
        <w:t xml:space="preserve">y por la Fiscal Auxiliar de Managua </w:t>
      </w:r>
      <w:r w:rsidR="002D49F9" w:rsidRPr="009D5EA7">
        <w:rPr>
          <w:rFonts w:ascii="Verdana" w:hAnsi="Verdana" w:cs="Cambria"/>
          <w:sz w:val="20"/>
        </w:rPr>
        <w:t>como “</w:t>
      </w:r>
      <w:r w:rsidR="003B7BE3" w:rsidRPr="009D5EA7">
        <w:rPr>
          <w:rFonts w:ascii="Verdana" w:hAnsi="Verdana" w:cs="Cambria"/>
          <w:sz w:val="20"/>
        </w:rPr>
        <w:t>supremamente</w:t>
      </w:r>
      <w:r w:rsidR="002D49F9" w:rsidRPr="009D5EA7">
        <w:rPr>
          <w:rFonts w:ascii="Verdana" w:hAnsi="Verdana" w:cs="Cambria"/>
          <w:sz w:val="20"/>
        </w:rPr>
        <w:t xml:space="preserve"> irregular”</w:t>
      </w:r>
      <w:r w:rsidR="00C24DC8">
        <w:rPr>
          <w:rFonts w:ascii="Verdana" w:hAnsi="Verdana" w:cs="Cambria"/>
          <w:sz w:val="20"/>
        </w:rPr>
        <w:t>,</w:t>
      </w:r>
      <w:r w:rsidR="00C24DC8" w:rsidRPr="00C24DC8">
        <w:rPr>
          <w:rFonts w:ascii="Verdana" w:hAnsi="Verdana" w:cs="Cambria"/>
          <w:sz w:val="20"/>
        </w:rPr>
        <w:t xml:space="preserve"> </w:t>
      </w:r>
      <w:r w:rsidR="00C24DC8">
        <w:rPr>
          <w:rFonts w:ascii="Verdana" w:hAnsi="Verdana" w:cs="Cambria"/>
          <w:sz w:val="20"/>
        </w:rPr>
        <w:t>“ilegal”, “arbitrario”</w:t>
      </w:r>
      <w:r w:rsidR="002D49F9" w:rsidRPr="009D5EA7">
        <w:rPr>
          <w:rFonts w:ascii="Verdana" w:hAnsi="Verdana" w:cs="Cambria"/>
          <w:sz w:val="20"/>
        </w:rPr>
        <w:t xml:space="preserve"> y “un absurdo jurídico”. </w:t>
      </w:r>
    </w:p>
    <w:p w14:paraId="14029F54" w14:textId="77777777" w:rsidR="00C60E15" w:rsidRPr="009D5EA7" w:rsidRDefault="00C60E15" w:rsidP="00C60E15">
      <w:pPr>
        <w:pStyle w:val="Prrafodelista"/>
        <w:autoSpaceDE w:val="0"/>
        <w:autoSpaceDN w:val="0"/>
        <w:adjustRightInd w:val="0"/>
        <w:ind w:left="0" w:right="34"/>
        <w:jc w:val="both"/>
        <w:rPr>
          <w:rFonts w:ascii="Verdana" w:hAnsi="Verdana" w:cs="Arial"/>
          <w:spacing w:val="-2"/>
          <w:sz w:val="20"/>
        </w:rPr>
      </w:pPr>
    </w:p>
    <w:p w14:paraId="1EBFAAB8" w14:textId="39E65FA6" w:rsidR="00967608" w:rsidRPr="009D5EA7" w:rsidRDefault="00227075" w:rsidP="00FF2EC6">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En segundo lugar, l</w:t>
      </w:r>
      <w:r w:rsidR="00600449" w:rsidRPr="009D5EA7">
        <w:rPr>
          <w:rFonts w:ascii="Verdana" w:hAnsi="Verdana" w:cs="Arial"/>
          <w:spacing w:val="-2"/>
          <w:sz w:val="20"/>
        </w:rPr>
        <w:t xml:space="preserve">a señora Acosta </w:t>
      </w:r>
      <w:r w:rsidR="00245F85" w:rsidRPr="009D5EA7">
        <w:rPr>
          <w:rFonts w:ascii="Verdana" w:hAnsi="Verdana" w:cs="Arial"/>
          <w:spacing w:val="-2"/>
          <w:sz w:val="20"/>
        </w:rPr>
        <w:t xml:space="preserve">decidió irse de Bluefields por temor a su seguridad y de sus hijos </w:t>
      </w:r>
      <w:r w:rsidR="00600449" w:rsidRPr="009D5EA7">
        <w:rPr>
          <w:rFonts w:ascii="Verdana" w:hAnsi="Verdana" w:cs="Arial"/>
          <w:spacing w:val="-2"/>
          <w:sz w:val="20"/>
        </w:rPr>
        <w:t>hacia Chinandega</w:t>
      </w:r>
      <w:r w:rsidR="004F18BD" w:rsidRPr="009D5EA7">
        <w:rPr>
          <w:rFonts w:ascii="Verdana" w:hAnsi="Verdana" w:cs="Arial"/>
          <w:spacing w:val="-2"/>
          <w:sz w:val="20"/>
        </w:rPr>
        <w:t xml:space="preserve"> y e</w:t>
      </w:r>
      <w:r w:rsidR="00245F85" w:rsidRPr="009D5EA7">
        <w:rPr>
          <w:rFonts w:ascii="Verdana" w:hAnsi="Verdana" w:cs="Arial"/>
          <w:spacing w:val="-2"/>
          <w:sz w:val="20"/>
        </w:rPr>
        <w:t>l juez</w:t>
      </w:r>
      <w:r w:rsidR="00600449" w:rsidRPr="009D5EA7">
        <w:rPr>
          <w:rFonts w:ascii="Verdana" w:hAnsi="Verdana" w:cs="Arial"/>
          <w:spacing w:val="-2"/>
          <w:sz w:val="20"/>
        </w:rPr>
        <w:t xml:space="preserve"> negó </w:t>
      </w:r>
      <w:r w:rsidR="00777936">
        <w:rPr>
          <w:rFonts w:ascii="Verdana" w:hAnsi="Verdana" w:cs="Arial"/>
          <w:spacing w:val="-2"/>
          <w:sz w:val="20"/>
        </w:rPr>
        <w:t>la</w:t>
      </w:r>
      <w:r w:rsidR="00245F85" w:rsidRPr="009D5EA7">
        <w:rPr>
          <w:rFonts w:ascii="Verdana" w:hAnsi="Verdana" w:cs="Arial"/>
          <w:spacing w:val="-2"/>
          <w:sz w:val="20"/>
        </w:rPr>
        <w:t xml:space="preserve"> solicitud </w:t>
      </w:r>
      <w:r w:rsidR="00777936">
        <w:rPr>
          <w:rFonts w:ascii="Verdana" w:hAnsi="Verdana" w:cs="Arial"/>
          <w:spacing w:val="-2"/>
          <w:sz w:val="20"/>
        </w:rPr>
        <w:t xml:space="preserve">de la Fiscalía </w:t>
      </w:r>
      <w:r w:rsidR="00245F85" w:rsidRPr="009D5EA7">
        <w:rPr>
          <w:rFonts w:ascii="Verdana" w:hAnsi="Verdana" w:cs="Arial"/>
          <w:spacing w:val="-2"/>
          <w:sz w:val="20"/>
        </w:rPr>
        <w:t>de</w:t>
      </w:r>
      <w:r w:rsidR="00600449" w:rsidRPr="009D5EA7">
        <w:rPr>
          <w:rFonts w:ascii="Verdana" w:hAnsi="Verdana" w:cs="Arial"/>
          <w:spacing w:val="-2"/>
          <w:sz w:val="20"/>
        </w:rPr>
        <w:t xml:space="preserve"> </w:t>
      </w:r>
      <w:r w:rsidR="00245F85" w:rsidRPr="009D5EA7">
        <w:rPr>
          <w:rFonts w:ascii="Verdana" w:hAnsi="Verdana" w:cs="Arial"/>
          <w:spacing w:val="-2"/>
          <w:sz w:val="20"/>
        </w:rPr>
        <w:t xml:space="preserve">permitírsele </w:t>
      </w:r>
      <w:r w:rsidR="00600449" w:rsidRPr="009D5EA7">
        <w:rPr>
          <w:rFonts w:ascii="Verdana" w:hAnsi="Verdana" w:cs="Arial"/>
          <w:spacing w:val="-2"/>
          <w:sz w:val="20"/>
        </w:rPr>
        <w:t xml:space="preserve">declarar desde </w:t>
      </w:r>
      <w:r w:rsidR="00245F85" w:rsidRPr="009D5EA7">
        <w:rPr>
          <w:rFonts w:ascii="Verdana" w:hAnsi="Verdana" w:cs="Arial"/>
          <w:spacing w:val="-2"/>
          <w:sz w:val="20"/>
        </w:rPr>
        <w:t xml:space="preserve">este último </w:t>
      </w:r>
      <w:r w:rsidR="00967608" w:rsidRPr="009D5EA7">
        <w:rPr>
          <w:rFonts w:ascii="Verdana" w:hAnsi="Verdana" w:cs="Arial"/>
          <w:spacing w:val="-2"/>
          <w:sz w:val="20"/>
        </w:rPr>
        <w:t>lugar</w:t>
      </w:r>
      <w:r w:rsidR="00245F85" w:rsidRPr="009D5EA7">
        <w:rPr>
          <w:rFonts w:ascii="Verdana" w:hAnsi="Verdana" w:cs="Arial"/>
          <w:spacing w:val="-2"/>
          <w:sz w:val="20"/>
        </w:rPr>
        <w:t xml:space="preserve"> a través de exhorto al juez de la localidad, </w:t>
      </w:r>
      <w:r w:rsidR="00600449" w:rsidRPr="009D5EA7">
        <w:rPr>
          <w:rFonts w:ascii="Verdana" w:hAnsi="Verdana" w:cs="Arial"/>
          <w:spacing w:val="-2"/>
          <w:sz w:val="20"/>
        </w:rPr>
        <w:t xml:space="preserve">a pesar </w:t>
      </w:r>
      <w:r w:rsidR="00245F85" w:rsidRPr="009D5EA7">
        <w:rPr>
          <w:rFonts w:ascii="Verdana" w:hAnsi="Verdana" w:cs="Arial"/>
          <w:spacing w:val="-2"/>
          <w:sz w:val="20"/>
        </w:rPr>
        <w:t xml:space="preserve">de que conocía </w:t>
      </w:r>
      <w:r w:rsidR="00600449" w:rsidRPr="009D5EA7">
        <w:rPr>
          <w:rFonts w:ascii="Verdana" w:hAnsi="Verdana" w:cs="Arial"/>
          <w:spacing w:val="-2"/>
          <w:sz w:val="20"/>
        </w:rPr>
        <w:t xml:space="preserve">la </w:t>
      </w:r>
      <w:r w:rsidR="00245F85" w:rsidRPr="009D5EA7">
        <w:rPr>
          <w:rFonts w:ascii="Verdana" w:hAnsi="Verdana" w:cs="Arial"/>
          <w:spacing w:val="-2"/>
          <w:sz w:val="20"/>
        </w:rPr>
        <w:t xml:space="preserve">posible </w:t>
      </w:r>
      <w:r w:rsidR="00600449" w:rsidRPr="009D5EA7">
        <w:rPr>
          <w:rFonts w:ascii="Verdana" w:hAnsi="Verdana" w:cs="Arial"/>
          <w:spacing w:val="-2"/>
          <w:sz w:val="20"/>
        </w:rPr>
        <w:t xml:space="preserve">situación de riesgo en que </w:t>
      </w:r>
      <w:r w:rsidR="00245F85" w:rsidRPr="009D5EA7">
        <w:rPr>
          <w:rFonts w:ascii="Verdana" w:hAnsi="Verdana" w:cs="Arial"/>
          <w:spacing w:val="-2"/>
          <w:sz w:val="20"/>
        </w:rPr>
        <w:t>pod</w:t>
      </w:r>
      <w:r w:rsidR="00600449" w:rsidRPr="009D5EA7">
        <w:rPr>
          <w:rFonts w:ascii="Verdana" w:hAnsi="Verdana" w:cs="Arial"/>
          <w:spacing w:val="-2"/>
          <w:sz w:val="20"/>
        </w:rPr>
        <w:t>ía</w:t>
      </w:r>
      <w:r w:rsidR="00245F85" w:rsidRPr="009D5EA7">
        <w:rPr>
          <w:rFonts w:ascii="Verdana" w:hAnsi="Verdana" w:cs="Arial"/>
          <w:spacing w:val="-2"/>
          <w:sz w:val="20"/>
        </w:rPr>
        <w:t xml:space="preserve"> ella</w:t>
      </w:r>
      <w:r w:rsidR="00600449" w:rsidRPr="009D5EA7">
        <w:rPr>
          <w:rFonts w:ascii="Verdana" w:hAnsi="Verdana" w:cs="Arial"/>
          <w:spacing w:val="-2"/>
          <w:sz w:val="20"/>
        </w:rPr>
        <w:t xml:space="preserve"> encontrar</w:t>
      </w:r>
      <w:r w:rsidR="00245F85" w:rsidRPr="009D5EA7">
        <w:rPr>
          <w:rFonts w:ascii="Verdana" w:hAnsi="Verdana" w:cs="Arial"/>
          <w:spacing w:val="-2"/>
          <w:sz w:val="20"/>
        </w:rPr>
        <w:t>se. E</w:t>
      </w:r>
      <w:r w:rsidR="00600449" w:rsidRPr="009D5EA7">
        <w:rPr>
          <w:rFonts w:ascii="Verdana" w:hAnsi="Verdana" w:cs="Arial"/>
          <w:spacing w:val="-2"/>
          <w:sz w:val="20"/>
        </w:rPr>
        <w:t xml:space="preserve">l juez desestimó dicha solicitud “en aras de garantizar que las demás partes en el proceso, [tuvieran] la oportunidad real de hacer </w:t>
      </w:r>
      <w:r w:rsidR="00600449" w:rsidRPr="009D5EA7">
        <w:rPr>
          <w:rFonts w:ascii="Verdana" w:hAnsi="Verdana" w:cs="Arial"/>
          <w:spacing w:val="-2"/>
          <w:sz w:val="20"/>
        </w:rPr>
        <w:lastRenderedPageBreak/>
        <w:t>usos de sus derechos”</w:t>
      </w:r>
      <w:r w:rsidR="00245F85" w:rsidRPr="009D5EA7">
        <w:rPr>
          <w:rFonts w:ascii="Verdana" w:hAnsi="Verdana" w:cs="Arial"/>
          <w:spacing w:val="-2"/>
          <w:sz w:val="20"/>
        </w:rPr>
        <w:t xml:space="preserve">. </w:t>
      </w:r>
      <w:r w:rsidR="00967608" w:rsidRPr="009D5EA7">
        <w:rPr>
          <w:rFonts w:ascii="Verdana" w:hAnsi="Verdana" w:cs="Arial"/>
          <w:spacing w:val="-2"/>
          <w:sz w:val="20"/>
        </w:rPr>
        <w:t>E</w:t>
      </w:r>
      <w:r w:rsidR="00245F85" w:rsidRPr="009D5EA7">
        <w:rPr>
          <w:rFonts w:ascii="Verdana" w:hAnsi="Verdana" w:cs="Arial"/>
          <w:spacing w:val="-2"/>
          <w:sz w:val="20"/>
        </w:rPr>
        <w:t xml:space="preserve">s claro que el </w:t>
      </w:r>
      <w:r w:rsidR="006F259E" w:rsidRPr="009D5EA7">
        <w:rPr>
          <w:rFonts w:ascii="Verdana" w:hAnsi="Verdana" w:cs="Arial"/>
          <w:spacing w:val="-2"/>
          <w:sz w:val="20"/>
        </w:rPr>
        <w:t>juez tenía facultad</w:t>
      </w:r>
      <w:r w:rsidR="00245F85" w:rsidRPr="009D5EA7">
        <w:rPr>
          <w:rFonts w:ascii="Verdana" w:hAnsi="Verdana" w:cs="Arial"/>
          <w:spacing w:val="-2"/>
          <w:sz w:val="20"/>
        </w:rPr>
        <w:t>es</w:t>
      </w:r>
      <w:r w:rsidR="006F259E" w:rsidRPr="009D5EA7">
        <w:rPr>
          <w:rFonts w:ascii="Verdana" w:hAnsi="Verdana" w:cs="Arial"/>
          <w:spacing w:val="-2"/>
          <w:sz w:val="20"/>
        </w:rPr>
        <w:t xml:space="preserve"> legal</w:t>
      </w:r>
      <w:r w:rsidR="00245F85" w:rsidRPr="009D5EA7">
        <w:rPr>
          <w:rFonts w:ascii="Verdana" w:hAnsi="Verdana" w:cs="Arial"/>
          <w:spacing w:val="-2"/>
          <w:sz w:val="20"/>
        </w:rPr>
        <w:t xml:space="preserve">es para haber </w:t>
      </w:r>
      <w:r w:rsidR="004F18BD" w:rsidRPr="009D5EA7">
        <w:rPr>
          <w:rFonts w:ascii="Verdana" w:hAnsi="Verdana" w:cs="Arial"/>
          <w:spacing w:val="-2"/>
          <w:sz w:val="20"/>
        </w:rPr>
        <w:t xml:space="preserve">propiciado </w:t>
      </w:r>
      <w:r w:rsidR="00245F85" w:rsidRPr="009D5EA7">
        <w:rPr>
          <w:rFonts w:ascii="Verdana" w:hAnsi="Verdana" w:cs="Arial"/>
          <w:spacing w:val="-2"/>
          <w:sz w:val="20"/>
        </w:rPr>
        <w:t>una</w:t>
      </w:r>
      <w:r w:rsidR="00C62128" w:rsidRPr="009D5EA7">
        <w:rPr>
          <w:rFonts w:ascii="Verdana" w:hAnsi="Verdana" w:cs="Arial"/>
          <w:spacing w:val="-2"/>
          <w:sz w:val="20"/>
        </w:rPr>
        <w:t xml:space="preserve"> segura y efectiva</w:t>
      </w:r>
      <w:r w:rsidR="00245F85" w:rsidRPr="009D5EA7">
        <w:rPr>
          <w:rFonts w:ascii="Verdana" w:hAnsi="Verdana" w:cs="Arial"/>
          <w:spacing w:val="-2"/>
          <w:sz w:val="20"/>
        </w:rPr>
        <w:t xml:space="preserve"> participación de ella</w:t>
      </w:r>
      <w:r w:rsidR="00967608" w:rsidRPr="009D5EA7">
        <w:rPr>
          <w:rFonts w:ascii="Verdana" w:hAnsi="Verdana" w:cs="Arial"/>
          <w:spacing w:val="-2"/>
          <w:sz w:val="20"/>
        </w:rPr>
        <w:t>, por ejemplo a través del exhorto a otro juzgado, a pesar de lo cual no lo hizo y, en lugar de ello, insistió en enviarle notificaciones en Bluefields requiriendo su comparecencia como indagada y emitió una orden de captura e</w:t>
      </w:r>
      <w:r w:rsidR="00FF2EC6" w:rsidRPr="009D5EA7">
        <w:rPr>
          <w:rFonts w:ascii="Verdana" w:hAnsi="Verdana" w:cs="Arial"/>
          <w:spacing w:val="-2"/>
          <w:sz w:val="20"/>
        </w:rPr>
        <w:t xml:space="preserve">n su contra. Incluso el juez declaró a medios de comunicación </w:t>
      </w:r>
      <w:r w:rsidR="00967608" w:rsidRPr="009D5EA7">
        <w:rPr>
          <w:rFonts w:ascii="Verdana" w:hAnsi="Verdana" w:cs="Arial"/>
          <w:spacing w:val="-2"/>
          <w:sz w:val="20"/>
        </w:rPr>
        <w:t xml:space="preserve">que </w:t>
      </w:r>
      <w:r w:rsidR="00E35138" w:rsidRPr="009D5EA7">
        <w:rPr>
          <w:rFonts w:ascii="Verdana" w:hAnsi="Verdana" w:cs="Arial"/>
          <w:spacing w:val="-2"/>
          <w:sz w:val="20"/>
        </w:rPr>
        <w:t xml:space="preserve">ella </w:t>
      </w:r>
      <w:r w:rsidR="00FF2EC6" w:rsidRPr="009D5EA7">
        <w:rPr>
          <w:rFonts w:ascii="Verdana" w:hAnsi="Verdana" w:cs="Arial"/>
          <w:spacing w:val="-2"/>
          <w:sz w:val="20"/>
        </w:rPr>
        <w:t xml:space="preserve">había </w:t>
      </w:r>
      <w:r w:rsidR="00967608" w:rsidRPr="009D5EA7">
        <w:rPr>
          <w:rFonts w:ascii="Verdana" w:hAnsi="Verdana" w:cs="Arial"/>
          <w:spacing w:val="-2"/>
          <w:sz w:val="20"/>
        </w:rPr>
        <w:t>hecho caso omiso de las citatorias que se le ha</w:t>
      </w:r>
      <w:r w:rsidR="00777936">
        <w:rPr>
          <w:rFonts w:ascii="Verdana" w:hAnsi="Verdana" w:cs="Arial"/>
          <w:spacing w:val="-2"/>
          <w:sz w:val="20"/>
        </w:rPr>
        <w:t>bía</w:t>
      </w:r>
      <w:r w:rsidR="00967608" w:rsidRPr="009D5EA7">
        <w:rPr>
          <w:rFonts w:ascii="Verdana" w:hAnsi="Verdana" w:cs="Arial"/>
          <w:spacing w:val="-2"/>
          <w:sz w:val="20"/>
        </w:rPr>
        <w:t>n girado</w:t>
      </w:r>
      <w:r w:rsidR="00FF2EC6" w:rsidRPr="009D5EA7">
        <w:rPr>
          <w:rFonts w:ascii="Verdana" w:hAnsi="Verdana" w:cs="Arial"/>
          <w:spacing w:val="-2"/>
          <w:sz w:val="20"/>
        </w:rPr>
        <w:t xml:space="preserve"> y que “</w:t>
      </w:r>
      <w:r w:rsidR="00967608" w:rsidRPr="009D5EA7">
        <w:rPr>
          <w:rFonts w:ascii="Verdana" w:hAnsi="Verdana" w:cs="Arial"/>
          <w:spacing w:val="-2"/>
          <w:sz w:val="20"/>
        </w:rPr>
        <w:t xml:space="preserve">no </w:t>
      </w:r>
      <w:r w:rsidR="00FF2EC6" w:rsidRPr="009D5EA7">
        <w:rPr>
          <w:rFonts w:ascii="Verdana" w:hAnsi="Verdana" w:cs="Arial"/>
          <w:spacing w:val="-2"/>
          <w:sz w:val="20"/>
        </w:rPr>
        <w:t xml:space="preserve">[le] </w:t>
      </w:r>
      <w:r w:rsidR="00967608" w:rsidRPr="009D5EA7">
        <w:rPr>
          <w:rFonts w:ascii="Verdana" w:hAnsi="Verdana" w:cs="Arial"/>
          <w:spacing w:val="-2"/>
          <w:sz w:val="20"/>
        </w:rPr>
        <w:t>dejó otra opción que hacer uso de la fuerza pública, porque aquí nadie está exento de comparecer ante el llamamiento que le hace un juez</w:t>
      </w:r>
      <w:r w:rsidR="00FF2EC6" w:rsidRPr="009D5EA7">
        <w:rPr>
          <w:rFonts w:ascii="Verdana" w:hAnsi="Verdana" w:cs="Arial"/>
          <w:spacing w:val="-2"/>
          <w:sz w:val="20"/>
        </w:rPr>
        <w:t>”.</w:t>
      </w:r>
      <w:r w:rsidR="00E35138" w:rsidRPr="009D5EA7">
        <w:rPr>
          <w:rFonts w:ascii="Verdana" w:hAnsi="Verdana" w:cs="Arial"/>
          <w:spacing w:val="-2"/>
          <w:sz w:val="20"/>
        </w:rPr>
        <w:t xml:space="preserve"> Es decir, en realidad tampoco </w:t>
      </w:r>
      <w:r w:rsidR="00777936">
        <w:rPr>
          <w:rFonts w:ascii="Verdana" w:hAnsi="Verdana" w:cs="Arial"/>
          <w:spacing w:val="-2"/>
          <w:sz w:val="20"/>
        </w:rPr>
        <w:t>se le permitió</w:t>
      </w:r>
      <w:r w:rsidR="00E35138" w:rsidRPr="009D5EA7">
        <w:rPr>
          <w:rFonts w:ascii="Verdana" w:hAnsi="Verdana" w:cs="Arial"/>
          <w:spacing w:val="-2"/>
          <w:sz w:val="20"/>
        </w:rPr>
        <w:t xml:space="preserve"> ejercer efectivamente su de</w:t>
      </w:r>
      <w:r w:rsidR="00245A06">
        <w:rPr>
          <w:rFonts w:ascii="Verdana" w:hAnsi="Verdana" w:cs="Arial"/>
          <w:spacing w:val="-2"/>
          <w:sz w:val="20"/>
        </w:rPr>
        <w:t>recho de defensa como imputada</w:t>
      </w:r>
      <w:r w:rsidR="00E35138" w:rsidRPr="009D5EA7">
        <w:rPr>
          <w:rFonts w:ascii="Verdana" w:hAnsi="Verdana" w:cs="Arial"/>
          <w:spacing w:val="-2"/>
          <w:sz w:val="20"/>
        </w:rPr>
        <w:t xml:space="preserve">. </w:t>
      </w:r>
    </w:p>
    <w:p w14:paraId="50909A04" w14:textId="77777777" w:rsidR="00C60E15" w:rsidRPr="009D5EA7" w:rsidRDefault="00C60E15" w:rsidP="00C60E15">
      <w:pPr>
        <w:pStyle w:val="Prrafodelista"/>
        <w:autoSpaceDE w:val="0"/>
        <w:autoSpaceDN w:val="0"/>
        <w:adjustRightInd w:val="0"/>
        <w:ind w:left="0" w:right="34"/>
        <w:jc w:val="both"/>
        <w:rPr>
          <w:rFonts w:ascii="Verdana" w:hAnsi="Verdana" w:cs="Arial"/>
          <w:spacing w:val="-2"/>
          <w:sz w:val="20"/>
        </w:rPr>
      </w:pPr>
    </w:p>
    <w:p w14:paraId="38A531C1" w14:textId="7203F55B" w:rsidR="00B64871" w:rsidRPr="009D5EA7" w:rsidRDefault="00227075" w:rsidP="00C62128">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En tercer lugar, con base en</w:t>
      </w:r>
      <w:r w:rsidR="00600449" w:rsidRPr="009D5EA7">
        <w:rPr>
          <w:rFonts w:ascii="Verdana" w:hAnsi="Verdana" w:cs="Arial"/>
          <w:spacing w:val="-2"/>
          <w:sz w:val="20"/>
        </w:rPr>
        <w:t xml:space="preserve"> que el poder mediante el cual el representante legal de la señora Acosta solicitó intervención en el proceso y presentó</w:t>
      </w:r>
      <w:r w:rsidR="00C62128" w:rsidRPr="009D5EA7">
        <w:rPr>
          <w:rFonts w:ascii="Verdana" w:hAnsi="Verdana" w:cs="Arial"/>
          <w:spacing w:val="-2"/>
          <w:sz w:val="20"/>
        </w:rPr>
        <w:t xml:space="preserve"> acusación </w:t>
      </w:r>
      <w:r w:rsidR="00600449" w:rsidRPr="009D5EA7">
        <w:rPr>
          <w:rFonts w:ascii="Verdana" w:hAnsi="Verdana" w:cs="Arial"/>
          <w:spacing w:val="-2"/>
          <w:sz w:val="20"/>
        </w:rPr>
        <w:t xml:space="preserve">fue </w:t>
      </w:r>
      <w:r w:rsidR="004F18BD" w:rsidRPr="009D5EA7">
        <w:rPr>
          <w:rFonts w:ascii="Verdana" w:hAnsi="Verdana" w:cs="Arial"/>
          <w:spacing w:val="-2"/>
          <w:sz w:val="20"/>
        </w:rPr>
        <w:t xml:space="preserve">uno </w:t>
      </w:r>
      <w:r w:rsidR="00600449" w:rsidRPr="009D5EA7">
        <w:rPr>
          <w:rFonts w:ascii="Verdana" w:hAnsi="Verdana" w:cs="Arial"/>
          <w:spacing w:val="-2"/>
          <w:sz w:val="20"/>
        </w:rPr>
        <w:t>“generalísimo” y no “especial”</w:t>
      </w:r>
      <w:r w:rsidR="006B5E3F">
        <w:rPr>
          <w:rFonts w:ascii="Verdana" w:hAnsi="Verdana" w:cs="Arial"/>
          <w:spacing w:val="-2"/>
          <w:sz w:val="20"/>
        </w:rPr>
        <w:t xml:space="preserve"> o “especialísimo”</w:t>
      </w:r>
      <w:r w:rsidR="00600449" w:rsidRPr="009D5EA7">
        <w:rPr>
          <w:rFonts w:ascii="Verdana" w:hAnsi="Verdana" w:cs="Arial"/>
          <w:spacing w:val="-2"/>
          <w:sz w:val="20"/>
        </w:rPr>
        <w:t>, el juez no admitió la acusación</w:t>
      </w:r>
      <w:r w:rsidR="00C62128" w:rsidRPr="009D5EA7">
        <w:rPr>
          <w:rFonts w:ascii="Verdana" w:hAnsi="Verdana" w:cs="Arial"/>
          <w:spacing w:val="-2"/>
          <w:sz w:val="20"/>
        </w:rPr>
        <w:t xml:space="preserve">, no </w:t>
      </w:r>
      <w:r w:rsidR="00600449" w:rsidRPr="009D5EA7">
        <w:rPr>
          <w:rFonts w:ascii="Verdana" w:hAnsi="Verdana" w:cs="Arial"/>
          <w:spacing w:val="-2"/>
          <w:sz w:val="20"/>
        </w:rPr>
        <w:t xml:space="preserve">se refirió a la solicitud </w:t>
      </w:r>
      <w:r w:rsidR="00E35138" w:rsidRPr="009D5EA7">
        <w:rPr>
          <w:rFonts w:ascii="Verdana" w:hAnsi="Verdana" w:cs="Arial"/>
          <w:spacing w:val="-2"/>
          <w:sz w:val="20"/>
        </w:rPr>
        <w:t xml:space="preserve">de </w:t>
      </w:r>
      <w:r w:rsidR="004F18BD" w:rsidRPr="009D5EA7">
        <w:rPr>
          <w:rFonts w:ascii="Verdana" w:hAnsi="Verdana" w:cs="Arial"/>
          <w:spacing w:val="-2"/>
          <w:sz w:val="20"/>
        </w:rPr>
        <w:t>aquél</w:t>
      </w:r>
      <w:r w:rsidR="00600449" w:rsidRPr="009D5EA7">
        <w:rPr>
          <w:rFonts w:ascii="Verdana" w:hAnsi="Verdana" w:cs="Arial"/>
          <w:spacing w:val="-2"/>
          <w:sz w:val="20"/>
        </w:rPr>
        <w:t xml:space="preserve"> para intervenir como abogado defensor de la señora Acosta</w:t>
      </w:r>
      <w:r w:rsidRPr="009D5EA7">
        <w:rPr>
          <w:rFonts w:ascii="Verdana" w:hAnsi="Verdana" w:cs="Arial"/>
          <w:spacing w:val="-2"/>
          <w:sz w:val="20"/>
        </w:rPr>
        <w:t xml:space="preserve"> y </w:t>
      </w:r>
      <w:r w:rsidR="004F18BD" w:rsidRPr="009D5EA7">
        <w:rPr>
          <w:rFonts w:ascii="Verdana" w:hAnsi="Verdana" w:cs="Arial"/>
          <w:spacing w:val="-2"/>
          <w:sz w:val="20"/>
        </w:rPr>
        <w:t xml:space="preserve">tampoco </w:t>
      </w:r>
      <w:r w:rsidR="00600449" w:rsidRPr="009D5EA7">
        <w:rPr>
          <w:rFonts w:ascii="Verdana" w:hAnsi="Verdana" w:cs="Arial"/>
          <w:spacing w:val="-2"/>
          <w:sz w:val="20"/>
        </w:rPr>
        <w:t>designó un defensor de oficio</w:t>
      </w:r>
      <w:r w:rsidR="004F18BD" w:rsidRPr="009D5EA7">
        <w:rPr>
          <w:rFonts w:ascii="Verdana" w:hAnsi="Verdana" w:cs="Arial"/>
          <w:spacing w:val="-2"/>
          <w:sz w:val="20"/>
        </w:rPr>
        <w:t xml:space="preserve"> para ésta</w:t>
      </w:r>
      <w:r w:rsidR="00600449" w:rsidRPr="009D5EA7">
        <w:rPr>
          <w:rStyle w:val="Refdenotaalpie"/>
          <w:rFonts w:ascii="Verdana" w:hAnsi="Verdana" w:cs="Garamond"/>
          <w:sz w:val="20"/>
        </w:rPr>
        <w:footnoteReference w:id="158"/>
      </w:r>
      <w:r w:rsidR="00600449" w:rsidRPr="009D5EA7">
        <w:rPr>
          <w:rFonts w:ascii="Verdana" w:hAnsi="Verdana" w:cs="Garamond"/>
          <w:sz w:val="20"/>
        </w:rPr>
        <w:t>.</w:t>
      </w:r>
      <w:r w:rsidR="00BA082A" w:rsidRPr="009D5EA7">
        <w:rPr>
          <w:rFonts w:ascii="Verdana" w:hAnsi="Verdana" w:cs="Garamond"/>
          <w:sz w:val="20"/>
        </w:rPr>
        <w:t xml:space="preserve"> Tal decisión fue apelada </w:t>
      </w:r>
      <w:r w:rsidR="00CE0BB6" w:rsidRPr="009D5EA7">
        <w:rPr>
          <w:rFonts w:ascii="Verdana" w:hAnsi="Verdana" w:cs="Garamond"/>
          <w:sz w:val="20"/>
        </w:rPr>
        <w:t>por dicho rep</w:t>
      </w:r>
      <w:r w:rsidR="004F18BD" w:rsidRPr="009D5EA7">
        <w:rPr>
          <w:rFonts w:ascii="Verdana" w:hAnsi="Verdana" w:cs="Garamond"/>
          <w:sz w:val="20"/>
        </w:rPr>
        <w:t>resentante, pero el juez rechazó</w:t>
      </w:r>
      <w:r w:rsidR="00CE0BB6" w:rsidRPr="009D5EA7">
        <w:rPr>
          <w:rFonts w:ascii="Verdana" w:hAnsi="Verdana" w:cs="Garamond"/>
          <w:sz w:val="20"/>
        </w:rPr>
        <w:t xml:space="preserve"> el recurso con la misma justificación. De tal modo, el repres</w:t>
      </w:r>
      <w:r w:rsidR="003B7BE3" w:rsidRPr="009D5EA7">
        <w:rPr>
          <w:rFonts w:ascii="Verdana" w:hAnsi="Verdana" w:cs="Garamond"/>
          <w:sz w:val="20"/>
        </w:rPr>
        <w:t>e</w:t>
      </w:r>
      <w:r w:rsidR="00CE0BB6" w:rsidRPr="009D5EA7">
        <w:rPr>
          <w:rFonts w:ascii="Verdana" w:hAnsi="Verdana" w:cs="Garamond"/>
          <w:sz w:val="20"/>
        </w:rPr>
        <w:t xml:space="preserve">ntante presentó el poder especialísimo pero el juez no admitió la </w:t>
      </w:r>
      <w:r w:rsidR="004F18BD" w:rsidRPr="009D5EA7">
        <w:rPr>
          <w:rFonts w:ascii="Verdana" w:hAnsi="Verdana" w:cs="Garamond"/>
          <w:sz w:val="20"/>
        </w:rPr>
        <w:t>acusación ni</w:t>
      </w:r>
      <w:r w:rsidR="00CE0BB6" w:rsidRPr="009D5EA7">
        <w:rPr>
          <w:rFonts w:ascii="Verdana" w:hAnsi="Verdana" w:cs="Garamond"/>
          <w:sz w:val="20"/>
        </w:rPr>
        <w:t xml:space="preserve"> le otor</w:t>
      </w:r>
      <w:r w:rsidR="00E35138" w:rsidRPr="009D5EA7">
        <w:rPr>
          <w:rFonts w:ascii="Verdana" w:hAnsi="Verdana" w:cs="Garamond"/>
          <w:sz w:val="20"/>
        </w:rPr>
        <w:t xml:space="preserve">gó intervención de ley, sino el </w:t>
      </w:r>
      <w:r w:rsidR="00CE0BB6" w:rsidRPr="009D5EA7">
        <w:rPr>
          <w:rFonts w:ascii="Verdana" w:hAnsi="Verdana" w:cs="Garamond"/>
          <w:sz w:val="20"/>
        </w:rPr>
        <w:t xml:space="preserve">mismo </w:t>
      </w:r>
      <w:r w:rsidR="00E35138" w:rsidRPr="009D5EA7">
        <w:rPr>
          <w:rFonts w:ascii="Verdana" w:hAnsi="Verdana" w:cs="Garamond"/>
          <w:sz w:val="20"/>
        </w:rPr>
        <w:t>día en que dictó</w:t>
      </w:r>
      <w:r w:rsidR="00CE0BB6" w:rsidRPr="009D5EA7">
        <w:rPr>
          <w:rFonts w:ascii="Verdana" w:hAnsi="Verdana" w:cs="Garamond"/>
          <w:sz w:val="20"/>
        </w:rPr>
        <w:t xml:space="preserve"> </w:t>
      </w:r>
      <w:r w:rsidR="00E35138" w:rsidRPr="009D5EA7">
        <w:rPr>
          <w:rFonts w:ascii="Verdana" w:hAnsi="Verdana" w:cs="Garamond"/>
          <w:sz w:val="20"/>
        </w:rPr>
        <w:t xml:space="preserve">la </w:t>
      </w:r>
      <w:r w:rsidR="00CE0BB6" w:rsidRPr="009D5EA7">
        <w:rPr>
          <w:rFonts w:ascii="Verdana" w:hAnsi="Verdana" w:cs="Garamond"/>
          <w:sz w:val="20"/>
        </w:rPr>
        <w:t xml:space="preserve">decisión de sobreseimiento. </w:t>
      </w:r>
    </w:p>
    <w:p w14:paraId="29265BB4" w14:textId="77777777" w:rsidR="00B64871" w:rsidRPr="009D5EA7" w:rsidRDefault="00B64871" w:rsidP="00B64871">
      <w:pPr>
        <w:pStyle w:val="Prrafodelista"/>
        <w:rPr>
          <w:rFonts w:ascii="Verdana" w:hAnsi="Verdana" w:cs="Arial"/>
          <w:spacing w:val="-2"/>
          <w:sz w:val="20"/>
        </w:rPr>
      </w:pPr>
    </w:p>
    <w:p w14:paraId="2B2F9AE4" w14:textId="4853F063" w:rsidR="0057394E" w:rsidRPr="009D5EA7" w:rsidRDefault="00BA082A" w:rsidP="00C62128">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pacing w:val="-2"/>
          <w:sz w:val="20"/>
        </w:rPr>
        <w:t>La Corte ha considerado reiteradamente que, d</w:t>
      </w:r>
      <w:r w:rsidR="0057394E" w:rsidRPr="009D5EA7">
        <w:rPr>
          <w:rFonts w:ascii="Verdana" w:hAnsi="Verdana" w:cs="Arial"/>
          <w:spacing w:val="-2"/>
          <w:sz w:val="20"/>
        </w:rPr>
        <w:t>urante el proceso de investigación y el trámite judicial, las víctimas de violaciones de derechos humanos o sus familiares deben tener amplias oportunidades para participar y ser escuchados, tanto en el esclarecimiento de los hechos y la sanción de los responsables, como en la búsqueda de una justa compensación</w:t>
      </w:r>
      <w:r w:rsidR="0057394E" w:rsidRPr="009D5EA7">
        <w:rPr>
          <w:rStyle w:val="Refdenotaalpie"/>
          <w:rFonts w:ascii="Verdana" w:hAnsi="Verdana" w:cs="Arial"/>
          <w:spacing w:val="-2"/>
          <w:sz w:val="20"/>
        </w:rPr>
        <w:footnoteReference w:id="159"/>
      </w:r>
      <w:r w:rsidR="0057394E" w:rsidRPr="009D5EA7">
        <w:rPr>
          <w:rFonts w:ascii="Verdana" w:hAnsi="Verdana" w:cs="Arial"/>
          <w:spacing w:val="-2"/>
          <w:sz w:val="20"/>
        </w:rPr>
        <w:t xml:space="preserve">. </w:t>
      </w:r>
      <w:r w:rsidR="00A50FDB" w:rsidRPr="009D5EA7">
        <w:rPr>
          <w:rFonts w:ascii="Verdana" w:hAnsi="Verdana" w:cs="Cambria"/>
          <w:sz w:val="20"/>
        </w:rPr>
        <w:t>El Estado alegó que, sin perjuicio de que el sistema procesal en esa época “era oficioso, las partes en su rol de coadyuvante del esclarecimiento de los hechos, tampoco aportaron elementos de prueba que acreditaran los extremos de sus pretensiones acusatorias”</w:t>
      </w:r>
      <w:r w:rsidR="004E67B8" w:rsidRPr="009D5EA7">
        <w:rPr>
          <w:rFonts w:ascii="Verdana" w:hAnsi="Verdana" w:cs="Cambria"/>
          <w:sz w:val="20"/>
        </w:rPr>
        <w:t xml:space="preserve"> </w:t>
      </w:r>
      <w:r w:rsidR="0057394E" w:rsidRPr="009D5EA7">
        <w:rPr>
          <w:rFonts w:ascii="Verdana" w:hAnsi="Verdana" w:cs="Cambria"/>
          <w:sz w:val="20"/>
        </w:rPr>
        <w:t>antes de ha</w:t>
      </w:r>
      <w:r w:rsidR="00245A06">
        <w:rPr>
          <w:rFonts w:ascii="Verdana" w:hAnsi="Verdana" w:cs="Cambria"/>
          <w:sz w:val="20"/>
        </w:rPr>
        <w:t>berse dictado el sobreseimiento</w:t>
      </w:r>
      <w:r w:rsidR="00A50FDB" w:rsidRPr="009D5EA7">
        <w:rPr>
          <w:rFonts w:ascii="Verdana" w:hAnsi="Verdana" w:cs="Cambria"/>
          <w:sz w:val="20"/>
        </w:rPr>
        <w:t xml:space="preserve">. </w:t>
      </w:r>
    </w:p>
    <w:p w14:paraId="64AC006B" w14:textId="77777777" w:rsidR="0057394E" w:rsidRPr="009D5EA7" w:rsidRDefault="0057394E" w:rsidP="0057394E">
      <w:pPr>
        <w:pStyle w:val="Prrafodelista"/>
        <w:rPr>
          <w:rFonts w:ascii="Verdana" w:hAnsi="Verdana" w:cs="Cambria"/>
          <w:sz w:val="20"/>
        </w:rPr>
      </w:pPr>
    </w:p>
    <w:p w14:paraId="732F8C99" w14:textId="2E754F78" w:rsidR="006F259E" w:rsidRPr="009D5EA7" w:rsidRDefault="003B7BE3" w:rsidP="00C62128">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Cambria"/>
          <w:sz w:val="20"/>
        </w:rPr>
        <w:t>En este caso, l</w:t>
      </w:r>
      <w:r w:rsidR="00A50FDB" w:rsidRPr="009D5EA7">
        <w:rPr>
          <w:rFonts w:ascii="Verdana" w:hAnsi="Verdana" w:cs="Cambria"/>
          <w:sz w:val="20"/>
        </w:rPr>
        <w:t>a Corte considera que e</w:t>
      </w:r>
      <w:r w:rsidR="006F259E" w:rsidRPr="009D5EA7">
        <w:rPr>
          <w:rFonts w:ascii="Verdana" w:hAnsi="Verdana" w:cs="Arial"/>
          <w:spacing w:val="-2"/>
          <w:sz w:val="20"/>
        </w:rPr>
        <w:t xml:space="preserve">l efecto </w:t>
      </w:r>
      <w:r w:rsidR="00C62128" w:rsidRPr="009D5EA7">
        <w:rPr>
          <w:rFonts w:ascii="Verdana" w:hAnsi="Verdana" w:cs="Arial"/>
          <w:spacing w:val="-2"/>
          <w:sz w:val="20"/>
        </w:rPr>
        <w:t xml:space="preserve">de </w:t>
      </w:r>
      <w:r w:rsidR="0057394E" w:rsidRPr="009D5EA7">
        <w:rPr>
          <w:rFonts w:ascii="Verdana" w:hAnsi="Verdana" w:cs="Arial"/>
          <w:spacing w:val="-2"/>
          <w:sz w:val="20"/>
        </w:rPr>
        <w:t>las obstaculizaciones señaladas</w:t>
      </w:r>
      <w:r w:rsidR="00C62128" w:rsidRPr="009D5EA7">
        <w:rPr>
          <w:rFonts w:ascii="Verdana" w:hAnsi="Verdana" w:cs="Arial"/>
          <w:spacing w:val="-2"/>
          <w:sz w:val="20"/>
        </w:rPr>
        <w:t xml:space="preserve"> </w:t>
      </w:r>
      <w:r w:rsidR="006F259E" w:rsidRPr="009D5EA7">
        <w:rPr>
          <w:rFonts w:ascii="Verdana" w:hAnsi="Verdana" w:cs="Arial"/>
          <w:spacing w:val="-2"/>
          <w:sz w:val="20"/>
        </w:rPr>
        <w:t xml:space="preserve">fue </w:t>
      </w:r>
      <w:r w:rsidR="00BA338F" w:rsidRPr="009D5EA7">
        <w:rPr>
          <w:rFonts w:ascii="Verdana" w:hAnsi="Verdana" w:cs="Arial"/>
          <w:spacing w:val="-2"/>
          <w:sz w:val="20"/>
        </w:rPr>
        <w:t>haber</w:t>
      </w:r>
      <w:r w:rsidR="00C62128" w:rsidRPr="009D5EA7">
        <w:rPr>
          <w:rFonts w:ascii="Verdana" w:hAnsi="Verdana" w:cs="Arial"/>
          <w:spacing w:val="-2"/>
          <w:sz w:val="20"/>
        </w:rPr>
        <w:t xml:space="preserve"> </w:t>
      </w:r>
      <w:r w:rsidR="00BA338F" w:rsidRPr="009D5EA7">
        <w:rPr>
          <w:rFonts w:ascii="Verdana" w:hAnsi="Verdana" w:cs="Arial"/>
          <w:spacing w:val="-2"/>
          <w:sz w:val="20"/>
        </w:rPr>
        <w:t>mantenido</w:t>
      </w:r>
      <w:r w:rsidR="006F259E" w:rsidRPr="009D5EA7">
        <w:rPr>
          <w:rFonts w:ascii="Verdana" w:hAnsi="Verdana" w:cs="Arial"/>
          <w:spacing w:val="-2"/>
          <w:sz w:val="20"/>
        </w:rPr>
        <w:t xml:space="preserve"> </w:t>
      </w:r>
      <w:r w:rsidR="00BA338F" w:rsidRPr="009D5EA7">
        <w:rPr>
          <w:rFonts w:ascii="Verdana" w:hAnsi="Verdana" w:cs="Arial"/>
          <w:spacing w:val="-2"/>
          <w:sz w:val="20"/>
        </w:rPr>
        <w:t>a la señora Acosta y</w:t>
      </w:r>
      <w:r w:rsidR="00C62128" w:rsidRPr="009D5EA7">
        <w:rPr>
          <w:rFonts w:ascii="Verdana" w:hAnsi="Verdana" w:cs="Arial"/>
          <w:spacing w:val="-2"/>
          <w:sz w:val="20"/>
        </w:rPr>
        <w:t xml:space="preserve"> a su representante </w:t>
      </w:r>
      <w:r w:rsidR="006F259E" w:rsidRPr="009D5EA7">
        <w:rPr>
          <w:rFonts w:ascii="Verdana" w:hAnsi="Verdana" w:cs="Arial"/>
          <w:spacing w:val="-2"/>
          <w:sz w:val="20"/>
        </w:rPr>
        <w:t>fuera de toda la etapa de instrucción</w:t>
      </w:r>
      <w:r w:rsidR="00C62128" w:rsidRPr="009D5EA7">
        <w:rPr>
          <w:rFonts w:ascii="Verdana" w:hAnsi="Verdana" w:cs="Arial"/>
          <w:spacing w:val="-2"/>
          <w:sz w:val="20"/>
        </w:rPr>
        <w:t>, etapa</w:t>
      </w:r>
      <w:r w:rsidR="006F259E" w:rsidRPr="009D5EA7">
        <w:rPr>
          <w:rFonts w:ascii="Verdana" w:hAnsi="Verdana" w:cs="Arial"/>
          <w:spacing w:val="-2"/>
          <w:sz w:val="20"/>
        </w:rPr>
        <w:t xml:space="preserve"> en</w:t>
      </w:r>
      <w:r w:rsidR="00EF6117" w:rsidRPr="009D5EA7">
        <w:rPr>
          <w:rFonts w:ascii="Verdana" w:hAnsi="Verdana" w:cs="Arial"/>
          <w:spacing w:val="-2"/>
          <w:sz w:val="20"/>
        </w:rPr>
        <w:t xml:space="preserve"> la que debía producirse prueba</w:t>
      </w:r>
      <w:r w:rsidR="00E35138" w:rsidRPr="009D5EA7">
        <w:rPr>
          <w:rFonts w:ascii="Verdana" w:hAnsi="Verdana" w:cs="Arial"/>
          <w:spacing w:val="-2"/>
          <w:sz w:val="20"/>
        </w:rPr>
        <w:t xml:space="preserve">, por lo cual </w:t>
      </w:r>
      <w:r w:rsidR="00466BA7" w:rsidRPr="009D5EA7">
        <w:rPr>
          <w:rFonts w:ascii="Verdana" w:hAnsi="Verdana" w:cs="Arial"/>
          <w:spacing w:val="-2"/>
          <w:sz w:val="20"/>
        </w:rPr>
        <w:t xml:space="preserve">es insostenible </w:t>
      </w:r>
      <w:r w:rsidR="00E35138" w:rsidRPr="009D5EA7">
        <w:rPr>
          <w:rFonts w:ascii="Verdana" w:hAnsi="Verdana" w:cs="Arial"/>
          <w:spacing w:val="-2"/>
          <w:sz w:val="20"/>
        </w:rPr>
        <w:t xml:space="preserve">que la falta de </w:t>
      </w:r>
      <w:r w:rsidR="00466BA7" w:rsidRPr="009D5EA7">
        <w:rPr>
          <w:rFonts w:ascii="Verdana" w:hAnsi="Verdana" w:cs="Arial"/>
          <w:spacing w:val="-2"/>
          <w:sz w:val="20"/>
        </w:rPr>
        <w:t xml:space="preserve">presentación oportuna de </w:t>
      </w:r>
      <w:r w:rsidR="00E35138" w:rsidRPr="009D5EA7">
        <w:rPr>
          <w:rFonts w:ascii="Verdana" w:hAnsi="Verdana" w:cs="Arial"/>
          <w:spacing w:val="-2"/>
          <w:sz w:val="20"/>
        </w:rPr>
        <w:t>prueba fuese atribuible a la presunta víctima. Eso ocurrió porque</w:t>
      </w:r>
      <w:r w:rsidR="00EF6117" w:rsidRPr="009D5EA7">
        <w:rPr>
          <w:rFonts w:ascii="Verdana" w:hAnsi="Verdana" w:cs="Cambria"/>
          <w:sz w:val="20"/>
        </w:rPr>
        <w:t xml:space="preserve"> el juez </w:t>
      </w:r>
      <w:r w:rsidR="004F18BD" w:rsidRPr="009D5EA7">
        <w:rPr>
          <w:rFonts w:ascii="Verdana" w:hAnsi="Verdana" w:cs="Cambria"/>
          <w:sz w:val="20"/>
        </w:rPr>
        <w:t xml:space="preserve">cambió su calidad </w:t>
      </w:r>
      <w:r w:rsidR="00E35138" w:rsidRPr="009D5EA7">
        <w:rPr>
          <w:rFonts w:ascii="Verdana" w:hAnsi="Verdana" w:cs="Cambria"/>
          <w:sz w:val="20"/>
        </w:rPr>
        <w:t xml:space="preserve">de ofendida a imputada, lo cual, sumado a la decisión de no permitir la intervención de su representante legal, significó que ella no pudo participar como parte ofendida ni, por ende, presentar acusación y solicitar pruebas. </w:t>
      </w:r>
      <w:r w:rsidR="00466BA7" w:rsidRPr="009D5EA7">
        <w:rPr>
          <w:rFonts w:ascii="Verdana" w:hAnsi="Verdana" w:cs="Cambria"/>
          <w:sz w:val="20"/>
        </w:rPr>
        <w:t xml:space="preserve">Tampoco consta en la motivación de </w:t>
      </w:r>
      <w:r w:rsidR="00E35138" w:rsidRPr="009D5EA7">
        <w:rPr>
          <w:rFonts w:ascii="Verdana" w:hAnsi="Verdana" w:cs="Cambria"/>
          <w:sz w:val="20"/>
        </w:rPr>
        <w:t xml:space="preserve">alguna </w:t>
      </w:r>
      <w:r w:rsidR="00466BA7" w:rsidRPr="009D5EA7">
        <w:rPr>
          <w:rFonts w:ascii="Verdana" w:hAnsi="Verdana" w:cs="Cambria"/>
          <w:sz w:val="20"/>
        </w:rPr>
        <w:t xml:space="preserve">de las </w:t>
      </w:r>
      <w:r w:rsidR="00E35138" w:rsidRPr="009D5EA7">
        <w:rPr>
          <w:rFonts w:ascii="Verdana" w:hAnsi="Verdana" w:cs="Cambria"/>
          <w:sz w:val="20"/>
        </w:rPr>
        <w:t xml:space="preserve">decisiones </w:t>
      </w:r>
      <w:r w:rsidR="00466BA7" w:rsidRPr="009D5EA7">
        <w:rPr>
          <w:rFonts w:ascii="Verdana" w:hAnsi="Verdana" w:cs="Cambria"/>
          <w:sz w:val="20"/>
        </w:rPr>
        <w:t>del juez que la imposibilidad de participar como ofendida en el proceso se fundamentara en el cambio de calidad a imputada. De todos modos, su participación como imputada también fue obstaculizada por el juez, pues no aseguró el ejercicio de su derecho de defensa en las circunstancias que conoció y la juzgó en ausencia, por lo cual tampoco pudo solicitar que se evacuaran pruebas en esta calidad. En definitiva</w:t>
      </w:r>
      <w:r w:rsidR="00E35138" w:rsidRPr="009D5EA7">
        <w:rPr>
          <w:rFonts w:ascii="Verdana" w:hAnsi="Verdana" w:cs="Cambria"/>
          <w:sz w:val="20"/>
        </w:rPr>
        <w:t>,</w:t>
      </w:r>
      <w:r w:rsidR="00466BA7" w:rsidRPr="009D5EA7">
        <w:rPr>
          <w:rFonts w:ascii="Verdana" w:hAnsi="Verdana" w:cs="Cambria"/>
          <w:sz w:val="20"/>
        </w:rPr>
        <w:t xml:space="preserve"> el juez </w:t>
      </w:r>
      <w:r w:rsidR="004F18BD" w:rsidRPr="009D5EA7">
        <w:rPr>
          <w:rFonts w:ascii="Verdana" w:hAnsi="Verdana" w:cs="Cambria"/>
          <w:sz w:val="20"/>
        </w:rPr>
        <w:t>no</w:t>
      </w:r>
      <w:r w:rsidR="00EF6117" w:rsidRPr="009D5EA7">
        <w:rPr>
          <w:rFonts w:ascii="Verdana" w:hAnsi="Verdana" w:cs="Cambria"/>
          <w:sz w:val="20"/>
        </w:rPr>
        <w:t xml:space="preserve"> </w:t>
      </w:r>
      <w:r w:rsidR="00466BA7" w:rsidRPr="009D5EA7">
        <w:rPr>
          <w:rFonts w:ascii="Verdana" w:hAnsi="Verdana" w:cs="Cambria"/>
          <w:sz w:val="20"/>
        </w:rPr>
        <w:t xml:space="preserve">le </w:t>
      </w:r>
      <w:r w:rsidR="00EF6117" w:rsidRPr="009D5EA7">
        <w:rPr>
          <w:rFonts w:ascii="Verdana" w:hAnsi="Verdana" w:cs="Cambria"/>
          <w:sz w:val="20"/>
        </w:rPr>
        <w:t>permitió</w:t>
      </w:r>
      <w:r w:rsidR="00466BA7" w:rsidRPr="009D5EA7">
        <w:rPr>
          <w:rFonts w:ascii="Verdana" w:hAnsi="Verdana" w:cs="Cambria"/>
          <w:sz w:val="20"/>
        </w:rPr>
        <w:t xml:space="preserve"> participar eficazmente en el proceso</w:t>
      </w:r>
      <w:r w:rsidR="00EF6117" w:rsidRPr="009D5EA7">
        <w:rPr>
          <w:rFonts w:ascii="Verdana" w:hAnsi="Verdana" w:cs="Cambria"/>
          <w:sz w:val="20"/>
        </w:rPr>
        <w:t xml:space="preserve"> sino </w:t>
      </w:r>
      <w:r w:rsidR="004F18BD" w:rsidRPr="009D5EA7">
        <w:rPr>
          <w:rFonts w:ascii="Verdana" w:hAnsi="Verdana" w:cs="Cambria"/>
          <w:sz w:val="20"/>
        </w:rPr>
        <w:t xml:space="preserve">hasta </w:t>
      </w:r>
      <w:r w:rsidR="00466BA7" w:rsidRPr="009D5EA7">
        <w:rPr>
          <w:rFonts w:ascii="Verdana" w:hAnsi="Verdana" w:cs="Cambria"/>
          <w:sz w:val="20"/>
        </w:rPr>
        <w:t xml:space="preserve">que aceptó la intervención de su representación legal, en </w:t>
      </w:r>
      <w:r w:rsidR="004F18BD" w:rsidRPr="009D5EA7">
        <w:rPr>
          <w:rFonts w:ascii="Verdana" w:hAnsi="Verdana" w:cs="Cambria"/>
          <w:sz w:val="20"/>
        </w:rPr>
        <w:t xml:space="preserve">el </w:t>
      </w:r>
      <w:r w:rsidR="00EF6117" w:rsidRPr="009D5EA7">
        <w:rPr>
          <w:rFonts w:ascii="Verdana" w:hAnsi="Verdana" w:cs="Cambria"/>
          <w:sz w:val="20"/>
        </w:rPr>
        <w:t xml:space="preserve">momento </w:t>
      </w:r>
      <w:r w:rsidR="00466BA7" w:rsidRPr="009D5EA7">
        <w:rPr>
          <w:rFonts w:ascii="Verdana" w:hAnsi="Verdana" w:cs="Cambria"/>
          <w:sz w:val="20"/>
        </w:rPr>
        <w:t xml:space="preserve">mismo </w:t>
      </w:r>
      <w:r w:rsidR="00EF6117" w:rsidRPr="009D5EA7">
        <w:rPr>
          <w:rFonts w:ascii="Verdana" w:hAnsi="Verdana" w:cs="Cambria"/>
          <w:sz w:val="20"/>
        </w:rPr>
        <w:t xml:space="preserve">en que </w:t>
      </w:r>
      <w:r w:rsidR="00466BA7" w:rsidRPr="009D5EA7">
        <w:rPr>
          <w:rFonts w:ascii="Verdana" w:hAnsi="Verdana" w:cs="Cambria"/>
          <w:sz w:val="20"/>
        </w:rPr>
        <w:t xml:space="preserve">se extinguía la </w:t>
      </w:r>
      <w:r w:rsidR="00E35138" w:rsidRPr="009D5EA7">
        <w:rPr>
          <w:rFonts w:ascii="Verdana" w:hAnsi="Verdana" w:cs="Cambria"/>
          <w:sz w:val="20"/>
        </w:rPr>
        <w:t xml:space="preserve">posibilidad </w:t>
      </w:r>
      <w:r w:rsidR="00466BA7" w:rsidRPr="009D5EA7">
        <w:rPr>
          <w:rFonts w:ascii="Verdana" w:hAnsi="Verdana" w:cs="Cambria"/>
          <w:sz w:val="20"/>
        </w:rPr>
        <w:t xml:space="preserve">de solicitar pruebas </w:t>
      </w:r>
      <w:r w:rsidR="00E35138" w:rsidRPr="009D5EA7">
        <w:rPr>
          <w:rFonts w:ascii="Verdana" w:hAnsi="Verdana" w:cs="Cambria"/>
          <w:sz w:val="20"/>
        </w:rPr>
        <w:t xml:space="preserve">con el cierre de </w:t>
      </w:r>
      <w:r w:rsidR="00EF6117" w:rsidRPr="009D5EA7">
        <w:rPr>
          <w:rFonts w:ascii="Verdana" w:hAnsi="Verdana" w:cs="Cambria"/>
          <w:sz w:val="20"/>
        </w:rPr>
        <w:t>la instrucción respecto de las personas señaladas como autores intelectuales, es decir, cuando dictó un sobreseimiento definitivo a su favor.</w:t>
      </w:r>
      <w:r w:rsidR="00466BA7" w:rsidRPr="009D5EA7">
        <w:rPr>
          <w:rFonts w:ascii="Verdana" w:hAnsi="Verdana" w:cs="Cambria"/>
          <w:sz w:val="20"/>
        </w:rPr>
        <w:t xml:space="preserve"> </w:t>
      </w:r>
    </w:p>
    <w:p w14:paraId="07F1545D" w14:textId="77777777" w:rsidR="00FC4B19" w:rsidRDefault="00FC4B19" w:rsidP="00227075">
      <w:pPr>
        <w:spacing w:after="0" w:line="240" w:lineRule="auto"/>
        <w:jc w:val="both"/>
        <w:rPr>
          <w:lang w:val="es-ES_tradnl"/>
        </w:rPr>
      </w:pPr>
    </w:p>
    <w:p w14:paraId="1CF5A6B5" w14:textId="77777777" w:rsidR="00B32504" w:rsidRDefault="00B32504" w:rsidP="00227075">
      <w:pPr>
        <w:spacing w:after="0" w:line="240" w:lineRule="auto"/>
        <w:jc w:val="both"/>
        <w:rPr>
          <w:lang w:val="es-ES_tradnl"/>
        </w:rPr>
      </w:pPr>
    </w:p>
    <w:p w14:paraId="17093876" w14:textId="77777777" w:rsidR="00B32504" w:rsidRPr="009D5EA7" w:rsidRDefault="00B32504" w:rsidP="00227075">
      <w:pPr>
        <w:spacing w:after="0" w:line="240" w:lineRule="auto"/>
        <w:jc w:val="both"/>
        <w:rPr>
          <w:lang w:val="es-ES_tradnl"/>
        </w:rPr>
      </w:pPr>
    </w:p>
    <w:p w14:paraId="503E19D9" w14:textId="22744588" w:rsidR="00FC4B19" w:rsidRPr="009D5EA7" w:rsidRDefault="00227075" w:rsidP="00227075">
      <w:pPr>
        <w:pStyle w:val="Prrafodelista"/>
        <w:autoSpaceDE w:val="0"/>
        <w:autoSpaceDN w:val="0"/>
        <w:adjustRightInd w:val="0"/>
        <w:ind w:left="2124" w:right="34" w:hanging="708"/>
        <w:jc w:val="both"/>
        <w:rPr>
          <w:rFonts w:ascii="Verdana" w:hAnsi="Verdana"/>
          <w:b/>
          <w:i/>
          <w:sz w:val="20"/>
        </w:rPr>
      </w:pPr>
      <w:r w:rsidRPr="009D5EA7">
        <w:rPr>
          <w:rFonts w:ascii="Verdana" w:hAnsi="Verdana"/>
          <w:b/>
          <w:i/>
          <w:sz w:val="20"/>
        </w:rPr>
        <w:lastRenderedPageBreak/>
        <w:t>c)</w:t>
      </w:r>
      <w:r w:rsidRPr="009D5EA7">
        <w:rPr>
          <w:rFonts w:ascii="Verdana" w:hAnsi="Verdana"/>
          <w:b/>
          <w:i/>
          <w:sz w:val="20"/>
        </w:rPr>
        <w:tab/>
      </w:r>
      <w:r w:rsidR="00116E6A" w:rsidRPr="00245A06">
        <w:rPr>
          <w:rFonts w:ascii="Verdana" w:hAnsi="Verdana"/>
          <w:b/>
          <w:i/>
          <w:sz w:val="20"/>
        </w:rPr>
        <w:t xml:space="preserve">Prematuro o ilícito </w:t>
      </w:r>
      <w:r w:rsidR="00FC4B19" w:rsidRPr="00245A06">
        <w:rPr>
          <w:rFonts w:ascii="Verdana" w:hAnsi="Verdana"/>
          <w:b/>
          <w:i/>
          <w:sz w:val="20"/>
        </w:rPr>
        <w:t>sobreseimiento</w:t>
      </w:r>
      <w:r w:rsidR="00FC4B19" w:rsidRPr="009D5EA7">
        <w:rPr>
          <w:rFonts w:ascii="Verdana" w:hAnsi="Verdana"/>
          <w:b/>
          <w:i/>
          <w:sz w:val="20"/>
        </w:rPr>
        <w:t xml:space="preserve"> definitivo a favor de presuntos autores intelectuales </w:t>
      </w:r>
    </w:p>
    <w:p w14:paraId="79727E28" w14:textId="77777777" w:rsidR="00FC4B19" w:rsidRPr="009D5EA7" w:rsidRDefault="00FC4B19" w:rsidP="00FD69FF">
      <w:pPr>
        <w:pStyle w:val="Prrafodelista"/>
        <w:autoSpaceDE w:val="0"/>
        <w:autoSpaceDN w:val="0"/>
        <w:adjustRightInd w:val="0"/>
        <w:ind w:left="0" w:right="34"/>
        <w:jc w:val="both"/>
        <w:rPr>
          <w:rFonts w:ascii="Verdana" w:hAnsi="Verdana" w:cs="Cambria"/>
          <w:sz w:val="20"/>
        </w:rPr>
      </w:pPr>
    </w:p>
    <w:p w14:paraId="1E96345F" w14:textId="218DA504" w:rsidR="00FD69FF" w:rsidRPr="009D5EA7" w:rsidRDefault="00FD69FF" w:rsidP="00FD69FF">
      <w:pPr>
        <w:pStyle w:val="Prrafodelista"/>
        <w:numPr>
          <w:ilvl w:val="0"/>
          <w:numId w:val="5"/>
        </w:numPr>
        <w:autoSpaceDE w:val="0"/>
        <w:autoSpaceDN w:val="0"/>
        <w:adjustRightInd w:val="0"/>
        <w:ind w:left="0" w:right="34" w:firstLine="0"/>
        <w:jc w:val="both"/>
        <w:rPr>
          <w:rFonts w:ascii="Verdana" w:hAnsi="Verdana" w:cs="Cambria"/>
          <w:sz w:val="20"/>
        </w:rPr>
      </w:pPr>
      <w:r w:rsidRPr="009D5EA7">
        <w:rPr>
          <w:rFonts w:ascii="Verdana" w:hAnsi="Verdana" w:cs="Cambria"/>
          <w:sz w:val="20"/>
        </w:rPr>
        <w:t>Ha sido planteado que dicho sobreseimiento fue prematuro,</w:t>
      </w:r>
      <w:r w:rsidR="000153EF" w:rsidRPr="009D5EA7">
        <w:rPr>
          <w:rFonts w:ascii="Verdana" w:hAnsi="Verdana" w:cs="Cambria"/>
          <w:sz w:val="20"/>
        </w:rPr>
        <w:t xml:space="preserve"> </w:t>
      </w:r>
      <w:r w:rsidR="00A9006A" w:rsidRPr="009D5EA7">
        <w:rPr>
          <w:rFonts w:ascii="Verdana" w:hAnsi="Verdana" w:cs="Cambria"/>
          <w:sz w:val="20"/>
        </w:rPr>
        <w:t xml:space="preserve">improcedente </w:t>
      </w:r>
      <w:r w:rsidRPr="009D5EA7">
        <w:rPr>
          <w:rFonts w:ascii="Verdana" w:hAnsi="Verdana" w:cs="Cambria"/>
          <w:sz w:val="20"/>
        </w:rPr>
        <w:t xml:space="preserve">en los términos de </w:t>
      </w:r>
      <w:r w:rsidR="000153EF" w:rsidRPr="009D5EA7">
        <w:rPr>
          <w:rFonts w:ascii="Verdana" w:hAnsi="Verdana" w:cs="Cambria"/>
          <w:sz w:val="20"/>
        </w:rPr>
        <w:t xml:space="preserve">la </w:t>
      </w:r>
      <w:r w:rsidRPr="009D5EA7">
        <w:rPr>
          <w:rFonts w:ascii="Verdana" w:hAnsi="Verdana" w:cs="Cambria"/>
          <w:sz w:val="20"/>
        </w:rPr>
        <w:t>normativa</w:t>
      </w:r>
      <w:r w:rsidR="003B7BE3" w:rsidRPr="009D5EA7">
        <w:rPr>
          <w:rFonts w:ascii="Verdana" w:hAnsi="Verdana" w:cs="Cambria"/>
          <w:sz w:val="20"/>
        </w:rPr>
        <w:t xml:space="preserve"> aplicable</w:t>
      </w:r>
      <w:r w:rsidRPr="009D5EA7">
        <w:rPr>
          <w:rFonts w:ascii="Verdana" w:hAnsi="Verdana" w:cs="Cambria"/>
          <w:sz w:val="20"/>
        </w:rPr>
        <w:t xml:space="preserve"> </w:t>
      </w:r>
      <w:r w:rsidR="00A9006A" w:rsidRPr="009D5EA7">
        <w:rPr>
          <w:rFonts w:ascii="Verdana" w:hAnsi="Verdana" w:cs="Cambria"/>
          <w:sz w:val="20"/>
        </w:rPr>
        <w:t>e</w:t>
      </w:r>
      <w:r w:rsidRPr="009D5EA7">
        <w:rPr>
          <w:rFonts w:ascii="Verdana" w:hAnsi="Verdana" w:cs="Cambria"/>
          <w:sz w:val="20"/>
        </w:rPr>
        <w:t xml:space="preserve"> </w:t>
      </w:r>
      <w:r w:rsidR="00116E6A" w:rsidRPr="00245A06">
        <w:rPr>
          <w:rFonts w:ascii="Verdana" w:hAnsi="Verdana" w:cs="Cambria"/>
          <w:sz w:val="20"/>
        </w:rPr>
        <w:t>ilícito</w:t>
      </w:r>
      <w:r w:rsidR="00116E6A">
        <w:rPr>
          <w:rFonts w:ascii="Verdana" w:hAnsi="Verdana" w:cs="Cambria"/>
          <w:sz w:val="20"/>
        </w:rPr>
        <w:t>,</w:t>
      </w:r>
      <w:r w:rsidRPr="009D5EA7">
        <w:rPr>
          <w:rFonts w:ascii="Verdana" w:hAnsi="Verdana" w:cs="Cambria"/>
          <w:sz w:val="20"/>
        </w:rPr>
        <w:t xml:space="preserve"> </w:t>
      </w:r>
      <w:r w:rsidR="00A9006A" w:rsidRPr="009D5EA7">
        <w:rPr>
          <w:rFonts w:ascii="Verdana" w:hAnsi="Verdana" w:cs="Cambria"/>
          <w:sz w:val="20"/>
        </w:rPr>
        <w:t xml:space="preserve">pues </w:t>
      </w:r>
      <w:r w:rsidRPr="009D5EA7">
        <w:rPr>
          <w:rFonts w:ascii="Verdana" w:hAnsi="Verdana" w:cs="Cambria"/>
          <w:sz w:val="20"/>
        </w:rPr>
        <w:t>procuró la impunidad de posibles autores intelectuales del hecho. Asimismo, se plantea que</w:t>
      </w:r>
      <w:r w:rsidR="00C9474E" w:rsidRPr="009D5EA7">
        <w:rPr>
          <w:rFonts w:ascii="Verdana" w:hAnsi="Verdana" w:cs="Cambria"/>
          <w:sz w:val="20"/>
        </w:rPr>
        <w:t>,</w:t>
      </w:r>
      <w:r w:rsidRPr="009D5EA7">
        <w:rPr>
          <w:rFonts w:ascii="Verdana" w:hAnsi="Verdana" w:cs="Cambria"/>
          <w:sz w:val="20"/>
        </w:rPr>
        <w:t xml:space="preserve"> con base en una motivación i</w:t>
      </w:r>
      <w:r w:rsidR="00C9474E" w:rsidRPr="009D5EA7">
        <w:rPr>
          <w:rFonts w:ascii="Verdana" w:hAnsi="Verdana" w:cs="Cambria"/>
          <w:sz w:val="20"/>
        </w:rPr>
        <w:t xml:space="preserve">ncorrecta o </w:t>
      </w:r>
      <w:r w:rsidR="00116E6A" w:rsidRPr="00245A06">
        <w:rPr>
          <w:rFonts w:ascii="Verdana" w:hAnsi="Verdana" w:cs="Cambria"/>
          <w:sz w:val="20"/>
        </w:rPr>
        <w:t>ilícita</w:t>
      </w:r>
      <w:r w:rsidR="00C9474E" w:rsidRPr="009D5EA7">
        <w:rPr>
          <w:rFonts w:ascii="Verdana" w:hAnsi="Verdana" w:cs="Cambria"/>
          <w:sz w:val="20"/>
        </w:rPr>
        <w:t>, el juez declaró desierto el recurso de apelación interpuesto por el representante de la señora Acosta contra esa decisión, lo cual no fue corregido o subsanado por las instancias superiores.</w:t>
      </w:r>
    </w:p>
    <w:p w14:paraId="0363D856" w14:textId="77777777" w:rsidR="00FD69FF" w:rsidRPr="009D5EA7" w:rsidRDefault="00FD69FF" w:rsidP="00FD69FF">
      <w:pPr>
        <w:pStyle w:val="Prrafodelista"/>
        <w:autoSpaceDE w:val="0"/>
        <w:autoSpaceDN w:val="0"/>
        <w:adjustRightInd w:val="0"/>
        <w:ind w:left="0" w:right="34"/>
        <w:jc w:val="both"/>
        <w:rPr>
          <w:rFonts w:ascii="Verdana" w:hAnsi="Verdana" w:cs="Cambria"/>
          <w:sz w:val="20"/>
        </w:rPr>
      </w:pPr>
    </w:p>
    <w:p w14:paraId="146EBA54" w14:textId="4C6EFF55" w:rsidR="00C9474E" w:rsidRPr="009D5EA7" w:rsidRDefault="00C9474E" w:rsidP="00FD69FF">
      <w:pPr>
        <w:pStyle w:val="Prrafodelista"/>
        <w:numPr>
          <w:ilvl w:val="0"/>
          <w:numId w:val="5"/>
        </w:numPr>
        <w:autoSpaceDE w:val="0"/>
        <w:autoSpaceDN w:val="0"/>
        <w:adjustRightInd w:val="0"/>
        <w:ind w:left="0" w:right="34" w:firstLine="0"/>
        <w:jc w:val="both"/>
        <w:rPr>
          <w:rFonts w:ascii="Verdana" w:hAnsi="Verdana" w:cs="Cambria"/>
          <w:sz w:val="20"/>
        </w:rPr>
      </w:pPr>
      <w:r w:rsidRPr="009D5EA7">
        <w:rPr>
          <w:rFonts w:ascii="Verdana" w:hAnsi="Verdana" w:cs="Cambria"/>
          <w:sz w:val="20"/>
        </w:rPr>
        <w:t>En p</w:t>
      </w:r>
      <w:r w:rsidR="00245A06">
        <w:rPr>
          <w:rFonts w:ascii="Verdana" w:hAnsi="Verdana" w:cs="Cambria"/>
          <w:sz w:val="20"/>
        </w:rPr>
        <w:t>rimer lugar, según fue señalado</w:t>
      </w:r>
      <w:r w:rsidRPr="009D5EA7">
        <w:rPr>
          <w:rFonts w:ascii="Verdana" w:hAnsi="Verdana" w:cs="Cambria"/>
          <w:sz w:val="20"/>
        </w:rPr>
        <w:t xml:space="preserve">, </w:t>
      </w:r>
      <w:r w:rsidRPr="009D5EA7">
        <w:rPr>
          <w:rFonts w:ascii="Verdana" w:hAnsi="Verdana" w:cs="Arial"/>
          <w:spacing w:val="-2"/>
          <w:sz w:val="20"/>
        </w:rPr>
        <w:t xml:space="preserve">existían indicios que apuntaban en dirección a la hipótesis de un móvil del </w:t>
      </w:r>
      <w:r w:rsidR="006233D1">
        <w:rPr>
          <w:rFonts w:ascii="Verdana" w:hAnsi="Verdana" w:cs="Arial"/>
          <w:sz w:val="20"/>
        </w:rPr>
        <w:t>homicidio</w:t>
      </w:r>
      <w:r w:rsidR="006233D1" w:rsidRPr="009D5EA7">
        <w:rPr>
          <w:rFonts w:ascii="Verdana" w:hAnsi="Verdana" w:cs="Arial"/>
          <w:sz w:val="20"/>
        </w:rPr>
        <w:t xml:space="preserve"> </w:t>
      </w:r>
      <w:r w:rsidRPr="009D5EA7">
        <w:rPr>
          <w:rFonts w:ascii="Verdana" w:hAnsi="Verdana" w:cs="Arial"/>
          <w:spacing w:val="-2"/>
          <w:sz w:val="20"/>
        </w:rPr>
        <w:t>por las actividades de defensa de la señora Acosta</w:t>
      </w:r>
      <w:r w:rsidR="00E841C1" w:rsidRPr="009D5EA7">
        <w:rPr>
          <w:rFonts w:ascii="Verdana" w:hAnsi="Verdana" w:cs="Arial"/>
          <w:spacing w:val="-2"/>
          <w:sz w:val="20"/>
        </w:rPr>
        <w:t>; existían personas específicamente señaladas como posibles autores intelectuales del hecho y</w:t>
      </w:r>
      <w:r w:rsidRPr="009D5EA7">
        <w:rPr>
          <w:rFonts w:ascii="Verdana" w:hAnsi="Verdana" w:cs="Arial"/>
          <w:spacing w:val="-2"/>
          <w:sz w:val="20"/>
        </w:rPr>
        <w:t xml:space="preserve"> aún faltaban una serie de diligencias investigativas relevantes </w:t>
      </w:r>
      <w:r w:rsidR="00E841C1" w:rsidRPr="009D5EA7">
        <w:rPr>
          <w:rFonts w:ascii="Verdana" w:hAnsi="Verdana" w:cs="Arial"/>
          <w:spacing w:val="-2"/>
          <w:sz w:val="20"/>
        </w:rPr>
        <w:t>por evacuar y que luego serían aportadas al proceso. A pesar de ello</w:t>
      </w:r>
      <w:r w:rsidRPr="009D5EA7">
        <w:rPr>
          <w:rFonts w:ascii="Verdana" w:hAnsi="Verdana" w:cs="Arial"/>
          <w:spacing w:val="-2"/>
          <w:sz w:val="20"/>
        </w:rPr>
        <w:t xml:space="preserve">, el 13 de mayo de 2002 el juez dictó una sentencia </w:t>
      </w:r>
      <w:r w:rsidR="00E841C1" w:rsidRPr="009D5EA7">
        <w:rPr>
          <w:rFonts w:ascii="Verdana" w:hAnsi="Verdana" w:cs="Arial"/>
          <w:spacing w:val="-2"/>
          <w:sz w:val="20"/>
        </w:rPr>
        <w:t xml:space="preserve">interlocutoria </w:t>
      </w:r>
      <w:r w:rsidRPr="009D5EA7">
        <w:rPr>
          <w:rFonts w:ascii="Verdana" w:hAnsi="Verdana" w:cs="Arial"/>
          <w:spacing w:val="-2"/>
          <w:sz w:val="20"/>
        </w:rPr>
        <w:t xml:space="preserve">de sobreseimiento definitivo a favor de </w:t>
      </w:r>
      <w:r w:rsidR="00E841C1" w:rsidRPr="009D5EA7">
        <w:rPr>
          <w:rFonts w:ascii="Verdana" w:hAnsi="Verdana" w:cs="Arial"/>
          <w:spacing w:val="-2"/>
          <w:sz w:val="20"/>
        </w:rPr>
        <w:t>esos</w:t>
      </w:r>
      <w:r w:rsidRPr="009D5EA7">
        <w:rPr>
          <w:rFonts w:ascii="Verdana" w:hAnsi="Verdana" w:cs="Arial"/>
          <w:spacing w:val="-2"/>
          <w:sz w:val="20"/>
        </w:rPr>
        <w:t xml:space="preserve"> presuntos autores intelectuales, a poco más de un mes de ocurridos los hechos</w:t>
      </w:r>
      <w:r w:rsidRPr="009D5EA7">
        <w:rPr>
          <w:rFonts w:ascii="Verdana" w:hAnsi="Verdana" w:cs="Cambria"/>
          <w:sz w:val="20"/>
        </w:rPr>
        <w:t xml:space="preserve"> y </w:t>
      </w:r>
      <w:r w:rsidR="001C4273" w:rsidRPr="009D5EA7">
        <w:rPr>
          <w:rFonts w:ascii="Verdana" w:hAnsi="Verdana" w:cs="Cambria"/>
          <w:sz w:val="20"/>
        </w:rPr>
        <w:t xml:space="preserve">poco más de dos semanas después </w:t>
      </w:r>
      <w:r w:rsidRPr="009D5EA7">
        <w:rPr>
          <w:rFonts w:ascii="Verdana" w:hAnsi="Verdana" w:cs="Cambria"/>
          <w:sz w:val="20"/>
        </w:rPr>
        <w:t xml:space="preserve">de </w:t>
      </w:r>
      <w:r w:rsidR="00E841C1" w:rsidRPr="009D5EA7">
        <w:rPr>
          <w:rFonts w:ascii="Verdana" w:hAnsi="Verdana" w:cs="Cambria"/>
          <w:sz w:val="20"/>
        </w:rPr>
        <w:t xml:space="preserve">haber tomado sus declaraciones </w:t>
      </w:r>
      <w:r w:rsidRPr="009D5EA7">
        <w:rPr>
          <w:rFonts w:ascii="Verdana" w:hAnsi="Verdana" w:cs="Cambria"/>
          <w:sz w:val="20"/>
        </w:rPr>
        <w:t>indagatoria</w:t>
      </w:r>
      <w:r w:rsidR="00E841C1" w:rsidRPr="009D5EA7">
        <w:rPr>
          <w:rFonts w:ascii="Verdana" w:hAnsi="Verdana" w:cs="Cambria"/>
          <w:sz w:val="20"/>
        </w:rPr>
        <w:t>s.</w:t>
      </w:r>
      <w:r w:rsidRPr="009D5EA7">
        <w:rPr>
          <w:rFonts w:ascii="Verdana" w:hAnsi="Verdana" w:cs="Cambria"/>
          <w:sz w:val="20"/>
        </w:rPr>
        <w:t xml:space="preserve"> </w:t>
      </w:r>
    </w:p>
    <w:p w14:paraId="76EED638" w14:textId="77777777" w:rsidR="00C9474E" w:rsidRPr="009D5EA7" w:rsidRDefault="00C9474E" w:rsidP="00C9474E">
      <w:pPr>
        <w:pStyle w:val="Prrafodelista"/>
        <w:rPr>
          <w:rFonts w:ascii="Verdana" w:hAnsi="Verdana" w:cs="Cambria"/>
          <w:sz w:val="20"/>
        </w:rPr>
      </w:pPr>
    </w:p>
    <w:p w14:paraId="6DF828F3" w14:textId="0F515C84" w:rsidR="00FD69FF" w:rsidRPr="009D5EA7" w:rsidRDefault="00FD69FF" w:rsidP="005709DC">
      <w:pPr>
        <w:pStyle w:val="Prrafodelista"/>
        <w:numPr>
          <w:ilvl w:val="0"/>
          <w:numId w:val="5"/>
        </w:numPr>
        <w:autoSpaceDE w:val="0"/>
        <w:autoSpaceDN w:val="0"/>
        <w:adjustRightInd w:val="0"/>
        <w:ind w:left="0" w:right="34" w:firstLine="0"/>
        <w:jc w:val="both"/>
        <w:rPr>
          <w:rFonts w:ascii="Verdana" w:hAnsi="Verdana" w:cs="Cambria"/>
          <w:sz w:val="20"/>
        </w:rPr>
      </w:pPr>
      <w:r w:rsidRPr="009D5EA7">
        <w:rPr>
          <w:rFonts w:ascii="Verdana" w:hAnsi="Verdana" w:cs="Cambria"/>
          <w:sz w:val="20"/>
        </w:rPr>
        <w:t>E</w:t>
      </w:r>
      <w:r w:rsidR="00E841C1" w:rsidRPr="009D5EA7">
        <w:rPr>
          <w:rFonts w:ascii="Verdana" w:hAnsi="Verdana" w:cs="Cambria"/>
          <w:sz w:val="20"/>
        </w:rPr>
        <w:t xml:space="preserve">n segundo lugar, se alegó que </w:t>
      </w:r>
      <w:r w:rsidR="0029078A" w:rsidRPr="009D5EA7">
        <w:rPr>
          <w:rFonts w:ascii="Verdana" w:hAnsi="Verdana" w:cs="Cambria"/>
          <w:sz w:val="20"/>
        </w:rPr>
        <w:t>dicho</w:t>
      </w:r>
      <w:r w:rsidRPr="009D5EA7">
        <w:rPr>
          <w:rFonts w:ascii="Verdana" w:hAnsi="Verdana" w:cs="Cambria"/>
          <w:sz w:val="20"/>
        </w:rPr>
        <w:t xml:space="preserve"> sobreseimiento </w:t>
      </w:r>
      <w:r w:rsidR="00E841C1" w:rsidRPr="009D5EA7">
        <w:rPr>
          <w:rFonts w:ascii="Verdana" w:hAnsi="Verdana" w:cs="Cambria"/>
          <w:sz w:val="20"/>
        </w:rPr>
        <w:t xml:space="preserve">no procedía en los términos de </w:t>
      </w:r>
      <w:r w:rsidR="00245A06">
        <w:rPr>
          <w:rFonts w:ascii="Verdana" w:hAnsi="Verdana" w:cs="Cambria"/>
          <w:sz w:val="20"/>
        </w:rPr>
        <w:t xml:space="preserve">la </w:t>
      </w:r>
      <w:r w:rsidR="00E841C1" w:rsidRPr="009D5EA7">
        <w:rPr>
          <w:rFonts w:ascii="Verdana" w:hAnsi="Verdana" w:cs="Cambria"/>
          <w:sz w:val="20"/>
        </w:rPr>
        <w:t>normativa procesal penal aplicable</w:t>
      </w:r>
      <w:r w:rsidR="00A50FDB" w:rsidRPr="009D5EA7">
        <w:rPr>
          <w:rFonts w:ascii="Verdana" w:hAnsi="Verdana" w:cs="Cambria"/>
          <w:sz w:val="20"/>
        </w:rPr>
        <w:t xml:space="preserve">, porque fue irregularmente otorgado o porque lo máximo que procedía </w:t>
      </w:r>
      <w:r w:rsidR="00245A06">
        <w:rPr>
          <w:rFonts w:ascii="Verdana" w:hAnsi="Verdana" w:cs="Cambria"/>
          <w:sz w:val="20"/>
        </w:rPr>
        <w:t xml:space="preserve">otorgar </w:t>
      </w:r>
      <w:r w:rsidR="00A50FDB" w:rsidRPr="009D5EA7">
        <w:rPr>
          <w:rFonts w:ascii="Verdana" w:hAnsi="Verdana" w:cs="Cambria"/>
          <w:sz w:val="20"/>
        </w:rPr>
        <w:t>era un sobreseimiento provisional</w:t>
      </w:r>
      <w:r w:rsidRPr="009D5EA7">
        <w:rPr>
          <w:rFonts w:ascii="Verdana" w:hAnsi="Verdana" w:cs="Cambria"/>
          <w:sz w:val="20"/>
        </w:rPr>
        <w:t>. Así, el artículo 186 del Código de Instrucción</w:t>
      </w:r>
      <w:r w:rsidR="0029078A" w:rsidRPr="009D5EA7">
        <w:rPr>
          <w:rFonts w:ascii="Verdana" w:hAnsi="Verdana" w:cs="Cambria"/>
          <w:sz w:val="20"/>
        </w:rPr>
        <w:t xml:space="preserve"> Criminal de Nicaragua establecía</w:t>
      </w:r>
      <w:r w:rsidRPr="009D5EA7">
        <w:rPr>
          <w:rFonts w:ascii="Verdana" w:hAnsi="Verdana" w:cs="Cambria"/>
          <w:sz w:val="20"/>
        </w:rPr>
        <w:t xml:space="preserve"> las </w:t>
      </w:r>
      <w:r w:rsidR="00245A06">
        <w:rPr>
          <w:rFonts w:ascii="Verdana" w:hAnsi="Verdana" w:cs="Cambria"/>
          <w:sz w:val="20"/>
        </w:rPr>
        <w:t xml:space="preserve">siguientes </w:t>
      </w:r>
      <w:r w:rsidRPr="009D5EA7">
        <w:rPr>
          <w:rFonts w:ascii="Verdana" w:hAnsi="Verdana" w:cs="Cambria"/>
          <w:sz w:val="20"/>
        </w:rPr>
        <w:t xml:space="preserve">causales de sobreseimiento definitivo: a) que no haya existido el delito que se persigue o que el hecho que se averigua no sea legalmente punible, </w:t>
      </w:r>
      <w:r w:rsidR="00777936">
        <w:rPr>
          <w:rFonts w:ascii="Verdana" w:hAnsi="Verdana" w:cs="Cambria"/>
          <w:sz w:val="20"/>
        </w:rPr>
        <w:t>o</w:t>
      </w:r>
      <w:r w:rsidRPr="009D5EA7">
        <w:rPr>
          <w:rFonts w:ascii="Verdana" w:hAnsi="Verdana" w:cs="Cambria"/>
          <w:sz w:val="20"/>
        </w:rPr>
        <w:t xml:space="preserve"> b) que se hayan desvanecido en la etapa instructiva, los indicios o sospechas contra persona determinada, de manera que resulta probada y evidente la inocencia del inculpado</w:t>
      </w:r>
      <w:r w:rsidR="0029078A" w:rsidRPr="009D5EA7">
        <w:rPr>
          <w:rStyle w:val="Refdenotaalpie"/>
          <w:rFonts w:ascii="Verdana" w:hAnsi="Verdana" w:cs="Cambria"/>
          <w:sz w:val="20"/>
        </w:rPr>
        <w:footnoteReference w:id="160"/>
      </w:r>
      <w:r w:rsidRPr="009D5EA7">
        <w:rPr>
          <w:rFonts w:ascii="Verdana" w:hAnsi="Verdana" w:cs="Cambria"/>
          <w:sz w:val="20"/>
        </w:rPr>
        <w:t xml:space="preserve">. </w:t>
      </w:r>
      <w:r w:rsidR="004424B0">
        <w:rPr>
          <w:rFonts w:ascii="Verdana" w:hAnsi="Verdana" w:cs="Cambria"/>
          <w:sz w:val="20"/>
        </w:rPr>
        <w:t>L</w:t>
      </w:r>
      <w:r w:rsidR="005709DC" w:rsidRPr="009D5EA7">
        <w:rPr>
          <w:rFonts w:ascii="Verdana" w:hAnsi="Verdana" w:cs="Cambria"/>
          <w:sz w:val="20"/>
        </w:rPr>
        <w:t>a legislación planteaba la posibilidad u oportunidad de dictar, antes de un sobreseimiento definitivo, un</w:t>
      </w:r>
      <w:r w:rsidR="00A9006A" w:rsidRPr="009D5EA7">
        <w:rPr>
          <w:rFonts w:ascii="Verdana" w:hAnsi="Verdana" w:cs="Cambria"/>
          <w:sz w:val="20"/>
        </w:rPr>
        <w:t>o</w:t>
      </w:r>
      <w:r w:rsidR="005709DC" w:rsidRPr="009D5EA7">
        <w:rPr>
          <w:rFonts w:ascii="Verdana" w:hAnsi="Verdana" w:cs="Cambria"/>
          <w:sz w:val="20"/>
        </w:rPr>
        <w:t xml:space="preserve"> provisional, </w:t>
      </w:r>
      <w:r w:rsidR="00A9006A" w:rsidRPr="009D5EA7">
        <w:rPr>
          <w:rFonts w:ascii="Verdana" w:hAnsi="Verdana" w:cs="Cambria"/>
          <w:sz w:val="20"/>
        </w:rPr>
        <w:t xml:space="preserve">lo </w:t>
      </w:r>
      <w:r w:rsidR="005709DC" w:rsidRPr="009D5EA7">
        <w:rPr>
          <w:rFonts w:ascii="Verdana" w:hAnsi="Verdana" w:cs="Cambria"/>
          <w:sz w:val="20"/>
        </w:rPr>
        <w:t>cual dejaba expedita la acción de la autoridad para continuar la causa si habían nuevos datos que vincularan a los indagados, conforme al artículo 191 de aquel Código</w:t>
      </w:r>
      <w:r w:rsidR="005709DC" w:rsidRPr="009D5EA7">
        <w:rPr>
          <w:rStyle w:val="Refdenotaalpie"/>
          <w:rFonts w:ascii="Verdana" w:hAnsi="Verdana" w:cs="Cambria"/>
          <w:sz w:val="20"/>
        </w:rPr>
        <w:footnoteReference w:id="161"/>
      </w:r>
      <w:r w:rsidR="005709DC" w:rsidRPr="009D5EA7">
        <w:rPr>
          <w:rFonts w:ascii="Verdana" w:hAnsi="Verdana" w:cs="Cambria"/>
          <w:sz w:val="20"/>
        </w:rPr>
        <w:t xml:space="preserve">. En efecto, </w:t>
      </w:r>
      <w:r w:rsidR="0029078A" w:rsidRPr="009D5EA7">
        <w:rPr>
          <w:rFonts w:ascii="Verdana" w:hAnsi="Verdana" w:cs="Cambria"/>
          <w:sz w:val="20"/>
        </w:rPr>
        <w:t xml:space="preserve">tal como el Estado resaltó, </w:t>
      </w:r>
      <w:r w:rsidR="005709DC" w:rsidRPr="009D5EA7">
        <w:rPr>
          <w:rFonts w:ascii="Verdana" w:hAnsi="Verdana" w:cs="Cambria"/>
          <w:sz w:val="20"/>
        </w:rPr>
        <w:t xml:space="preserve">el mismo artículo 186 del Código </w:t>
      </w:r>
      <w:r w:rsidR="0029078A" w:rsidRPr="009D5EA7">
        <w:rPr>
          <w:rFonts w:ascii="Verdana" w:hAnsi="Verdana" w:cs="Cambria"/>
          <w:sz w:val="20"/>
        </w:rPr>
        <w:t xml:space="preserve">establecía que, </w:t>
      </w:r>
      <w:r w:rsidR="00A9006A" w:rsidRPr="009D5EA7">
        <w:rPr>
          <w:rFonts w:ascii="Verdana" w:hAnsi="Verdana" w:cs="Cambria"/>
          <w:sz w:val="20"/>
        </w:rPr>
        <w:t>“</w:t>
      </w:r>
      <w:r w:rsidR="0029078A" w:rsidRPr="009D5EA7">
        <w:rPr>
          <w:rFonts w:ascii="Verdana" w:hAnsi="Verdana" w:cs="Cambria"/>
          <w:sz w:val="20"/>
        </w:rPr>
        <w:t>si concluida la instructiva estaba comprobado el cuerpo del delito, pero no existían elementos suficientes para comprobar la participación del procesado en los hechos, al juez le correspondía dictar el sobreseimiento provisional</w:t>
      </w:r>
      <w:r w:rsidR="004424B0">
        <w:rPr>
          <w:rFonts w:ascii="Verdana" w:hAnsi="Verdana" w:cs="Cambria"/>
          <w:sz w:val="20"/>
        </w:rPr>
        <w:t xml:space="preserve"> a favor del procesado</w:t>
      </w:r>
      <w:r w:rsidR="0029078A" w:rsidRPr="009D5EA7">
        <w:rPr>
          <w:rFonts w:ascii="Verdana" w:hAnsi="Verdana" w:cs="Cambria"/>
          <w:sz w:val="20"/>
        </w:rPr>
        <w:t>”</w:t>
      </w:r>
      <w:r w:rsidR="005B1E80" w:rsidRPr="009D5EA7">
        <w:rPr>
          <w:rFonts w:ascii="Verdana" w:hAnsi="Verdana" w:cs="Cambria"/>
          <w:sz w:val="20"/>
        </w:rPr>
        <w:t>.</w:t>
      </w:r>
    </w:p>
    <w:p w14:paraId="01C71895" w14:textId="77777777" w:rsidR="00A50FDB" w:rsidRPr="009D5EA7" w:rsidRDefault="00A50FDB" w:rsidP="00A50FDB">
      <w:pPr>
        <w:pStyle w:val="Prrafodelista"/>
        <w:rPr>
          <w:rFonts w:ascii="Verdana" w:hAnsi="Verdana" w:cs="Cambria"/>
          <w:sz w:val="20"/>
        </w:rPr>
      </w:pPr>
    </w:p>
    <w:p w14:paraId="2B3DA741" w14:textId="617ADD42" w:rsidR="00A50FDB" w:rsidRPr="009D5EA7" w:rsidRDefault="00A50FDB" w:rsidP="00FD69FF">
      <w:pPr>
        <w:pStyle w:val="Prrafodelista"/>
        <w:numPr>
          <w:ilvl w:val="0"/>
          <w:numId w:val="5"/>
        </w:numPr>
        <w:autoSpaceDE w:val="0"/>
        <w:autoSpaceDN w:val="0"/>
        <w:adjustRightInd w:val="0"/>
        <w:ind w:left="0" w:right="34" w:firstLine="0"/>
        <w:jc w:val="both"/>
        <w:rPr>
          <w:rFonts w:ascii="Verdana" w:hAnsi="Verdana" w:cs="Cambria"/>
          <w:sz w:val="20"/>
        </w:rPr>
      </w:pPr>
      <w:r w:rsidRPr="009D5EA7">
        <w:rPr>
          <w:rFonts w:ascii="Verdana" w:hAnsi="Verdana" w:cs="Cambria"/>
          <w:sz w:val="20"/>
        </w:rPr>
        <w:t xml:space="preserve">De tal modo, </w:t>
      </w:r>
      <w:r w:rsidR="0057394E" w:rsidRPr="009D5EA7">
        <w:rPr>
          <w:rFonts w:ascii="Verdana" w:hAnsi="Verdana" w:cs="Cambria"/>
          <w:sz w:val="20"/>
        </w:rPr>
        <w:t>l</w:t>
      </w:r>
      <w:r w:rsidR="00A9006A" w:rsidRPr="009D5EA7">
        <w:rPr>
          <w:rFonts w:ascii="Verdana" w:hAnsi="Verdana" w:cs="Cambria"/>
          <w:sz w:val="20"/>
        </w:rPr>
        <w:t xml:space="preserve">as representantes alegaron que </w:t>
      </w:r>
      <w:r w:rsidR="0029078A" w:rsidRPr="009D5EA7">
        <w:rPr>
          <w:rFonts w:ascii="Verdana" w:hAnsi="Verdana" w:cs="Cambria"/>
          <w:sz w:val="20"/>
        </w:rPr>
        <w:t xml:space="preserve">no estaba probada ni era evidente la inocencia de </w:t>
      </w:r>
      <w:r w:rsidR="00E3236D" w:rsidRPr="009D5EA7">
        <w:rPr>
          <w:rFonts w:ascii="Verdana" w:hAnsi="Verdana" w:cs="Cambria"/>
          <w:sz w:val="20"/>
        </w:rPr>
        <w:t>esos</w:t>
      </w:r>
      <w:r w:rsidR="0029078A" w:rsidRPr="009D5EA7">
        <w:rPr>
          <w:rFonts w:ascii="Verdana" w:hAnsi="Verdana" w:cs="Cambria"/>
          <w:sz w:val="20"/>
        </w:rPr>
        <w:t xml:space="preserve"> inculpados, pues el juez no había investigado su participación. </w:t>
      </w:r>
      <w:r w:rsidRPr="009D5EA7">
        <w:rPr>
          <w:rFonts w:ascii="Verdana" w:hAnsi="Verdana" w:cs="Cambria"/>
          <w:sz w:val="20"/>
        </w:rPr>
        <w:t xml:space="preserve">El Estado alegó que los elementos de prueba evacuados hasta ese momento, valorados bajo las reglas de la sana crítica racional, llevaron al juez a concluir que no se logró demostrar </w:t>
      </w:r>
      <w:r w:rsidR="00E3236D" w:rsidRPr="009D5EA7">
        <w:rPr>
          <w:rFonts w:ascii="Verdana" w:hAnsi="Verdana" w:cs="Cambria"/>
          <w:sz w:val="20"/>
        </w:rPr>
        <w:t>su</w:t>
      </w:r>
      <w:r w:rsidRPr="009D5EA7">
        <w:rPr>
          <w:rFonts w:ascii="Verdana" w:hAnsi="Verdana" w:cs="Cambria"/>
          <w:sz w:val="20"/>
        </w:rPr>
        <w:t xml:space="preserve"> responsabilidad penal por la supuesta autoría intelectual</w:t>
      </w:r>
      <w:r w:rsidR="0029078A" w:rsidRPr="009D5EA7">
        <w:rPr>
          <w:rFonts w:ascii="Verdana" w:hAnsi="Verdana" w:cs="Cambria"/>
          <w:sz w:val="20"/>
        </w:rPr>
        <w:t>.</w:t>
      </w:r>
    </w:p>
    <w:p w14:paraId="0C9CE74D" w14:textId="77777777" w:rsidR="0029078A" w:rsidRPr="009D5EA7" w:rsidRDefault="0029078A" w:rsidP="0029078A">
      <w:pPr>
        <w:pStyle w:val="Prrafodelista"/>
        <w:rPr>
          <w:rFonts w:ascii="Verdana" w:hAnsi="Verdana" w:cs="Cambria"/>
          <w:sz w:val="20"/>
        </w:rPr>
      </w:pPr>
    </w:p>
    <w:p w14:paraId="41CA669A" w14:textId="3529A115" w:rsidR="00985832" w:rsidRPr="009D5EA7" w:rsidRDefault="0029078A" w:rsidP="00BA082A">
      <w:pPr>
        <w:pStyle w:val="Prrafodelista"/>
        <w:numPr>
          <w:ilvl w:val="0"/>
          <w:numId w:val="5"/>
        </w:numPr>
        <w:autoSpaceDE w:val="0"/>
        <w:autoSpaceDN w:val="0"/>
        <w:adjustRightInd w:val="0"/>
        <w:ind w:left="0" w:right="34" w:firstLine="0"/>
        <w:jc w:val="both"/>
        <w:rPr>
          <w:rFonts w:ascii="Cambria" w:hAnsi="Cambria" w:cs="Cambria"/>
        </w:rPr>
      </w:pPr>
      <w:r w:rsidRPr="009D5EA7">
        <w:rPr>
          <w:rFonts w:ascii="Verdana" w:hAnsi="Verdana" w:cs="Cambria"/>
          <w:sz w:val="20"/>
        </w:rPr>
        <w:t xml:space="preserve">Si bien no corresponde a la Corte </w:t>
      </w:r>
      <w:r w:rsidR="005709DC" w:rsidRPr="009D5EA7">
        <w:rPr>
          <w:rFonts w:ascii="Verdana" w:hAnsi="Verdana" w:cs="Cambria"/>
          <w:sz w:val="20"/>
        </w:rPr>
        <w:t xml:space="preserve">determinar la aplicación o </w:t>
      </w:r>
      <w:r w:rsidRPr="009D5EA7">
        <w:rPr>
          <w:rFonts w:ascii="Verdana" w:hAnsi="Verdana" w:cs="Cambria"/>
          <w:sz w:val="20"/>
        </w:rPr>
        <w:t>interpretación de tales normas procesales penales del ordenamiento jurídico entonces vigente en el Estado</w:t>
      </w:r>
      <w:r w:rsidR="005709DC" w:rsidRPr="009D5EA7">
        <w:rPr>
          <w:rFonts w:ascii="Verdana" w:hAnsi="Verdana" w:cs="Cambria"/>
          <w:sz w:val="20"/>
        </w:rPr>
        <w:t xml:space="preserve"> al caso concreto</w:t>
      </w:r>
      <w:r w:rsidRPr="009D5EA7">
        <w:rPr>
          <w:rFonts w:ascii="Verdana" w:hAnsi="Verdana" w:cs="Cambria"/>
          <w:sz w:val="20"/>
        </w:rPr>
        <w:t>,</w:t>
      </w:r>
      <w:r w:rsidR="005709DC" w:rsidRPr="009D5EA7">
        <w:rPr>
          <w:rFonts w:ascii="Verdana" w:hAnsi="Verdana" w:cs="Cambria"/>
          <w:sz w:val="20"/>
        </w:rPr>
        <w:t xml:space="preserve"> lo cierto es </w:t>
      </w:r>
      <w:r w:rsidR="00985832" w:rsidRPr="009D5EA7">
        <w:rPr>
          <w:rFonts w:ascii="Verdana" w:hAnsi="Verdana" w:cs="Cambria"/>
          <w:sz w:val="20"/>
        </w:rPr>
        <w:t>que</w:t>
      </w:r>
      <w:r w:rsidR="00E3236D" w:rsidRPr="009D5EA7">
        <w:rPr>
          <w:rFonts w:ascii="Verdana" w:hAnsi="Verdana" w:cs="Cambria"/>
          <w:sz w:val="20"/>
        </w:rPr>
        <w:t>,</w:t>
      </w:r>
      <w:r w:rsidR="00985832" w:rsidRPr="009D5EA7">
        <w:rPr>
          <w:rFonts w:ascii="Verdana" w:hAnsi="Verdana" w:cs="Cambria"/>
          <w:sz w:val="20"/>
        </w:rPr>
        <w:t xml:space="preserve"> de la motivación de la sentencia interlocutoria de sobreseimiento definitivo</w:t>
      </w:r>
      <w:r w:rsidR="00E3236D" w:rsidRPr="009D5EA7">
        <w:rPr>
          <w:rFonts w:ascii="Verdana" w:hAnsi="Verdana" w:cs="Cambria"/>
          <w:sz w:val="20"/>
        </w:rPr>
        <w:t>,</w:t>
      </w:r>
      <w:r w:rsidR="00985832" w:rsidRPr="009D5EA7">
        <w:rPr>
          <w:rFonts w:ascii="Verdana" w:hAnsi="Verdana" w:cs="Cambria"/>
          <w:sz w:val="20"/>
        </w:rPr>
        <w:t xml:space="preserve"> no se desprende la necesidad de dictar específicamente ese tipo de decisión, ni las razones por las cuales consideraba que no procedía dictar uno provisional. En este sentido, el Estado no ha aportado una explicación acerca de </w:t>
      </w:r>
      <w:r w:rsidR="00BA082A" w:rsidRPr="009D5EA7">
        <w:rPr>
          <w:rFonts w:ascii="Verdana" w:hAnsi="Verdana" w:cs="Cambria"/>
          <w:sz w:val="20"/>
        </w:rPr>
        <w:t xml:space="preserve">la necesidad o </w:t>
      </w:r>
      <w:r w:rsidR="0061670D" w:rsidRPr="009D5EA7">
        <w:rPr>
          <w:rFonts w:ascii="Verdana" w:hAnsi="Verdana" w:cs="Cambria"/>
          <w:sz w:val="20"/>
        </w:rPr>
        <w:t xml:space="preserve">de las </w:t>
      </w:r>
      <w:r w:rsidR="00985832" w:rsidRPr="009D5EA7">
        <w:rPr>
          <w:rFonts w:ascii="Verdana" w:hAnsi="Verdana" w:cs="Cambria"/>
          <w:sz w:val="20"/>
        </w:rPr>
        <w:t>razones que justificaban al juez</w:t>
      </w:r>
      <w:r w:rsidR="00BA082A" w:rsidRPr="009D5EA7">
        <w:rPr>
          <w:rFonts w:ascii="Verdana" w:hAnsi="Verdana" w:cs="Cambria"/>
          <w:sz w:val="20"/>
        </w:rPr>
        <w:t xml:space="preserve"> para dictar ese auto a poco más de un mes de ocurridos los hechos</w:t>
      </w:r>
      <w:r w:rsidR="00985832" w:rsidRPr="009D5EA7">
        <w:rPr>
          <w:rFonts w:ascii="Verdana" w:hAnsi="Verdana" w:cs="Cambria"/>
          <w:sz w:val="20"/>
        </w:rPr>
        <w:t xml:space="preserve">, </w:t>
      </w:r>
      <w:r w:rsidR="00BA082A" w:rsidRPr="009D5EA7">
        <w:rPr>
          <w:rFonts w:ascii="Verdana" w:hAnsi="Verdana" w:cs="Cambria"/>
          <w:sz w:val="20"/>
        </w:rPr>
        <w:t xml:space="preserve">sin </w:t>
      </w:r>
      <w:r w:rsidR="00985832" w:rsidRPr="009D5EA7">
        <w:rPr>
          <w:rFonts w:ascii="Verdana" w:hAnsi="Verdana" w:cs="Cambria"/>
          <w:sz w:val="20"/>
        </w:rPr>
        <w:t xml:space="preserve">que </w:t>
      </w:r>
      <w:r w:rsidR="00BA082A" w:rsidRPr="009D5EA7">
        <w:rPr>
          <w:rFonts w:ascii="Verdana" w:hAnsi="Verdana" w:cs="Cambria"/>
          <w:sz w:val="20"/>
        </w:rPr>
        <w:t xml:space="preserve">hubiese </w:t>
      </w:r>
      <w:r w:rsidR="00985832" w:rsidRPr="009D5EA7">
        <w:rPr>
          <w:rFonts w:ascii="Verdana" w:hAnsi="Verdana" w:cs="Cambria"/>
          <w:sz w:val="20"/>
        </w:rPr>
        <w:t xml:space="preserve">agotado las diligencias investigativas necesarias y pertinentes </w:t>
      </w:r>
      <w:r w:rsidR="00BA082A" w:rsidRPr="009D5EA7">
        <w:rPr>
          <w:rFonts w:ascii="Verdana" w:hAnsi="Verdana" w:cs="Cambria"/>
          <w:sz w:val="20"/>
        </w:rPr>
        <w:t>y</w:t>
      </w:r>
      <w:r w:rsidR="00985832" w:rsidRPr="009D5EA7">
        <w:rPr>
          <w:rFonts w:ascii="Verdana" w:hAnsi="Verdana" w:cs="Cambria"/>
          <w:sz w:val="20"/>
        </w:rPr>
        <w:t xml:space="preserve"> las líneas lógicas de </w:t>
      </w:r>
      <w:r w:rsidR="00985832" w:rsidRPr="009D5EA7">
        <w:rPr>
          <w:rFonts w:ascii="Verdana" w:hAnsi="Verdana" w:cs="Cambria"/>
          <w:sz w:val="20"/>
        </w:rPr>
        <w:lastRenderedPageBreak/>
        <w:t>investigación</w:t>
      </w:r>
      <w:r w:rsidR="00BA082A" w:rsidRPr="009D5EA7">
        <w:rPr>
          <w:rFonts w:ascii="Verdana" w:hAnsi="Verdana" w:cs="Cambria"/>
          <w:sz w:val="20"/>
        </w:rPr>
        <w:t xml:space="preserve">, ni esperado a recibir dictámenes periciales relevantes, además de no haber procurado soluciones para facilitar la participación de la </w:t>
      </w:r>
      <w:r w:rsidR="00985832" w:rsidRPr="009D5EA7">
        <w:rPr>
          <w:rFonts w:ascii="Verdana" w:hAnsi="Verdana" w:cs="Cambria"/>
          <w:sz w:val="20"/>
        </w:rPr>
        <w:t>señora Acosta en la instructiva</w:t>
      </w:r>
      <w:r w:rsidR="00645925" w:rsidRPr="009D5EA7">
        <w:rPr>
          <w:rFonts w:ascii="Verdana" w:hAnsi="Verdana" w:cs="Cambria"/>
          <w:sz w:val="20"/>
        </w:rPr>
        <w:t>.</w:t>
      </w:r>
    </w:p>
    <w:p w14:paraId="00B45E07" w14:textId="77777777" w:rsidR="00645925" w:rsidRPr="009D5EA7" w:rsidRDefault="00645925" w:rsidP="00645925">
      <w:pPr>
        <w:pStyle w:val="Prrafodelista"/>
        <w:rPr>
          <w:rFonts w:ascii="Cambria" w:hAnsi="Cambria" w:cs="Cambria"/>
        </w:rPr>
      </w:pPr>
    </w:p>
    <w:p w14:paraId="6DE59B12" w14:textId="19D35261" w:rsidR="00645925" w:rsidRPr="009D5EA7" w:rsidRDefault="00645925" w:rsidP="00645925">
      <w:pPr>
        <w:pStyle w:val="Prrafodelista"/>
        <w:numPr>
          <w:ilvl w:val="0"/>
          <w:numId w:val="5"/>
        </w:numPr>
        <w:autoSpaceDE w:val="0"/>
        <w:autoSpaceDN w:val="0"/>
        <w:adjustRightInd w:val="0"/>
        <w:ind w:left="0" w:right="34" w:firstLine="0"/>
        <w:jc w:val="both"/>
        <w:rPr>
          <w:rFonts w:ascii="Verdana" w:hAnsi="Verdana"/>
          <w:sz w:val="20"/>
        </w:rPr>
      </w:pPr>
      <w:r w:rsidRPr="009D5EA7">
        <w:rPr>
          <w:rFonts w:ascii="Verdana" w:hAnsi="Verdana" w:cs="Cambria"/>
          <w:sz w:val="20"/>
        </w:rPr>
        <w:t>Tal sobreseimiento se mantuvo a pesar de que la Fiscal Auxiliar de la RAAS y la Fiscal Auxiliar de Managua</w:t>
      </w:r>
      <w:r w:rsidRPr="009D5EA7">
        <w:rPr>
          <w:rFonts w:ascii="Verdana" w:hAnsi="Verdana"/>
          <w:sz w:val="20"/>
        </w:rPr>
        <w:t>, mediante escritos de 24 de diciembre de 2002 y de 24 de agosto de 2006, solicitaron al juez</w:t>
      </w:r>
      <w:r w:rsidR="00E3236D" w:rsidRPr="009D5EA7">
        <w:rPr>
          <w:rFonts w:ascii="Verdana" w:hAnsi="Verdana"/>
          <w:sz w:val="20"/>
        </w:rPr>
        <w:t xml:space="preserve"> que continuó conociendo la causa</w:t>
      </w:r>
      <w:r w:rsidRPr="009D5EA7">
        <w:rPr>
          <w:rFonts w:ascii="Verdana" w:hAnsi="Verdana"/>
          <w:sz w:val="20"/>
        </w:rPr>
        <w:t xml:space="preserve"> y a la Corte Suprema de Justicia, respectivamente, declarar la nulidad del referido sobreseimiento debido a la tramitación anómala del proceso y a la “investigación no agotada”</w:t>
      </w:r>
      <w:r w:rsidR="00135E89">
        <w:rPr>
          <w:rFonts w:ascii="Verdana" w:hAnsi="Verdana"/>
          <w:sz w:val="20"/>
        </w:rPr>
        <w:t xml:space="preserve"> (</w:t>
      </w:r>
      <w:r w:rsidR="00135E89">
        <w:rPr>
          <w:rFonts w:ascii="Verdana" w:hAnsi="Verdana"/>
          <w:i/>
          <w:sz w:val="20"/>
        </w:rPr>
        <w:t xml:space="preserve">supra </w:t>
      </w:r>
      <w:r w:rsidR="00135E89">
        <w:rPr>
          <w:rFonts w:ascii="Verdana" w:hAnsi="Verdana"/>
          <w:sz w:val="20"/>
        </w:rPr>
        <w:t>párrs. 80 y 100)</w:t>
      </w:r>
      <w:r w:rsidRPr="009D5EA7">
        <w:rPr>
          <w:rFonts w:ascii="Verdana" w:hAnsi="Verdana"/>
          <w:sz w:val="20"/>
        </w:rPr>
        <w:t xml:space="preserve">. </w:t>
      </w:r>
    </w:p>
    <w:p w14:paraId="2173AC36" w14:textId="77777777" w:rsidR="00F771B7" w:rsidRPr="009D5EA7" w:rsidRDefault="00F771B7" w:rsidP="00227075">
      <w:pPr>
        <w:pStyle w:val="Prrafodelista"/>
        <w:autoSpaceDE w:val="0"/>
        <w:autoSpaceDN w:val="0"/>
        <w:adjustRightInd w:val="0"/>
        <w:ind w:left="0" w:right="34"/>
        <w:jc w:val="both"/>
        <w:rPr>
          <w:rFonts w:ascii="Verdana" w:hAnsi="Verdana" w:cs="Arial"/>
          <w:sz w:val="20"/>
        </w:rPr>
      </w:pPr>
    </w:p>
    <w:p w14:paraId="1A34BE64" w14:textId="2C8000C3" w:rsidR="00DF069F" w:rsidRPr="009D5EA7" w:rsidRDefault="00E3236D" w:rsidP="00DF069F">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Arial"/>
          <w:sz w:val="20"/>
        </w:rPr>
        <w:t xml:space="preserve">Tres días después de dictado, </w:t>
      </w:r>
      <w:r w:rsidR="00F771B7" w:rsidRPr="009D5EA7">
        <w:rPr>
          <w:rFonts w:ascii="Verdana" w:hAnsi="Verdana" w:cs="Arial"/>
          <w:sz w:val="20"/>
        </w:rPr>
        <w:t xml:space="preserve">el representante de la señora Acosta interpuso recurso de apelación contra la referida </w:t>
      </w:r>
      <w:r w:rsidRPr="009D5EA7">
        <w:rPr>
          <w:rFonts w:ascii="Verdana" w:hAnsi="Verdana" w:cs="Arial"/>
          <w:sz w:val="20"/>
        </w:rPr>
        <w:t>decisión de sobreseimiento</w:t>
      </w:r>
      <w:r w:rsidR="00F771B7" w:rsidRPr="009D5EA7">
        <w:rPr>
          <w:rFonts w:ascii="Verdana" w:hAnsi="Verdana" w:cs="Arial"/>
          <w:sz w:val="20"/>
        </w:rPr>
        <w:t xml:space="preserve">. </w:t>
      </w:r>
      <w:r w:rsidR="009E08B5" w:rsidRPr="009D5EA7">
        <w:rPr>
          <w:rFonts w:ascii="Verdana" w:hAnsi="Verdana" w:cs="Arial"/>
          <w:sz w:val="20"/>
        </w:rPr>
        <w:t xml:space="preserve">Mediante un auto notificado al representante a las 9:50 a.m. del día 21 de mayo </w:t>
      </w:r>
      <w:r w:rsidRPr="009D5EA7">
        <w:rPr>
          <w:rFonts w:ascii="Verdana" w:hAnsi="Verdana" w:cs="Arial"/>
          <w:sz w:val="20"/>
        </w:rPr>
        <w:t>de 2002</w:t>
      </w:r>
      <w:r w:rsidR="009E08B5" w:rsidRPr="009D5EA7">
        <w:rPr>
          <w:rFonts w:ascii="Verdana" w:hAnsi="Verdana" w:cs="Arial"/>
          <w:sz w:val="20"/>
        </w:rPr>
        <w:t xml:space="preserve">, </w:t>
      </w:r>
      <w:r w:rsidR="00F771B7" w:rsidRPr="009D5EA7">
        <w:rPr>
          <w:rFonts w:ascii="Verdana" w:hAnsi="Verdana" w:cs="Arial"/>
          <w:sz w:val="20"/>
        </w:rPr>
        <w:t xml:space="preserve">el juez admitió la apelación y ordenó al recurrente que presentara en secretaría, </w:t>
      </w:r>
      <w:r w:rsidR="00F771B7" w:rsidRPr="009D5EA7">
        <w:rPr>
          <w:rFonts w:ascii="Verdana" w:hAnsi="Verdana"/>
          <w:sz w:val="20"/>
        </w:rPr>
        <w:t>dentro del término de 24 horas, el papel correspondiente para certificar diligencias y remitirlas al tribunal superior</w:t>
      </w:r>
      <w:r w:rsidR="00F771B7" w:rsidRPr="009D5EA7">
        <w:rPr>
          <w:rFonts w:ascii="Verdana" w:hAnsi="Verdana" w:cs="Arial"/>
          <w:sz w:val="20"/>
        </w:rPr>
        <w:t xml:space="preserve">, </w:t>
      </w:r>
      <w:r w:rsidR="00142BB8">
        <w:rPr>
          <w:rFonts w:ascii="Verdana" w:hAnsi="Verdana" w:cs="Arial"/>
          <w:sz w:val="20"/>
        </w:rPr>
        <w:t xml:space="preserve">según lo dispuesto en </w:t>
      </w:r>
      <w:r w:rsidR="00F771B7" w:rsidRPr="009D5EA7">
        <w:rPr>
          <w:rFonts w:ascii="Verdana" w:hAnsi="Verdana" w:cs="Arial"/>
          <w:sz w:val="20"/>
        </w:rPr>
        <w:t>el artículo 464 del Código Proce</w:t>
      </w:r>
      <w:r w:rsidR="00002E93" w:rsidRPr="009D5EA7">
        <w:rPr>
          <w:rFonts w:ascii="Verdana" w:hAnsi="Verdana" w:cs="Arial"/>
          <w:sz w:val="20"/>
        </w:rPr>
        <w:t>sal Civil de Nicaragua vigente. El Estado señaló que esa norma procesal civil era aplicable por concatenación</w:t>
      </w:r>
      <w:r w:rsidR="00F771B7" w:rsidRPr="009D5EA7">
        <w:rPr>
          <w:rFonts w:ascii="Verdana" w:hAnsi="Verdana" w:cs="Arial"/>
          <w:sz w:val="20"/>
        </w:rPr>
        <w:t xml:space="preserve"> con el artículo 601 del</w:t>
      </w:r>
      <w:r w:rsidRPr="009D5EA7">
        <w:rPr>
          <w:rFonts w:ascii="Verdana" w:hAnsi="Verdana" w:cs="Arial"/>
          <w:sz w:val="20"/>
        </w:rPr>
        <w:t xml:space="preserve"> Código de Instrucción Criminal</w:t>
      </w:r>
      <w:r w:rsidR="00F771B7" w:rsidRPr="009D5EA7">
        <w:rPr>
          <w:rFonts w:ascii="Verdana" w:hAnsi="Verdana" w:cs="Arial"/>
          <w:sz w:val="20"/>
        </w:rPr>
        <w:t>.</w:t>
      </w:r>
      <w:r w:rsidR="009E08B5" w:rsidRPr="009D5EA7">
        <w:rPr>
          <w:rFonts w:ascii="Verdana" w:hAnsi="Verdana" w:cs="Arial"/>
          <w:sz w:val="20"/>
        </w:rPr>
        <w:t xml:space="preserve"> </w:t>
      </w:r>
      <w:r w:rsidR="00002E93" w:rsidRPr="009D5EA7">
        <w:rPr>
          <w:rFonts w:ascii="Verdana" w:hAnsi="Verdana" w:cs="Arial"/>
          <w:sz w:val="20"/>
        </w:rPr>
        <w:t>Se hace notar que e</w:t>
      </w:r>
      <w:r w:rsidR="009E08B5" w:rsidRPr="009D5EA7">
        <w:rPr>
          <w:rFonts w:ascii="Verdana" w:hAnsi="Verdana" w:cs="Arial"/>
          <w:sz w:val="20"/>
        </w:rPr>
        <w:t xml:space="preserve">l juez contabilizó el plazo literalmente en horas, </w:t>
      </w:r>
      <w:r w:rsidR="00ED759E" w:rsidRPr="009D5EA7">
        <w:rPr>
          <w:rFonts w:ascii="Verdana" w:hAnsi="Verdana" w:cs="Arial"/>
          <w:sz w:val="20"/>
        </w:rPr>
        <w:t>puesto que,</w:t>
      </w:r>
      <w:r w:rsidR="009E08B5" w:rsidRPr="009D5EA7">
        <w:rPr>
          <w:rFonts w:ascii="Verdana" w:hAnsi="Verdana" w:cs="Arial"/>
          <w:sz w:val="20"/>
        </w:rPr>
        <w:t xml:space="preserve"> luego de </w:t>
      </w:r>
      <w:r w:rsidR="00002E93" w:rsidRPr="009D5EA7">
        <w:rPr>
          <w:rFonts w:ascii="Verdana" w:hAnsi="Verdana" w:cs="Arial"/>
          <w:sz w:val="20"/>
        </w:rPr>
        <w:t>que</w:t>
      </w:r>
      <w:r w:rsidR="009E08B5" w:rsidRPr="009D5EA7">
        <w:rPr>
          <w:rFonts w:ascii="Verdana" w:hAnsi="Verdana" w:cs="Arial"/>
          <w:sz w:val="20"/>
        </w:rPr>
        <w:t xml:space="preserve"> </w:t>
      </w:r>
      <w:r w:rsidR="002E7B3E" w:rsidRPr="009D5EA7">
        <w:rPr>
          <w:rFonts w:ascii="Verdana" w:hAnsi="Verdana" w:cs="Arial"/>
          <w:sz w:val="20"/>
        </w:rPr>
        <w:t xml:space="preserve">uno de </w:t>
      </w:r>
      <w:r w:rsidR="009E08B5" w:rsidRPr="009D5EA7">
        <w:rPr>
          <w:rFonts w:ascii="Verdana" w:hAnsi="Verdana" w:cs="Arial"/>
          <w:sz w:val="20"/>
        </w:rPr>
        <w:t xml:space="preserve">los </w:t>
      </w:r>
      <w:r w:rsidR="00ED759E" w:rsidRPr="009D5EA7">
        <w:rPr>
          <w:rFonts w:ascii="Verdana" w:hAnsi="Verdana" w:cs="Arial"/>
          <w:sz w:val="20"/>
        </w:rPr>
        <w:t>imputados como presunto autor intelectual</w:t>
      </w:r>
      <w:r w:rsidR="009E08B5" w:rsidRPr="009D5EA7">
        <w:rPr>
          <w:rFonts w:ascii="Verdana" w:hAnsi="Verdana" w:cs="Arial"/>
          <w:sz w:val="20"/>
        </w:rPr>
        <w:t xml:space="preserve"> </w:t>
      </w:r>
      <w:r w:rsidR="00002E93" w:rsidRPr="009D5EA7">
        <w:rPr>
          <w:rFonts w:ascii="Verdana" w:hAnsi="Verdana" w:cs="Arial"/>
          <w:sz w:val="20"/>
        </w:rPr>
        <w:t xml:space="preserve">solicitara </w:t>
      </w:r>
      <w:r w:rsidR="00142BB8" w:rsidRPr="009D5EA7">
        <w:rPr>
          <w:rFonts w:ascii="Verdana" w:hAnsi="Verdana" w:cs="Arial"/>
          <w:sz w:val="20"/>
        </w:rPr>
        <w:t xml:space="preserve">al juez </w:t>
      </w:r>
      <w:r w:rsidR="00002E93" w:rsidRPr="009D5EA7">
        <w:rPr>
          <w:rFonts w:ascii="Verdana" w:hAnsi="Verdana" w:cs="Arial"/>
          <w:sz w:val="20"/>
        </w:rPr>
        <w:t>–a las 10:00 a.m. del 22 de mayo–</w:t>
      </w:r>
      <w:r w:rsidR="00142BB8">
        <w:rPr>
          <w:rFonts w:ascii="Verdana" w:hAnsi="Verdana" w:cs="Arial"/>
          <w:sz w:val="20"/>
        </w:rPr>
        <w:t xml:space="preserve"> </w:t>
      </w:r>
      <w:r w:rsidR="009E08B5" w:rsidRPr="009D5EA7">
        <w:rPr>
          <w:rFonts w:ascii="Verdana" w:hAnsi="Verdana" w:cs="Arial"/>
          <w:sz w:val="20"/>
        </w:rPr>
        <w:t xml:space="preserve">que declara desierto el recurso, mediante un </w:t>
      </w:r>
      <w:r w:rsidR="009E08B5" w:rsidRPr="009D5EA7">
        <w:rPr>
          <w:rFonts w:ascii="Verdana" w:hAnsi="Verdana"/>
          <w:sz w:val="20"/>
        </w:rPr>
        <w:t xml:space="preserve">auto dictado 15 minutos después </w:t>
      </w:r>
      <w:r w:rsidR="00A14D58" w:rsidRPr="009D5EA7">
        <w:rPr>
          <w:rFonts w:ascii="Verdana" w:hAnsi="Verdana"/>
          <w:sz w:val="20"/>
        </w:rPr>
        <w:t>de eso</w:t>
      </w:r>
      <w:r w:rsidRPr="009D5EA7">
        <w:rPr>
          <w:rFonts w:ascii="Verdana" w:hAnsi="Verdana"/>
          <w:sz w:val="20"/>
        </w:rPr>
        <w:t>,</w:t>
      </w:r>
      <w:r w:rsidR="00A14D58" w:rsidRPr="009D5EA7">
        <w:rPr>
          <w:rFonts w:ascii="Verdana" w:hAnsi="Verdana"/>
          <w:sz w:val="20"/>
        </w:rPr>
        <w:t xml:space="preserve"> </w:t>
      </w:r>
      <w:r w:rsidR="009E08B5" w:rsidRPr="009D5EA7">
        <w:rPr>
          <w:rFonts w:ascii="Verdana" w:hAnsi="Verdana"/>
          <w:sz w:val="20"/>
        </w:rPr>
        <w:t xml:space="preserve">el juez ordenó a la secretaría </w:t>
      </w:r>
      <w:r w:rsidR="00142BB8">
        <w:rPr>
          <w:rFonts w:ascii="Verdana" w:hAnsi="Verdana"/>
          <w:sz w:val="20"/>
        </w:rPr>
        <w:t>“</w:t>
      </w:r>
      <w:r w:rsidR="009E08B5" w:rsidRPr="009D5EA7">
        <w:rPr>
          <w:rFonts w:ascii="Verdana" w:hAnsi="Verdana"/>
          <w:sz w:val="20"/>
        </w:rPr>
        <w:t>verificar el término</w:t>
      </w:r>
      <w:r w:rsidR="00142BB8">
        <w:rPr>
          <w:rFonts w:ascii="Verdana" w:hAnsi="Verdana"/>
          <w:sz w:val="20"/>
        </w:rPr>
        <w:t>”</w:t>
      </w:r>
      <w:r w:rsidR="009E08B5" w:rsidRPr="009D5EA7">
        <w:rPr>
          <w:rFonts w:ascii="Verdana" w:hAnsi="Verdana"/>
          <w:sz w:val="20"/>
        </w:rPr>
        <w:t xml:space="preserve"> y levantar constancia de la falta de presentación de papel o </w:t>
      </w:r>
      <w:r w:rsidR="009E08B5" w:rsidRPr="009D5EA7">
        <w:rPr>
          <w:rFonts w:ascii="Verdana" w:hAnsi="Verdana" w:cs="Arial"/>
          <w:sz w:val="20"/>
        </w:rPr>
        <w:t>del monto correspondiente al valor de las fotocopias</w:t>
      </w:r>
      <w:r w:rsidR="009E08B5" w:rsidRPr="009D5EA7">
        <w:rPr>
          <w:rFonts w:ascii="Verdana" w:hAnsi="Verdana"/>
          <w:sz w:val="20"/>
        </w:rPr>
        <w:t xml:space="preserve">. Este auto fue notificado al </w:t>
      </w:r>
      <w:r w:rsidR="00ED759E" w:rsidRPr="009D5EA7">
        <w:rPr>
          <w:rFonts w:ascii="Verdana" w:hAnsi="Verdana"/>
          <w:sz w:val="20"/>
        </w:rPr>
        <w:t>representante 38 minutos después. E</w:t>
      </w:r>
      <w:r w:rsidR="009E08B5" w:rsidRPr="009D5EA7">
        <w:rPr>
          <w:rFonts w:ascii="Verdana" w:hAnsi="Verdana"/>
          <w:sz w:val="20"/>
        </w:rPr>
        <w:t>se mismo día</w:t>
      </w:r>
      <w:r w:rsidR="00ED759E" w:rsidRPr="009D5EA7">
        <w:rPr>
          <w:rFonts w:ascii="Verdana" w:hAnsi="Verdana"/>
          <w:sz w:val="20"/>
        </w:rPr>
        <w:t xml:space="preserve"> por la tarde, el representante </w:t>
      </w:r>
      <w:r w:rsidR="00D03EFD">
        <w:rPr>
          <w:rFonts w:ascii="Verdana" w:hAnsi="Verdana"/>
          <w:sz w:val="20"/>
        </w:rPr>
        <w:t xml:space="preserve">de la señora Acosta </w:t>
      </w:r>
      <w:r w:rsidR="00ED759E" w:rsidRPr="009D5EA7">
        <w:rPr>
          <w:rFonts w:ascii="Verdana" w:hAnsi="Verdana" w:cs="Arial"/>
          <w:sz w:val="20"/>
        </w:rPr>
        <w:t>interpuso otro recurso</w:t>
      </w:r>
      <w:r w:rsidR="00ED759E" w:rsidRPr="009D5EA7">
        <w:rPr>
          <w:rFonts w:ascii="Verdana" w:hAnsi="Verdana" w:cs="Arial"/>
          <w:spacing w:val="-2"/>
          <w:sz w:val="20"/>
        </w:rPr>
        <w:t xml:space="preserve"> alegando </w:t>
      </w:r>
      <w:r w:rsidR="00ED759E" w:rsidRPr="009D5EA7">
        <w:rPr>
          <w:rFonts w:ascii="Verdana" w:hAnsi="Verdana" w:cs="Arial"/>
          <w:sz w:val="20"/>
        </w:rPr>
        <w:t>que el juez no podía ordenar la presentación de papel porque la ley no lo establecía, que eso estaba en desuso y en contradicción con la nueva Ley Orgánica del Poder Judicial y que en todo caso pudo haberlo prevenido al respecto; solicitó entonces que se le permitiera depositar el monto suficiente para las copias, pero el dinero no le fue aceptado por la secretaría del juzgado, señalando que no estaba autorizada para ello</w:t>
      </w:r>
      <w:r w:rsidR="009E08B5" w:rsidRPr="009D5EA7">
        <w:rPr>
          <w:rFonts w:ascii="Verdana" w:hAnsi="Verdana"/>
          <w:sz w:val="20"/>
        </w:rPr>
        <w:t>.</w:t>
      </w:r>
      <w:r w:rsidR="00ED759E" w:rsidRPr="009D5EA7">
        <w:rPr>
          <w:rFonts w:ascii="Verdana" w:hAnsi="Verdana"/>
          <w:sz w:val="20"/>
        </w:rPr>
        <w:t xml:space="preserve"> </w:t>
      </w:r>
      <w:r w:rsidR="009E08B5" w:rsidRPr="009D5EA7">
        <w:rPr>
          <w:rFonts w:ascii="Verdana" w:hAnsi="Verdana" w:cs="Arial"/>
          <w:sz w:val="20"/>
        </w:rPr>
        <w:t xml:space="preserve">Mediante auto de </w:t>
      </w:r>
      <w:r w:rsidR="00ED759E" w:rsidRPr="009D5EA7">
        <w:rPr>
          <w:rFonts w:ascii="Verdana" w:hAnsi="Verdana" w:cs="Arial"/>
          <w:sz w:val="20"/>
        </w:rPr>
        <w:t>31 de mayo siguiente</w:t>
      </w:r>
      <w:r w:rsidR="009E08B5" w:rsidRPr="009D5EA7">
        <w:rPr>
          <w:rFonts w:ascii="Verdana" w:hAnsi="Verdana" w:cs="Arial"/>
          <w:sz w:val="20"/>
        </w:rPr>
        <w:t>, el juez declaró desierto el recurso de apelación interpuesto por el representante de la señora Acosta al no haberse suministrado el papel requerido</w:t>
      </w:r>
      <w:r w:rsidR="003979DC" w:rsidRPr="009D5EA7">
        <w:rPr>
          <w:rFonts w:ascii="Verdana" w:hAnsi="Verdana" w:cs="Arial"/>
          <w:sz w:val="20"/>
        </w:rPr>
        <w:t>, con lo cual la decisión de sobreseimiento quedó firme.</w:t>
      </w:r>
    </w:p>
    <w:p w14:paraId="55CC728B" w14:textId="77777777" w:rsidR="00DF069F" w:rsidRPr="009D5EA7" w:rsidRDefault="00DF069F" w:rsidP="00DF069F">
      <w:pPr>
        <w:pStyle w:val="Prrafodelista"/>
        <w:autoSpaceDE w:val="0"/>
        <w:autoSpaceDN w:val="0"/>
        <w:adjustRightInd w:val="0"/>
        <w:ind w:left="0" w:right="34"/>
        <w:jc w:val="both"/>
        <w:rPr>
          <w:rFonts w:ascii="Verdana" w:hAnsi="Verdana" w:cs="Arial"/>
          <w:spacing w:val="-2"/>
          <w:sz w:val="20"/>
        </w:rPr>
      </w:pPr>
    </w:p>
    <w:p w14:paraId="7DE328C1" w14:textId="080C143C" w:rsidR="002A05BC" w:rsidRPr="009D5EA7" w:rsidRDefault="00DF069F" w:rsidP="002A05BC">
      <w:pPr>
        <w:pStyle w:val="Prrafodelista"/>
        <w:numPr>
          <w:ilvl w:val="0"/>
          <w:numId w:val="5"/>
        </w:numPr>
        <w:autoSpaceDE w:val="0"/>
        <w:autoSpaceDN w:val="0"/>
        <w:adjustRightInd w:val="0"/>
        <w:ind w:left="0" w:right="34" w:firstLine="0"/>
        <w:jc w:val="both"/>
        <w:rPr>
          <w:rFonts w:ascii="Verdana" w:hAnsi="Verdana" w:cs="Arial"/>
          <w:spacing w:val="-2"/>
          <w:sz w:val="20"/>
        </w:rPr>
      </w:pPr>
      <w:r w:rsidRPr="009D5EA7">
        <w:rPr>
          <w:rFonts w:ascii="Verdana" w:hAnsi="Verdana" w:cs="Cambria"/>
          <w:sz w:val="20"/>
        </w:rPr>
        <w:t>La Comisión y las representantes alegaron que tal requisito de presentar papel es una formalidad irracional y una barrera en el acceso a la justicia. El Estado alegó que esas eran normas vigentes y que el juzgador debía exigir los requisitos que la ley procesal establecía</w:t>
      </w:r>
      <w:r w:rsidR="002A05BC" w:rsidRPr="009D5EA7">
        <w:rPr>
          <w:rFonts w:ascii="Verdana" w:hAnsi="Verdana" w:cs="Cambria"/>
          <w:sz w:val="20"/>
        </w:rPr>
        <w:t xml:space="preserve">; que el </w:t>
      </w:r>
      <w:r w:rsidRPr="009D5EA7">
        <w:rPr>
          <w:rFonts w:ascii="Verdana" w:hAnsi="Verdana" w:cs="Cambria"/>
          <w:sz w:val="20"/>
        </w:rPr>
        <w:t xml:space="preserve">proceso de instrucción criminal era </w:t>
      </w:r>
      <w:r w:rsidR="002A05BC" w:rsidRPr="009D5EA7">
        <w:rPr>
          <w:rFonts w:ascii="Verdana" w:hAnsi="Verdana" w:cs="Cambria"/>
          <w:sz w:val="20"/>
        </w:rPr>
        <w:t xml:space="preserve">formalista y </w:t>
      </w:r>
      <w:r w:rsidRPr="009D5EA7">
        <w:rPr>
          <w:rFonts w:ascii="Verdana" w:hAnsi="Verdana" w:cs="Cambria"/>
          <w:sz w:val="20"/>
        </w:rPr>
        <w:t>sujeto al principio de legalidad</w:t>
      </w:r>
      <w:r w:rsidR="002A05BC" w:rsidRPr="009D5EA7">
        <w:rPr>
          <w:rFonts w:ascii="Verdana" w:hAnsi="Verdana" w:cs="Cambria"/>
          <w:sz w:val="20"/>
        </w:rPr>
        <w:t xml:space="preserve">; </w:t>
      </w:r>
      <w:r w:rsidRPr="009D5EA7">
        <w:rPr>
          <w:rFonts w:ascii="Verdana" w:hAnsi="Verdana" w:cs="Cambria"/>
          <w:sz w:val="20"/>
        </w:rPr>
        <w:t xml:space="preserve">y </w:t>
      </w:r>
      <w:r w:rsidR="002A05BC" w:rsidRPr="009D5EA7">
        <w:rPr>
          <w:rFonts w:ascii="Verdana" w:hAnsi="Verdana" w:cs="Cambria"/>
          <w:sz w:val="20"/>
        </w:rPr>
        <w:t xml:space="preserve">que </w:t>
      </w:r>
      <w:r w:rsidRPr="009D5EA7">
        <w:rPr>
          <w:rFonts w:ascii="Verdana" w:hAnsi="Verdana" w:cs="Cambria"/>
          <w:sz w:val="20"/>
        </w:rPr>
        <w:t xml:space="preserve">las omisiones y errores de ese representante </w:t>
      </w:r>
      <w:r w:rsidR="002A05BC" w:rsidRPr="009D5EA7">
        <w:rPr>
          <w:rFonts w:ascii="Verdana" w:hAnsi="Verdana" w:cs="Cambria"/>
          <w:sz w:val="20"/>
        </w:rPr>
        <w:t xml:space="preserve">no son </w:t>
      </w:r>
      <w:r w:rsidR="002D71A8" w:rsidRPr="009D5EA7">
        <w:rPr>
          <w:rFonts w:ascii="Verdana" w:hAnsi="Verdana" w:cs="Cambria"/>
          <w:sz w:val="20"/>
        </w:rPr>
        <w:t>atribuibles a</w:t>
      </w:r>
      <w:r w:rsidRPr="009D5EA7">
        <w:rPr>
          <w:rFonts w:ascii="Verdana" w:hAnsi="Verdana" w:cs="Cambria"/>
          <w:sz w:val="20"/>
        </w:rPr>
        <w:t>l Estado</w:t>
      </w:r>
      <w:r w:rsidR="002A05BC" w:rsidRPr="009D5EA7">
        <w:rPr>
          <w:rFonts w:ascii="Verdana" w:hAnsi="Verdana" w:cs="Cambria"/>
          <w:sz w:val="20"/>
        </w:rPr>
        <w:t xml:space="preserve">. </w:t>
      </w:r>
    </w:p>
    <w:p w14:paraId="3D59B9AA" w14:textId="77777777" w:rsidR="002A05BC" w:rsidRPr="009D5EA7" w:rsidRDefault="002A05BC" w:rsidP="002A05BC">
      <w:pPr>
        <w:pStyle w:val="Prrafodelista"/>
        <w:rPr>
          <w:rFonts w:ascii="Verdana" w:hAnsi="Verdana" w:cs="Arial"/>
          <w:spacing w:val="-2"/>
          <w:sz w:val="20"/>
        </w:rPr>
      </w:pPr>
    </w:p>
    <w:p w14:paraId="05FC1929" w14:textId="36F861F6" w:rsidR="00941914" w:rsidRPr="009D5EA7" w:rsidRDefault="002A05BC" w:rsidP="00941914">
      <w:pPr>
        <w:pStyle w:val="Prrafodelista"/>
        <w:numPr>
          <w:ilvl w:val="0"/>
          <w:numId w:val="5"/>
        </w:numPr>
        <w:autoSpaceDE w:val="0"/>
        <w:autoSpaceDN w:val="0"/>
        <w:adjustRightInd w:val="0"/>
        <w:ind w:left="0" w:right="34" w:firstLine="0"/>
        <w:jc w:val="both"/>
        <w:rPr>
          <w:rFonts w:ascii="Verdana" w:hAnsi="Verdana" w:cs="Verdana"/>
          <w:sz w:val="20"/>
          <w:lang w:bidi="en-US"/>
        </w:rPr>
      </w:pPr>
      <w:r w:rsidRPr="009D5EA7">
        <w:rPr>
          <w:rFonts w:ascii="Verdana" w:hAnsi="Verdana"/>
          <w:sz w:val="20"/>
        </w:rPr>
        <w:t>En casos anteriores, la Corte ha considerado que “el sistema procesal es un medio para realizar la justicia y [que] ésta no puede ser sacrificada en aras de meras formalidades”</w:t>
      </w:r>
      <w:r w:rsidRPr="009D5EA7">
        <w:rPr>
          <w:rStyle w:val="Refdenotaalpie"/>
          <w:rFonts w:ascii="Verdana" w:hAnsi="Verdana"/>
          <w:sz w:val="20"/>
        </w:rPr>
        <w:footnoteReference w:id="162"/>
      </w:r>
      <w:r w:rsidR="00F61F2E" w:rsidRPr="009D5EA7">
        <w:rPr>
          <w:rFonts w:ascii="Verdana" w:hAnsi="Verdana"/>
          <w:sz w:val="20"/>
        </w:rPr>
        <w:t xml:space="preserve"> y</w:t>
      </w:r>
      <w:r w:rsidRPr="009D5EA7">
        <w:rPr>
          <w:rFonts w:ascii="Verdana" w:hAnsi="Verdana"/>
          <w:sz w:val="20"/>
        </w:rPr>
        <w:t xml:space="preserve"> que se presenta una formalidad sin sentido “cuando se demuestra que los recursos son rechazados sin llegar al examen de la validez de los mismos, o por razones fútiles […] cuyo efecto es el de impedir a ciertos demandantes la utilización de los recursos internos que, normalmente, estarían al alcance de los demás”</w:t>
      </w:r>
      <w:r w:rsidRPr="009D5EA7">
        <w:rPr>
          <w:rStyle w:val="Refdenotaalpie"/>
          <w:rFonts w:ascii="Verdana" w:hAnsi="Verdana"/>
          <w:sz w:val="20"/>
        </w:rPr>
        <w:footnoteReference w:id="163"/>
      </w:r>
      <w:r w:rsidRPr="009D5EA7">
        <w:rPr>
          <w:rFonts w:ascii="Verdana" w:hAnsi="Verdana"/>
          <w:sz w:val="20"/>
        </w:rPr>
        <w:t xml:space="preserve">. Si bien </w:t>
      </w:r>
      <w:r w:rsidR="003979DC" w:rsidRPr="009D5EA7">
        <w:rPr>
          <w:rFonts w:ascii="Verdana" w:hAnsi="Verdana" w:cs="Verdana"/>
          <w:sz w:val="20"/>
          <w:lang w:bidi="en-US"/>
        </w:rPr>
        <w:t xml:space="preserve">los Estados </w:t>
      </w:r>
      <w:r w:rsidRPr="009D5EA7">
        <w:rPr>
          <w:rFonts w:ascii="Verdana" w:hAnsi="Verdana" w:cs="Verdana"/>
          <w:sz w:val="20"/>
          <w:lang w:bidi="en-US"/>
        </w:rPr>
        <w:t>pueden y deben establecer presupuestos y criterios de admisib</w:t>
      </w:r>
      <w:r w:rsidR="003979DC" w:rsidRPr="009D5EA7">
        <w:rPr>
          <w:rFonts w:ascii="Verdana" w:hAnsi="Verdana" w:cs="Verdana"/>
          <w:sz w:val="20"/>
          <w:lang w:bidi="en-US"/>
        </w:rPr>
        <w:t>ilidad de los recursos internos</w:t>
      </w:r>
      <w:r w:rsidRPr="009D5EA7">
        <w:rPr>
          <w:rFonts w:ascii="Verdana" w:hAnsi="Verdana" w:cs="Verdana"/>
          <w:sz w:val="20"/>
          <w:lang w:bidi="en-US"/>
        </w:rPr>
        <w:t>, tale</w:t>
      </w:r>
      <w:r w:rsidR="003979DC" w:rsidRPr="009D5EA7">
        <w:rPr>
          <w:rFonts w:ascii="Verdana" w:hAnsi="Verdana" w:cs="Verdana"/>
          <w:sz w:val="20"/>
          <w:lang w:bidi="en-US"/>
        </w:rPr>
        <w:t xml:space="preserve">s presupuestos deben atender a </w:t>
      </w:r>
      <w:r w:rsidRPr="009D5EA7">
        <w:rPr>
          <w:rFonts w:ascii="Verdana" w:hAnsi="Verdana" w:cs="Verdana"/>
          <w:sz w:val="20"/>
          <w:lang w:bidi="en-US"/>
        </w:rPr>
        <w:t>razones de seguridad jurídica, para la correcta y funcional administración de justicia y la efectiva protección de los derechos de las personas</w:t>
      </w:r>
      <w:r w:rsidRPr="009D5EA7">
        <w:rPr>
          <w:rStyle w:val="Refdenotaalpie"/>
          <w:rFonts w:ascii="Verdana" w:hAnsi="Verdana" w:cs="Verdana"/>
          <w:sz w:val="20"/>
          <w:lang w:bidi="en-US"/>
        </w:rPr>
        <w:footnoteReference w:id="164"/>
      </w:r>
      <w:r w:rsidRPr="009D5EA7">
        <w:rPr>
          <w:rFonts w:ascii="Verdana" w:hAnsi="Verdana" w:cs="Verdana"/>
          <w:sz w:val="20"/>
          <w:lang w:bidi="en-US"/>
        </w:rPr>
        <w:t>.</w:t>
      </w:r>
      <w:r w:rsidR="00941914" w:rsidRPr="009D5EA7">
        <w:rPr>
          <w:rFonts w:ascii="Verdana" w:hAnsi="Verdana" w:cs="Verdana"/>
          <w:sz w:val="20"/>
          <w:lang w:bidi="en-US"/>
        </w:rPr>
        <w:t xml:space="preserve"> </w:t>
      </w:r>
      <w:r w:rsidR="00941914" w:rsidRPr="009D5EA7">
        <w:rPr>
          <w:rFonts w:ascii="Verdana" w:hAnsi="Verdana" w:cs="Arial"/>
          <w:spacing w:val="-2"/>
          <w:sz w:val="20"/>
        </w:rPr>
        <w:t xml:space="preserve"> Así, </w:t>
      </w:r>
      <w:r w:rsidR="00941914" w:rsidRPr="009D5EA7">
        <w:rPr>
          <w:rFonts w:ascii="Verdana" w:hAnsi="Verdana" w:cs="Verdana"/>
          <w:sz w:val="20"/>
          <w:lang w:bidi="en-US"/>
        </w:rPr>
        <w:t xml:space="preserve">cualquier norma o </w:t>
      </w:r>
      <w:r w:rsidR="00941914" w:rsidRPr="009D5EA7">
        <w:rPr>
          <w:rFonts w:ascii="Verdana" w:hAnsi="Verdana" w:cs="Verdana"/>
          <w:sz w:val="20"/>
          <w:lang w:bidi="en-US"/>
        </w:rPr>
        <w:lastRenderedPageBreak/>
        <w:t>medida de orden interno que imponga costos o dificulte de cualquier</w:t>
      </w:r>
      <w:r w:rsidR="003B7BE3" w:rsidRPr="009D5EA7">
        <w:rPr>
          <w:rFonts w:ascii="Verdana" w:hAnsi="Verdana" w:cs="Verdana"/>
          <w:sz w:val="20"/>
          <w:lang w:bidi="en-US"/>
        </w:rPr>
        <w:t xml:space="preserve"> otra</w:t>
      </w:r>
      <w:r w:rsidR="00941914" w:rsidRPr="009D5EA7">
        <w:rPr>
          <w:rFonts w:ascii="Verdana" w:hAnsi="Verdana" w:cs="Verdana"/>
          <w:sz w:val="20"/>
          <w:lang w:bidi="en-US"/>
        </w:rPr>
        <w:t xml:space="preserve"> manera el acceso de los individuos a los tribunales, </w:t>
      </w:r>
      <w:r w:rsidR="003B7BE3" w:rsidRPr="009D5EA7">
        <w:rPr>
          <w:rFonts w:ascii="Verdana" w:hAnsi="Verdana" w:cs="Verdana"/>
          <w:sz w:val="20"/>
          <w:lang w:bidi="en-US"/>
        </w:rPr>
        <w:t xml:space="preserve">y </w:t>
      </w:r>
      <w:r w:rsidR="00941914" w:rsidRPr="009D5EA7">
        <w:rPr>
          <w:rFonts w:ascii="Verdana" w:hAnsi="Verdana" w:cs="Verdana"/>
          <w:sz w:val="20"/>
          <w:lang w:bidi="en-US"/>
        </w:rPr>
        <w:t>que no esté justificada por las razonables necesidades de la propia administración de justicia, debe entenderse contraria al artículo 8.1 de la Convención</w:t>
      </w:r>
      <w:r w:rsidR="00941914" w:rsidRPr="009D5EA7">
        <w:rPr>
          <w:rStyle w:val="Refdenotaalpie"/>
          <w:rFonts w:ascii="Verdana" w:hAnsi="Verdana" w:cs="Verdana"/>
          <w:sz w:val="20"/>
          <w:lang w:bidi="en-US"/>
        </w:rPr>
        <w:footnoteReference w:id="165"/>
      </w:r>
      <w:r w:rsidR="00941914" w:rsidRPr="009D5EA7">
        <w:rPr>
          <w:rFonts w:ascii="Verdana" w:hAnsi="Verdana" w:cs="Verdana"/>
          <w:sz w:val="20"/>
          <w:lang w:bidi="en-US"/>
        </w:rPr>
        <w:t>.</w:t>
      </w:r>
    </w:p>
    <w:p w14:paraId="10520DBE" w14:textId="77777777" w:rsidR="002A05BC" w:rsidRPr="009D5EA7" w:rsidRDefault="002A05BC" w:rsidP="002A05BC">
      <w:pPr>
        <w:pStyle w:val="Prrafodelista"/>
        <w:rPr>
          <w:rFonts w:ascii="Verdana" w:hAnsi="Verdana" w:cs="Arial"/>
          <w:spacing w:val="-2"/>
          <w:sz w:val="20"/>
        </w:rPr>
      </w:pPr>
    </w:p>
    <w:p w14:paraId="7459101E" w14:textId="47CE536C" w:rsidR="00E60162" w:rsidRPr="009D5EA7" w:rsidRDefault="00941914" w:rsidP="00941914">
      <w:pPr>
        <w:pStyle w:val="Prrafodelista"/>
        <w:numPr>
          <w:ilvl w:val="0"/>
          <w:numId w:val="5"/>
        </w:numPr>
        <w:autoSpaceDE w:val="0"/>
        <w:autoSpaceDN w:val="0"/>
        <w:adjustRightInd w:val="0"/>
        <w:ind w:left="0" w:right="34" w:firstLine="0"/>
        <w:jc w:val="both"/>
        <w:rPr>
          <w:rFonts w:ascii="Verdana" w:hAnsi="Verdana" w:cs="Verdana"/>
          <w:sz w:val="20"/>
          <w:lang w:bidi="en-US"/>
        </w:rPr>
      </w:pPr>
      <w:r w:rsidRPr="009D5EA7">
        <w:rPr>
          <w:rFonts w:ascii="Verdana" w:hAnsi="Verdana" w:cs="Verdana"/>
          <w:sz w:val="20"/>
          <w:lang w:bidi="en-US"/>
        </w:rPr>
        <w:t>La Corte</w:t>
      </w:r>
      <w:r w:rsidR="002A05BC" w:rsidRPr="009D5EA7">
        <w:rPr>
          <w:rFonts w:ascii="Verdana" w:hAnsi="Verdana" w:cs="Verdana"/>
          <w:sz w:val="20"/>
          <w:lang w:bidi="en-US"/>
        </w:rPr>
        <w:t xml:space="preserve"> hace notar que el Estado no ha explicado claramente </w:t>
      </w:r>
      <w:r w:rsidRPr="009D5EA7">
        <w:rPr>
          <w:rFonts w:ascii="Verdana" w:hAnsi="Verdana" w:cs="Verdana"/>
          <w:sz w:val="20"/>
          <w:lang w:bidi="en-US"/>
        </w:rPr>
        <w:t>la consecuencia jurídica de la falta de presentación del papel</w:t>
      </w:r>
      <w:r w:rsidR="0010158F" w:rsidRPr="009D5EA7">
        <w:rPr>
          <w:rFonts w:ascii="Verdana" w:hAnsi="Verdana" w:cs="Verdana"/>
          <w:sz w:val="20"/>
          <w:lang w:bidi="en-US"/>
        </w:rPr>
        <w:t xml:space="preserve"> para fotocopia</w:t>
      </w:r>
      <w:r w:rsidR="00ED62B6">
        <w:rPr>
          <w:rFonts w:ascii="Verdana" w:hAnsi="Verdana" w:cs="Verdana"/>
          <w:sz w:val="20"/>
          <w:lang w:bidi="en-US"/>
        </w:rPr>
        <w:t>r</w:t>
      </w:r>
      <w:r w:rsidR="0010158F" w:rsidRPr="009D5EA7">
        <w:rPr>
          <w:rFonts w:ascii="Verdana" w:hAnsi="Verdana" w:cs="Verdana"/>
          <w:sz w:val="20"/>
          <w:lang w:bidi="en-US"/>
        </w:rPr>
        <w:t xml:space="preserve"> un expediente y enviarlo a una instancia superior</w:t>
      </w:r>
      <w:r w:rsidRPr="009D5EA7">
        <w:rPr>
          <w:rFonts w:ascii="Verdana" w:hAnsi="Verdana" w:cs="Verdana"/>
          <w:sz w:val="20"/>
          <w:lang w:bidi="en-US"/>
        </w:rPr>
        <w:t xml:space="preserve">, en particular si </w:t>
      </w:r>
      <w:r w:rsidR="002A05BC" w:rsidRPr="009D5EA7">
        <w:rPr>
          <w:rFonts w:ascii="Verdana" w:hAnsi="Verdana" w:cs="Verdana"/>
          <w:sz w:val="20"/>
          <w:lang w:bidi="en-US"/>
        </w:rPr>
        <w:t>la legislación interna establec</w:t>
      </w:r>
      <w:r w:rsidRPr="009D5EA7">
        <w:rPr>
          <w:rFonts w:ascii="Verdana" w:hAnsi="Verdana" w:cs="Verdana"/>
          <w:sz w:val="20"/>
          <w:lang w:bidi="en-US"/>
        </w:rPr>
        <w:t>ía</w:t>
      </w:r>
      <w:r w:rsidR="002A05BC" w:rsidRPr="009D5EA7">
        <w:rPr>
          <w:rFonts w:ascii="Verdana" w:hAnsi="Verdana" w:cs="Verdana"/>
          <w:sz w:val="20"/>
          <w:lang w:bidi="en-US"/>
        </w:rPr>
        <w:t xml:space="preserve"> expresamente que </w:t>
      </w:r>
      <w:r w:rsidRPr="009D5EA7">
        <w:rPr>
          <w:rFonts w:ascii="Verdana" w:hAnsi="Verdana" w:cs="Verdana"/>
          <w:sz w:val="20"/>
          <w:lang w:bidi="en-US"/>
        </w:rPr>
        <w:t xml:space="preserve">tal </w:t>
      </w:r>
      <w:r w:rsidR="002A05BC" w:rsidRPr="009D5EA7">
        <w:rPr>
          <w:rFonts w:ascii="Verdana" w:hAnsi="Verdana" w:cs="Verdana"/>
          <w:sz w:val="20"/>
          <w:lang w:bidi="en-US"/>
        </w:rPr>
        <w:t xml:space="preserve">falta, en un plazo de 24 horas “reloj”, </w:t>
      </w:r>
      <w:r w:rsidRPr="009D5EA7">
        <w:rPr>
          <w:rFonts w:ascii="Verdana" w:hAnsi="Verdana" w:cs="Verdana"/>
          <w:sz w:val="20"/>
          <w:lang w:bidi="en-US"/>
        </w:rPr>
        <w:t>obliga</w:t>
      </w:r>
      <w:r w:rsidR="00E60162" w:rsidRPr="009D5EA7">
        <w:rPr>
          <w:rFonts w:ascii="Verdana" w:hAnsi="Verdana" w:cs="Verdana"/>
          <w:sz w:val="20"/>
          <w:lang w:bidi="en-US"/>
        </w:rPr>
        <w:t>b</w:t>
      </w:r>
      <w:r w:rsidRPr="009D5EA7">
        <w:rPr>
          <w:rFonts w:ascii="Verdana" w:hAnsi="Verdana" w:cs="Verdana"/>
          <w:sz w:val="20"/>
          <w:lang w:bidi="en-US"/>
        </w:rPr>
        <w:t>a</w:t>
      </w:r>
      <w:r w:rsidR="002A05BC" w:rsidRPr="009D5EA7">
        <w:rPr>
          <w:rFonts w:ascii="Verdana" w:hAnsi="Verdana" w:cs="Verdana"/>
          <w:sz w:val="20"/>
          <w:lang w:bidi="en-US"/>
        </w:rPr>
        <w:t xml:space="preserve"> necesaria</w:t>
      </w:r>
      <w:r w:rsidRPr="009D5EA7">
        <w:rPr>
          <w:rFonts w:ascii="Verdana" w:hAnsi="Verdana" w:cs="Verdana"/>
          <w:sz w:val="20"/>
          <w:lang w:bidi="en-US"/>
        </w:rPr>
        <w:t>mente al juez a tener</w:t>
      </w:r>
      <w:r w:rsidR="002A05BC" w:rsidRPr="009D5EA7">
        <w:rPr>
          <w:rFonts w:ascii="Verdana" w:hAnsi="Verdana" w:cs="Verdana"/>
          <w:sz w:val="20"/>
          <w:lang w:bidi="en-US"/>
        </w:rPr>
        <w:t xml:space="preserve"> por desierto el </w:t>
      </w:r>
      <w:r w:rsidRPr="009D5EA7">
        <w:rPr>
          <w:rFonts w:ascii="Verdana" w:hAnsi="Verdana" w:cs="Verdana"/>
          <w:sz w:val="20"/>
          <w:lang w:bidi="en-US"/>
        </w:rPr>
        <w:t xml:space="preserve">recurso. Ciertamente el juez podía </w:t>
      </w:r>
      <w:r w:rsidR="00E60162" w:rsidRPr="009D5EA7">
        <w:rPr>
          <w:rFonts w:ascii="Verdana" w:hAnsi="Verdana" w:cs="Verdana"/>
          <w:sz w:val="20"/>
          <w:lang w:bidi="en-US"/>
        </w:rPr>
        <w:t xml:space="preserve">haber </w:t>
      </w:r>
      <w:r w:rsidRPr="009D5EA7">
        <w:rPr>
          <w:rFonts w:ascii="Verdana" w:hAnsi="Verdana" w:cs="Verdana"/>
          <w:sz w:val="20"/>
          <w:lang w:bidi="en-US"/>
        </w:rPr>
        <w:t>prev</w:t>
      </w:r>
      <w:r w:rsidR="00E60162" w:rsidRPr="009D5EA7">
        <w:rPr>
          <w:rFonts w:ascii="Verdana" w:hAnsi="Verdana" w:cs="Verdana"/>
          <w:sz w:val="20"/>
          <w:lang w:bidi="en-US"/>
        </w:rPr>
        <w:t>enido</w:t>
      </w:r>
      <w:r w:rsidRPr="009D5EA7">
        <w:rPr>
          <w:rFonts w:ascii="Verdana" w:hAnsi="Verdana" w:cs="Verdana"/>
          <w:sz w:val="20"/>
          <w:lang w:bidi="en-US"/>
        </w:rPr>
        <w:t xml:space="preserve"> </w:t>
      </w:r>
      <w:r w:rsidR="002A05BC" w:rsidRPr="009D5EA7">
        <w:rPr>
          <w:rFonts w:ascii="Verdana" w:hAnsi="Verdana" w:cs="Verdana"/>
          <w:sz w:val="20"/>
          <w:lang w:bidi="en-US"/>
        </w:rPr>
        <w:t xml:space="preserve">al recurrente de presentar </w:t>
      </w:r>
      <w:r w:rsidRPr="009D5EA7">
        <w:rPr>
          <w:rFonts w:ascii="Verdana" w:hAnsi="Verdana" w:cs="Verdana"/>
          <w:sz w:val="20"/>
          <w:lang w:bidi="en-US"/>
        </w:rPr>
        <w:t xml:space="preserve">tal </w:t>
      </w:r>
      <w:r w:rsidR="002A05BC" w:rsidRPr="009D5EA7">
        <w:rPr>
          <w:rFonts w:ascii="Verdana" w:hAnsi="Verdana" w:cs="Verdana"/>
          <w:sz w:val="20"/>
          <w:lang w:bidi="en-US"/>
        </w:rPr>
        <w:t>valor o papel</w:t>
      </w:r>
      <w:r w:rsidR="0096369C" w:rsidRPr="009D5EA7">
        <w:rPr>
          <w:rStyle w:val="Refdenotaalpie"/>
          <w:rFonts w:ascii="Verdana" w:hAnsi="Verdana" w:cs="Verdana"/>
          <w:sz w:val="20"/>
          <w:lang w:bidi="en-US"/>
        </w:rPr>
        <w:footnoteReference w:id="166"/>
      </w:r>
      <w:r w:rsidRPr="009D5EA7">
        <w:rPr>
          <w:rFonts w:ascii="Verdana" w:hAnsi="Verdana" w:cs="Verdana"/>
          <w:sz w:val="20"/>
          <w:lang w:bidi="en-US"/>
        </w:rPr>
        <w:t>, si es que lo consideraba una norma de estricta aplica</w:t>
      </w:r>
      <w:r w:rsidR="00D03EFD">
        <w:rPr>
          <w:rFonts w:ascii="Verdana" w:hAnsi="Verdana" w:cs="Verdana"/>
          <w:sz w:val="20"/>
          <w:lang w:bidi="en-US"/>
        </w:rPr>
        <w:t>ción</w:t>
      </w:r>
      <w:r w:rsidR="00ED62B6">
        <w:rPr>
          <w:rFonts w:ascii="Verdana" w:hAnsi="Verdana" w:cs="Verdana"/>
          <w:sz w:val="20"/>
          <w:lang w:bidi="en-US"/>
        </w:rPr>
        <w:t>.</w:t>
      </w:r>
      <w:r w:rsidR="00D03EFD">
        <w:rPr>
          <w:rFonts w:ascii="Verdana" w:hAnsi="Verdana" w:cs="Verdana"/>
          <w:sz w:val="20"/>
          <w:lang w:bidi="en-US"/>
        </w:rPr>
        <w:t xml:space="preserve"> </w:t>
      </w:r>
      <w:r w:rsidR="00ED62B6">
        <w:rPr>
          <w:rFonts w:ascii="Verdana" w:hAnsi="Verdana" w:cs="Verdana"/>
          <w:sz w:val="20"/>
          <w:lang w:bidi="en-US"/>
        </w:rPr>
        <w:t>A</w:t>
      </w:r>
      <w:r w:rsidR="00D03EFD">
        <w:rPr>
          <w:rFonts w:ascii="Verdana" w:hAnsi="Verdana" w:cs="Verdana"/>
          <w:sz w:val="20"/>
          <w:lang w:bidi="en-US"/>
        </w:rPr>
        <w:t>demás</w:t>
      </w:r>
      <w:r w:rsidR="00ED62B6">
        <w:rPr>
          <w:rFonts w:ascii="Verdana" w:hAnsi="Verdana" w:cs="Verdana"/>
          <w:sz w:val="20"/>
          <w:lang w:bidi="en-US"/>
        </w:rPr>
        <w:t>,</w:t>
      </w:r>
      <w:r w:rsidRPr="009D5EA7">
        <w:rPr>
          <w:rFonts w:ascii="Verdana" w:hAnsi="Verdana" w:cs="Verdana"/>
          <w:sz w:val="20"/>
          <w:lang w:bidi="en-US"/>
        </w:rPr>
        <w:t xml:space="preserve"> la forma particular de contabilizar tal plazo en horas y minutos </w:t>
      </w:r>
      <w:r w:rsidR="00B456C5" w:rsidRPr="009D5EA7">
        <w:rPr>
          <w:rFonts w:ascii="Verdana" w:hAnsi="Verdana" w:cs="Verdana"/>
          <w:sz w:val="20"/>
          <w:lang w:bidi="en-US"/>
        </w:rPr>
        <w:t>parecía contradecir otra</w:t>
      </w:r>
      <w:r w:rsidR="005373BC">
        <w:rPr>
          <w:rFonts w:ascii="Verdana" w:hAnsi="Verdana" w:cs="Verdana"/>
          <w:sz w:val="20"/>
          <w:lang w:bidi="en-US"/>
        </w:rPr>
        <w:t>s</w:t>
      </w:r>
      <w:r w:rsidR="00B456C5" w:rsidRPr="009D5EA7">
        <w:rPr>
          <w:rFonts w:ascii="Verdana" w:hAnsi="Verdana" w:cs="Verdana"/>
          <w:sz w:val="20"/>
          <w:lang w:bidi="en-US"/>
        </w:rPr>
        <w:t xml:space="preserve"> norma</w:t>
      </w:r>
      <w:r w:rsidR="005373BC">
        <w:rPr>
          <w:rFonts w:ascii="Verdana" w:hAnsi="Verdana" w:cs="Verdana"/>
          <w:sz w:val="20"/>
          <w:lang w:bidi="en-US"/>
        </w:rPr>
        <w:t>s</w:t>
      </w:r>
      <w:r w:rsidR="00B456C5" w:rsidRPr="009D5EA7">
        <w:rPr>
          <w:rFonts w:ascii="Verdana" w:hAnsi="Verdana" w:cs="Verdana"/>
          <w:sz w:val="20"/>
          <w:lang w:bidi="en-US"/>
        </w:rPr>
        <w:t xml:space="preserve"> vigente</w:t>
      </w:r>
      <w:r w:rsidR="005373BC">
        <w:rPr>
          <w:rFonts w:ascii="Verdana" w:hAnsi="Verdana" w:cs="Verdana"/>
          <w:sz w:val="20"/>
          <w:lang w:bidi="en-US"/>
        </w:rPr>
        <w:t>s</w:t>
      </w:r>
      <w:r w:rsidR="00B456C5" w:rsidRPr="009D5EA7">
        <w:rPr>
          <w:rStyle w:val="Refdenotaalpie"/>
          <w:rFonts w:ascii="Verdana" w:hAnsi="Verdana" w:cs="Verdana"/>
          <w:sz w:val="20"/>
          <w:lang w:bidi="en-US"/>
        </w:rPr>
        <w:footnoteReference w:id="167"/>
      </w:r>
      <w:r w:rsidR="00B456C5" w:rsidRPr="009D5EA7">
        <w:rPr>
          <w:rFonts w:ascii="Verdana" w:hAnsi="Verdana" w:cs="Verdana"/>
          <w:sz w:val="20"/>
          <w:lang w:bidi="en-US"/>
        </w:rPr>
        <w:t xml:space="preserve"> y </w:t>
      </w:r>
      <w:r w:rsidR="00A14D58" w:rsidRPr="009D5EA7">
        <w:rPr>
          <w:rFonts w:ascii="Verdana" w:hAnsi="Verdana" w:cs="Verdana"/>
          <w:sz w:val="20"/>
          <w:lang w:bidi="en-US"/>
        </w:rPr>
        <w:t>podía</w:t>
      </w:r>
      <w:r w:rsidRPr="009D5EA7">
        <w:rPr>
          <w:rFonts w:ascii="Verdana" w:hAnsi="Verdana" w:cs="Verdana"/>
          <w:sz w:val="20"/>
          <w:lang w:bidi="en-US"/>
        </w:rPr>
        <w:t xml:space="preserve"> colocar al representante legal en imposibilidad de cumplir la norma</w:t>
      </w:r>
      <w:r w:rsidR="00E60162" w:rsidRPr="009D5EA7">
        <w:rPr>
          <w:rFonts w:ascii="Verdana" w:hAnsi="Verdana" w:cs="Verdana"/>
          <w:sz w:val="20"/>
          <w:lang w:bidi="en-US"/>
        </w:rPr>
        <w:t xml:space="preserve">. </w:t>
      </w:r>
      <w:r w:rsidR="008A38B5" w:rsidRPr="009D5EA7">
        <w:rPr>
          <w:rFonts w:ascii="Verdana" w:hAnsi="Verdana" w:cs="Verdana"/>
          <w:sz w:val="20"/>
          <w:lang w:bidi="en-US"/>
        </w:rPr>
        <w:t>Más allá de la interpretación de esas normas de derecho interno</w:t>
      </w:r>
      <w:r w:rsidR="00E10481" w:rsidRPr="009D5EA7">
        <w:rPr>
          <w:rFonts w:ascii="Verdana" w:hAnsi="Verdana" w:cs="Verdana"/>
          <w:sz w:val="20"/>
          <w:lang w:bidi="en-US"/>
        </w:rPr>
        <w:t>,</w:t>
      </w:r>
      <w:r w:rsidR="008A38B5" w:rsidRPr="009D5EA7">
        <w:rPr>
          <w:rFonts w:ascii="Verdana" w:hAnsi="Verdana" w:cs="Verdana"/>
          <w:sz w:val="20"/>
          <w:lang w:bidi="en-US"/>
        </w:rPr>
        <w:t xml:space="preserve"> surge que,</w:t>
      </w:r>
      <w:r w:rsidR="00E10481" w:rsidRPr="009D5EA7">
        <w:rPr>
          <w:rFonts w:ascii="Verdana" w:hAnsi="Verdana" w:cs="Verdana"/>
          <w:sz w:val="20"/>
          <w:lang w:bidi="en-US"/>
        </w:rPr>
        <w:t xml:space="preserve"> en los términos de </w:t>
      </w:r>
      <w:r w:rsidR="003979DC" w:rsidRPr="009D5EA7">
        <w:rPr>
          <w:rFonts w:ascii="Verdana" w:hAnsi="Verdana" w:cs="Verdana"/>
          <w:sz w:val="20"/>
          <w:lang w:bidi="en-US"/>
        </w:rPr>
        <w:t xml:space="preserve">la </w:t>
      </w:r>
      <w:r w:rsidR="00E10481" w:rsidRPr="009D5EA7">
        <w:rPr>
          <w:rFonts w:ascii="Verdana" w:hAnsi="Verdana" w:cs="Verdana"/>
          <w:sz w:val="20"/>
          <w:lang w:bidi="en-US"/>
        </w:rPr>
        <w:t>ley adjetiva señalada</w:t>
      </w:r>
      <w:r w:rsidR="00E10481" w:rsidRPr="009D5EA7">
        <w:rPr>
          <w:rStyle w:val="Refdenotaalpie"/>
          <w:rFonts w:ascii="Verdana" w:hAnsi="Verdana" w:cs="Verdana"/>
          <w:sz w:val="20"/>
          <w:lang w:bidi="en-US"/>
        </w:rPr>
        <w:footnoteReference w:id="168"/>
      </w:r>
      <w:r w:rsidR="00E10481" w:rsidRPr="009D5EA7">
        <w:rPr>
          <w:rFonts w:ascii="Verdana" w:hAnsi="Verdana" w:cs="Verdana"/>
          <w:sz w:val="20"/>
          <w:lang w:bidi="en-US"/>
        </w:rPr>
        <w:t>, el recurrente no se negó a proveer tales gastos y</w:t>
      </w:r>
      <w:r w:rsidR="003979DC" w:rsidRPr="009D5EA7">
        <w:rPr>
          <w:rFonts w:ascii="Verdana" w:hAnsi="Verdana" w:cs="Verdana"/>
          <w:sz w:val="20"/>
          <w:lang w:bidi="en-US"/>
        </w:rPr>
        <w:t>,</w:t>
      </w:r>
      <w:r w:rsidR="00E10481" w:rsidRPr="009D5EA7">
        <w:rPr>
          <w:rFonts w:ascii="Verdana" w:hAnsi="Verdana" w:cs="Verdana"/>
          <w:sz w:val="20"/>
          <w:lang w:bidi="en-US"/>
        </w:rPr>
        <w:t xml:space="preserve"> por el contrario</w:t>
      </w:r>
      <w:r w:rsidR="003979DC" w:rsidRPr="009D5EA7">
        <w:rPr>
          <w:rFonts w:ascii="Verdana" w:hAnsi="Verdana" w:cs="Verdana"/>
          <w:sz w:val="20"/>
          <w:lang w:bidi="en-US"/>
        </w:rPr>
        <w:t>,</w:t>
      </w:r>
      <w:r w:rsidR="00E10481" w:rsidRPr="009D5EA7">
        <w:rPr>
          <w:rFonts w:ascii="Verdana" w:hAnsi="Verdana" w:cs="Verdana"/>
          <w:sz w:val="20"/>
          <w:lang w:bidi="en-US"/>
        </w:rPr>
        <w:t xml:space="preserve"> ofreció depositar el valor respectivo, por lo que </w:t>
      </w:r>
      <w:r w:rsidR="00E60162" w:rsidRPr="009D5EA7">
        <w:rPr>
          <w:rFonts w:ascii="Verdana" w:hAnsi="Verdana" w:cs="Verdana"/>
          <w:sz w:val="20"/>
          <w:lang w:bidi="en-US"/>
        </w:rPr>
        <w:t xml:space="preserve">el juez pudo haber tenido por subsanada </w:t>
      </w:r>
      <w:r w:rsidR="00E10481" w:rsidRPr="009D5EA7">
        <w:rPr>
          <w:rFonts w:ascii="Verdana" w:hAnsi="Verdana" w:cs="Verdana"/>
          <w:sz w:val="20"/>
          <w:lang w:bidi="en-US"/>
        </w:rPr>
        <w:t>esa mera formalidad para haber</w:t>
      </w:r>
      <w:r w:rsidR="00E60162" w:rsidRPr="009D5EA7">
        <w:rPr>
          <w:rFonts w:ascii="Verdana" w:hAnsi="Verdana" w:cs="Verdana"/>
          <w:sz w:val="20"/>
          <w:lang w:bidi="en-US"/>
        </w:rPr>
        <w:t xml:space="preserve"> </w:t>
      </w:r>
      <w:r w:rsidR="00E10481" w:rsidRPr="009D5EA7">
        <w:rPr>
          <w:rFonts w:ascii="Verdana" w:hAnsi="Verdana" w:cs="Verdana"/>
          <w:sz w:val="20"/>
          <w:lang w:bidi="en-US"/>
        </w:rPr>
        <w:t>permitido así</w:t>
      </w:r>
      <w:r w:rsidR="00E60162" w:rsidRPr="009D5EA7">
        <w:rPr>
          <w:rFonts w:ascii="Verdana" w:hAnsi="Verdana" w:cs="Verdana"/>
          <w:sz w:val="20"/>
          <w:lang w:bidi="en-US"/>
        </w:rPr>
        <w:t xml:space="preserve"> la más amplia participación de quien se consideraba parte ofendida. El Estado tampoco </w:t>
      </w:r>
      <w:r w:rsidR="003979DC" w:rsidRPr="009D5EA7">
        <w:rPr>
          <w:rFonts w:ascii="Verdana" w:hAnsi="Verdana" w:cs="Verdana"/>
          <w:sz w:val="20"/>
          <w:lang w:bidi="en-US"/>
        </w:rPr>
        <w:t>se refirió a</w:t>
      </w:r>
      <w:r w:rsidR="004C1948" w:rsidRPr="009D5EA7">
        <w:rPr>
          <w:rFonts w:ascii="Verdana" w:hAnsi="Verdana" w:cs="Verdana"/>
          <w:sz w:val="20"/>
          <w:lang w:bidi="en-US"/>
        </w:rPr>
        <w:t xml:space="preserve"> los </w:t>
      </w:r>
      <w:r w:rsidR="00E60162" w:rsidRPr="009D5EA7">
        <w:rPr>
          <w:rFonts w:ascii="Verdana" w:hAnsi="Verdana" w:cs="Verdana"/>
          <w:sz w:val="20"/>
          <w:lang w:bidi="en-US"/>
        </w:rPr>
        <w:t>alegato</w:t>
      </w:r>
      <w:r w:rsidR="004C1948" w:rsidRPr="009D5EA7">
        <w:rPr>
          <w:rFonts w:ascii="Verdana" w:hAnsi="Verdana" w:cs="Verdana"/>
          <w:sz w:val="20"/>
          <w:lang w:bidi="en-US"/>
        </w:rPr>
        <w:t>s</w:t>
      </w:r>
      <w:r w:rsidR="00E60162" w:rsidRPr="009D5EA7">
        <w:rPr>
          <w:rFonts w:ascii="Verdana" w:hAnsi="Verdana" w:cs="Verdana"/>
          <w:sz w:val="20"/>
          <w:lang w:bidi="en-US"/>
        </w:rPr>
        <w:t xml:space="preserve"> de</w:t>
      </w:r>
      <w:r w:rsidR="004C1948" w:rsidRPr="009D5EA7">
        <w:rPr>
          <w:rFonts w:ascii="Verdana" w:hAnsi="Verdana" w:cs="Verdana"/>
          <w:sz w:val="20"/>
          <w:lang w:bidi="en-US"/>
        </w:rPr>
        <w:t xml:space="preserve"> las representantes, en cuanto a</w:t>
      </w:r>
      <w:r w:rsidR="00E60162" w:rsidRPr="009D5EA7">
        <w:rPr>
          <w:rFonts w:ascii="Verdana" w:hAnsi="Verdana" w:cs="Verdana"/>
          <w:sz w:val="20"/>
          <w:lang w:bidi="en-US"/>
        </w:rPr>
        <w:t xml:space="preserve"> que tal norma estuviese en desuso en la pr</w:t>
      </w:r>
      <w:r w:rsidR="004C1948" w:rsidRPr="009D5EA7">
        <w:rPr>
          <w:rFonts w:ascii="Verdana" w:hAnsi="Verdana" w:cs="Verdana"/>
          <w:sz w:val="20"/>
          <w:lang w:bidi="en-US"/>
        </w:rPr>
        <w:t xml:space="preserve">áctica judicial; que hubo un tratamiento desigual </w:t>
      </w:r>
      <w:r w:rsidR="003979DC" w:rsidRPr="009D5EA7">
        <w:rPr>
          <w:rFonts w:ascii="Verdana" w:hAnsi="Verdana" w:cs="Verdana"/>
          <w:sz w:val="20"/>
          <w:lang w:bidi="en-US"/>
        </w:rPr>
        <w:t xml:space="preserve">con respecto a otros imputados </w:t>
      </w:r>
      <w:r w:rsidR="00E60162" w:rsidRPr="009D5EA7">
        <w:rPr>
          <w:rFonts w:ascii="Verdana" w:hAnsi="Verdana" w:cs="Verdana"/>
          <w:sz w:val="20"/>
          <w:lang w:bidi="en-US"/>
        </w:rPr>
        <w:t>o que</w:t>
      </w:r>
      <w:r w:rsidR="004C1948" w:rsidRPr="009D5EA7">
        <w:rPr>
          <w:rFonts w:ascii="Verdana" w:hAnsi="Verdana" w:cs="Verdana"/>
          <w:sz w:val="20"/>
          <w:lang w:bidi="en-US"/>
        </w:rPr>
        <w:t xml:space="preserve"> la deserción por falta de pago de las copias para el recurso de apelación en materia penal</w:t>
      </w:r>
      <w:r w:rsidR="00E60162" w:rsidRPr="009D5EA7">
        <w:rPr>
          <w:rFonts w:ascii="Verdana" w:hAnsi="Verdana" w:cs="Verdana"/>
          <w:sz w:val="20"/>
          <w:lang w:bidi="en-US"/>
        </w:rPr>
        <w:t xml:space="preserve"> hubiese sido derogada al entrar en vigor la Ley Orgánica del Poder Judicial</w:t>
      </w:r>
      <w:r w:rsidR="004C1948" w:rsidRPr="009D5EA7">
        <w:rPr>
          <w:rFonts w:ascii="Verdana" w:hAnsi="Verdana" w:cs="Verdana"/>
          <w:sz w:val="20"/>
          <w:lang w:bidi="en-US"/>
        </w:rPr>
        <w:t xml:space="preserve"> de 1998</w:t>
      </w:r>
      <w:r w:rsidR="00E60162" w:rsidRPr="009D5EA7">
        <w:rPr>
          <w:rFonts w:ascii="Verdana" w:hAnsi="Verdana" w:cs="Verdana"/>
          <w:sz w:val="20"/>
          <w:lang w:bidi="en-US"/>
        </w:rPr>
        <w:t>, lo cual tampoco consta que fuera objeto de respuesta</w:t>
      </w:r>
      <w:r w:rsidR="00ED62B6">
        <w:rPr>
          <w:rFonts w:ascii="Verdana" w:hAnsi="Verdana" w:cs="Verdana"/>
          <w:sz w:val="20"/>
          <w:lang w:bidi="en-US"/>
        </w:rPr>
        <w:t>s claras</w:t>
      </w:r>
      <w:r w:rsidR="00E60162" w:rsidRPr="009D5EA7">
        <w:rPr>
          <w:rFonts w:ascii="Verdana" w:hAnsi="Verdana" w:cs="Verdana"/>
          <w:sz w:val="20"/>
          <w:lang w:bidi="en-US"/>
        </w:rPr>
        <w:t xml:space="preserve"> por parte del juez o de las instancias superiores. </w:t>
      </w:r>
    </w:p>
    <w:p w14:paraId="146805BE" w14:textId="77777777" w:rsidR="00E60162" w:rsidRPr="009D5EA7" w:rsidRDefault="00E60162" w:rsidP="00E60162">
      <w:pPr>
        <w:pStyle w:val="Prrafodelista"/>
        <w:autoSpaceDE w:val="0"/>
        <w:autoSpaceDN w:val="0"/>
        <w:adjustRightInd w:val="0"/>
        <w:ind w:left="0" w:right="34"/>
        <w:jc w:val="both"/>
        <w:rPr>
          <w:rFonts w:ascii="Verdana" w:hAnsi="Verdana" w:cs="Verdana"/>
          <w:sz w:val="20"/>
          <w:lang w:bidi="en-US"/>
        </w:rPr>
      </w:pPr>
    </w:p>
    <w:p w14:paraId="7C411BF0" w14:textId="31F2D1BF" w:rsidR="00A14D58" w:rsidRPr="009D5EA7" w:rsidRDefault="00AF2C15" w:rsidP="00A14D58">
      <w:pPr>
        <w:pStyle w:val="Prrafodelista"/>
        <w:numPr>
          <w:ilvl w:val="0"/>
          <w:numId w:val="5"/>
        </w:numPr>
        <w:autoSpaceDE w:val="0"/>
        <w:autoSpaceDN w:val="0"/>
        <w:adjustRightInd w:val="0"/>
        <w:ind w:left="0" w:right="34" w:firstLine="0"/>
        <w:jc w:val="both"/>
        <w:rPr>
          <w:rFonts w:ascii="Verdana" w:hAnsi="Verdana" w:cs="Verdana"/>
          <w:sz w:val="20"/>
          <w:lang w:bidi="en-US"/>
        </w:rPr>
      </w:pPr>
      <w:r w:rsidRPr="009D5EA7">
        <w:rPr>
          <w:rFonts w:ascii="Verdana" w:hAnsi="Verdana"/>
          <w:spacing w:val="-2"/>
          <w:sz w:val="20"/>
        </w:rPr>
        <w:t>Este</w:t>
      </w:r>
      <w:r w:rsidR="003979DC" w:rsidRPr="009D5EA7">
        <w:rPr>
          <w:rFonts w:ascii="Verdana" w:hAnsi="Verdana"/>
          <w:spacing w:val="-2"/>
          <w:sz w:val="20"/>
        </w:rPr>
        <w:t xml:space="preserve"> Tribunal ha considerado que </w:t>
      </w:r>
      <w:r w:rsidRPr="009D5EA7">
        <w:rPr>
          <w:rFonts w:ascii="Verdana" w:hAnsi="Verdana"/>
          <w:spacing w:val="-2"/>
          <w:sz w:val="20"/>
        </w:rPr>
        <w:t>los jueces</w:t>
      </w:r>
      <w:r w:rsidR="00D03EFD">
        <w:rPr>
          <w:rFonts w:ascii="Verdana" w:hAnsi="Verdana"/>
          <w:spacing w:val="-2"/>
          <w:sz w:val="20"/>
        </w:rPr>
        <w:t>,</w:t>
      </w:r>
      <w:r w:rsidRPr="009D5EA7">
        <w:rPr>
          <w:rFonts w:ascii="Verdana" w:hAnsi="Verdana"/>
          <w:spacing w:val="-2"/>
          <w:sz w:val="20"/>
        </w:rPr>
        <w:t xml:space="preserve"> como rectores del proceso</w:t>
      </w:r>
      <w:r w:rsidR="00D03EFD">
        <w:rPr>
          <w:rFonts w:ascii="Verdana" w:hAnsi="Verdana"/>
          <w:spacing w:val="-2"/>
          <w:sz w:val="20"/>
        </w:rPr>
        <w:t>,</w:t>
      </w:r>
      <w:r w:rsidRPr="009D5EA7">
        <w:rPr>
          <w:rFonts w:ascii="Verdana" w:hAnsi="Verdana"/>
          <w:spacing w:val="-2"/>
          <w:sz w:val="20"/>
        </w:rPr>
        <w:t xml:space="preserve"> tienen el deber de dirigir y encausar el procedimiento judicial con el fin de no sacrificar la justicia y el debido proceso legal en pro del </w:t>
      </w:r>
      <w:r w:rsidRPr="009D5EA7">
        <w:rPr>
          <w:rFonts w:ascii="Verdana" w:hAnsi="Verdana" w:cs="Verdana"/>
          <w:sz w:val="20"/>
          <w:lang w:bidi="en-US"/>
        </w:rPr>
        <w:t>formalismo</w:t>
      </w:r>
      <w:r w:rsidR="003979DC" w:rsidRPr="009D5EA7">
        <w:rPr>
          <w:rFonts w:ascii="Verdana" w:hAnsi="Verdana"/>
          <w:spacing w:val="-2"/>
          <w:sz w:val="20"/>
        </w:rPr>
        <w:t xml:space="preserve"> y la impunidad</w:t>
      </w:r>
      <w:r w:rsidRPr="009D5EA7">
        <w:rPr>
          <w:rStyle w:val="Refdenotaalpie"/>
          <w:rFonts w:ascii="Verdana" w:hAnsi="Verdana"/>
          <w:spacing w:val="-2"/>
          <w:sz w:val="20"/>
        </w:rPr>
        <w:footnoteReference w:id="169"/>
      </w:r>
      <w:r w:rsidR="003979DC" w:rsidRPr="009D5EA7">
        <w:rPr>
          <w:rFonts w:ascii="Verdana" w:hAnsi="Verdana"/>
          <w:spacing w:val="-2"/>
          <w:sz w:val="20"/>
        </w:rPr>
        <w:t>. En este caso, a</w:t>
      </w:r>
      <w:r w:rsidR="00E60162" w:rsidRPr="009D5EA7">
        <w:rPr>
          <w:rFonts w:ascii="Verdana" w:hAnsi="Verdana" w:cs="Verdana"/>
          <w:sz w:val="20"/>
          <w:lang w:bidi="en-US"/>
        </w:rPr>
        <w:t>demás de imponer una carga económica a la parte ofendida del delito, la Corte considera que dicho requisito constituyó una mera formalidad que imposibilitó el acceso a la justicia de la señora Acosta para cuestionar nada menos que el acto procesal que</w:t>
      </w:r>
      <w:r w:rsidR="003979DC" w:rsidRPr="009D5EA7">
        <w:rPr>
          <w:rFonts w:ascii="Verdana" w:hAnsi="Verdana" w:cs="Verdana"/>
          <w:sz w:val="20"/>
          <w:lang w:bidi="en-US"/>
        </w:rPr>
        <w:t>,</w:t>
      </w:r>
      <w:r w:rsidR="00E60162" w:rsidRPr="009D5EA7">
        <w:rPr>
          <w:rFonts w:ascii="Verdana" w:hAnsi="Verdana" w:cs="Verdana"/>
          <w:sz w:val="20"/>
          <w:lang w:bidi="en-US"/>
        </w:rPr>
        <w:t xml:space="preserve"> en definitiva</w:t>
      </w:r>
      <w:r w:rsidR="003979DC" w:rsidRPr="009D5EA7">
        <w:rPr>
          <w:rFonts w:ascii="Verdana" w:hAnsi="Verdana" w:cs="Verdana"/>
          <w:sz w:val="20"/>
          <w:lang w:bidi="en-US"/>
        </w:rPr>
        <w:t>,</w:t>
      </w:r>
      <w:r w:rsidR="00E60162" w:rsidRPr="009D5EA7">
        <w:rPr>
          <w:rFonts w:ascii="Verdana" w:hAnsi="Verdana" w:cs="Verdana"/>
          <w:sz w:val="20"/>
          <w:lang w:bidi="en-US"/>
        </w:rPr>
        <w:t xml:space="preserve"> cerró la posibilidad de investigar una hipótesis sobre la participación de otras personas como determinadores </w:t>
      </w:r>
      <w:r w:rsidR="003B7BE3" w:rsidRPr="009D5EA7">
        <w:rPr>
          <w:rFonts w:ascii="Verdana" w:hAnsi="Verdana" w:cs="Verdana"/>
          <w:sz w:val="20"/>
          <w:lang w:bidi="en-US"/>
        </w:rPr>
        <w:t>d</w:t>
      </w:r>
      <w:r w:rsidR="00E60162" w:rsidRPr="009D5EA7">
        <w:rPr>
          <w:rFonts w:ascii="Verdana" w:hAnsi="Verdana" w:cs="Verdana"/>
          <w:sz w:val="20"/>
          <w:lang w:bidi="en-US"/>
        </w:rPr>
        <w:t>el crimen de su esposo. El Estado no justificó que la aplicación de esa norma fuera razonablemente necesaria para la propia administración de justicia</w:t>
      </w:r>
      <w:r w:rsidR="00A14D58" w:rsidRPr="009D5EA7">
        <w:rPr>
          <w:rFonts w:ascii="Verdana" w:hAnsi="Verdana" w:cs="Verdana"/>
          <w:sz w:val="20"/>
          <w:lang w:bidi="en-US"/>
        </w:rPr>
        <w:t xml:space="preserve">. </w:t>
      </w:r>
      <w:r w:rsidRPr="009D5EA7">
        <w:rPr>
          <w:rFonts w:ascii="Verdana" w:hAnsi="Verdana" w:cs="Verdana"/>
          <w:sz w:val="20"/>
          <w:lang w:bidi="en-US"/>
        </w:rPr>
        <w:t>Esto</w:t>
      </w:r>
      <w:r w:rsidR="00A14D58" w:rsidRPr="009D5EA7">
        <w:rPr>
          <w:rFonts w:ascii="Verdana" w:hAnsi="Verdana" w:cs="Verdana"/>
          <w:sz w:val="20"/>
          <w:lang w:bidi="en-US"/>
        </w:rPr>
        <w:t xml:space="preserve"> también fue </w:t>
      </w:r>
      <w:r w:rsidRPr="009D5EA7">
        <w:rPr>
          <w:rFonts w:ascii="Verdana" w:hAnsi="Verdana" w:cs="Verdana"/>
          <w:sz w:val="20"/>
          <w:lang w:bidi="en-US"/>
        </w:rPr>
        <w:t>subrayado</w:t>
      </w:r>
      <w:r w:rsidR="00A14D58" w:rsidRPr="009D5EA7">
        <w:rPr>
          <w:rFonts w:ascii="Verdana" w:hAnsi="Verdana" w:cs="Verdana"/>
          <w:sz w:val="20"/>
          <w:lang w:bidi="en-US"/>
        </w:rPr>
        <w:t xml:space="preserve"> por las autoridades internas, pues tanto la Fiscal Auxiliar de la RAAS como la Fiscal Auxiliar </w:t>
      </w:r>
      <w:r w:rsidR="00D2231D" w:rsidRPr="009D5EA7">
        <w:rPr>
          <w:rFonts w:ascii="Verdana" w:hAnsi="Verdana" w:cs="Cambria"/>
          <w:sz w:val="20"/>
        </w:rPr>
        <w:t>de Managua</w:t>
      </w:r>
      <w:r w:rsidR="00D2231D" w:rsidRPr="009D5EA7">
        <w:rPr>
          <w:rFonts w:ascii="Verdana" w:hAnsi="Verdana" w:cs="Verdana"/>
          <w:sz w:val="20"/>
          <w:lang w:bidi="en-US"/>
        </w:rPr>
        <w:t xml:space="preserve"> </w:t>
      </w:r>
      <w:r w:rsidR="005373BC">
        <w:rPr>
          <w:rFonts w:ascii="Verdana" w:hAnsi="Verdana" w:cs="Verdana"/>
          <w:sz w:val="20"/>
          <w:lang w:bidi="en-US"/>
        </w:rPr>
        <w:t>alegaron</w:t>
      </w:r>
      <w:r w:rsidR="00C24DC8">
        <w:rPr>
          <w:rFonts w:ascii="Verdana" w:hAnsi="Verdana" w:cs="Verdana"/>
          <w:sz w:val="20"/>
          <w:lang w:bidi="en-US"/>
        </w:rPr>
        <w:t xml:space="preserve"> que la apelación estuvo “mal denegada tanto de hecho como de derecho</w:t>
      </w:r>
      <w:r w:rsidR="00ED62B6">
        <w:rPr>
          <w:rFonts w:ascii="Verdana" w:hAnsi="Verdana" w:cs="Verdana"/>
          <w:sz w:val="20"/>
          <w:lang w:bidi="en-US"/>
        </w:rPr>
        <w:t>”</w:t>
      </w:r>
      <w:r w:rsidR="00C24DC8">
        <w:rPr>
          <w:rFonts w:ascii="Verdana" w:hAnsi="Verdana" w:cs="Verdana"/>
          <w:sz w:val="20"/>
          <w:lang w:bidi="en-US"/>
        </w:rPr>
        <w:t>,</w:t>
      </w:r>
      <w:r w:rsidR="00ED62B6">
        <w:rPr>
          <w:rFonts w:ascii="Verdana" w:hAnsi="Verdana" w:cs="Verdana"/>
          <w:sz w:val="20"/>
          <w:lang w:bidi="en-US"/>
        </w:rPr>
        <w:t xml:space="preserve"> que</w:t>
      </w:r>
      <w:r w:rsidR="00C24DC8">
        <w:rPr>
          <w:rFonts w:ascii="Verdana" w:hAnsi="Verdana" w:cs="Verdana"/>
          <w:sz w:val="20"/>
          <w:lang w:bidi="en-US"/>
        </w:rPr>
        <w:t xml:space="preserve"> </w:t>
      </w:r>
      <w:r w:rsidR="00A14D58" w:rsidRPr="009D5EA7">
        <w:rPr>
          <w:rFonts w:ascii="Verdana" w:hAnsi="Verdana" w:cs="Verdana"/>
          <w:sz w:val="20"/>
          <w:lang w:bidi="en-US"/>
        </w:rPr>
        <w:t>estaba “fuera de toda lógica jurídi</w:t>
      </w:r>
      <w:r w:rsidR="00C24DC8">
        <w:rPr>
          <w:rFonts w:ascii="Verdana" w:hAnsi="Verdana" w:cs="Verdana"/>
          <w:sz w:val="20"/>
          <w:lang w:bidi="en-US"/>
        </w:rPr>
        <w:t>ca” y</w:t>
      </w:r>
      <w:r w:rsidR="00A14D58" w:rsidRPr="009D5EA7">
        <w:rPr>
          <w:rFonts w:ascii="Verdana" w:hAnsi="Verdana" w:cs="Verdana"/>
          <w:sz w:val="20"/>
          <w:lang w:bidi="en-US"/>
        </w:rPr>
        <w:t xml:space="preserve"> </w:t>
      </w:r>
      <w:r w:rsidR="00ED62B6">
        <w:rPr>
          <w:rFonts w:ascii="Verdana" w:hAnsi="Verdana" w:cs="Verdana"/>
          <w:sz w:val="20"/>
          <w:lang w:bidi="en-US"/>
        </w:rPr>
        <w:t xml:space="preserve">que </w:t>
      </w:r>
      <w:r w:rsidR="00A14D58" w:rsidRPr="009D5EA7">
        <w:rPr>
          <w:rFonts w:ascii="Verdana" w:hAnsi="Verdana" w:cs="Verdana"/>
          <w:sz w:val="20"/>
          <w:lang w:bidi="en-US"/>
        </w:rPr>
        <w:t xml:space="preserve">denotaba una </w:t>
      </w:r>
      <w:r w:rsidR="004C1948" w:rsidRPr="009D5EA7">
        <w:rPr>
          <w:rFonts w:ascii="Verdana" w:hAnsi="Verdana" w:cs="Verdana"/>
          <w:sz w:val="20"/>
          <w:lang w:bidi="en-US"/>
        </w:rPr>
        <w:t>“</w:t>
      </w:r>
      <w:r w:rsidR="00A14D58" w:rsidRPr="009D5EA7">
        <w:rPr>
          <w:rFonts w:ascii="Verdana" w:hAnsi="Verdana" w:cs="Verdana"/>
          <w:sz w:val="20"/>
          <w:lang w:bidi="en-US"/>
        </w:rPr>
        <w:t>clara intención del juez de negar a toda costa el derecho de recurrir</w:t>
      </w:r>
      <w:r w:rsidR="004C1948" w:rsidRPr="009D5EA7">
        <w:rPr>
          <w:rFonts w:ascii="Verdana" w:hAnsi="Verdana" w:cs="Verdana"/>
          <w:sz w:val="20"/>
          <w:lang w:bidi="en-US"/>
        </w:rPr>
        <w:t xml:space="preserve"> de apelación</w:t>
      </w:r>
      <w:r w:rsidR="005373BC">
        <w:rPr>
          <w:rFonts w:ascii="Verdana" w:hAnsi="Verdana" w:cs="Verdana"/>
          <w:sz w:val="20"/>
          <w:lang w:bidi="en-US"/>
        </w:rPr>
        <w:t xml:space="preserve"> a pesar de que era de su alcance otras formas legales de actuar</w:t>
      </w:r>
      <w:r w:rsidR="004C1948" w:rsidRPr="009D5EA7">
        <w:rPr>
          <w:rFonts w:ascii="Verdana" w:hAnsi="Verdana" w:cs="Verdana"/>
          <w:sz w:val="20"/>
          <w:lang w:bidi="en-US"/>
        </w:rPr>
        <w:t>”</w:t>
      </w:r>
      <w:r w:rsidR="00171F64">
        <w:rPr>
          <w:rFonts w:ascii="Verdana" w:hAnsi="Verdana" w:cs="Verdana"/>
          <w:sz w:val="20"/>
          <w:lang w:bidi="en-US"/>
        </w:rPr>
        <w:t xml:space="preserve"> </w:t>
      </w:r>
      <w:r w:rsidR="00171F64">
        <w:rPr>
          <w:rFonts w:ascii="Verdana" w:hAnsi="Verdana"/>
          <w:sz w:val="20"/>
        </w:rPr>
        <w:t>(</w:t>
      </w:r>
      <w:r w:rsidR="00171F64">
        <w:rPr>
          <w:rFonts w:ascii="Verdana" w:hAnsi="Verdana"/>
          <w:i/>
          <w:sz w:val="20"/>
        </w:rPr>
        <w:t xml:space="preserve">supra </w:t>
      </w:r>
      <w:r w:rsidR="00171F64">
        <w:rPr>
          <w:rFonts w:ascii="Verdana" w:hAnsi="Verdana"/>
          <w:sz w:val="20"/>
        </w:rPr>
        <w:t>párrs. 80 y 100)</w:t>
      </w:r>
      <w:r w:rsidR="004C1948" w:rsidRPr="009D5EA7">
        <w:rPr>
          <w:rFonts w:ascii="Verdana" w:hAnsi="Verdana" w:cs="Verdana"/>
          <w:sz w:val="20"/>
          <w:lang w:bidi="en-US"/>
        </w:rPr>
        <w:t>.</w:t>
      </w:r>
    </w:p>
    <w:p w14:paraId="12065C23" w14:textId="77777777" w:rsidR="00AF2C15" w:rsidRPr="009D5EA7" w:rsidRDefault="00AF2C15" w:rsidP="00A63587">
      <w:pPr>
        <w:pStyle w:val="Prrafodelista"/>
        <w:jc w:val="both"/>
        <w:rPr>
          <w:rFonts w:ascii="Verdana" w:hAnsi="Verdana" w:cs="Verdana"/>
          <w:sz w:val="20"/>
          <w:lang w:bidi="en-US"/>
        </w:rPr>
      </w:pPr>
    </w:p>
    <w:p w14:paraId="27749EC8" w14:textId="3FF89998" w:rsidR="00B456C5" w:rsidRPr="009D5EA7" w:rsidRDefault="00AF2C15" w:rsidP="00A63587">
      <w:pPr>
        <w:pStyle w:val="Prrafodelista"/>
        <w:numPr>
          <w:ilvl w:val="0"/>
          <w:numId w:val="5"/>
        </w:numPr>
        <w:autoSpaceDE w:val="0"/>
        <w:autoSpaceDN w:val="0"/>
        <w:adjustRightInd w:val="0"/>
        <w:ind w:left="0" w:right="34" w:firstLine="0"/>
        <w:jc w:val="both"/>
        <w:rPr>
          <w:rFonts w:ascii="Verdana" w:hAnsi="Verdana" w:cs="Verdana"/>
          <w:sz w:val="20"/>
          <w:lang w:bidi="en-US"/>
        </w:rPr>
      </w:pPr>
      <w:r w:rsidRPr="009D5EA7">
        <w:rPr>
          <w:rFonts w:ascii="Verdana" w:hAnsi="Verdana" w:cs="Verdana"/>
          <w:sz w:val="20"/>
          <w:lang w:bidi="en-US"/>
        </w:rPr>
        <w:lastRenderedPageBreak/>
        <w:t xml:space="preserve">Estas actuaciones del juez permitieron sostener el sobreseimiento, </w:t>
      </w:r>
      <w:r w:rsidR="00B456C5" w:rsidRPr="009D5EA7">
        <w:rPr>
          <w:rFonts w:ascii="Verdana" w:hAnsi="Verdana" w:cs="Verdana"/>
          <w:sz w:val="20"/>
          <w:lang w:bidi="en-US"/>
        </w:rPr>
        <w:t>c</w:t>
      </w:r>
      <w:r w:rsidR="00227075" w:rsidRPr="009D5EA7">
        <w:rPr>
          <w:rFonts w:ascii="Verdana" w:hAnsi="Verdana" w:cs="Verdana"/>
          <w:sz w:val="20"/>
          <w:lang w:bidi="en-US"/>
        </w:rPr>
        <w:t xml:space="preserve">on posterioridad al </w:t>
      </w:r>
      <w:r w:rsidR="00B456C5" w:rsidRPr="009D5EA7">
        <w:rPr>
          <w:rFonts w:ascii="Verdana" w:hAnsi="Verdana" w:cs="Verdana"/>
          <w:sz w:val="20"/>
          <w:lang w:bidi="en-US"/>
        </w:rPr>
        <w:t xml:space="preserve">cual </w:t>
      </w:r>
      <w:r w:rsidR="00227075" w:rsidRPr="009D5EA7">
        <w:rPr>
          <w:rFonts w:ascii="Verdana" w:hAnsi="Verdana" w:cs="Verdana"/>
          <w:sz w:val="20"/>
          <w:lang w:bidi="en-US"/>
        </w:rPr>
        <w:t xml:space="preserve">surgieron una serie de elementos particularmente relevantes que vinculaban a las personas señaladas como autores intelectuales con el homicidio: </w:t>
      </w:r>
    </w:p>
    <w:p w14:paraId="7B94F98A" w14:textId="77777777" w:rsidR="00A63587" w:rsidRPr="009D5EA7" w:rsidRDefault="00A63587" w:rsidP="00A63587">
      <w:pPr>
        <w:pStyle w:val="Prrafodelista"/>
        <w:rPr>
          <w:rFonts w:ascii="Verdana" w:hAnsi="Verdana" w:cs="Arial"/>
          <w:sz w:val="20"/>
        </w:rPr>
      </w:pPr>
    </w:p>
    <w:p w14:paraId="3F143D32" w14:textId="07E52A35" w:rsidR="00B456C5" w:rsidRPr="009D5EA7" w:rsidRDefault="00A63587" w:rsidP="0096369C">
      <w:pPr>
        <w:pStyle w:val="Prrafodelista"/>
        <w:numPr>
          <w:ilvl w:val="0"/>
          <w:numId w:val="11"/>
        </w:numPr>
        <w:autoSpaceDE w:val="0"/>
        <w:autoSpaceDN w:val="0"/>
        <w:adjustRightInd w:val="0"/>
        <w:ind w:left="851" w:right="34"/>
        <w:jc w:val="both"/>
        <w:rPr>
          <w:rFonts w:ascii="Verdana" w:hAnsi="Verdana" w:cs="Cambria"/>
          <w:sz w:val="20"/>
        </w:rPr>
      </w:pPr>
      <w:r w:rsidRPr="009D5EA7">
        <w:rPr>
          <w:rFonts w:ascii="Verdana" w:hAnsi="Verdana" w:cs="Arial"/>
          <w:sz w:val="20"/>
        </w:rPr>
        <w:t>a principios de octubre del 2002 la Policía Nacional introdujo al proceso penal una carta fir</w:t>
      </w:r>
      <w:r w:rsidR="00B10208" w:rsidRPr="009D5EA7">
        <w:rPr>
          <w:rFonts w:ascii="Verdana" w:hAnsi="Verdana" w:cs="Arial"/>
          <w:sz w:val="20"/>
        </w:rPr>
        <w:t>mada estableciendo que Iván Argü</w:t>
      </w:r>
      <w:r w:rsidRPr="009D5EA7">
        <w:rPr>
          <w:rFonts w:ascii="Verdana" w:hAnsi="Verdana" w:cs="Arial"/>
          <w:sz w:val="20"/>
        </w:rPr>
        <w:t>ello Rivera, autor material condenado, había prestado servicio de vigilancia a la casa de PT en Managua y que posteriormente fue empleado por éste;</w:t>
      </w:r>
      <w:r w:rsidR="00227075" w:rsidRPr="009D5EA7">
        <w:rPr>
          <w:rFonts w:ascii="Verdana" w:hAnsi="Verdana" w:cs="Cambria"/>
          <w:sz w:val="20"/>
        </w:rPr>
        <w:t xml:space="preserve"> </w:t>
      </w:r>
    </w:p>
    <w:p w14:paraId="275E13CC" w14:textId="41A279F1" w:rsidR="00227075" w:rsidRPr="009D5EA7" w:rsidRDefault="00A63587" w:rsidP="0096369C">
      <w:pPr>
        <w:pStyle w:val="Prrafodelista"/>
        <w:numPr>
          <w:ilvl w:val="0"/>
          <w:numId w:val="11"/>
        </w:numPr>
        <w:autoSpaceDE w:val="0"/>
        <w:autoSpaceDN w:val="0"/>
        <w:adjustRightInd w:val="0"/>
        <w:ind w:left="851" w:right="34"/>
        <w:jc w:val="both"/>
        <w:rPr>
          <w:rFonts w:ascii="Verdana" w:hAnsi="Verdana" w:cs="Arial"/>
          <w:sz w:val="20"/>
        </w:rPr>
      </w:pPr>
      <w:r w:rsidRPr="009D5EA7">
        <w:rPr>
          <w:rFonts w:ascii="Verdana" w:hAnsi="Verdana" w:cs="Arial"/>
          <w:sz w:val="20"/>
        </w:rPr>
        <w:t xml:space="preserve">al ser capturado en </w:t>
      </w:r>
      <w:r w:rsidR="00685726" w:rsidRPr="009D5EA7">
        <w:rPr>
          <w:rFonts w:ascii="Verdana" w:hAnsi="Verdana" w:cs="Arial"/>
          <w:sz w:val="20"/>
        </w:rPr>
        <w:t xml:space="preserve">la República de </w:t>
      </w:r>
      <w:r w:rsidRPr="009D5EA7">
        <w:rPr>
          <w:rFonts w:ascii="Verdana" w:hAnsi="Verdana" w:cs="Arial"/>
          <w:sz w:val="20"/>
        </w:rPr>
        <w:t xml:space="preserve">Costa Rica a finales de agosto del 2004, el mismo Argüello Rivera reveló ante el Canal 11 de televisión de Costa Rica, que fue PT el que lo mandó a la residencia García-Acosta a arrendar el apartamento que les sirvió de plataforma para cometer el </w:t>
      </w:r>
      <w:r w:rsidR="006233D1">
        <w:rPr>
          <w:rFonts w:ascii="Verdana" w:hAnsi="Verdana" w:cs="Arial"/>
          <w:sz w:val="20"/>
        </w:rPr>
        <w:t>homicidio</w:t>
      </w:r>
      <w:r w:rsidR="00227075" w:rsidRPr="009D5EA7">
        <w:rPr>
          <w:rFonts w:ascii="Verdana" w:hAnsi="Verdana" w:cs="Arial"/>
          <w:sz w:val="20"/>
        </w:rPr>
        <w:t xml:space="preserve">; </w:t>
      </w:r>
      <w:r w:rsidR="00E8198C">
        <w:rPr>
          <w:rFonts w:ascii="Verdana" w:hAnsi="Verdana" w:cs="Arial"/>
          <w:sz w:val="20"/>
        </w:rPr>
        <w:t xml:space="preserve">y </w:t>
      </w:r>
    </w:p>
    <w:p w14:paraId="1A59A5F7" w14:textId="7DFBD836" w:rsidR="00A63587" w:rsidRPr="009D5EA7" w:rsidRDefault="00A63587" w:rsidP="0096369C">
      <w:pPr>
        <w:pStyle w:val="Prrafodelista"/>
        <w:numPr>
          <w:ilvl w:val="0"/>
          <w:numId w:val="11"/>
        </w:numPr>
        <w:autoSpaceDE w:val="0"/>
        <w:autoSpaceDN w:val="0"/>
        <w:adjustRightInd w:val="0"/>
        <w:ind w:left="851" w:right="34"/>
        <w:jc w:val="both"/>
        <w:rPr>
          <w:rFonts w:ascii="Verdana" w:hAnsi="Verdana" w:cs="Arial"/>
          <w:sz w:val="20"/>
        </w:rPr>
      </w:pPr>
      <w:r w:rsidRPr="009D5EA7">
        <w:rPr>
          <w:rFonts w:ascii="Verdana" w:hAnsi="Verdana" w:cs="Arial"/>
          <w:sz w:val="20"/>
        </w:rPr>
        <w:t xml:space="preserve">al mismo tiempo, la Policía Nacional presentó un informe pericial, realizado por su Laboratorio de Criminalística, revelando que </w:t>
      </w:r>
      <w:r w:rsidR="00B10208" w:rsidRPr="009D5EA7">
        <w:rPr>
          <w:rFonts w:ascii="Verdana" w:hAnsi="Verdana" w:cs="Arial"/>
          <w:sz w:val="20"/>
        </w:rPr>
        <w:t>una</w:t>
      </w:r>
      <w:r w:rsidRPr="009D5EA7">
        <w:rPr>
          <w:rFonts w:ascii="Verdana" w:hAnsi="Verdana" w:cs="Arial"/>
          <w:sz w:val="20"/>
        </w:rPr>
        <w:t xml:space="preserve"> pistola perteneciente a PMF, fue el arma con la que a</w:t>
      </w:r>
      <w:r w:rsidR="00E8198C">
        <w:rPr>
          <w:rFonts w:ascii="Verdana" w:hAnsi="Verdana" w:cs="Arial"/>
          <w:sz w:val="20"/>
        </w:rPr>
        <w:t>sesinaron al señor García Valle.</w:t>
      </w:r>
    </w:p>
    <w:p w14:paraId="2400EDEA" w14:textId="77777777" w:rsidR="00B10208" w:rsidRPr="009D5EA7" w:rsidRDefault="00B10208" w:rsidP="00171F64">
      <w:pPr>
        <w:pStyle w:val="Prrafodelista"/>
        <w:rPr>
          <w:rFonts w:ascii="Verdana" w:hAnsi="Verdana" w:cs="Arial"/>
          <w:sz w:val="20"/>
        </w:rPr>
      </w:pPr>
    </w:p>
    <w:p w14:paraId="270B07BE" w14:textId="3F087F57" w:rsidR="00460CDC" w:rsidRPr="009D5EA7" w:rsidRDefault="00B10208" w:rsidP="00460CDC">
      <w:pPr>
        <w:pStyle w:val="Prrafodelista"/>
        <w:numPr>
          <w:ilvl w:val="0"/>
          <w:numId w:val="5"/>
        </w:numPr>
        <w:autoSpaceDE w:val="0"/>
        <w:autoSpaceDN w:val="0"/>
        <w:adjustRightInd w:val="0"/>
        <w:ind w:left="0" w:right="34" w:firstLine="0"/>
        <w:jc w:val="both"/>
        <w:rPr>
          <w:rFonts w:ascii="Verdana" w:hAnsi="Verdana" w:cs="Verdana"/>
          <w:sz w:val="20"/>
          <w:lang w:bidi="en-US"/>
        </w:rPr>
      </w:pPr>
      <w:r w:rsidRPr="009D5EA7">
        <w:rPr>
          <w:rFonts w:ascii="Verdana" w:hAnsi="Verdana" w:cs="Arial"/>
          <w:sz w:val="20"/>
        </w:rPr>
        <w:t>T</w:t>
      </w:r>
      <w:r w:rsidR="00A63587" w:rsidRPr="009D5EA7">
        <w:rPr>
          <w:rFonts w:ascii="Verdana" w:hAnsi="Verdana" w:cs="Arial"/>
          <w:sz w:val="20"/>
        </w:rPr>
        <w:t xml:space="preserve">anto la </w:t>
      </w:r>
      <w:r w:rsidR="00A63587" w:rsidRPr="009D5EA7">
        <w:rPr>
          <w:rFonts w:ascii="Verdana" w:hAnsi="Verdana" w:cs="Verdana"/>
          <w:sz w:val="20"/>
          <w:lang w:bidi="en-US"/>
        </w:rPr>
        <w:t>Fiscalía</w:t>
      </w:r>
      <w:r w:rsidR="00A63587" w:rsidRPr="009D5EA7">
        <w:rPr>
          <w:rFonts w:ascii="Verdana" w:hAnsi="Verdana" w:cs="Arial"/>
          <w:sz w:val="20"/>
        </w:rPr>
        <w:t xml:space="preserve"> como el representante legal de la señora Acosta solicitaron, ante las respectivas autoridades, la</w:t>
      </w:r>
      <w:r w:rsidRPr="009D5EA7">
        <w:rPr>
          <w:rFonts w:ascii="Verdana" w:hAnsi="Verdana" w:cs="Arial"/>
          <w:sz w:val="20"/>
        </w:rPr>
        <w:t xml:space="preserve"> consideración de </w:t>
      </w:r>
      <w:r w:rsidR="00142BB8">
        <w:rPr>
          <w:rFonts w:ascii="Verdana" w:hAnsi="Verdana" w:cs="Arial"/>
          <w:sz w:val="20"/>
        </w:rPr>
        <w:t>esas</w:t>
      </w:r>
      <w:r w:rsidRPr="009D5EA7">
        <w:rPr>
          <w:rFonts w:ascii="Verdana" w:hAnsi="Verdana" w:cs="Arial"/>
          <w:sz w:val="20"/>
        </w:rPr>
        <w:t xml:space="preserve"> pruebas. U</w:t>
      </w:r>
      <w:r w:rsidR="00A63587" w:rsidRPr="009D5EA7">
        <w:rPr>
          <w:rFonts w:ascii="Verdana" w:hAnsi="Verdana" w:cs="Arial"/>
          <w:sz w:val="20"/>
        </w:rPr>
        <w:t>no de los argumentos</w:t>
      </w:r>
      <w:r w:rsidR="006409A8">
        <w:rPr>
          <w:rFonts w:ascii="Verdana" w:hAnsi="Verdana" w:cs="Arial"/>
          <w:sz w:val="20"/>
        </w:rPr>
        <w:t>,</w:t>
      </w:r>
      <w:r w:rsidR="00A63587" w:rsidRPr="009D5EA7">
        <w:rPr>
          <w:rFonts w:ascii="Verdana" w:hAnsi="Verdana" w:cs="Arial"/>
          <w:sz w:val="20"/>
        </w:rPr>
        <w:t xml:space="preserve"> con base en los cuales la Fiscal Auxiliar de Managua solicitó a la Corte Suprema de Justicia que declarara nulo el sobreseimiento</w:t>
      </w:r>
      <w:r w:rsidR="006409A8">
        <w:rPr>
          <w:rFonts w:ascii="Verdana" w:hAnsi="Verdana" w:cs="Arial"/>
          <w:sz w:val="20"/>
        </w:rPr>
        <w:t>,</w:t>
      </w:r>
      <w:r w:rsidR="00A63587" w:rsidRPr="009D5EA7">
        <w:rPr>
          <w:rFonts w:ascii="Verdana" w:hAnsi="Verdana" w:cs="Arial"/>
          <w:sz w:val="20"/>
        </w:rPr>
        <w:t xml:space="preserve"> fue la falta de consideración de los referidos elementos probatorios</w:t>
      </w:r>
      <w:r w:rsidR="00460CDC" w:rsidRPr="009D5EA7">
        <w:rPr>
          <w:rFonts w:ascii="Verdana" w:hAnsi="Verdana" w:cs="Arial"/>
          <w:sz w:val="20"/>
        </w:rPr>
        <w:t>.</w:t>
      </w:r>
      <w:r w:rsidRPr="009D5EA7">
        <w:rPr>
          <w:rFonts w:ascii="Verdana" w:hAnsi="Verdana" w:cs="Arial"/>
          <w:sz w:val="20"/>
        </w:rPr>
        <w:t xml:space="preserve"> </w:t>
      </w:r>
      <w:r w:rsidR="00460CDC" w:rsidRPr="009D5EA7">
        <w:rPr>
          <w:rFonts w:ascii="Verdana" w:hAnsi="Verdana" w:cs="Verdana"/>
          <w:sz w:val="20"/>
          <w:lang w:bidi="en-US"/>
        </w:rPr>
        <w:t xml:space="preserve">Estas nuevas evidencias ponían de manifiesto aún más la necesidad de explorar y agotar una línea de investigación sobre la autoría intelectual y el móvil del </w:t>
      </w:r>
      <w:r w:rsidR="006233D1">
        <w:rPr>
          <w:rFonts w:ascii="Verdana" w:hAnsi="Verdana" w:cs="Arial"/>
          <w:sz w:val="20"/>
        </w:rPr>
        <w:t>homicidio</w:t>
      </w:r>
      <w:r w:rsidR="00460CDC" w:rsidRPr="009D5EA7">
        <w:rPr>
          <w:rFonts w:ascii="Verdana" w:hAnsi="Verdana" w:cs="Verdana"/>
          <w:sz w:val="20"/>
          <w:lang w:bidi="en-US"/>
        </w:rPr>
        <w:t xml:space="preserve">. </w:t>
      </w:r>
      <w:r w:rsidR="001A345D" w:rsidRPr="009D5EA7">
        <w:rPr>
          <w:rFonts w:ascii="Verdana" w:hAnsi="Verdana" w:cs="Verdana"/>
          <w:sz w:val="20"/>
          <w:lang w:bidi="en-US"/>
        </w:rPr>
        <w:t>Sin embargo, n</w:t>
      </w:r>
      <w:r w:rsidR="00460CDC" w:rsidRPr="009D5EA7">
        <w:rPr>
          <w:rFonts w:ascii="Verdana" w:hAnsi="Verdana" w:cs="Verdana"/>
          <w:sz w:val="20"/>
          <w:lang w:bidi="en-US"/>
        </w:rPr>
        <w:t xml:space="preserve">o consta que, cuando el segundo autor material – Wilberth Ochoa – fue vinculado al proceso, se le cuestionara sobre el posible móvil del </w:t>
      </w:r>
      <w:r w:rsidR="006233D1">
        <w:rPr>
          <w:rFonts w:ascii="Verdana" w:hAnsi="Verdana" w:cs="Arial"/>
          <w:sz w:val="20"/>
        </w:rPr>
        <w:t>homicidio</w:t>
      </w:r>
      <w:r w:rsidR="006233D1" w:rsidRPr="009D5EA7">
        <w:rPr>
          <w:rFonts w:ascii="Verdana" w:hAnsi="Verdana" w:cs="Arial"/>
          <w:sz w:val="20"/>
        </w:rPr>
        <w:t xml:space="preserve"> </w:t>
      </w:r>
      <w:r w:rsidR="00460CDC" w:rsidRPr="009D5EA7">
        <w:rPr>
          <w:rFonts w:ascii="Verdana" w:hAnsi="Verdana" w:cs="Verdana"/>
          <w:sz w:val="20"/>
          <w:lang w:bidi="en-US"/>
        </w:rPr>
        <w:t xml:space="preserve">o sobre las posibles relaciones entre él o Iván Argüello – como autores materiales – y los presuntos autores intelectuales. </w:t>
      </w:r>
      <w:r w:rsidR="007D6E9C" w:rsidRPr="009D5EA7">
        <w:rPr>
          <w:rFonts w:ascii="Verdana" w:hAnsi="Verdana" w:cs="Verdana"/>
          <w:sz w:val="20"/>
          <w:lang w:bidi="en-US"/>
        </w:rPr>
        <w:t xml:space="preserve">A pesar de </w:t>
      </w:r>
      <w:r w:rsidR="00A63587" w:rsidRPr="009D5EA7">
        <w:rPr>
          <w:rFonts w:ascii="Verdana" w:hAnsi="Verdana" w:cs="Verdana"/>
          <w:sz w:val="20"/>
          <w:lang w:bidi="en-US"/>
        </w:rPr>
        <w:t xml:space="preserve">esta información y </w:t>
      </w:r>
      <w:r w:rsidR="007D6E9C" w:rsidRPr="009D5EA7">
        <w:rPr>
          <w:rFonts w:ascii="Verdana" w:hAnsi="Verdana" w:cs="Verdana"/>
          <w:sz w:val="20"/>
          <w:lang w:bidi="en-US"/>
        </w:rPr>
        <w:t>las solicitudes de la Fiscalía y de la señora Acosta, el</w:t>
      </w:r>
      <w:r w:rsidR="00A63587" w:rsidRPr="009D5EA7">
        <w:rPr>
          <w:rFonts w:ascii="Verdana" w:hAnsi="Verdana" w:cs="Verdana"/>
          <w:sz w:val="20"/>
          <w:lang w:bidi="en-US"/>
        </w:rPr>
        <w:t xml:space="preserve"> j</w:t>
      </w:r>
      <w:r w:rsidR="007D6E9C" w:rsidRPr="009D5EA7">
        <w:rPr>
          <w:rFonts w:ascii="Verdana" w:hAnsi="Verdana" w:cs="Verdana"/>
          <w:sz w:val="20"/>
          <w:lang w:bidi="en-US"/>
        </w:rPr>
        <w:t xml:space="preserve">uez </w:t>
      </w:r>
      <w:r w:rsidR="00A63587" w:rsidRPr="009D5EA7">
        <w:rPr>
          <w:rFonts w:ascii="Verdana" w:hAnsi="Verdana" w:cs="Verdana"/>
          <w:sz w:val="20"/>
          <w:lang w:bidi="en-US"/>
        </w:rPr>
        <w:t>mantuvo la decisión de</w:t>
      </w:r>
      <w:r w:rsidR="007D6E9C" w:rsidRPr="009D5EA7">
        <w:rPr>
          <w:rFonts w:ascii="Verdana" w:hAnsi="Verdana" w:cs="Verdana"/>
          <w:sz w:val="20"/>
          <w:lang w:bidi="en-US"/>
        </w:rPr>
        <w:t xml:space="preserve"> no continuar la investigación </w:t>
      </w:r>
      <w:r w:rsidR="00A63587" w:rsidRPr="009D5EA7">
        <w:rPr>
          <w:rFonts w:ascii="Verdana" w:hAnsi="Verdana" w:cs="Verdana"/>
          <w:sz w:val="20"/>
          <w:lang w:bidi="en-US"/>
        </w:rPr>
        <w:t xml:space="preserve">con base en </w:t>
      </w:r>
      <w:r w:rsidR="007D6E9C" w:rsidRPr="009D5EA7">
        <w:rPr>
          <w:rFonts w:ascii="Verdana" w:hAnsi="Verdana" w:cs="Verdana"/>
          <w:sz w:val="20"/>
          <w:lang w:bidi="en-US"/>
        </w:rPr>
        <w:t>que estaba cerrada la etapa</w:t>
      </w:r>
      <w:r w:rsidR="00A63587" w:rsidRPr="009D5EA7">
        <w:rPr>
          <w:rFonts w:ascii="Verdana" w:hAnsi="Verdana" w:cs="Verdana"/>
          <w:sz w:val="20"/>
          <w:lang w:bidi="en-US"/>
        </w:rPr>
        <w:t xml:space="preserve"> </w:t>
      </w:r>
      <w:r w:rsidR="007D6E9C" w:rsidRPr="009D5EA7">
        <w:rPr>
          <w:rFonts w:ascii="Verdana" w:hAnsi="Verdana" w:cs="Verdana"/>
          <w:sz w:val="20"/>
          <w:lang w:bidi="en-US"/>
        </w:rPr>
        <w:t>de instrucción</w:t>
      </w:r>
      <w:r w:rsidR="00A63587" w:rsidRPr="009D5EA7">
        <w:rPr>
          <w:rFonts w:ascii="Verdana" w:hAnsi="Verdana" w:cs="Verdana"/>
          <w:sz w:val="20"/>
          <w:lang w:bidi="en-US"/>
        </w:rPr>
        <w:t>,</w:t>
      </w:r>
      <w:r w:rsidR="007D6E9C" w:rsidRPr="009D5EA7">
        <w:rPr>
          <w:rFonts w:ascii="Verdana" w:hAnsi="Verdana" w:cs="Verdana"/>
          <w:sz w:val="20"/>
          <w:lang w:bidi="en-US"/>
        </w:rPr>
        <w:t xml:space="preserve"> </w:t>
      </w:r>
      <w:r w:rsidR="00460CDC" w:rsidRPr="009D5EA7">
        <w:rPr>
          <w:rFonts w:ascii="Verdana" w:hAnsi="Verdana" w:cs="Verdana"/>
          <w:sz w:val="20"/>
          <w:lang w:bidi="en-US"/>
        </w:rPr>
        <w:t xml:space="preserve">pues el sobreseimiento, al no haber sido apelado, tenía carácter de cosa juzgada. </w:t>
      </w:r>
    </w:p>
    <w:p w14:paraId="1C592530" w14:textId="77777777" w:rsidR="00460CDC" w:rsidRPr="009D5EA7" w:rsidRDefault="00460CDC" w:rsidP="0096369C">
      <w:pPr>
        <w:pStyle w:val="Prrafodelista"/>
        <w:autoSpaceDE w:val="0"/>
        <w:autoSpaceDN w:val="0"/>
        <w:adjustRightInd w:val="0"/>
        <w:ind w:left="0" w:right="34"/>
        <w:jc w:val="both"/>
        <w:rPr>
          <w:rFonts w:ascii="Verdana" w:hAnsi="Verdana" w:cs="Verdana"/>
          <w:sz w:val="20"/>
          <w:lang w:bidi="en-US"/>
        </w:rPr>
      </w:pPr>
    </w:p>
    <w:p w14:paraId="44D761B5" w14:textId="05E2CBC5" w:rsidR="00460CDC" w:rsidRPr="009D5EA7" w:rsidRDefault="00460CDC" w:rsidP="00460CDC">
      <w:pPr>
        <w:pStyle w:val="Prrafodelista"/>
        <w:numPr>
          <w:ilvl w:val="0"/>
          <w:numId w:val="5"/>
        </w:numPr>
        <w:autoSpaceDE w:val="0"/>
        <w:autoSpaceDN w:val="0"/>
        <w:adjustRightInd w:val="0"/>
        <w:ind w:left="0" w:right="34" w:firstLine="0"/>
        <w:jc w:val="both"/>
        <w:rPr>
          <w:rFonts w:ascii="Verdana" w:hAnsi="Verdana" w:cs="Verdana"/>
          <w:sz w:val="20"/>
          <w:lang w:bidi="en-US"/>
        </w:rPr>
      </w:pPr>
      <w:r w:rsidRPr="009D5EA7">
        <w:rPr>
          <w:rFonts w:ascii="Verdana" w:hAnsi="Verdana" w:cs="Verdana"/>
          <w:sz w:val="20"/>
          <w:lang w:bidi="en-US"/>
        </w:rPr>
        <w:t xml:space="preserve">Esa decisión fue mantenida en la etapa plenaria </w:t>
      </w:r>
      <w:r w:rsidR="00B302D3">
        <w:rPr>
          <w:rFonts w:ascii="Verdana" w:hAnsi="Verdana" w:cs="Verdana"/>
          <w:sz w:val="20"/>
          <w:lang w:bidi="en-US"/>
        </w:rPr>
        <w:t>y por las instancias superiores. Así,</w:t>
      </w:r>
      <w:r w:rsidRPr="009D5EA7">
        <w:rPr>
          <w:rFonts w:ascii="Verdana" w:hAnsi="Verdana" w:cs="Verdana"/>
          <w:sz w:val="20"/>
          <w:lang w:bidi="en-US"/>
        </w:rPr>
        <w:t xml:space="preserve"> </w:t>
      </w:r>
      <w:r w:rsidR="00BA338F" w:rsidRPr="009D5EA7">
        <w:rPr>
          <w:rFonts w:ascii="Verdana" w:hAnsi="Verdana" w:cs="Arial"/>
          <w:sz w:val="20"/>
        </w:rPr>
        <w:t xml:space="preserve">la Sala Penal del </w:t>
      </w:r>
      <w:r w:rsidRPr="009D5EA7">
        <w:rPr>
          <w:rFonts w:ascii="Verdana" w:hAnsi="Verdana" w:cs="Verdana"/>
          <w:sz w:val="20"/>
          <w:lang w:bidi="en-US"/>
        </w:rPr>
        <w:t xml:space="preserve">Tribunal de Apelaciones </w:t>
      </w:r>
      <w:r w:rsidR="00BA338F" w:rsidRPr="009D5EA7">
        <w:rPr>
          <w:rFonts w:ascii="Verdana" w:hAnsi="Verdana" w:cs="Verdana"/>
          <w:sz w:val="20"/>
          <w:lang w:bidi="en-US"/>
        </w:rPr>
        <w:t>no admitió</w:t>
      </w:r>
      <w:r w:rsidRPr="009D5EA7">
        <w:rPr>
          <w:rFonts w:ascii="Verdana" w:hAnsi="Verdana" w:cs="Verdana"/>
          <w:sz w:val="20"/>
          <w:lang w:bidi="en-US"/>
        </w:rPr>
        <w:t xml:space="preserve"> un recurso de apelación por la vía de hecho por una razón meramente formal: porque al representante de la señora Acosta </w:t>
      </w:r>
      <w:r w:rsidR="00BA338F" w:rsidRPr="009D5EA7">
        <w:rPr>
          <w:rFonts w:ascii="Verdana" w:hAnsi="Verdana" w:cs="Arial"/>
          <w:sz w:val="20"/>
        </w:rPr>
        <w:t>lo había titulado “recurso extraordinario de hecho” en lugar de expresar categóricamente que interponía un “recurso de apelación por el de hecho”</w:t>
      </w:r>
      <w:r w:rsidR="0096369C" w:rsidRPr="009D5EA7">
        <w:rPr>
          <w:rFonts w:ascii="Verdana" w:hAnsi="Verdana" w:cs="Verdana"/>
          <w:sz w:val="20"/>
          <w:lang w:bidi="en-US"/>
        </w:rPr>
        <w:t>,</w:t>
      </w:r>
      <w:r w:rsidR="007B7218" w:rsidRPr="009D5EA7">
        <w:rPr>
          <w:rFonts w:ascii="Verdana" w:hAnsi="Verdana" w:cs="Verdana"/>
          <w:sz w:val="20"/>
          <w:lang w:bidi="en-US"/>
        </w:rPr>
        <w:t xml:space="preserve"> </w:t>
      </w:r>
      <w:r w:rsidR="00030609" w:rsidRPr="009D5EA7">
        <w:rPr>
          <w:rFonts w:ascii="Verdana" w:hAnsi="Verdana" w:cs="Verdana"/>
          <w:sz w:val="20"/>
          <w:lang w:bidi="en-US"/>
        </w:rPr>
        <w:t xml:space="preserve">sin mayor motivación y </w:t>
      </w:r>
      <w:r w:rsidR="007B7218" w:rsidRPr="009D5EA7">
        <w:rPr>
          <w:rFonts w:ascii="Verdana" w:hAnsi="Verdana" w:cs="Verdana"/>
          <w:sz w:val="20"/>
          <w:lang w:bidi="en-US"/>
        </w:rPr>
        <w:t xml:space="preserve">aplicando un criterio expresado </w:t>
      </w:r>
      <w:r w:rsidR="0096369C" w:rsidRPr="009D5EA7">
        <w:rPr>
          <w:rFonts w:ascii="Verdana" w:hAnsi="Verdana" w:cs="Verdana"/>
          <w:sz w:val="20"/>
          <w:lang w:bidi="en-US"/>
        </w:rPr>
        <w:t xml:space="preserve">por la Corte Suprema de Justicia en el año 1975. </w:t>
      </w:r>
      <w:r w:rsidR="00B10208" w:rsidRPr="009D5EA7">
        <w:rPr>
          <w:rFonts w:ascii="Verdana" w:hAnsi="Verdana" w:cs="Arial"/>
          <w:sz w:val="20"/>
        </w:rPr>
        <w:t>Luego, c</w:t>
      </w:r>
      <w:r w:rsidR="00BA338F" w:rsidRPr="009D5EA7">
        <w:rPr>
          <w:rFonts w:ascii="Verdana" w:hAnsi="Verdana" w:cs="Arial"/>
          <w:sz w:val="20"/>
        </w:rPr>
        <w:t>uando finalmente el representante presentó el mismo recurso subsanando el supuesto defecto, la Sala Penal no lo admitió por considerar que había operado la caducidad y extinción del dere</w:t>
      </w:r>
      <w:r w:rsidR="00B302D3">
        <w:rPr>
          <w:rFonts w:ascii="Verdana" w:hAnsi="Verdana" w:cs="Arial"/>
          <w:sz w:val="20"/>
        </w:rPr>
        <w:t>cho</w:t>
      </w:r>
      <w:r w:rsidR="00BA338F" w:rsidRPr="009D5EA7">
        <w:rPr>
          <w:rFonts w:ascii="Verdana" w:hAnsi="Verdana" w:cs="Arial"/>
          <w:sz w:val="20"/>
        </w:rPr>
        <w:t xml:space="preserve">. </w:t>
      </w:r>
      <w:r w:rsidR="0096369C" w:rsidRPr="009D5EA7">
        <w:rPr>
          <w:rFonts w:ascii="Verdana" w:hAnsi="Verdana" w:cs="Verdana"/>
          <w:sz w:val="20"/>
          <w:lang w:bidi="en-US"/>
        </w:rPr>
        <w:t xml:space="preserve">Por su parte, </w:t>
      </w:r>
      <w:r w:rsidRPr="009D5EA7">
        <w:rPr>
          <w:rFonts w:ascii="Verdana" w:hAnsi="Verdana" w:cs="Verdana"/>
          <w:sz w:val="20"/>
          <w:lang w:bidi="en-US"/>
        </w:rPr>
        <w:t>la C</w:t>
      </w:r>
      <w:r w:rsidR="0096369C" w:rsidRPr="009D5EA7">
        <w:rPr>
          <w:rFonts w:ascii="Verdana" w:hAnsi="Verdana" w:cs="Verdana"/>
          <w:sz w:val="20"/>
          <w:lang w:bidi="en-US"/>
        </w:rPr>
        <w:t>orte Suprema de Justicia rechazó</w:t>
      </w:r>
      <w:r w:rsidRPr="009D5EA7">
        <w:rPr>
          <w:rFonts w:ascii="Verdana" w:hAnsi="Verdana" w:cs="Verdana"/>
          <w:sz w:val="20"/>
          <w:lang w:bidi="en-US"/>
        </w:rPr>
        <w:t xml:space="preserve"> dos recursos de casación; uno </w:t>
      </w:r>
      <w:r w:rsidR="0096369C" w:rsidRPr="009D5EA7">
        <w:rPr>
          <w:rFonts w:ascii="Verdana" w:hAnsi="Verdana" w:cs="Verdana"/>
          <w:sz w:val="20"/>
          <w:lang w:bidi="en-US"/>
        </w:rPr>
        <w:t xml:space="preserve">por </w:t>
      </w:r>
      <w:r w:rsidRPr="009D5EA7">
        <w:rPr>
          <w:rFonts w:ascii="Verdana" w:hAnsi="Verdana" w:cs="Verdana"/>
          <w:sz w:val="20"/>
          <w:lang w:bidi="en-US"/>
        </w:rPr>
        <w:t>la forma y</w:t>
      </w:r>
      <w:r w:rsidR="0096369C" w:rsidRPr="009D5EA7">
        <w:rPr>
          <w:rFonts w:ascii="Verdana" w:hAnsi="Verdana" w:cs="Verdana"/>
          <w:sz w:val="20"/>
          <w:lang w:bidi="en-US"/>
        </w:rPr>
        <w:t xml:space="preserve"> </w:t>
      </w:r>
      <w:r w:rsidRPr="009D5EA7">
        <w:rPr>
          <w:rFonts w:ascii="Verdana" w:hAnsi="Verdana" w:cs="Verdana"/>
          <w:sz w:val="20"/>
          <w:lang w:bidi="en-US"/>
        </w:rPr>
        <w:t xml:space="preserve">otro </w:t>
      </w:r>
      <w:r w:rsidR="0096369C" w:rsidRPr="009D5EA7">
        <w:rPr>
          <w:rFonts w:ascii="Verdana" w:hAnsi="Verdana" w:cs="Verdana"/>
          <w:sz w:val="20"/>
          <w:lang w:bidi="en-US"/>
        </w:rPr>
        <w:t xml:space="preserve">por </w:t>
      </w:r>
      <w:r w:rsidRPr="009D5EA7">
        <w:rPr>
          <w:rFonts w:ascii="Verdana" w:hAnsi="Verdana" w:cs="Verdana"/>
          <w:sz w:val="20"/>
          <w:lang w:bidi="en-US"/>
        </w:rPr>
        <w:t xml:space="preserve">el fondo, interpuestos por la señora </w:t>
      </w:r>
      <w:r w:rsidR="0096369C" w:rsidRPr="009D5EA7">
        <w:rPr>
          <w:rFonts w:ascii="Verdana" w:hAnsi="Verdana" w:cs="Verdana"/>
          <w:sz w:val="20"/>
          <w:lang w:bidi="en-US"/>
        </w:rPr>
        <w:t xml:space="preserve">Acosta, con base en el </w:t>
      </w:r>
      <w:r w:rsidRPr="009D5EA7">
        <w:rPr>
          <w:rFonts w:ascii="Verdana" w:hAnsi="Verdana" w:cs="Verdana"/>
          <w:sz w:val="20"/>
          <w:lang w:bidi="en-US"/>
        </w:rPr>
        <w:t>mismo argumento</w:t>
      </w:r>
      <w:r w:rsidR="0096369C" w:rsidRPr="009D5EA7">
        <w:rPr>
          <w:rFonts w:ascii="Verdana" w:hAnsi="Verdana" w:cs="Verdana"/>
          <w:sz w:val="20"/>
          <w:lang w:bidi="en-US"/>
        </w:rPr>
        <w:t xml:space="preserve"> de </w:t>
      </w:r>
      <w:r w:rsidRPr="009D5EA7">
        <w:rPr>
          <w:rFonts w:ascii="Verdana" w:hAnsi="Verdana" w:cs="Verdana"/>
          <w:sz w:val="20"/>
          <w:lang w:bidi="en-US"/>
        </w:rPr>
        <w:t>cosa juzgada</w:t>
      </w:r>
      <w:r w:rsidR="0096369C" w:rsidRPr="009D5EA7">
        <w:rPr>
          <w:rFonts w:ascii="Verdana" w:hAnsi="Verdana" w:cs="Verdana"/>
          <w:sz w:val="20"/>
          <w:lang w:bidi="en-US"/>
        </w:rPr>
        <w:t xml:space="preserve">, atribuyéndole </w:t>
      </w:r>
      <w:r w:rsidR="00B302D3">
        <w:rPr>
          <w:rFonts w:ascii="Verdana" w:hAnsi="Verdana" w:cs="Verdana"/>
          <w:sz w:val="20"/>
          <w:lang w:bidi="en-US"/>
        </w:rPr>
        <w:t xml:space="preserve">incluso </w:t>
      </w:r>
      <w:r w:rsidRPr="009D5EA7">
        <w:rPr>
          <w:rFonts w:ascii="Verdana" w:hAnsi="Verdana" w:cs="Verdana"/>
          <w:sz w:val="20"/>
          <w:lang w:bidi="en-US"/>
        </w:rPr>
        <w:t>la</w:t>
      </w:r>
      <w:r w:rsidR="0096369C" w:rsidRPr="009D5EA7">
        <w:rPr>
          <w:rFonts w:ascii="Verdana" w:hAnsi="Verdana" w:cs="Verdana"/>
          <w:sz w:val="20"/>
          <w:lang w:bidi="en-US"/>
        </w:rPr>
        <w:t xml:space="preserve"> </w:t>
      </w:r>
      <w:r w:rsidRPr="009D5EA7">
        <w:rPr>
          <w:rFonts w:ascii="Verdana" w:hAnsi="Verdana" w:cs="Verdana"/>
          <w:sz w:val="20"/>
          <w:lang w:bidi="en-US"/>
        </w:rPr>
        <w:t>responsabilidad de haber consentido el sobreseimiento al no haberlo apelado</w:t>
      </w:r>
      <w:r w:rsidR="0096369C" w:rsidRPr="009D5EA7">
        <w:rPr>
          <w:rFonts w:ascii="Verdana" w:hAnsi="Verdana" w:cs="Verdana"/>
          <w:sz w:val="20"/>
          <w:lang w:bidi="en-US"/>
        </w:rPr>
        <w:t>, a pesar de lo señalado</w:t>
      </w:r>
      <w:r w:rsidRPr="009D5EA7">
        <w:rPr>
          <w:rFonts w:ascii="Verdana" w:hAnsi="Verdana" w:cs="Verdana"/>
          <w:sz w:val="20"/>
          <w:lang w:bidi="en-US"/>
        </w:rPr>
        <w:t>.</w:t>
      </w:r>
    </w:p>
    <w:p w14:paraId="0464A45B" w14:textId="3290C66E" w:rsidR="00E74E09" w:rsidRPr="009D5EA7" w:rsidRDefault="00E74E09" w:rsidP="00E74E09">
      <w:pPr>
        <w:pStyle w:val="Prrafodelista"/>
        <w:autoSpaceDE w:val="0"/>
        <w:autoSpaceDN w:val="0"/>
        <w:adjustRightInd w:val="0"/>
        <w:ind w:left="0" w:right="34"/>
        <w:jc w:val="both"/>
        <w:rPr>
          <w:rFonts w:ascii="Verdana" w:hAnsi="Verdana" w:cs="Verdana"/>
          <w:sz w:val="20"/>
          <w:lang w:bidi="en-US"/>
        </w:rPr>
      </w:pPr>
    </w:p>
    <w:p w14:paraId="395FA6F1" w14:textId="3445A0EA" w:rsidR="00FC4B19" w:rsidRPr="009D5EA7" w:rsidRDefault="00B10208" w:rsidP="00A46AE4">
      <w:pPr>
        <w:pStyle w:val="Prrafodelista"/>
        <w:numPr>
          <w:ilvl w:val="0"/>
          <w:numId w:val="5"/>
        </w:numPr>
        <w:autoSpaceDE w:val="0"/>
        <w:autoSpaceDN w:val="0"/>
        <w:adjustRightInd w:val="0"/>
        <w:ind w:left="0" w:right="34" w:firstLine="0"/>
        <w:jc w:val="both"/>
        <w:rPr>
          <w:rFonts w:ascii="Verdana" w:hAnsi="Verdana" w:cs="Verdana"/>
          <w:sz w:val="20"/>
          <w:lang w:bidi="en-US"/>
        </w:rPr>
      </w:pPr>
      <w:r w:rsidRPr="009D5EA7">
        <w:rPr>
          <w:rFonts w:ascii="Verdana" w:hAnsi="Verdana" w:cs="Verdana"/>
          <w:sz w:val="20"/>
          <w:lang w:bidi="en-US"/>
        </w:rPr>
        <w:t xml:space="preserve">Así, </w:t>
      </w:r>
      <w:r w:rsidR="00E74E09" w:rsidRPr="009D5EA7">
        <w:rPr>
          <w:rFonts w:ascii="Verdana" w:hAnsi="Verdana" w:cs="Verdana"/>
          <w:sz w:val="20"/>
          <w:lang w:bidi="en-US"/>
        </w:rPr>
        <w:t xml:space="preserve">las actuaciones irregulares no fueron, en definitiva, corregidas o subsanadas posteriormente por las instancias superiores. </w:t>
      </w:r>
      <w:r w:rsidR="00C41E8E" w:rsidRPr="009D5EA7">
        <w:rPr>
          <w:rFonts w:ascii="Verdana" w:hAnsi="Verdana" w:cs="Verdana"/>
          <w:sz w:val="20"/>
          <w:lang w:bidi="en-US"/>
        </w:rPr>
        <w:t>Los incidentes de nulidad y recusaciones no surtieron efecto alguno o no recibieron respuestas específicas de parte de las instancias superiores y</w:t>
      </w:r>
      <w:r w:rsidR="00E74E09" w:rsidRPr="009D5EA7">
        <w:rPr>
          <w:rFonts w:ascii="Verdana" w:hAnsi="Verdana" w:cs="Verdana"/>
          <w:sz w:val="20"/>
          <w:lang w:bidi="en-US"/>
        </w:rPr>
        <w:t xml:space="preserve"> el control disciplinario no fue efectivo. </w:t>
      </w:r>
      <w:r w:rsidR="00C41E8E" w:rsidRPr="009D5EA7">
        <w:rPr>
          <w:rFonts w:ascii="Verdana" w:hAnsi="Verdana" w:cs="Verdana"/>
          <w:sz w:val="20"/>
          <w:lang w:bidi="en-US"/>
        </w:rPr>
        <w:t>Ciertamente es posible considerar que</w:t>
      </w:r>
      <w:r w:rsidR="00ED56F1" w:rsidRPr="009D5EA7">
        <w:rPr>
          <w:rFonts w:ascii="Verdana" w:hAnsi="Verdana" w:cs="Verdana"/>
          <w:sz w:val="20"/>
          <w:lang w:bidi="en-US"/>
        </w:rPr>
        <w:t>, más allá de su posible ilegalidad,</w:t>
      </w:r>
      <w:r w:rsidR="00C41E8E" w:rsidRPr="009D5EA7">
        <w:rPr>
          <w:rFonts w:ascii="Verdana" w:hAnsi="Verdana" w:cs="Verdana"/>
          <w:sz w:val="20"/>
          <w:lang w:bidi="en-US"/>
        </w:rPr>
        <w:t xml:space="preserve"> la </w:t>
      </w:r>
      <w:r w:rsidR="00A46AE4" w:rsidRPr="009D5EA7">
        <w:rPr>
          <w:rFonts w:ascii="Verdana" w:hAnsi="Verdana" w:cs="Verdana"/>
          <w:sz w:val="20"/>
          <w:lang w:bidi="en-US"/>
        </w:rPr>
        <w:t xml:space="preserve">prematura </w:t>
      </w:r>
      <w:r w:rsidR="00C41E8E" w:rsidRPr="009D5EA7">
        <w:rPr>
          <w:rFonts w:ascii="Verdana" w:hAnsi="Verdana" w:cs="Verdana"/>
          <w:sz w:val="20"/>
          <w:lang w:bidi="en-US"/>
        </w:rPr>
        <w:t>decisión de sobreseimiento definitivo de 13 de mayo de 2002</w:t>
      </w:r>
      <w:r w:rsidR="00ED56F1" w:rsidRPr="009D5EA7">
        <w:rPr>
          <w:rFonts w:ascii="Verdana" w:hAnsi="Verdana" w:cs="Verdana"/>
          <w:sz w:val="20"/>
          <w:lang w:bidi="en-US"/>
        </w:rPr>
        <w:t xml:space="preserve"> </w:t>
      </w:r>
      <w:r w:rsidR="00C41E8E" w:rsidRPr="009D5EA7">
        <w:rPr>
          <w:rFonts w:ascii="Verdana" w:hAnsi="Verdana" w:cs="Verdana"/>
          <w:sz w:val="20"/>
          <w:lang w:bidi="en-US"/>
        </w:rPr>
        <w:t xml:space="preserve">fue el resultado </w:t>
      </w:r>
      <w:r w:rsidR="00ED56F1" w:rsidRPr="009D5EA7">
        <w:rPr>
          <w:rFonts w:ascii="Verdana" w:hAnsi="Verdana" w:cs="Verdana"/>
          <w:sz w:val="20"/>
          <w:lang w:bidi="en-US"/>
        </w:rPr>
        <w:t xml:space="preserve">o culminación </w:t>
      </w:r>
      <w:r w:rsidR="00C41E8E" w:rsidRPr="009D5EA7">
        <w:rPr>
          <w:rFonts w:ascii="Verdana" w:hAnsi="Verdana" w:cs="Verdana"/>
          <w:sz w:val="20"/>
          <w:lang w:bidi="en-US"/>
        </w:rPr>
        <w:t xml:space="preserve">de una serie de actos y omisiones tendientes a no investigar diligentemente la hipótesis del móvil del </w:t>
      </w:r>
      <w:r w:rsidR="006233D1">
        <w:rPr>
          <w:rFonts w:ascii="Verdana" w:hAnsi="Verdana" w:cs="Arial"/>
          <w:sz w:val="20"/>
        </w:rPr>
        <w:t>homicidio</w:t>
      </w:r>
      <w:r w:rsidR="006233D1" w:rsidRPr="009D5EA7">
        <w:rPr>
          <w:rFonts w:ascii="Verdana" w:hAnsi="Verdana" w:cs="Arial"/>
          <w:sz w:val="20"/>
        </w:rPr>
        <w:t xml:space="preserve"> </w:t>
      </w:r>
      <w:r w:rsidR="00A44AB9" w:rsidRPr="009D5EA7">
        <w:rPr>
          <w:rFonts w:ascii="Verdana" w:hAnsi="Verdana" w:cs="Verdana"/>
          <w:sz w:val="20"/>
          <w:lang w:bidi="en-US"/>
        </w:rPr>
        <w:t>como</w:t>
      </w:r>
      <w:r w:rsidR="00C41E8E" w:rsidRPr="009D5EA7">
        <w:rPr>
          <w:rFonts w:ascii="Verdana" w:hAnsi="Verdana" w:cs="Verdana"/>
          <w:sz w:val="20"/>
          <w:lang w:bidi="en-US"/>
        </w:rPr>
        <w:t xml:space="preserve"> represalia de las actividades de la señora Acosta</w:t>
      </w:r>
      <w:r w:rsidR="00ED56F1" w:rsidRPr="009D5EA7">
        <w:rPr>
          <w:rFonts w:ascii="Verdana" w:hAnsi="Verdana" w:cs="Verdana"/>
          <w:sz w:val="20"/>
          <w:lang w:bidi="en-US"/>
        </w:rPr>
        <w:t>; a obstaculizar su participación durante la fase de instrucción</w:t>
      </w:r>
      <w:r w:rsidR="00A44AB9" w:rsidRPr="009D5EA7">
        <w:rPr>
          <w:rFonts w:ascii="Verdana" w:hAnsi="Verdana" w:cs="Verdana"/>
          <w:sz w:val="20"/>
          <w:lang w:bidi="en-US"/>
        </w:rPr>
        <w:t xml:space="preserve"> y a procurar la impunidad parcial de los hechos, pues</w:t>
      </w:r>
      <w:r w:rsidR="00A44AB9" w:rsidRPr="009D5EA7">
        <w:rPr>
          <w:rFonts w:ascii="Verdana" w:hAnsi="Verdana" w:cs="Arial"/>
          <w:spacing w:val="-2"/>
          <w:sz w:val="20"/>
        </w:rPr>
        <w:t xml:space="preserve"> implicó que, </w:t>
      </w:r>
      <w:r w:rsidR="00A44AB9" w:rsidRPr="009D5EA7">
        <w:rPr>
          <w:rFonts w:ascii="Verdana" w:hAnsi="Verdana" w:cs="Verdana"/>
          <w:sz w:val="20"/>
          <w:lang w:bidi="en-US"/>
        </w:rPr>
        <w:t xml:space="preserve">con posterioridad a esa decisión, </w:t>
      </w:r>
      <w:r w:rsidR="00A44AB9" w:rsidRPr="009D5EA7">
        <w:rPr>
          <w:rFonts w:ascii="Verdana" w:hAnsi="Verdana" w:cs="Arial"/>
          <w:spacing w:val="-2"/>
          <w:sz w:val="20"/>
        </w:rPr>
        <w:t xml:space="preserve">no se tomaran en cuenta otras pruebas </w:t>
      </w:r>
      <w:r w:rsidR="00B302D3" w:rsidRPr="009D5EA7">
        <w:rPr>
          <w:rFonts w:ascii="Verdana" w:hAnsi="Verdana" w:cs="Verdana"/>
          <w:sz w:val="20"/>
          <w:lang w:bidi="en-US"/>
        </w:rPr>
        <w:t>particularmente relevantes</w:t>
      </w:r>
      <w:r w:rsidR="00B302D3" w:rsidRPr="009D5EA7">
        <w:rPr>
          <w:rFonts w:ascii="Verdana" w:hAnsi="Verdana" w:cs="Arial"/>
          <w:spacing w:val="-2"/>
          <w:sz w:val="20"/>
        </w:rPr>
        <w:t xml:space="preserve"> </w:t>
      </w:r>
      <w:r w:rsidR="00A44AB9" w:rsidRPr="009D5EA7">
        <w:rPr>
          <w:rFonts w:ascii="Verdana" w:hAnsi="Verdana" w:cs="Arial"/>
          <w:spacing w:val="-2"/>
          <w:sz w:val="20"/>
        </w:rPr>
        <w:t>surgidas</w:t>
      </w:r>
      <w:r w:rsidR="00B302D3">
        <w:rPr>
          <w:rFonts w:ascii="Verdana" w:hAnsi="Verdana" w:cs="Arial"/>
          <w:spacing w:val="-2"/>
          <w:sz w:val="20"/>
        </w:rPr>
        <w:t xml:space="preserve"> </w:t>
      </w:r>
      <w:r w:rsidR="00171F64">
        <w:rPr>
          <w:rFonts w:ascii="Verdana" w:hAnsi="Verdana" w:cs="Verdana"/>
          <w:sz w:val="20"/>
          <w:lang w:bidi="en-US"/>
        </w:rPr>
        <w:t xml:space="preserve">y que </w:t>
      </w:r>
      <w:r w:rsidR="00A44AB9" w:rsidRPr="009D5EA7">
        <w:rPr>
          <w:rFonts w:ascii="Verdana" w:hAnsi="Verdana" w:cs="Verdana"/>
          <w:sz w:val="20"/>
          <w:lang w:bidi="en-US"/>
        </w:rPr>
        <w:t>vinculaban a las personas señaladas como autores intelectuales con el homicidio. T</w:t>
      </w:r>
      <w:r w:rsidR="00A46AE4" w:rsidRPr="009D5EA7">
        <w:rPr>
          <w:rFonts w:ascii="Verdana" w:hAnsi="Verdana" w:cs="Verdana"/>
          <w:sz w:val="20"/>
          <w:lang w:bidi="en-US"/>
        </w:rPr>
        <w:t>al decisión, sostenida incluso mediante</w:t>
      </w:r>
      <w:r w:rsidR="00E74E09" w:rsidRPr="009D5EA7">
        <w:rPr>
          <w:rFonts w:ascii="Verdana" w:hAnsi="Verdana" w:cs="Verdana"/>
          <w:sz w:val="20"/>
          <w:lang w:bidi="en-US"/>
        </w:rPr>
        <w:t xml:space="preserve"> sentencia </w:t>
      </w:r>
      <w:r w:rsidR="00A46AE4" w:rsidRPr="009D5EA7">
        <w:rPr>
          <w:rFonts w:ascii="Verdana" w:hAnsi="Verdana" w:cs="Verdana"/>
          <w:sz w:val="20"/>
          <w:lang w:bidi="en-US"/>
        </w:rPr>
        <w:t xml:space="preserve">de última instancia </w:t>
      </w:r>
      <w:r w:rsidR="00E74E09" w:rsidRPr="009D5EA7">
        <w:rPr>
          <w:rFonts w:ascii="Verdana" w:hAnsi="Verdana" w:cs="Verdana"/>
          <w:sz w:val="20"/>
          <w:lang w:bidi="en-US"/>
        </w:rPr>
        <w:t>de la Corte Suprema</w:t>
      </w:r>
      <w:r w:rsidR="00A46AE4" w:rsidRPr="009D5EA7">
        <w:rPr>
          <w:rFonts w:ascii="Verdana" w:hAnsi="Verdana" w:cs="Verdana"/>
          <w:sz w:val="20"/>
          <w:lang w:bidi="en-US"/>
        </w:rPr>
        <w:t xml:space="preserve"> de Justicia</w:t>
      </w:r>
      <w:r w:rsidR="00E74E09" w:rsidRPr="009D5EA7">
        <w:rPr>
          <w:rFonts w:ascii="Verdana" w:hAnsi="Verdana" w:cs="Verdana"/>
          <w:sz w:val="20"/>
          <w:lang w:bidi="en-US"/>
        </w:rPr>
        <w:t xml:space="preserve">, </w:t>
      </w:r>
      <w:r w:rsidR="00B302D3">
        <w:rPr>
          <w:rFonts w:ascii="Verdana" w:hAnsi="Verdana" w:cs="Verdana"/>
          <w:sz w:val="20"/>
          <w:lang w:bidi="en-US"/>
        </w:rPr>
        <w:t>procuró cerrar</w:t>
      </w:r>
      <w:r w:rsidR="00A44AB9" w:rsidRPr="009D5EA7">
        <w:rPr>
          <w:rFonts w:ascii="Verdana" w:hAnsi="Verdana" w:cs="Verdana"/>
          <w:sz w:val="20"/>
          <w:lang w:bidi="en-US"/>
        </w:rPr>
        <w:t xml:space="preserve"> a nivel </w:t>
      </w:r>
      <w:r w:rsidR="00A44AB9" w:rsidRPr="009D5EA7">
        <w:rPr>
          <w:rFonts w:ascii="Verdana" w:hAnsi="Verdana" w:cs="Verdana"/>
          <w:sz w:val="20"/>
          <w:lang w:bidi="en-US"/>
        </w:rPr>
        <w:lastRenderedPageBreak/>
        <w:t>interno</w:t>
      </w:r>
      <w:r w:rsidR="00E74E09" w:rsidRPr="009D5EA7">
        <w:rPr>
          <w:rFonts w:ascii="Verdana" w:hAnsi="Verdana" w:cs="Verdana"/>
          <w:sz w:val="20"/>
          <w:lang w:bidi="en-US"/>
        </w:rPr>
        <w:t xml:space="preserve"> la posibilidad concreta de subsanar irregularidades detectadas y de </w:t>
      </w:r>
      <w:r w:rsidR="003E56BC" w:rsidRPr="009D5EA7">
        <w:rPr>
          <w:rFonts w:ascii="Verdana" w:hAnsi="Verdana" w:cs="Verdana"/>
          <w:sz w:val="20"/>
          <w:lang w:bidi="en-US"/>
        </w:rPr>
        <w:t>perseguir penalmente a personas respecto de quienes pesan indicios</w:t>
      </w:r>
      <w:r w:rsidR="00D70548" w:rsidRPr="009D5EA7">
        <w:rPr>
          <w:rFonts w:ascii="Verdana" w:hAnsi="Verdana" w:cs="Verdana"/>
          <w:sz w:val="20"/>
          <w:lang w:bidi="en-US"/>
        </w:rPr>
        <w:t xml:space="preserve"> contundentes</w:t>
      </w:r>
      <w:r w:rsidR="003E56BC" w:rsidRPr="009D5EA7">
        <w:rPr>
          <w:rFonts w:ascii="Verdana" w:hAnsi="Verdana" w:cs="Verdana"/>
          <w:sz w:val="20"/>
          <w:lang w:bidi="en-US"/>
        </w:rPr>
        <w:t xml:space="preserve"> de participación en el </w:t>
      </w:r>
      <w:r w:rsidR="006233D1">
        <w:rPr>
          <w:rFonts w:ascii="Verdana" w:hAnsi="Verdana" w:cs="Arial"/>
          <w:sz w:val="20"/>
        </w:rPr>
        <w:t>homicidio</w:t>
      </w:r>
      <w:r w:rsidR="006233D1" w:rsidRPr="009D5EA7">
        <w:rPr>
          <w:rFonts w:ascii="Verdana" w:hAnsi="Verdana" w:cs="Arial"/>
          <w:sz w:val="20"/>
        </w:rPr>
        <w:t xml:space="preserve"> </w:t>
      </w:r>
      <w:r w:rsidR="003E56BC" w:rsidRPr="009D5EA7">
        <w:rPr>
          <w:rFonts w:ascii="Verdana" w:hAnsi="Verdana" w:cs="Verdana"/>
          <w:sz w:val="20"/>
          <w:lang w:bidi="en-US"/>
        </w:rPr>
        <w:t>del señor García Valle</w:t>
      </w:r>
      <w:r w:rsidR="00E74E09" w:rsidRPr="009D5EA7">
        <w:rPr>
          <w:rFonts w:ascii="Verdana" w:hAnsi="Verdana" w:cs="Verdana"/>
          <w:sz w:val="20"/>
          <w:lang w:bidi="en-US"/>
        </w:rPr>
        <w:t>.</w:t>
      </w:r>
      <w:r w:rsidR="00ED56F1" w:rsidRPr="009D5EA7">
        <w:rPr>
          <w:rFonts w:ascii="Verdana" w:hAnsi="Verdana" w:cs="Verdana"/>
          <w:sz w:val="20"/>
          <w:lang w:bidi="en-US"/>
        </w:rPr>
        <w:t xml:space="preserve"> En este sentido, la responsabilidad del Estado ha quedado establecida.</w:t>
      </w:r>
    </w:p>
    <w:p w14:paraId="08A19852" w14:textId="77777777" w:rsidR="00D81E6F" w:rsidRPr="009D5EA7" w:rsidRDefault="00D81E6F" w:rsidP="00447734">
      <w:pPr>
        <w:pStyle w:val="Prrafodelista"/>
        <w:autoSpaceDE w:val="0"/>
        <w:autoSpaceDN w:val="0"/>
        <w:adjustRightInd w:val="0"/>
        <w:ind w:left="0" w:right="34"/>
        <w:jc w:val="both"/>
        <w:rPr>
          <w:rFonts w:ascii="Verdana" w:hAnsi="Verdana" w:cs="Verdana"/>
          <w:sz w:val="20"/>
          <w:lang w:bidi="en-US"/>
        </w:rPr>
      </w:pPr>
    </w:p>
    <w:p w14:paraId="14EE52F7" w14:textId="3987E332" w:rsidR="00447734" w:rsidRPr="009D5EA7" w:rsidRDefault="00A75D94" w:rsidP="00447734">
      <w:pPr>
        <w:pStyle w:val="Prrafodelista"/>
        <w:autoSpaceDE w:val="0"/>
        <w:autoSpaceDN w:val="0"/>
        <w:adjustRightInd w:val="0"/>
        <w:ind w:left="2124" w:right="34" w:hanging="708"/>
        <w:jc w:val="both"/>
        <w:rPr>
          <w:rFonts w:ascii="Verdana" w:hAnsi="Verdana"/>
          <w:b/>
          <w:i/>
          <w:sz w:val="20"/>
        </w:rPr>
      </w:pPr>
      <w:r w:rsidRPr="009D5EA7">
        <w:rPr>
          <w:rFonts w:ascii="Verdana" w:hAnsi="Verdana"/>
          <w:b/>
          <w:i/>
          <w:sz w:val="20"/>
        </w:rPr>
        <w:t>d</w:t>
      </w:r>
      <w:r w:rsidR="00447734" w:rsidRPr="009D5EA7">
        <w:rPr>
          <w:rFonts w:ascii="Verdana" w:hAnsi="Verdana"/>
          <w:b/>
          <w:i/>
          <w:sz w:val="20"/>
        </w:rPr>
        <w:t>)</w:t>
      </w:r>
      <w:r w:rsidR="00447734" w:rsidRPr="009D5EA7">
        <w:rPr>
          <w:rFonts w:ascii="Verdana" w:hAnsi="Verdana"/>
          <w:b/>
          <w:i/>
          <w:sz w:val="20"/>
        </w:rPr>
        <w:tab/>
      </w:r>
      <w:r w:rsidR="0040098E" w:rsidRPr="00B302D3">
        <w:rPr>
          <w:rFonts w:ascii="Verdana" w:hAnsi="Verdana"/>
          <w:b/>
          <w:i/>
          <w:sz w:val="20"/>
        </w:rPr>
        <w:t>P</w:t>
      </w:r>
      <w:r w:rsidR="00D81E6F" w:rsidRPr="00B302D3">
        <w:rPr>
          <w:rFonts w:ascii="Verdana" w:hAnsi="Verdana"/>
          <w:b/>
          <w:i/>
          <w:sz w:val="20"/>
        </w:rPr>
        <w:t>arcialidad</w:t>
      </w:r>
      <w:r w:rsidR="00D81E6F" w:rsidRPr="009D5EA7">
        <w:rPr>
          <w:rFonts w:ascii="Verdana" w:hAnsi="Verdana"/>
          <w:b/>
          <w:i/>
          <w:sz w:val="20"/>
        </w:rPr>
        <w:t xml:space="preserve"> y a</w:t>
      </w:r>
      <w:r w:rsidR="00447734" w:rsidRPr="009D5EA7">
        <w:rPr>
          <w:rFonts w:ascii="Verdana" w:hAnsi="Verdana"/>
          <w:b/>
          <w:i/>
          <w:sz w:val="20"/>
        </w:rPr>
        <w:t xml:space="preserve">legada falta de independencia </w:t>
      </w:r>
      <w:r w:rsidR="00FA6331">
        <w:rPr>
          <w:rFonts w:ascii="Verdana" w:hAnsi="Verdana"/>
          <w:b/>
          <w:i/>
          <w:sz w:val="20"/>
        </w:rPr>
        <w:t>judicial</w:t>
      </w:r>
    </w:p>
    <w:p w14:paraId="5B7A23E4" w14:textId="77777777" w:rsidR="00447734" w:rsidRPr="009D5EA7" w:rsidRDefault="00447734" w:rsidP="00447734">
      <w:pPr>
        <w:pStyle w:val="Prrafodelista"/>
        <w:rPr>
          <w:rFonts w:ascii="Verdana" w:hAnsi="Verdana" w:cs="Arial"/>
          <w:sz w:val="20"/>
        </w:rPr>
      </w:pPr>
    </w:p>
    <w:p w14:paraId="77BFC15C" w14:textId="251E13CB" w:rsidR="00447734" w:rsidRPr="009D5EA7" w:rsidRDefault="00BC132A" w:rsidP="00447734">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L</w:t>
      </w:r>
      <w:r w:rsidR="00447734" w:rsidRPr="009D5EA7">
        <w:rPr>
          <w:rFonts w:ascii="Verdana" w:hAnsi="Verdana" w:cs="Arial"/>
          <w:sz w:val="20"/>
        </w:rPr>
        <w:t xml:space="preserve">as representantes alegaron que las presuntas víctimas no tuvieron acceso a órganos jurisdiccionales independientes e imparciales ni recibieron protección judicial, en los términos de los artículos 8.1 y 25 de la Convención. Alegaron que el juez señaló a la señora Acosta como encubridora en la prensa; amenazó con encarcelar a agentes de policía para evitar que fueran aportadas pruebas recabadas por la policía (lo cual no demostraron); </w:t>
      </w:r>
      <w:r w:rsidRPr="009D5EA7">
        <w:rPr>
          <w:rFonts w:ascii="Verdana" w:hAnsi="Verdana" w:cs="Arial"/>
          <w:sz w:val="20"/>
        </w:rPr>
        <w:t>ignoró</w:t>
      </w:r>
      <w:r w:rsidR="00447734" w:rsidRPr="009D5EA7">
        <w:rPr>
          <w:rFonts w:ascii="Verdana" w:hAnsi="Verdana" w:cs="Arial"/>
          <w:sz w:val="20"/>
        </w:rPr>
        <w:t xml:space="preserve"> pruebas; no </w:t>
      </w:r>
      <w:r w:rsidRPr="009D5EA7">
        <w:rPr>
          <w:rFonts w:ascii="Verdana" w:hAnsi="Verdana" w:cs="Arial"/>
          <w:sz w:val="20"/>
        </w:rPr>
        <w:t>tramitó</w:t>
      </w:r>
      <w:r w:rsidR="00447734" w:rsidRPr="009D5EA7">
        <w:rPr>
          <w:rFonts w:ascii="Verdana" w:hAnsi="Verdana" w:cs="Arial"/>
          <w:sz w:val="20"/>
        </w:rPr>
        <w:t xml:space="preserve"> un incidente de </w:t>
      </w:r>
      <w:r w:rsidR="001943A4">
        <w:rPr>
          <w:rFonts w:ascii="Verdana" w:hAnsi="Verdana" w:cs="Arial"/>
          <w:sz w:val="20"/>
        </w:rPr>
        <w:t>recusación</w:t>
      </w:r>
      <w:r w:rsidR="00447734" w:rsidRPr="009D5EA7">
        <w:rPr>
          <w:rFonts w:ascii="Verdana" w:hAnsi="Verdana" w:cs="Arial"/>
          <w:sz w:val="20"/>
        </w:rPr>
        <w:t xml:space="preserve"> y </w:t>
      </w:r>
      <w:r w:rsidRPr="009D5EA7">
        <w:rPr>
          <w:rFonts w:ascii="Verdana" w:hAnsi="Verdana" w:cs="Arial"/>
          <w:sz w:val="20"/>
        </w:rPr>
        <w:t>excluyó</w:t>
      </w:r>
      <w:r w:rsidR="00447734" w:rsidRPr="009D5EA7">
        <w:rPr>
          <w:rFonts w:ascii="Verdana" w:hAnsi="Verdana" w:cs="Arial"/>
          <w:sz w:val="20"/>
        </w:rPr>
        <w:t xml:space="preserve"> </w:t>
      </w:r>
      <w:r w:rsidR="001943A4">
        <w:rPr>
          <w:rFonts w:ascii="Verdana" w:hAnsi="Verdana" w:cs="Arial"/>
          <w:sz w:val="20"/>
        </w:rPr>
        <w:t xml:space="preserve">a aquélla </w:t>
      </w:r>
      <w:r w:rsidR="00447734" w:rsidRPr="009D5EA7">
        <w:rPr>
          <w:rFonts w:ascii="Verdana" w:hAnsi="Verdana" w:cs="Arial"/>
          <w:sz w:val="20"/>
        </w:rPr>
        <w:t>de la etapa investigativa.  Señalaron que el Tribunal de Apelaciones rechazó conocer de una</w:t>
      </w:r>
      <w:r w:rsidRPr="009D5EA7">
        <w:rPr>
          <w:rFonts w:ascii="Verdana" w:hAnsi="Verdana" w:cs="Arial"/>
          <w:sz w:val="20"/>
        </w:rPr>
        <w:t xml:space="preserve"> apelación por la vía de hecho </w:t>
      </w:r>
      <w:r w:rsidR="00447734" w:rsidRPr="009D5EA7">
        <w:rPr>
          <w:rFonts w:ascii="Verdana" w:hAnsi="Verdana" w:cs="Arial"/>
          <w:sz w:val="20"/>
        </w:rPr>
        <w:t xml:space="preserve">con un argumento excesivamente formalista, rechazó otro incidente de nulidad interpuesto y rechazó la solicitud de interrogar a Iván Arguello </w:t>
      </w:r>
      <w:r w:rsidRPr="009D5EA7">
        <w:rPr>
          <w:rFonts w:ascii="Verdana" w:hAnsi="Verdana" w:cs="Arial"/>
          <w:sz w:val="20"/>
        </w:rPr>
        <w:t>luego de haber</w:t>
      </w:r>
      <w:r w:rsidR="00447734" w:rsidRPr="009D5EA7">
        <w:rPr>
          <w:rFonts w:ascii="Verdana" w:hAnsi="Verdana" w:cs="Arial"/>
          <w:sz w:val="20"/>
        </w:rPr>
        <w:t xml:space="preserve"> declarado públicamente su vinculación con PT. Por último, señalaron que los magistrados de la Corte Suprema ignoraron las irregulares actuaciones judiciales del proceso y que el proceso disciplinario falló como </w:t>
      </w:r>
      <w:r w:rsidRPr="009D5EA7">
        <w:rPr>
          <w:rFonts w:ascii="Verdana" w:hAnsi="Verdana" w:cs="Arial"/>
          <w:sz w:val="20"/>
        </w:rPr>
        <w:t xml:space="preserve">forma de </w:t>
      </w:r>
      <w:r w:rsidR="00447734" w:rsidRPr="009D5EA7">
        <w:rPr>
          <w:rFonts w:ascii="Verdana" w:hAnsi="Verdana" w:cs="Arial"/>
          <w:sz w:val="20"/>
        </w:rPr>
        <w:t>auto corrección del sistema judicial en este caso. Las representantes refirieron a una serie de fuentes que indicarían fallas o falta de independencia e imparcialidad en el Poder Judicial nicaragüense y alegaron que, con las referidas actuaciones, se consumó la instrumentalización del Poder Judicial, como medio y recurso para cometer la violación de los derechos que debieron respetar y garantizar a los familiares del señor García Valle.</w:t>
      </w:r>
    </w:p>
    <w:p w14:paraId="1269D6F8" w14:textId="77777777" w:rsidR="00447734" w:rsidRPr="009D5EA7" w:rsidRDefault="00447734" w:rsidP="00440CAF">
      <w:pPr>
        <w:pStyle w:val="Prrafodelista"/>
        <w:autoSpaceDE w:val="0"/>
        <w:autoSpaceDN w:val="0"/>
        <w:adjustRightInd w:val="0"/>
        <w:ind w:left="0" w:right="34"/>
        <w:jc w:val="both"/>
        <w:rPr>
          <w:rFonts w:ascii="Verdana" w:hAnsi="Verdana" w:cs="Arial"/>
          <w:sz w:val="20"/>
        </w:rPr>
      </w:pPr>
    </w:p>
    <w:p w14:paraId="0DB88E74" w14:textId="60119EE6" w:rsidR="000859CC" w:rsidRPr="009D5EA7" w:rsidRDefault="00440CAF" w:rsidP="000859CC">
      <w:pPr>
        <w:pStyle w:val="Prrafodelista"/>
        <w:numPr>
          <w:ilvl w:val="0"/>
          <w:numId w:val="5"/>
        </w:numPr>
        <w:autoSpaceDE w:val="0"/>
        <w:autoSpaceDN w:val="0"/>
        <w:adjustRightInd w:val="0"/>
        <w:ind w:left="0" w:right="34" w:firstLine="0"/>
        <w:jc w:val="both"/>
        <w:rPr>
          <w:rFonts w:ascii="Verdana" w:eastAsiaTheme="minorHAnsi" w:hAnsi="Verdana"/>
          <w:sz w:val="20"/>
          <w:lang w:eastAsia="es-CR"/>
        </w:rPr>
      </w:pPr>
      <w:r w:rsidRPr="009D5EA7">
        <w:rPr>
          <w:rFonts w:ascii="Verdana" w:hAnsi="Verdana" w:cs="Arial"/>
          <w:sz w:val="20"/>
        </w:rPr>
        <w:t>E</w:t>
      </w:r>
      <w:r w:rsidR="00DC75A5" w:rsidRPr="009D5EA7">
        <w:rPr>
          <w:rFonts w:ascii="Verdana" w:hAnsi="Verdana" w:cs="Arial"/>
          <w:sz w:val="20"/>
        </w:rPr>
        <w:t>ste</w:t>
      </w:r>
      <w:r w:rsidR="00B42E87" w:rsidRPr="009D5EA7">
        <w:rPr>
          <w:rFonts w:ascii="Verdana" w:hAnsi="Verdana" w:cs="Arial"/>
          <w:sz w:val="20"/>
        </w:rPr>
        <w:t xml:space="preserve"> Tribunal ha establecido que uno de los objetivos principales que tiene la separación de los poderes públicos es la garantía de la independencia de los jueces</w:t>
      </w:r>
      <w:r w:rsidR="000859CC" w:rsidRPr="009D5EA7">
        <w:rPr>
          <w:rFonts w:ascii="Verdana" w:hAnsi="Verdana" w:cs="Arial"/>
          <w:sz w:val="20"/>
        </w:rPr>
        <w:t>.</w:t>
      </w:r>
      <w:r w:rsidR="00B42E87" w:rsidRPr="009D5EA7">
        <w:rPr>
          <w:rFonts w:ascii="Verdana" w:hAnsi="Verdana" w:cs="Arial"/>
          <w:sz w:val="20"/>
        </w:rPr>
        <w:t xml:space="preserve"> El objetivo de la protección radica en evitar que el sistema judicial en general y sus integrantes en particular se vean sometidos a posibles restricciones indebidas en el ejercicio de su función por parte de órganos ajenos al Poder Judicial. De esta forma, la independencia judicial se deriva de garantías como un adecuado proceso de nombramiento, la inamovilidad en el cargo y la garantía contra presiones externas. A su vez, la Corte ha señalado que el ejercicio autónomo de la función judicial debe ser garantizado por el Estado tanto en su faceta institucional, esto es, en relación con el Poder Judicial como sistema, así como también en conexión con su vertiente individual, es decir, con relación a la persona del juez específico</w:t>
      </w:r>
      <w:r w:rsidRPr="009D5EA7">
        <w:rPr>
          <w:rFonts w:ascii="Verdana" w:hAnsi="Verdana"/>
          <w:sz w:val="20"/>
          <w:vertAlign w:val="superscript"/>
        </w:rPr>
        <w:footnoteReference w:id="170"/>
      </w:r>
      <w:r w:rsidRPr="009D5EA7">
        <w:rPr>
          <w:rFonts w:ascii="Verdana" w:hAnsi="Verdana"/>
          <w:sz w:val="20"/>
        </w:rPr>
        <w:t>.</w:t>
      </w:r>
    </w:p>
    <w:p w14:paraId="6657CDC6" w14:textId="77777777" w:rsidR="000859CC" w:rsidRPr="009D5EA7" w:rsidRDefault="000859CC" w:rsidP="000859CC">
      <w:pPr>
        <w:pStyle w:val="Prrafodelista"/>
        <w:rPr>
          <w:rFonts w:ascii="Verdana" w:hAnsi="Verdana"/>
          <w:sz w:val="20"/>
        </w:rPr>
      </w:pPr>
    </w:p>
    <w:p w14:paraId="27A70546" w14:textId="6563E9E9" w:rsidR="000859CC" w:rsidRPr="009D5EA7" w:rsidRDefault="000859CC" w:rsidP="00B168DE">
      <w:pPr>
        <w:pStyle w:val="Prrafodelista"/>
        <w:numPr>
          <w:ilvl w:val="0"/>
          <w:numId w:val="5"/>
        </w:numPr>
        <w:autoSpaceDE w:val="0"/>
        <w:autoSpaceDN w:val="0"/>
        <w:adjustRightInd w:val="0"/>
        <w:ind w:left="0" w:right="34" w:firstLine="0"/>
        <w:jc w:val="both"/>
        <w:rPr>
          <w:rFonts w:ascii="Verdana" w:eastAsiaTheme="minorHAnsi" w:hAnsi="Verdana"/>
          <w:sz w:val="20"/>
          <w:lang w:eastAsia="es-CR"/>
        </w:rPr>
      </w:pPr>
      <w:r w:rsidRPr="009D5EA7">
        <w:rPr>
          <w:rFonts w:ascii="Verdana" w:hAnsi="Verdana" w:cs="Arial"/>
          <w:sz w:val="20"/>
        </w:rPr>
        <w:t>Por</w:t>
      </w:r>
      <w:r w:rsidRPr="009D5EA7">
        <w:rPr>
          <w:rFonts w:ascii="Verdana" w:hAnsi="Verdana"/>
          <w:sz w:val="20"/>
        </w:rPr>
        <w:t xml:space="preserve"> otro lado, </w:t>
      </w:r>
      <w:r w:rsidR="00B168DE" w:rsidRPr="009D5EA7">
        <w:rPr>
          <w:rFonts w:ascii="Verdana" w:hAnsi="Verdana"/>
          <w:sz w:val="20"/>
        </w:rPr>
        <w:t>la Corte ha señalado que la imparcialidad exige que el juez que interviene en una contienda particular se aproxime a los hechos de la causa careciendo, de manera subjetiva, de todo prejuicio y, asimismo, ofreciendo garantías suficientes de índole objetiva que permitan desterrar toda duda que el justiciable o la comunidad puedan albergar respecto de la ausencia de imparcialidad</w:t>
      </w:r>
      <w:r w:rsidR="00B168DE" w:rsidRPr="009D5EA7">
        <w:rPr>
          <w:rStyle w:val="Refdenotaalpie"/>
          <w:rFonts w:ascii="Verdana" w:hAnsi="Verdana"/>
          <w:sz w:val="20"/>
        </w:rPr>
        <w:footnoteReference w:id="171"/>
      </w:r>
      <w:r w:rsidR="00B168DE" w:rsidRPr="009D5EA7">
        <w:rPr>
          <w:rFonts w:ascii="Verdana" w:hAnsi="Verdana"/>
          <w:sz w:val="20"/>
        </w:rPr>
        <w:t>.</w:t>
      </w:r>
      <w:r w:rsidR="00B168DE" w:rsidRPr="009D5EA7">
        <w:t xml:space="preserve"> </w:t>
      </w:r>
      <w:r w:rsidRPr="009D5EA7">
        <w:rPr>
          <w:rFonts w:ascii="Verdana" w:hAnsi="Verdana"/>
          <w:sz w:val="20"/>
        </w:rPr>
        <w:t>En este sentido, la recusación es un instrumento procesal que permite proteger el derecho a ser juzgado por un órgano imparcial.</w:t>
      </w:r>
      <w:r w:rsidRPr="009D5EA7">
        <w:rPr>
          <w:rFonts w:ascii="Verdana" w:eastAsiaTheme="minorHAnsi" w:hAnsi="Verdana"/>
          <w:sz w:val="20"/>
          <w:lang w:eastAsia="es-CR"/>
        </w:rPr>
        <w:t xml:space="preserve"> </w:t>
      </w:r>
      <w:r w:rsidRPr="009D5EA7">
        <w:rPr>
          <w:rFonts w:ascii="Verdana" w:hAnsi="Verdana"/>
          <w:sz w:val="20"/>
        </w:rPr>
        <w:t>La garantía de imparcialidad implica que los integrantes del tribunal no tengan un interés directo, una posición tomada, una preferencia por alguna de las partes y que no se encuentren involucrados en la controversia y que inspiren la confianza necesaria a las partes en el caso, así como a los ciudadanos en una sociedad democrática. Asimismo, no se presume la falta de imparcialidad, sino que debe ser evaluada caso a caso</w:t>
      </w:r>
      <w:r w:rsidRPr="009D5EA7">
        <w:rPr>
          <w:rStyle w:val="Refdenotaalpie"/>
          <w:rFonts w:ascii="Verdana" w:hAnsi="Verdana"/>
          <w:sz w:val="20"/>
        </w:rPr>
        <w:footnoteReference w:id="172"/>
      </w:r>
      <w:r w:rsidRPr="009D5EA7">
        <w:rPr>
          <w:rFonts w:ascii="Verdana" w:hAnsi="Verdana"/>
          <w:sz w:val="20"/>
        </w:rPr>
        <w:t>.</w:t>
      </w:r>
    </w:p>
    <w:p w14:paraId="0816688E" w14:textId="77777777" w:rsidR="00B42E87" w:rsidRPr="009D5EA7" w:rsidRDefault="00B42E87" w:rsidP="00447734">
      <w:pPr>
        <w:pStyle w:val="Prrafodelista"/>
        <w:autoSpaceDE w:val="0"/>
        <w:autoSpaceDN w:val="0"/>
        <w:adjustRightInd w:val="0"/>
        <w:ind w:left="0" w:right="34"/>
        <w:jc w:val="both"/>
        <w:rPr>
          <w:rFonts w:ascii="Verdana" w:hAnsi="Verdana" w:cs="Arial"/>
          <w:sz w:val="20"/>
        </w:rPr>
      </w:pPr>
    </w:p>
    <w:p w14:paraId="2F8B1621" w14:textId="030E389B" w:rsidR="00447734" w:rsidRPr="009D5EA7" w:rsidRDefault="00447734" w:rsidP="00350966">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La Corte hace notar que</w:t>
      </w:r>
      <w:r w:rsidR="00124D40">
        <w:rPr>
          <w:rFonts w:ascii="Verdana" w:hAnsi="Verdana" w:cs="Arial"/>
          <w:sz w:val="20"/>
        </w:rPr>
        <w:t>,</w:t>
      </w:r>
      <w:r w:rsidRPr="009D5EA7">
        <w:rPr>
          <w:rFonts w:ascii="Verdana" w:hAnsi="Verdana" w:cs="Arial"/>
          <w:sz w:val="20"/>
        </w:rPr>
        <w:t xml:space="preserve"> en este caso</w:t>
      </w:r>
      <w:r w:rsidR="00124D40">
        <w:rPr>
          <w:rFonts w:ascii="Verdana" w:hAnsi="Verdana" w:cs="Arial"/>
          <w:sz w:val="20"/>
        </w:rPr>
        <w:t>,</w:t>
      </w:r>
      <w:r w:rsidRPr="009D5EA7">
        <w:rPr>
          <w:rFonts w:ascii="Verdana" w:hAnsi="Verdana" w:cs="Arial"/>
          <w:sz w:val="20"/>
        </w:rPr>
        <w:t xml:space="preserve"> </w:t>
      </w:r>
      <w:r w:rsidR="00350966" w:rsidRPr="009D5EA7">
        <w:rPr>
          <w:rFonts w:ascii="Verdana" w:hAnsi="Verdana" w:cs="Arial"/>
          <w:sz w:val="20"/>
        </w:rPr>
        <w:t>han sido analizadas</w:t>
      </w:r>
      <w:r w:rsidRPr="009D5EA7">
        <w:rPr>
          <w:rFonts w:ascii="Verdana" w:hAnsi="Verdana" w:cs="Arial"/>
          <w:sz w:val="20"/>
        </w:rPr>
        <w:t xml:space="preserve"> una serie de cuestionables acciones y omisiones de las autoridades judiciales que </w:t>
      </w:r>
      <w:r w:rsidR="00763DCA" w:rsidRPr="009D5EA7">
        <w:rPr>
          <w:rFonts w:ascii="Verdana" w:hAnsi="Verdana" w:cs="Arial"/>
          <w:sz w:val="20"/>
        </w:rPr>
        <w:t>intervinieron</w:t>
      </w:r>
      <w:r w:rsidRPr="009D5EA7">
        <w:rPr>
          <w:rFonts w:ascii="Verdana" w:hAnsi="Verdana" w:cs="Arial"/>
          <w:sz w:val="20"/>
        </w:rPr>
        <w:t xml:space="preserve"> en diferentes momentos en el proceso, lo cual </w:t>
      </w:r>
      <w:r w:rsidR="00350966" w:rsidRPr="009D5EA7">
        <w:rPr>
          <w:rFonts w:ascii="Verdana" w:hAnsi="Verdana" w:cs="Arial"/>
          <w:sz w:val="20"/>
        </w:rPr>
        <w:t xml:space="preserve">también </w:t>
      </w:r>
      <w:r w:rsidRPr="009D5EA7">
        <w:rPr>
          <w:rFonts w:ascii="Verdana" w:hAnsi="Verdana" w:cs="Arial"/>
          <w:sz w:val="20"/>
        </w:rPr>
        <w:t xml:space="preserve">fue observado por órganos </w:t>
      </w:r>
      <w:r w:rsidR="00350966" w:rsidRPr="009D5EA7">
        <w:rPr>
          <w:rFonts w:ascii="Verdana" w:hAnsi="Verdana" w:cs="Arial"/>
          <w:sz w:val="20"/>
        </w:rPr>
        <w:t xml:space="preserve">internos </w:t>
      </w:r>
      <w:r w:rsidRPr="009D5EA7">
        <w:rPr>
          <w:rFonts w:ascii="Verdana" w:hAnsi="Verdana" w:cs="Arial"/>
          <w:sz w:val="20"/>
        </w:rPr>
        <w:t>vinculados a la administración de justicia, particularmente el Ministerio Público</w:t>
      </w:r>
      <w:r w:rsidRPr="00B302D3">
        <w:rPr>
          <w:rFonts w:ascii="Verdana" w:hAnsi="Verdana" w:cs="Arial"/>
          <w:sz w:val="20"/>
        </w:rPr>
        <w:t>. En particular,</w:t>
      </w:r>
      <w:r w:rsidR="00B42E87" w:rsidRPr="00B302D3">
        <w:rPr>
          <w:rFonts w:ascii="Verdana" w:hAnsi="Verdana" w:cs="Arial"/>
          <w:sz w:val="20"/>
        </w:rPr>
        <w:t xml:space="preserve"> </w:t>
      </w:r>
      <w:r w:rsidR="0040098E" w:rsidRPr="00B302D3">
        <w:rPr>
          <w:rFonts w:ascii="Verdana" w:hAnsi="Verdana" w:cs="Arial"/>
          <w:sz w:val="20"/>
        </w:rPr>
        <w:t>la forma irracional en que concluyó la instrucción y el hecho de que procurara la impunidad parcial del hecho mediante el referido sobreseimiento</w:t>
      </w:r>
      <w:r w:rsidR="00CF5007" w:rsidRPr="00B302D3">
        <w:rPr>
          <w:rFonts w:ascii="Verdana" w:hAnsi="Verdana" w:cs="Arial"/>
          <w:sz w:val="20"/>
        </w:rPr>
        <w:t xml:space="preserve">, </w:t>
      </w:r>
      <w:r w:rsidR="0040098E" w:rsidRPr="00B302D3">
        <w:rPr>
          <w:rFonts w:ascii="Verdana" w:hAnsi="Verdana" w:cs="Arial"/>
          <w:sz w:val="20"/>
        </w:rPr>
        <w:t>aunado a las</w:t>
      </w:r>
      <w:r w:rsidR="00CF5007" w:rsidRPr="00B302D3">
        <w:rPr>
          <w:rFonts w:ascii="Verdana" w:hAnsi="Verdana" w:cs="Arial"/>
          <w:sz w:val="20"/>
        </w:rPr>
        <w:t xml:space="preserve"> declaraciones públicas que dio </w:t>
      </w:r>
      <w:r w:rsidR="0040098E" w:rsidRPr="00B302D3">
        <w:rPr>
          <w:rFonts w:ascii="Verdana" w:hAnsi="Verdana" w:cs="Arial"/>
          <w:sz w:val="20"/>
        </w:rPr>
        <w:t>ante un medio de comunicación</w:t>
      </w:r>
      <w:r w:rsidR="00CF5007" w:rsidRPr="00B302D3">
        <w:rPr>
          <w:rFonts w:ascii="Verdana" w:hAnsi="Verdana" w:cs="Arial"/>
          <w:sz w:val="20"/>
        </w:rPr>
        <w:t xml:space="preserve"> un día antes de dictar</w:t>
      </w:r>
      <w:r w:rsidR="0040098E" w:rsidRPr="00B302D3">
        <w:rPr>
          <w:rFonts w:ascii="Verdana" w:hAnsi="Verdana" w:cs="Arial"/>
          <w:sz w:val="20"/>
        </w:rPr>
        <w:t>lo, no dejan dudas acerca de la manifiesta parcialidad con que actuó</w:t>
      </w:r>
      <w:r w:rsidR="000F4315" w:rsidRPr="00B302D3">
        <w:rPr>
          <w:rFonts w:ascii="Verdana" w:hAnsi="Verdana" w:cs="Arial"/>
          <w:sz w:val="20"/>
        </w:rPr>
        <w:t xml:space="preserve"> el juez instructor</w:t>
      </w:r>
      <w:r w:rsidR="0040098E" w:rsidRPr="00B302D3">
        <w:rPr>
          <w:rFonts w:ascii="Verdana" w:hAnsi="Verdana" w:cs="Arial"/>
          <w:sz w:val="20"/>
        </w:rPr>
        <w:t>.</w:t>
      </w:r>
      <w:r w:rsidR="00835B6F">
        <w:rPr>
          <w:rFonts w:ascii="Verdana" w:hAnsi="Verdana" w:cs="Arial"/>
          <w:sz w:val="20"/>
        </w:rPr>
        <w:t xml:space="preserve"> </w:t>
      </w:r>
      <w:r w:rsidR="00350966" w:rsidRPr="00B302D3">
        <w:rPr>
          <w:rFonts w:ascii="Verdana" w:hAnsi="Verdana" w:cs="Arial"/>
          <w:sz w:val="20"/>
        </w:rPr>
        <w:t>Consta</w:t>
      </w:r>
      <w:r w:rsidR="00350966" w:rsidRPr="009D5EA7">
        <w:rPr>
          <w:rFonts w:ascii="Verdana" w:hAnsi="Verdana" w:cs="Arial"/>
          <w:sz w:val="20"/>
        </w:rPr>
        <w:t xml:space="preserve"> que el 10 de junio de 2002 el representante de la señora Acosta promovió un incidente de recusación contra ese juez</w:t>
      </w:r>
      <w:r w:rsidR="006B20C8" w:rsidRPr="009D5EA7">
        <w:rPr>
          <w:rFonts w:ascii="Verdana" w:hAnsi="Verdana" w:cs="Arial"/>
          <w:sz w:val="20"/>
        </w:rPr>
        <w:t>, junto con un incidente de nulidad</w:t>
      </w:r>
      <w:r w:rsidR="00350966" w:rsidRPr="009D5EA7">
        <w:rPr>
          <w:rFonts w:ascii="Verdana" w:hAnsi="Verdana" w:cs="Arial"/>
          <w:sz w:val="20"/>
        </w:rPr>
        <w:t>, por considerar que desde el inicio del procedimiento se había conducido de forma parcial</w:t>
      </w:r>
      <w:r w:rsidR="006B20C8" w:rsidRPr="009D5EA7">
        <w:rPr>
          <w:rFonts w:ascii="Verdana" w:hAnsi="Verdana" w:cs="Arial"/>
          <w:sz w:val="20"/>
        </w:rPr>
        <w:t>. Sin embargo, si bien el juez rechazó el incidente de nulidad, no consta que</w:t>
      </w:r>
      <w:r w:rsidR="007D3FF7" w:rsidRPr="009D5EA7">
        <w:rPr>
          <w:rFonts w:ascii="Verdana" w:hAnsi="Verdana" w:cs="Arial"/>
          <w:sz w:val="20"/>
        </w:rPr>
        <w:t xml:space="preserve"> diera t</w:t>
      </w:r>
      <w:r w:rsidR="000F4315">
        <w:rPr>
          <w:rFonts w:ascii="Verdana" w:hAnsi="Verdana" w:cs="Arial"/>
          <w:sz w:val="20"/>
        </w:rPr>
        <w:t>rámite al de recusación.</w:t>
      </w:r>
      <w:r w:rsidR="007D3FF7" w:rsidRPr="009D5EA7">
        <w:rPr>
          <w:rFonts w:ascii="Verdana" w:hAnsi="Verdana" w:cs="Arial"/>
          <w:sz w:val="20"/>
        </w:rPr>
        <w:t xml:space="preserve"> </w:t>
      </w:r>
      <w:r w:rsidR="006B20C8" w:rsidRPr="009D5EA7">
        <w:rPr>
          <w:rFonts w:ascii="Verdana" w:hAnsi="Verdana" w:cs="Arial"/>
          <w:sz w:val="20"/>
        </w:rPr>
        <w:t xml:space="preserve">Tampoco consta que instancias superiores se pronunciaran al respecto, ni </w:t>
      </w:r>
      <w:r w:rsidR="00B42E87" w:rsidRPr="009D5EA7">
        <w:rPr>
          <w:rFonts w:ascii="Verdana" w:hAnsi="Verdana" w:cs="Arial"/>
          <w:sz w:val="20"/>
        </w:rPr>
        <w:t xml:space="preserve">consta que dieran respuestas adecuadas cuando </w:t>
      </w:r>
      <w:r w:rsidR="006B20C8" w:rsidRPr="009D5EA7">
        <w:rPr>
          <w:rFonts w:ascii="Verdana" w:hAnsi="Verdana" w:cs="Arial"/>
          <w:sz w:val="20"/>
        </w:rPr>
        <w:t>otras</w:t>
      </w:r>
      <w:r w:rsidR="00B42E87" w:rsidRPr="009D5EA7">
        <w:rPr>
          <w:rFonts w:ascii="Verdana" w:hAnsi="Verdana" w:cs="Arial"/>
          <w:sz w:val="20"/>
        </w:rPr>
        <w:t xml:space="preserve"> actuaciones</w:t>
      </w:r>
      <w:r w:rsidR="00CF5007" w:rsidRPr="009D5EA7">
        <w:rPr>
          <w:rFonts w:ascii="Verdana" w:hAnsi="Verdana" w:cs="Arial"/>
          <w:sz w:val="20"/>
        </w:rPr>
        <w:t xml:space="preserve"> del juez</w:t>
      </w:r>
      <w:r w:rsidR="00B42E87" w:rsidRPr="009D5EA7">
        <w:rPr>
          <w:rFonts w:ascii="Verdana" w:hAnsi="Verdana" w:cs="Arial"/>
          <w:sz w:val="20"/>
        </w:rPr>
        <w:t xml:space="preserve"> fueron cuestionadas a través de incidentes de nul</w:t>
      </w:r>
      <w:r w:rsidR="00B80CE4">
        <w:rPr>
          <w:rFonts w:ascii="Verdana" w:hAnsi="Verdana" w:cs="Arial"/>
          <w:sz w:val="20"/>
        </w:rPr>
        <w:t>idad o de quejas disciplinarias</w:t>
      </w:r>
      <w:r w:rsidR="0083113B" w:rsidRPr="009D5EA7">
        <w:rPr>
          <w:rFonts w:ascii="Verdana" w:hAnsi="Verdana" w:cs="Arial"/>
          <w:sz w:val="20"/>
        </w:rPr>
        <w:t>.</w:t>
      </w:r>
      <w:r w:rsidR="00CF5007" w:rsidRPr="009D5EA7">
        <w:rPr>
          <w:rFonts w:ascii="Verdana" w:hAnsi="Verdana" w:cs="Arial"/>
          <w:sz w:val="20"/>
        </w:rPr>
        <w:t xml:space="preserve"> </w:t>
      </w:r>
    </w:p>
    <w:p w14:paraId="4DEC4A9D" w14:textId="77777777" w:rsidR="006B20C8" w:rsidRPr="009D5EA7" w:rsidRDefault="006B20C8" w:rsidP="006B20C8">
      <w:pPr>
        <w:pStyle w:val="Prrafodelista"/>
        <w:autoSpaceDE w:val="0"/>
        <w:autoSpaceDN w:val="0"/>
        <w:adjustRightInd w:val="0"/>
        <w:ind w:left="0" w:right="34"/>
        <w:jc w:val="both"/>
        <w:rPr>
          <w:rFonts w:ascii="Verdana" w:hAnsi="Verdana" w:cs="Arial"/>
          <w:sz w:val="20"/>
        </w:rPr>
      </w:pPr>
    </w:p>
    <w:p w14:paraId="33741F52" w14:textId="0B39416B" w:rsidR="00350966" w:rsidRPr="009D5EA7" w:rsidRDefault="00350966" w:rsidP="00350966">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 xml:space="preserve">En este sentido, es relevante </w:t>
      </w:r>
      <w:r w:rsidR="006B20C8" w:rsidRPr="009D5EA7">
        <w:rPr>
          <w:rFonts w:ascii="Verdana" w:hAnsi="Verdana" w:cs="Arial"/>
          <w:sz w:val="20"/>
        </w:rPr>
        <w:t xml:space="preserve">destacar que </w:t>
      </w:r>
      <w:r w:rsidRPr="009D5EA7">
        <w:rPr>
          <w:rFonts w:ascii="Verdana" w:hAnsi="Verdana" w:cs="Arial"/>
          <w:sz w:val="20"/>
        </w:rPr>
        <w:t xml:space="preserve">las quejas disciplinarias </w:t>
      </w:r>
      <w:r w:rsidR="006B20C8" w:rsidRPr="009D5EA7">
        <w:rPr>
          <w:rFonts w:ascii="Verdana" w:hAnsi="Verdana" w:cs="Arial"/>
          <w:sz w:val="20"/>
        </w:rPr>
        <w:t>interpuestas tampoco resultaron efectivas como mecanismo de control de la actividad jurisdiccional, en varias de las cuales se hizo específica referencia a la falta de im</w:t>
      </w:r>
      <w:r w:rsidR="00DE100B">
        <w:rPr>
          <w:rFonts w:ascii="Verdana" w:hAnsi="Verdana" w:cs="Arial"/>
          <w:sz w:val="20"/>
        </w:rPr>
        <w:t>parcialidad del juez instructor</w:t>
      </w:r>
      <w:r w:rsidR="006B20C8" w:rsidRPr="009D5EA7">
        <w:rPr>
          <w:rFonts w:ascii="Verdana" w:hAnsi="Verdana" w:cs="Arial"/>
          <w:sz w:val="20"/>
        </w:rPr>
        <w:t>. Ello</w:t>
      </w:r>
      <w:r w:rsidRPr="009D5EA7">
        <w:rPr>
          <w:rFonts w:ascii="Verdana" w:hAnsi="Verdana" w:cs="Arial"/>
          <w:sz w:val="20"/>
        </w:rPr>
        <w:t xml:space="preserve"> llevó a la señora Acosta a presentar una denuncia ante la Procuraduría para la Defensa de los Derechos Humanos, </w:t>
      </w:r>
      <w:r w:rsidR="006B20C8" w:rsidRPr="009D5EA7">
        <w:rPr>
          <w:rFonts w:ascii="Verdana" w:hAnsi="Verdana" w:cs="Arial"/>
          <w:sz w:val="20"/>
        </w:rPr>
        <w:t>la cual declaró que</w:t>
      </w:r>
      <w:r w:rsidRPr="009D5EA7">
        <w:rPr>
          <w:rFonts w:ascii="Verdana" w:hAnsi="Verdana" w:cs="Arial"/>
          <w:sz w:val="20"/>
        </w:rPr>
        <w:t xml:space="preserve"> los magistrados miembros de la Comisión de Régimen Disciplinario de la Corte Suprema de Justicia</w:t>
      </w:r>
      <w:r w:rsidR="006B20C8" w:rsidRPr="009D5EA7">
        <w:rPr>
          <w:rFonts w:ascii="Verdana" w:hAnsi="Verdana" w:cs="Arial"/>
          <w:sz w:val="20"/>
        </w:rPr>
        <w:t xml:space="preserve"> eran responsables por la violación de</w:t>
      </w:r>
      <w:r w:rsidR="00CC2F17" w:rsidRPr="009D5EA7">
        <w:rPr>
          <w:rFonts w:ascii="Verdana" w:hAnsi="Verdana" w:cs="Arial"/>
          <w:sz w:val="20"/>
        </w:rPr>
        <w:t xml:space="preserve">l derecho de acceso a </w:t>
      </w:r>
      <w:r w:rsidR="00171F64">
        <w:rPr>
          <w:rFonts w:ascii="Verdana" w:hAnsi="Verdana" w:cs="Arial"/>
          <w:sz w:val="20"/>
        </w:rPr>
        <w:t>una</w:t>
      </w:r>
      <w:r w:rsidR="00CC2F17" w:rsidRPr="009D5EA7">
        <w:rPr>
          <w:rFonts w:ascii="Verdana" w:hAnsi="Verdana" w:cs="Arial"/>
          <w:sz w:val="20"/>
        </w:rPr>
        <w:t xml:space="preserve"> justicia </w:t>
      </w:r>
      <w:r w:rsidR="00171F64">
        <w:rPr>
          <w:rFonts w:ascii="Verdana" w:hAnsi="Verdana" w:cs="Arial"/>
          <w:sz w:val="20"/>
        </w:rPr>
        <w:t xml:space="preserve">pronta </w:t>
      </w:r>
      <w:r w:rsidR="006B20C8" w:rsidRPr="009D5EA7">
        <w:rPr>
          <w:rFonts w:ascii="Verdana" w:hAnsi="Verdana" w:cs="Arial"/>
          <w:sz w:val="20"/>
        </w:rPr>
        <w:t>de la señora Acosta y recomendó que se instara a dicha Comisión a resolver las quejas pendientes</w:t>
      </w:r>
      <w:r w:rsidRPr="009D5EA7">
        <w:rPr>
          <w:rFonts w:ascii="Verdana" w:hAnsi="Verdana" w:cs="Arial"/>
          <w:sz w:val="20"/>
        </w:rPr>
        <w:t>. En su informe final, esa Procuraduría concluyó que la Presidenta de la Corte Suprema había desacatado sus recomendaciones y no había remitido información al respecto.</w:t>
      </w:r>
    </w:p>
    <w:p w14:paraId="3521409B" w14:textId="77777777" w:rsidR="0083113B" w:rsidRPr="009D5EA7" w:rsidRDefault="0083113B" w:rsidP="0083113B">
      <w:pPr>
        <w:pStyle w:val="Prrafodelista"/>
        <w:rPr>
          <w:rFonts w:ascii="Verdana" w:hAnsi="Verdana" w:cs="Arial"/>
          <w:sz w:val="20"/>
        </w:rPr>
      </w:pPr>
    </w:p>
    <w:p w14:paraId="59E80554" w14:textId="40C28317" w:rsidR="0083113B" w:rsidRPr="009D5EA7" w:rsidRDefault="0083113B" w:rsidP="00350966">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 xml:space="preserve">En atención a lo anterior, la Corte considera que el proceso penal fue llevado a cabo en su parte inicial y determinante por un juez que incurrió en actos que </w:t>
      </w:r>
      <w:r w:rsidR="00AE208E" w:rsidRPr="00DE100B">
        <w:rPr>
          <w:rFonts w:ascii="Verdana" w:hAnsi="Verdana" w:cs="Arial"/>
          <w:sz w:val="20"/>
        </w:rPr>
        <w:t>deben</w:t>
      </w:r>
      <w:r w:rsidRPr="00DE100B">
        <w:rPr>
          <w:rFonts w:ascii="Verdana" w:hAnsi="Verdana" w:cs="Arial"/>
          <w:sz w:val="20"/>
        </w:rPr>
        <w:t xml:space="preserve"> ser calificados como </w:t>
      </w:r>
      <w:r w:rsidR="00FA6331" w:rsidRPr="00DE100B">
        <w:rPr>
          <w:rFonts w:ascii="Verdana" w:hAnsi="Verdana" w:cs="Arial"/>
          <w:sz w:val="20"/>
        </w:rPr>
        <w:t>parcializados</w:t>
      </w:r>
      <w:r w:rsidRPr="009D5EA7">
        <w:rPr>
          <w:rFonts w:ascii="Verdana" w:hAnsi="Verdana" w:cs="Arial"/>
          <w:sz w:val="20"/>
        </w:rPr>
        <w:t xml:space="preserve"> y, además, el Estado no garantizó adecuadamente </w:t>
      </w:r>
      <w:r w:rsidR="00AE208E">
        <w:rPr>
          <w:rFonts w:ascii="Verdana" w:hAnsi="Verdana" w:cs="Arial"/>
          <w:sz w:val="20"/>
        </w:rPr>
        <w:t>el</w:t>
      </w:r>
      <w:r w:rsidRPr="009D5EA7">
        <w:rPr>
          <w:rFonts w:ascii="Verdana" w:hAnsi="Verdana" w:cs="Arial"/>
          <w:sz w:val="20"/>
        </w:rPr>
        <w:t xml:space="preserve"> derecho a</w:t>
      </w:r>
      <w:r w:rsidR="00AE208E">
        <w:rPr>
          <w:rFonts w:ascii="Verdana" w:hAnsi="Verdana" w:cs="Arial"/>
          <w:sz w:val="20"/>
        </w:rPr>
        <w:t xml:space="preserve"> ser oído por jueces imparciales a</w:t>
      </w:r>
      <w:r w:rsidRPr="009D5EA7">
        <w:rPr>
          <w:rFonts w:ascii="Verdana" w:hAnsi="Verdana" w:cs="Arial"/>
          <w:sz w:val="20"/>
        </w:rPr>
        <w:t xml:space="preserve"> </w:t>
      </w:r>
      <w:r w:rsidR="00763DCA" w:rsidRPr="009D5EA7">
        <w:rPr>
          <w:rFonts w:ascii="Verdana" w:hAnsi="Verdana" w:cs="Arial"/>
          <w:sz w:val="20"/>
        </w:rPr>
        <w:t>través</w:t>
      </w:r>
      <w:r w:rsidRPr="009D5EA7">
        <w:rPr>
          <w:rFonts w:ascii="Verdana" w:hAnsi="Verdana" w:cs="Arial"/>
          <w:sz w:val="20"/>
        </w:rPr>
        <w:t xml:space="preserve"> de las instancias superiores. En consecuencia, el Estado es responsable por la violación del derecho a </w:t>
      </w:r>
      <w:r w:rsidR="00D3658F" w:rsidRPr="009D5EA7">
        <w:rPr>
          <w:rFonts w:ascii="Verdana" w:hAnsi="Verdana" w:cs="Arial"/>
          <w:sz w:val="20"/>
        </w:rPr>
        <w:t xml:space="preserve">ser oído por </w:t>
      </w:r>
      <w:r w:rsidRPr="009D5EA7">
        <w:rPr>
          <w:rFonts w:ascii="Verdana" w:hAnsi="Verdana" w:cs="Arial"/>
          <w:sz w:val="20"/>
        </w:rPr>
        <w:t xml:space="preserve">jueces imparciales, en los términos del artículo 8.1 de la Convención, en perjuicio </w:t>
      </w:r>
      <w:r w:rsidR="00396B12" w:rsidRPr="009D5EA7">
        <w:rPr>
          <w:rFonts w:ascii="Verdana" w:hAnsi="Verdana" w:cs="Arial"/>
          <w:sz w:val="20"/>
        </w:rPr>
        <w:t>de la señora Acosta</w:t>
      </w:r>
      <w:r w:rsidRPr="009D5EA7">
        <w:rPr>
          <w:rFonts w:ascii="Verdana" w:hAnsi="Verdana" w:cs="Arial"/>
          <w:sz w:val="20"/>
        </w:rPr>
        <w:t xml:space="preserve">. </w:t>
      </w:r>
    </w:p>
    <w:p w14:paraId="6799F1E8" w14:textId="77777777" w:rsidR="00755785" w:rsidRPr="009D5EA7" w:rsidRDefault="00755785" w:rsidP="00755785">
      <w:pPr>
        <w:pStyle w:val="Prrafodelista"/>
        <w:rPr>
          <w:rFonts w:ascii="Verdana" w:hAnsi="Verdana" w:cs="Arial"/>
          <w:sz w:val="20"/>
        </w:rPr>
      </w:pPr>
    </w:p>
    <w:p w14:paraId="49D76712" w14:textId="2E8F5FDE" w:rsidR="00755785" w:rsidRPr="009D5EA7" w:rsidRDefault="00755785" w:rsidP="00447734">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 xml:space="preserve">Por otro lado, la Corte hace notar que las representantes no han presentado argumentos suficientes, más allá de </w:t>
      </w:r>
      <w:r w:rsidR="00FA6A9B" w:rsidRPr="009D5EA7">
        <w:rPr>
          <w:rFonts w:ascii="Verdana" w:hAnsi="Verdana" w:cs="Arial"/>
          <w:sz w:val="20"/>
        </w:rPr>
        <w:t xml:space="preserve">destacar </w:t>
      </w:r>
      <w:r w:rsidRPr="009D5EA7">
        <w:rPr>
          <w:rFonts w:ascii="Verdana" w:hAnsi="Verdana" w:cs="Arial"/>
          <w:sz w:val="20"/>
        </w:rPr>
        <w:t>una serie de fuentes sobre</w:t>
      </w:r>
      <w:r w:rsidR="00171F64">
        <w:rPr>
          <w:rFonts w:ascii="Verdana" w:hAnsi="Verdana" w:cs="Arial"/>
          <w:sz w:val="20"/>
        </w:rPr>
        <w:t xml:space="preserve"> alegada</w:t>
      </w:r>
      <w:r w:rsidRPr="009D5EA7">
        <w:rPr>
          <w:rFonts w:ascii="Verdana" w:hAnsi="Verdana" w:cs="Arial"/>
          <w:sz w:val="20"/>
        </w:rPr>
        <w:t xml:space="preserve"> falta de inde</w:t>
      </w:r>
      <w:r w:rsidR="00763DCA" w:rsidRPr="009D5EA7">
        <w:rPr>
          <w:rFonts w:ascii="Verdana" w:hAnsi="Verdana" w:cs="Arial"/>
          <w:sz w:val="20"/>
        </w:rPr>
        <w:t>pe</w:t>
      </w:r>
      <w:r w:rsidRPr="009D5EA7">
        <w:rPr>
          <w:rFonts w:ascii="Verdana" w:hAnsi="Verdana" w:cs="Arial"/>
          <w:sz w:val="20"/>
        </w:rPr>
        <w:t xml:space="preserve">ndencia del Poder Judicial nicaragüense </w:t>
      </w:r>
      <w:r w:rsidR="00FA6A9B" w:rsidRPr="009D5EA7">
        <w:rPr>
          <w:rFonts w:ascii="Verdana" w:hAnsi="Verdana" w:cs="Arial"/>
          <w:sz w:val="20"/>
        </w:rPr>
        <w:t xml:space="preserve">que refieren a períodos que no coinciden con </w:t>
      </w:r>
      <w:r w:rsidRPr="009D5EA7">
        <w:rPr>
          <w:rFonts w:ascii="Verdana" w:hAnsi="Verdana" w:cs="Arial"/>
          <w:sz w:val="20"/>
        </w:rPr>
        <w:t xml:space="preserve">los hechos del presente caso, que permitan analizar </w:t>
      </w:r>
      <w:r w:rsidR="00CF2C16" w:rsidRPr="009D5EA7">
        <w:rPr>
          <w:rFonts w:ascii="Verdana" w:hAnsi="Verdana" w:cs="Arial"/>
          <w:sz w:val="20"/>
        </w:rPr>
        <w:t xml:space="preserve">si los </w:t>
      </w:r>
      <w:r w:rsidR="00DE100B">
        <w:rPr>
          <w:rFonts w:ascii="Verdana" w:hAnsi="Verdana" w:cs="Arial"/>
          <w:sz w:val="20"/>
        </w:rPr>
        <w:t>funcionarios</w:t>
      </w:r>
      <w:r w:rsidR="00CF2C16" w:rsidRPr="009D5EA7">
        <w:rPr>
          <w:rFonts w:ascii="Verdana" w:hAnsi="Verdana" w:cs="Arial"/>
          <w:sz w:val="20"/>
        </w:rPr>
        <w:t xml:space="preserve"> de la administración de justicia que intervinieron en este caso </w:t>
      </w:r>
      <w:r w:rsidRPr="009D5EA7">
        <w:rPr>
          <w:rFonts w:ascii="Verdana" w:hAnsi="Verdana" w:cs="Arial"/>
          <w:sz w:val="20"/>
        </w:rPr>
        <w:t xml:space="preserve">se </w:t>
      </w:r>
      <w:r w:rsidR="00CF2C16" w:rsidRPr="009D5EA7">
        <w:rPr>
          <w:rFonts w:ascii="Verdana" w:hAnsi="Verdana" w:cs="Arial"/>
          <w:sz w:val="20"/>
        </w:rPr>
        <w:t xml:space="preserve">vieron </w:t>
      </w:r>
      <w:r w:rsidRPr="009D5EA7">
        <w:rPr>
          <w:rFonts w:ascii="Verdana" w:hAnsi="Verdana" w:cs="Arial"/>
          <w:sz w:val="20"/>
        </w:rPr>
        <w:t xml:space="preserve">sometidos a restricciones indebidas en el ejercicio de su función por parte de órganos ajenos al Poder Judicial. </w:t>
      </w:r>
      <w:r w:rsidR="00CF2C16" w:rsidRPr="009D5EA7">
        <w:rPr>
          <w:rFonts w:ascii="Verdana" w:hAnsi="Verdana" w:cs="Arial"/>
          <w:sz w:val="20"/>
        </w:rPr>
        <w:t>Las representantes tampoco presentaron alegatos</w:t>
      </w:r>
      <w:r w:rsidR="008078EC" w:rsidRPr="009D5EA7">
        <w:rPr>
          <w:rFonts w:ascii="Verdana" w:hAnsi="Verdana" w:cs="Arial"/>
          <w:sz w:val="20"/>
        </w:rPr>
        <w:t>,</w:t>
      </w:r>
      <w:r w:rsidR="00CF2C16" w:rsidRPr="009D5EA7">
        <w:rPr>
          <w:rFonts w:ascii="Verdana" w:hAnsi="Verdana" w:cs="Arial"/>
          <w:sz w:val="20"/>
        </w:rPr>
        <w:t xml:space="preserve"> con una adecuada relación probatoria</w:t>
      </w:r>
      <w:r w:rsidR="008078EC" w:rsidRPr="009D5EA7">
        <w:rPr>
          <w:rFonts w:ascii="Verdana" w:hAnsi="Verdana" w:cs="Arial"/>
          <w:sz w:val="20"/>
        </w:rPr>
        <w:t>,</w:t>
      </w:r>
      <w:r w:rsidR="00CF2C16" w:rsidRPr="009D5EA7">
        <w:rPr>
          <w:rFonts w:ascii="Verdana" w:hAnsi="Verdana" w:cs="Arial"/>
          <w:sz w:val="20"/>
        </w:rPr>
        <w:t xml:space="preserve"> que permita</w:t>
      </w:r>
      <w:r w:rsidR="008078EC" w:rsidRPr="009D5EA7">
        <w:rPr>
          <w:rFonts w:ascii="Verdana" w:hAnsi="Verdana" w:cs="Arial"/>
          <w:sz w:val="20"/>
        </w:rPr>
        <w:t>n</w:t>
      </w:r>
      <w:r w:rsidR="00CF2C16" w:rsidRPr="009D5EA7">
        <w:rPr>
          <w:rFonts w:ascii="Verdana" w:hAnsi="Verdana" w:cs="Arial"/>
          <w:sz w:val="20"/>
        </w:rPr>
        <w:t xml:space="preserve"> analizar si determinados problemas en los </w:t>
      </w:r>
      <w:r w:rsidRPr="009D5EA7">
        <w:rPr>
          <w:rFonts w:ascii="Verdana" w:hAnsi="Verdana" w:cs="Arial"/>
          <w:sz w:val="20"/>
        </w:rPr>
        <w:t>proceso</w:t>
      </w:r>
      <w:r w:rsidR="00CF2C16" w:rsidRPr="009D5EA7">
        <w:rPr>
          <w:rFonts w:ascii="Verdana" w:hAnsi="Verdana" w:cs="Arial"/>
          <w:sz w:val="20"/>
        </w:rPr>
        <w:t>s de nombramiento de jueces, o de falta de garantías para el ejercicio autónomo de la función judicial, de inamovilidad en el cargo o</w:t>
      </w:r>
      <w:r w:rsidRPr="009D5EA7">
        <w:rPr>
          <w:rFonts w:ascii="Verdana" w:hAnsi="Verdana" w:cs="Arial"/>
          <w:sz w:val="20"/>
        </w:rPr>
        <w:t xml:space="preserve"> contra presiones externas</w:t>
      </w:r>
      <w:r w:rsidR="00CF2C16" w:rsidRPr="009D5EA7">
        <w:rPr>
          <w:rFonts w:ascii="Verdana" w:hAnsi="Verdana" w:cs="Arial"/>
          <w:sz w:val="20"/>
        </w:rPr>
        <w:t xml:space="preserve">, se vieron reflejados en los procesos e instancias judiciales </w:t>
      </w:r>
      <w:r w:rsidR="008078EC" w:rsidRPr="009D5EA7">
        <w:rPr>
          <w:rFonts w:ascii="Verdana" w:hAnsi="Verdana" w:cs="Arial"/>
          <w:sz w:val="20"/>
        </w:rPr>
        <w:t>en este caso o</w:t>
      </w:r>
      <w:r w:rsidR="00CF2C16" w:rsidRPr="009D5EA7">
        <w:rPr>
          <w:rFonts w:ascii="Verdana" w:hAnsi="Verdana" w:cs="Arial"/>
          <w:sz w:val="20"/>
        </w:rPr>
        <w:t xml:space="preserve"> como ello habría afectado los derechos de las presuntas víctimas a </w:t>
      </w:r>
      <w:r w:rsidR="00D27F15" w:rsidRPr="009D5EA7">
        <w:rPr>
          <w:rFonts w:ascii="Verdana" w:hAnsi="Verdana" w:cs="Arial"/>
          <w:sz w:val="20"/>
        </w:rPr>
        <w:t xml:space="preserve">ser oídas por </w:t>
      </w:r>
      <w:r w:rsidR="00CF2C16" w:rsidRPr="009D5EA7">
        <w:rPr>
          <w:rFonts w:ascii="Verdana" w:hAnsi="Verdana" w:cs="Arial"/>
          <w:sz w:val="20"/>
        </w:rPr>
        <w:t>jueces independientes</w:t>
      </w:r>
      <w:r w:rsidRPr="009D5EA7">
        <w:rPr>
          <w:rFonts w:ascii="Verdana" w:hAnsi="Verdana" w:cs="Arial"/>
          <w:sz w:val="20"/>
        </w:rPr>
        <w:t xml:space="preserve">. </w:t>
      </w:r>
      <w:r w:rsidR="00CF2C16" w:rsidRPr="009D5EA7">
        <w:rPr>
          <w:rFonts w:ascii="Verdana" w:hAnsi="Verdana" w:cs="Arial"/>
          <w:sz w:val="20"/>
        </w:rPr>
        <w:t xml:space="preserve">En consecuencia, las representantes no han demostrado la alegada responsabilidad del Estado bajo </w:t>
      </w:r>
      <w:r w:rsidR="005F65FD">
        <w:rPr>
          <w:rFonts w:ascii="Verdana" w:hAnsi="Verdana" w:cs="Arial"/>
          <w:sz w:val="20"/>
        </w:rPr>
        <w:t>el artículo</w:t>
      </w:r>
      <w:r w:rsidR="00CF2C16" w:rsidRPr="009D5EA7">
        <w:rPr>
          <w:rFonts w:ascii="Verdana" w:hAnsi="Verdana" w:cs="Arial"/>
          <w:sz w:val="20"/>
        </w:rPr>
        <w:t xml:space="preserve"> 8.1 de la Convención en este sentido.</w:t>
      </w:r>
    </w:p>
    <w:p w14:paraId="0DEA09D2" w14:textId="77777777" w:rsidR="001943A4" w:rsidRPr="009D5EA7" w:rsidRDefault="001943A4" w:rsidP="00A75D94">
      <w:pPr>
        <w:pStyle w:val="Prrafodelista"/>
        <w:autoSpaceDE w:val="0"/>
        <w:autoSpaceDN w:val="0"/>
        <w:adjustRightInd w:val="0"/>
        <w:ind w:left="0" w:right="34"/>
        <w:jc w:val="both"/>
        <w:rPr>
          <w:rFonts w:ascii="Verdana" w:hAnsi="Verdana" w:cs="Verdana"/>
          <w:sz w:val="20"/>
          <w:lang w:bidi="en-US"/>
        </w:rPr>
      </w:pPr>
    </w:p>
    <w:p w14:paraId="623306D5" w14:textId="6F446419" w:rsidR="00A75D94" w:rsidRPr="009D5EA7" w:rsidRDefault="00A75D94" w:rsidP="00A75D94">
      <w:pPr>
        <w:pStyle w:val="Prrafodelista"/>
        <w:autoSpaceDE w:val="0"/>
        <w:autoSpaceDN w:val="0"/>
        <w:adjustRightInd w:val="0"/>
        <w:ind w:left="2124" w:right="34" w:hanging="708"/>
        <w:jc w:val="both"/>
        <w:rPr>
          <w:b/>
          <w:sz w:val="24"/>
          <w:szCs w:val="24"/>
        </w:rPr>
      </w:pPr>
      <w:r w:rsidRPr="009D5EA7">
        <w:rPr>
          <w:rFonts w:ascii="Verdana" w:hAnsi="Verdana"/>
          <w:b/>
          <w:i/>
          <w:sz w:val="20"/>
        </w:rPr>
        <w:t>e)</w:t>
      </w:r>
      <w:r w:rsidRPr="009D5EA7">
        <w:rPr>
          <w:rFonts w:ascii="Verdana" w:hAnsi="Verdana"/>
          <w:b/>
          <w:i/>
          <w:sz w:val="20"/>
        </w:rPr>
        <w:tab/>
        <w:t xml:space="preserve"> Alegada violación del principio de plazo razonable</w:t>
      </w:r>
    </w:p>
    <w:p w14:paraId="5A9A05F3" w14:textId="77777777" w:rsidR="00A75D94" w:rsidRPr="009D5EA7" w:rsidRDefault="00A75D94" w:rsidP="00A75D94">
      <w:pPr>
        <w:spacing w:after="0" w:line="240" w:lineRule="auto"/>
        <w:jc w:val="both"/>
        <w:rPr>
          <w:i/>
          <w:szCs w:val="24"/>
          <w:lang w:val="es-ES_tradnl"/>
        </w:rPr>
      </w:pPr>
    </w:p>
    <w:p w14:paraId="61E31CAF" w14:textId="77777777" w:rsidR="00A75D94" w:rsidRPr="009D5EA7" w:rsidRDefault="00A75D94" w:rsidP="00A75D94">
      <w:pPr>
        <w:pStyle w:val="Prrafodelista"/>
        <w:numPr>
          <w:ilvl w:val="0"/>
          <w:numId w:val="5"/>
        </w:numPr>
        <w:autoSpaceDE w:val="0"/>
        <w:autoSpaceDN w:val="0"/>
        <w:adjustRightInd w:val="0"/>
        <w:ind w:left="0" w:right="34" w:firstLine="0"/>
        <w:jc w:val="both"/>
        <w:rPr>
          <w:rFonts w:ascii="Verdana" w:eastAsia="Calibri" w:hAnsi="Verdana"/>
          <w:sz w:val="20"/>
        </w:rPr>
      </w:pPr>
      <w:r w:rsidRPr="009D5EA7">
        <w:rPr>
          <w:rFonts w:ascii="Verdana" w:hAnsi="Verdana"/>
          <w:color w:val="000000"/>
          <w:sz w:val="20"/>
        </w:rPr>
        <w:t xml:space="preserve">En cuanto a la celeridad del proceso en general, este Tribunal ha señalado que el “plazo razonable” al que se refiere </w:t>
      </w:r>
      <w:r w:rsidRPr="009D5EA7">
        <w:rPr>
          <w:rFonts w:ascii="Verdana" w:hAnsi="Verdana" w:cs="Verdana"/>
          <w:sz w:val="20"/>
          <w:lang w:bidi="en-US"/>
        </w:rPr>
        <w:t>el</w:t>
      </w:r>
      <w:r w:rsidRPr="009D5EA7">
        <w:rPr>
          <w:rFonts w:ascii="Verdana" w:hAnsi="Verdana"/>
          <w:color w:val="000000"/>
          <w:sz w:val="20"/>
        </w:rPr>
        <w:t xml:space="preserve"> artículo 8.1 de la Convención se debe apreciar en relación con la </w:t>
      </w:r>
      <w:r w:rsidRPr="009D5EA7">
        <w:rPr>
          <w:rFonts w:ascii="Verdana" w:eastAsia="Batang" w:hAnsi="Verdana"/>
          <w:bCs/>
          <w:snapToGrid w:val="0"/>
          <w:color w:val="000000"/>
          <w:kern w:val="32"/>
          <w:sz w:val="20"/>
          <w:lang w:eastAsia="es-ES"/>
        </w:rPr>
        <w:t>duración</w:t>
      </w:r>
      <w:r w:rsidRPr="009D5EA7">
        <w:rPr>
          <w:rFonts w:ascii="Verdana" w:hAnsi="Verdana"/>
          <w:color w:val="000000"/>
          <w:sz w:val="20"/>
        </w:rPr>
        <w:t xml:space="preserve"> total del procedimiento que se desarrolla hasta que se dicta la sentencia definitiva, </w:t>
      </w:r>
      <w:r w:rsidRPr="009D5EA7">
        <w:rPr>
          <w:rFonts w:ascii="Verdana" w:hAnsi="Verdana"/>
          <w:color w:val="000000"/>
          <w:sz w:val="20"/>
        </w:rPr>
        <w:lastRenderedPageBreak/>
        <w:t>pues una demora prolongada puede llegar a constituir, por sí misma, una violación de las garantías judiciales</w:t>
      </w:r>
      <w:r w:rsidRPr="009D5EA7">
        <w:rPr>
          <w:rStyle w:val="Refdenotaalpie"/>
          <w:rFonts w:ascii="Verdana" w:hAnsi="Verdana"/>
          <w:color w:val="000000"/>
          <w:sz w:val="20"/>
        </w:rPr>
        <w:footnoteReference w:id="173"/>
      </w:r>
      <w:r w:rsidRPr="009D5EA7">
        <w:rPr>
          <w:rFonts w:ascii="Verdana" w:hAnsi="Verdana"/>
          <w:color w:val="000000"/>
          <w:sz w:val="20"/>
        </w:rPr>
        <w:t xml:space="preserve">. </w:t>
      </w:r>
    </w:p>
    <w:p w14:paraId="60D04482" w14:textId="77777777" w:rsidR="00A75D94" w:rsidRPr="009D5EA7" w:rsidRDefault="00A75D94" w:rsidP="00A75D94">
      <w:pPr>
        <w:pStyle w:val="Prrafodelista"/>
        <w:autoSpaceDE w:val="0"/>
        <w:autoSpaceDN w:val="0"/>
        <w:adjustRightInd w:val="0"/>
        <w:ind w:left="0" w:right="34"/>
        <w:jc w:val="both"/>
        <w:rPr>
          <w:rFonts w:ascii="Verdana" w:eastAsia="Calibri" w:hAnsi="Verdana"/>
          <w:sz w:val="20"/>
        </w:rPr>
      </w:pPr>
    </w:p>
    <w:p w14:paraId="190DE66F" w14:textId="0000A384" w:rsidR="003441E0" w:rsidRPr="009D5EA7" w:rsidRDefault="00A75D94" w:rsidP="003441E0">
      <w:pPr>
        <w:pStyle w:val="Prrafodelista"/>
        <w:numPr>
          <w:ilvl w:val="0"/>
          <w:numId w:val="5"/>
        </w:numPr>
        <w:autoSpaceDE w:val="0"/>
        <w:autoSpaceDN w:val="0"/>
        <w:adjustRightInd w:val="0"/>
        <w:ind w:left="0" w:right="34" w:firstLine="0"/>
        <w:jc w:val="both"/>
        <w:rPr>
          <w:rFonts w:ascii="Verdana" w:hAnsi="Verdana" w:cs="Verdana"/>
          <w:color w:val="000000"/>
          <w:sz w:val="20"/>
        </w:rPr>
      </w:pPr>
      <w:r w:rsidRPr="009D5EA7">
        <w:rPr>
          <w:rFonts w:ascii="Verdana" w:hAnsi="Verdana" w:cs="Verdana"/>
          <w:color w:val="000000"/>
          <w:sz w:val="20"/>
        </w:rPr>
        <w:t xml:space="preserve">La Comisión y las representantes han planteado que </w:t>
      </w:r>
      <w:r w:rsidR="00A06872">
        <w:rPr>
          <w:rFonts w:ascii="Verdana" w:hAnsi="Verdana" w:cs="Verdana"/>
          <w:color w:val="000000"/>
          <w:sz w:val="20"/>
        </w:rPr>
        <w:t xml:space="preserve">tanto </w:t>
      </w:r>
      <w:r w:rsidR="001943A4">
        <w:rPr>
          <w:rFonts w:ascii="Verdana" w:hAnsi="Verdana" w:cs="Verdana"/>
          <w:color w:val="000000"/>
          <w:sz w:val="20"/>
        </w:rPr>
        <w:t>en</w:t>
      </w:r>
      <w:r w:rsidR="00A06872">
        <w:rPr>
          <w:rFonts w:ascii="Verdana" w:hAnsi="Verdana" w:cs="Verdana"/>
          <w:color w:val="000000"/>
          <w:sz w:val="20"/>
        </w:rPr>
        <w:t xml:space="preserve"> las quejas disciplinarias como</w:t>
      </w:r>
      <w:r w:rsidR="003441E0" w:rsidRPr="009D5EA7">
        <w:rPr>
          <w:rFonts w:ascii="Verdana" w:hAnsi="Verdana" w:cs="Verdana"/>
          <w:color w:val="000000"/>
          <w:sz w:val="20"/>
        </w:rPr>
        <w:t xml:space="preserve"> </w:t>
      </w:r>
      <w:r w:rsidR="001943A4">
        <w:rPr>
          <w:rFonts w:ascii="Verdana" w:hAnsi="Verdana" w:cs="Verdana"/>
          <w:color w:val="000000"/>
          <w:sz w:val="20"/>
        </w:rPr>
        <w:t xml:space="preserve">en </w:t>
      </w:r>
      <w:r w:rsidRPr="009D5EA7">
        <w:rPr>
          <w:rFonts w:ascii="Verdana" w:hAnsi="Verdana" w:cs="Verdana"/>
          <w:color w:val="000000"/>
          <w:sz w:val="20"/>
        </w:rPr>
        <w:t xml:space="preserve">el proceso penal, que duró cuatro años y ocho meses hasta la decisión de casación, se incumplió la referida garantía porque el caso no era complejo y existieron dilaciones injustificadas, particularmente de la Sala Penal de la Corte Suprema de Justicia que tardó dos años en resolver un recurso de casación. </w:t>
      </w:r>
    </w:p>
    <w:p w14:paraId="5EA9B211" w14:textId="77777777" w:rsidR="003441E0" w:rsidRPr="009D5EA7" w:rsidRDefault="003441E0" w:rsidP="003441E0">
      <w:pPr>
        <w:pStyle w:val="Prrafodelista"/>
        <w:autoSpaceDE w:val="0"/>
        <w:autoSpaceDN w:val="0"/>
        <w:adjustRightInd w:val="0"/>
        <w:ind w:left="0" w:right="34"/>
        <w:jc w:val="both"/>
        <w:rPr>
          <w:rFonts w:ascii="Verdana" w:hAnsi="Verdana" w:cs="Verdana"/>
          <w:color w:val="000000"/>
          <w:sz w:val="20"/>
        </w:rPr>
      </w:pPr>
    </w:p>
    <w:p w14:paraId="30E10E63" w14:textId="48363705" w:rsidR="00A75D94" w:rsidRPr="009D5EA7" w:rsidRDefault="003441E0" w:rsidP="003441E0">
      <w:pPr>
        <w:pStyle w:val="Prrafodelista"/>
        <w:numPr>
          <w:ilvl w:val="0"/>
          <w:numId w:val="5"/>
        </w:numPr>
        <w:autoSpaceDE w:val="0"/>
        <w:autoSpaceDN w:val="0"/>
        <w:adjustRightInd w:val="0"/>
        <w:ind w:left="0" w:right="34" w:firstLine="0"/>
        <w:jc w:val="both"/>
        <w:rPr>
          <w:rFonts w:ascii="Verdana" w:hAnsi="Verdana" w:cs="Verdana"/>
          <w:color w:val="000000"/>
          <w:sz w:val="20"/>
        </w:rPr>
      </w:pPr>
      <w:r w:rsidRPr="009D5EA7">
        <w:rPr>
          <w:rFonts w:ascii="Verdana" w:hAnsi="Verdana" w:cs="Verdana"/>
          <w:color w:val="000000"/>
          <w:sz w:val="20"/>
        </w:rPr>
        <w:t>Respecto del proceso penal</w:t>
      </w:r>
      <w:r w:rsidR="00A75D94" w:rsidRPr="009D5EA7">
        <w:rPr>
          <w:rFonts w:ascii="Verdana" w:hAnsi="Verdana" w:cs="Verdana"/>
          <w:color w:val="000000"/>
          <w:sz w:val="20"/>
        </w:rPr>
        <w:t xml:space="preserve">, la Corte </w:t>
      </w:r>
      <w:r w:rsidR="00124D40">
        <w:rPr>
          <w:rFonts w:ascii="Verdana" w:hAnsi="Verdana" w:cs="Verdana"/>
          <w:color w:val="000000"/>
          <w:sz w:val="20"/>
        </w:rPr>
        <w:t>estima</w:t>
      </w:r>
      <w:r w:rsidR="00124D40" w:rsidRPr="009D5EA7">
        <w:rPr>
          <w:rFonts w:ascii="Verdana" w:hAnsi="Verdana" w:cs="Verdana"/>
          <w:color w:val="000000"/>
          <w:sz w:val="20"/>
        </w:rPr>
        <w:t xml:space="preserve"> </w:t>
      </w:r>
      <w:r w:rsidR="00A75D94" w:rsidRPr="009D5EA7">
        <w:rPr>
          <w:rFonts w:ascii="Verdana" w:hAnsi="Verdana" w:cs="Verdana"/>
          <w:color w:val="000000"/>
          <w:sz w:val="20"/>
        </w:rPr>
        <w:t xml:space="preserve">que los elementos aportados no demuestran que el Estado incurriera en responsabilidad por violación del principio de plazo razonable. </w:t>
      </w:r>
    </w:p>
    <w:p w14:paraId="44F1B9AA" w14:textId="77777777" w:rsidR="00A75D94" w:rsidRPr="009D5EA7" w:rsidRDefault="00A75D94" w:rsidP="00A75D94">
      <w:pPr>
        <w:pStyle w:val="Prrafodelista"/>
        <w:rPr>
          <w:rFonts w:ascii="Verdana" w:hAnsi="Verdana" w:cs="Verdana"/>
          <w:color w:val="000000"/>
          <w:sz w:val="20"/>
        </w:rPr>
      </w:pPr>
    </w:p>
    <w:p w14:paraId="086C9676" w14:textId="40EA4854" w:rsidR="00A75D94" w:rsidRPr="009D5EA7" w:rsidRDefault="00A75D94" w:rsidP="00A75D94">
      <w:pPr>
        <w:pStyle w:val="Prrafodelista"/>
        <w:numPr>
          <w:ilvl w:val="0"/>
          <w:numId w:val="5"/>
        </w:numPr>
        <w:autoSpaceDE w:val="0"/>
        <w:autoSpaceDN w:val="0"/>
        <w:adjustRightInd w:val="0"/>
        <w:ind w:left="0" w:right="34" w:firstLine="0"/>
        <w:jc w:val="both"/>
        <w:rPr>
          <w:rFonts w:ascii="Verdana" w:hAnsi="Verdana" w:cs="Verdana"/>
          <w:color w:val="000000"/>
          <w:sz w:val="20"/>
        </w:rPr>
      </w:pPr>
      <w:r w:rsidRPr="009D5EA7">
        <w:rPr>
          <w:rFonts w:ascii="Verdana" w:hAnsi="Verdana" w:cs="Verdana"/>
          <w:color w:val="000000"/>
          <w:sz w:val="20"/>
        </w:rPr>
        <w:t>En cuanto a los procedimientos disciplinarios, la Corte considera que en principio s</w:t>
      </w:r>
      <w:r w:rsidR="00685726" w:rsidRPr="009D5EA7">
        <w:rPr>
          <w:rFonts w:ascii="Verdana" w:hAnsi="Verdana" w:cs="Verdana"/>
          <w:color w:val="000000"/>
          <w:sz w:val="20"/>
        </w:rPr>
        <w:t>í pueden ser analizados</w:t>
      </w:r>
      <w:r w:rsidRPr="009D5EA7">
        <w:rPr>
          <w:rFonts w:ascii="Verdana" w:hAnsi="Verdana" w:cs="Verdana"/>
          <w:color w:val="000000"/>
          <w:sz w:val="20"/>
        </w:rPr>
        <w:t xml:space="preserve"> bajo dicha garantía. En el presente caso, no consta que la Comisión de Régimen Disciplinario de la Corte Suprema de Justicia adoptara diligencias de investigación o procedimiento relevantes y el hecho de que la señora Acosta fuera notificada en septiembre de 2016 acerca de supuestas resoluciones dictadas en mayo de 2005 y junio de 2006 en que se habrían desestimado las quejas, pone de manifiesto el evidente retardo y falta de seriedad en activar diligentemente tales procedimientos. Esto también fue constatado por </w:t>
      </w:r>
      <w:r w:rsidRPr="009D5EA7">
        <w:rPr>
          <w:rFonts w:ascii="Verdana" w:hAnsi="Verdana" w:cs="Arial"/>
          <w:sz w:val="20"/>
        </w:rPr>
        <w:t>la Procuraduría para la Defensa de los Derechos Humanos, que declaró “que los magistrados miembros de la [referida] Comisión […] vulneraron el derecho de acceso a una justicia pronta [de la señora Acosta] por acci</w:t>
      </w:r>
      <w:r w:rsidR="00DE100B">
        <w:rPr>
          <w:rFonts w:ascii="Verdana" w:hAnsi="Verdana" w:cs="Arial"/>
          <w:sz w:val="20"/>
        </w:rPr>
        <w:t>ón de retardación de la misma”</w:t>
      </w:r>
      <w:r w:rsidRPr="009D5EA7">
        <w:rPr>
          <w:rFonts w:ascii="Verdana" w:hAnsi="Verdana" w:cs="Arial"/>
          <w:sz w:val="20"/>
        </w:rPr>
        <w:t>.</w:t>
      </w:r>
      <w:r w:rsidRPr="009D5EA7">
        <w:rPr>
          <w:rFonts w:ascii="Verdana" w:hAnsi="Verdana" w:cs="Verdana"/>
          <w:color w:val="000000"/>
          <w:sz w:val="20"/>
        </w:rPr>
        <w:t xml:space="preserve"> Así, el incumplimiento de la garantía del plazo razonable en relación con esos procedimientos ya fue declarada a nivel interno por la Procuraduría, por lo cual la Corte considera innecesario pronunciarse al respecto. </w:t>
      </w:r>
    </w:p>
    <w:p w14:paraId="2DC105E0" w14:textId="77777777" w:rsidR="00A75D94" w:rsidRPr="009D5EA7" w:rsidRDefault="00A75D94" w:rsidP="00FB1E17">
      <w:pPr>
        <w:pStyle w:val="Prrafodelista"/>
        <w:ind w:left="0"/>
        <w:jc w:val="both"/>
        <w:rPr>
          <w:rFonts w:ascii="Verdana" w:hAnsi="Verdana"/>
          <w:sz w:val="20"/>
          <w:lang w:eastAsia="es-CR"/>
        </w:rPr>
      </w:pPr>
    </w:p>
    <w:p w14:paraId="02E48BC4" w14:textId="0861BA57" w:rsidR="00A75D94" w:rsidRPr="009D5EA7" w:rsidRDefault="00A75D94" w:rsidP="00A75D94">
      <w:pPr>
        <w:pStyle w:val="Prrafodelista"/>
        <w:ind w:left="1413"/>
        <w:jc w:val="both"/>
        <w:rPr>
          <w:rFonts w:ascii="Verdana" w:hAnsi="Verdana"/>
          <w:b/>
          <w:i/>
          <w:sz w:val="20"/>
          <w:lang w:eastAsia="es-CR"/>
        </w:rPr>
      </w:pPr>
      <w:r w:rsidRPr="009D5EA7">
        <w:rPr>
          <w:rFonts w:ascii="Verdana" w:hAnsi="Verdana"/>
          <w:b/>
          <w:i/>
          <w:sz w:val="20"/>
          <w:lang w:eastAsia="es-CR"/>
        </w:rPr>
        <w:t>f)</w:t>
      </w:r>
      <w:r w:rsidRPr="009D5EA7">
        <w:rPr>
          <w:rFonts w:ascii="Verdana" w:hAnsi="Verdana"/>
          <w:b/>
          <w:i/>
          <w:sz w:val="20"/>
          <w:lang w:eastAsia="es-CR"/>
        </w:rPr>
        <w:tab/>
        <w:t>Conclusión</w:t>
      </w:r>
    </w:p>
    <w:p w14:paraId="1A20D158" w14:textId="77777777" w:rsidR="00A75D94" w:rsidRPr="009D5EA7" w:rsidRDefault="00A75D94" w:rsidP="00AD65BB">
      <w:pPr>
        <w:pStyle w:val="Prrafodelista"/>
        <w:autoSpaceDE w:val="0"/>
        <w:autoSpaceDN w:val="0"/>
        <w:adjustRightInd w:val="0"/>
        <w:ind w:left="0" w:right="34"/>
        <w:jc w:val="both"/>
        <w:rPr>
          <w:rFonts w:ascii="Verdana" w:hAnsi="Verdana" w:cs="Verdana"/>
          <w:sz w:val="20"/>
          <w:lang w:bidi="en-US"/>
        </w:rPr>
      </w:pPr>
    </w:p>
    <w:p w14:paraId="780BE220" w14:textId="5BD270DA" w:rsidR="00A75D94" w:rsidRPr="009D5EA7" w:rsidRDefault="00AD65BB" w:rsidP="00AD65BB">
      <w:pPr>
        <w:pStyle w:val="Prrafodelista"/>
        <w:numPr>
          <w:ilvl w:val="0"/>
          <w:numId w:val="5"/>
        </w:numPr>
        <w:autoSpaceDE w:val="0"/>
        <w:autoSpaceDN w:val="0"/>
        <w:adjustRightInd w:val="0"/>
        <w:ind w:left="0" w:right="34" w:firstLine="0"/>
        <w:jc w:val="both"/>
        <w:rPr>
          <w:rFonts w:ascii="Verdana" w:hAnsi="Verdana" w:cs="Verdana"/>
          <w:sz w:val="20"/>
          <w:lang w:bidi="en-US"/>
        </w:rPr>
      </w:pPr>
      <w:r w:rsidRPr="009D5EA7">
        <w:rPr>
          <w:rFonts w:ascii="Verdana" w:hAnsi="Verdana" w:cs="Verdana"/>
          <w:sz w:val="20"/>
          <w:lang w:bidi="en-US"/>
        </w:rPr>
        <w:t xml:space="preserve">En conclusión, la Corte </w:t>
      </w:r>
      <w:r w:rsidR="00124D40">
        <w:rPr>
          <w:rFonts w:ascii="Verdana" w:hAnsi="Verdana" w:cs="Verdana"/>
          <w:sz w:val="20"/>
          <w:lang w:bidi="en-US"/>
        </w:rPr>
        <w:t>estima</w:t>
      </w:r>
      <w:r w:rsidR="00124D40" w:rsidRPr="009D5EA7">
        <w:rPr>
          <w:rFonts w:ascii="Verdana" w:hAnsi="Verdana" w:cs="Verdana"/>
          <w:sz w:val="20"/>
          <w:lang w:bidi="en-US"/>
        </w:rPr>
        <w:t xml:space="preserve"> </w:t>
      </w:r>
      <w:r w:rsidRPr="009D5EA7">
        <w:rPr>
          <w:rFonts w:ascii="Verdana" w:hAnsi="Verdana" w:cs="Verdana"/>
          <w:sz w:val="20"/>
          <w:lang w:bidi="en-US"/>
        </w:rPr>
        <w:t xml:space="preserve">que la prematura decisión de sobreseimiento definitivo de 13 de mayo de 2002, </w:t>
      </w:r>
      <w:r w:rsidRPr="009D5EA7">
        <w:rPr>
          <w:rFonts w:ascii="Verdana" w:hAnsi="Verdana" w:cs="Cambria"/>
          <w:sz w:val="20"/>
        </w:rPr>
        <w:t xml:space="preserve">dictada a poco más de un mes de ocurridos los hechos, sin que hubiese agotado las diligencias investigativas necesarias y pertinentes y las líneas lógicas de investigación, </w:t>
      </w:r>
      <w:r w:rsidRPr="009D5EA7">
        <w:rPr>
          <w:rFonts w:ascii="Verdana" w:hAnsi="Verdana" w:cs="Verdana"/>
          <w:sz w:val="20"/>
          <w:lang w:bidi="en-US"/>
        </w:rPr>
        <w:t xml:space="preserve">fue el resultado de una serie de actos y omisiones </w:t>
      </w:r>
      <w:r w:rsidR="00AE208E" w:rsidRPr="00DE100B">
        <w:rPr>
          <w:rFonts w:ascii="Verdana" w:hAnsi="Verdana" w:cs="Verdana"/>
          <w:sz w:val="20"/>
          <w:lang w:bidi="en-US"/>
        </w:rPr>
        <w:t xml:space="preserve">que tuvieron como resultado la falta de investigación </w:t>
      </w:r>
      <w:r w:rsidR="00AE208E">
        <w:rPr>
          <w:rFonts w:ascii="Verdana" w:hAnsi="Verdana" w:cs="Verdana"/>
          <w:sz w:val="20"/>
          <w:lang w:bidi="en-US"/>
        </w:rPr>
        <w:t>diligente de</w:t>
      </w:r>
      <w:r w:rsidRPr="009D5EA7">
        <w:rPr>
          <w:rFonts w:ascii="Verdana" w:hAnsi="Verdana" w:cs="Verdana"/>
          <w:sz w:val="20"/>
          <w:lang w:bidi="en-US"/>
        </w:rPr>
        <w:t xml:space="preserve"> la hipótesis del móvil del </w:t>
      </w:r>
      <w:r w:rsidR="006233D1">
        <w:rPr>
          <w:rFonts w:ascii="Verdana" w:hAnsi="Verdana" w:cs="Arial"/>
          <w:sz w:val="20"/>
        </w:rPr>
        <w:t>homicidio</w:t>
      </w:r>
      <w:r w:rsidR="006233D1" w:rsidRPr="009D5EA7">
        <w:rPr>
          <w:rFonts w:ascii="Verdana" w:hAnsi="Verdana" w:cs="Arial"/>
          <w:sz w:val="20"/>
        </w:rPr>
        <w:t xml:space="preserve"> </w:t>
      </w:r>
      <w:r w:rsidRPr="009D5EA7">
        <w:rPr>
          <w:rFonts w:ascii="Verdana" w:hAnsi="Verdana" w:cs="Verdana"/>
          <w:sz w:val="20"/>
          <w:lang w:bidi="en-US"/>
        </w:rPr>
        <w:t xml:space="preserve">en represalia </w:t>
      </w:r>
      <w:r w:rsidR="00AE208E">
        <w:rPr>
          <w:rFonts w:ascii="Verdana" w:hAnsi="Verdana" w:cs="Verdana"/>
          <w:sz w:val="20"/>
          <w:lang w:bidi="en-US"/>
        </w:rPr>
        <w:t>a</w:t>
      </w:r>
      <w:r w:rsidRPr="009D5EA7">
        <w:rPr>
          <w:rFonts w:ascii="Verdana" w:hAnsi="Verdana" w:cs="Verdana"/>
          <w:sz w:val="20"/>
          <w:lang w:bidi="en-US"/>
        </w:rPr>
        <w:t xml:space="preserve"> las actividades de la señora Acosta. </w:t>
      </w:r>
      <w:r w:rsidRPr="009D5EA7">
        <w:rPr>
          <w:rFonts w:ascii="Verdana" w:hAnsi="Verdana" w:cs="Cambria"/>
          <w:sz w:val="20"/>
        </w:rPr>
        <w:t xml:space="preserve">Además, la autoridad judicial obstaculizó la participación de </w:t>
      </w:r>
      <w:r w:rsidR="00AE208E">
        <w:rPr>
          <w:rFonts w:ascii="Verdana" w:hAnsi="Verdana" w:cs="Cambria"/>
          <w:sz w:val="20"/>
        </w:rPr>
        <w:t>ella</w:t>
      </w:r>
      <w:r w:rsidRPr="009D5EA7">
        <w:rPr>
          <w:rFonts w:ascii="Verdana" w:hAnsi="Verdana" w:cs="Cambria"/>
          <w:sz w:val="20"/>
        </w:rPr>
        <w:t xml:space="preserve"> como parte ofendida en la instructiva, la cual </w:t>
      </w:r>
      <w:r w:rsidRPr="009D5EA7">
        <w:rPr>
          <w:rFonts w:ascii="Verdana" w:hAnsi="Verdana" w:cs="Arial"/>
          <w:sz w:val="20"/>
        </w:rPr>
        <w:t xml:space="preserve">fue llevada a cabo por un juez que incurrió en actos que </w:t>
      </w:r>
      <w:r w:rsidR="00AE208E" w:rsidRPr="00DE100B">
        <w:rPr>
          <w:rFonts w:ascii="Verdana" w:hAnsi="Verdana" w:cs="Arial"/>
          <w:sz w:val="20"/>
        </w:rPr>
        <w:t>deben</w:t>
      </w:r>
      <w:r w:rsidRPr="00DE100B">
        <w:rPr>
          <w:rFonts w:ascii="Verdana" w:hAnsi="Verdana" w:cs="Arial"/>
          <w:sz w:val="20"/>
        </w:rPr>
        <w:t xml:space="preserve"> ser calificados como </w:t>
      </w:r>
      <w:r w:rsidR="00AE208E" w:rsidRPr="00DE100B">
        <w:rPr>
          <w:rFonts w:ascii="Verdana" w:hAnsi="Verdana" w:cs="Arial"/>
          <w:sz w:val="20"/>
        </w:rPr>
        <w:t>parcializados</w:t>
      </w:r>
      <w:r w:rsidRPr="009D5EA7">
        <w:rPr>
          <w:rFonts w:ascii="Verdana" w:hAnsi="Verdana" w:cs="Arial"/>
          <w:sz w:val="20"/>
        </w:rPr>
        <w:t>.</w:t>
      </w:r>
      <w:r w:rsidRPr="009D5EA7">
        <w:rPr>
          <w:rFonts w:ascii="Verdana" w:hAnsi="Verdana" w:cs="Verdana"/>
          <w:sz w:val="20"/>
          <w:lang w:bidi="en-US"/>
        </w:rPr>
        <w:t xml:space="preserve"> Tal decisión, sostenida por las instancias superiores, </w:t>
      </w:r>
      <w:r w:rsidR="00DE100B">
        <w:rPr>
          <w:rFonts w:ascii="Verdana" w:hAnsi="Verdana" w:cs="Verdana"/>
          <w:sz w:val="20"/>
          <w:lang w:bidi="en-US"/>
        </w:rPr>
        <w:t>procuró cerrar</w:t>
      </w:r>
      <w:r w:rsidRPr="009D5EA7">
        <w:rPr>
          <w:rFonts w:ascii="Verdana" w:hAnsi="Verdana" w:cs="Verdana"/>
          <w:sz w:val="20"/>
          <w:lang w:bidi="en-US"/>
        </w:rPr>
        <w:t xml:space="preserve"> a nivel interno la posibilidad concreta de subsanar irregularidades detectadas y de perseguir penalmente a personas respecto de quienes pesan indicios contundentes de participación en el </w:t>
      </w:r>
      <w:r w:rsidR="006233D1">
        <w:rPr>
          <w:rFonts w:ascii="Verdana" w:hAnsi="Verdana" w:cs="Arial"/>
          <w:sz w:val="20"/>
        </w:rPr>
        <w:t>homicidio</w:t>
      </w:r>
      <w:r w:rsidR="006233D1" w:rsidRPr="009D5EA7">
        <w:rPr>
          <w:rFonts w:ascii="Verdana" w:hAnsi="Verdana" w:cs="Arial"/>
          <w:sz w:val="20"/>
        </w:rPr>
        <w:t xml:space="preserve"> </w:t>
      </w:r>
      <w:r w:rsidRPr="009D5EA7">
        <w:rPr>
          <w:rFonts w:ascii="Verdana" w:hAnsi="Verdana" w:cs="Verdana"/>
          <w:sz w:val="20"/>
          <w:lang w:bidi="en-US"/>
        </w:rPr>
        <w:t>del señor García Valle. L</w:t>
      </w:r>
      <w:r w:rsidR="00A75D94" w:rsidRPr="009D5EA7">
        <w:rPr>
          <w:rFonts w:ascii="Verdana" w:hAnsi="Verdana" w:cs="Verdana"/>
          <w:sz w:val="20"/>
          <w:lang w:bidi="en-US"/>
        </w:rPr>
        <w:t xml:space="preserve">a respuesta investigativa y judicial del Estado, especificada en las actuaciones de las autoridades judiciales en el marco del referido proceso penal, no constituyó una explicación satisfactoria, suficiente y efectiva para establecer toda la verdad sobre </w:t>
      </w:r>
      <w:r w:rsidRPr="009D5EA7">
        <w:rPr>
          <w:rFonts w:ascii="Verdana" w:hAnsi="Verdana" w:cs="Verdana"/>
          <w:sz w:val="20"/>
          <w:lang w:bidi="en-US"/>
        </w:rPr>
        <w:t>los hechos</w:t>
      </w:r>
      <w:r w:rsidR="00A75D94" w:rsidRPr="009D5EA7">
        <w:rPr>
          <w:rFonts w:ascii="Verdana" w:hAnsi="Verdana" w:cs="Verdana"/>
          <w:sz w:val="20"/>
          <w:lang w:bidi="en-US"/>
        </w:rPr>
        <w:t xml:space="preserve">. </w:t>
      </w:r>
    </w:p>
    <w:p w14:paraId="7AEED890" w14:textId="77777777" w:rsidR="00A75D94" w:rsidRPr="009D5EA7" w:rsidRDefault="00A75D94" w:rsidP="00A75D94">
      <w:pPr>
        <w:pStyle w:val="Prrafodelista"/>
        <w:autoSpaceDE w:val="0"/>
        <w:autoSpaceDN w:val="0"/>
        <w:adjustRightInd w:val="0"/>
        <w:ind w:left="0" w:right="34"/>
        <w:jc w:val="both"/>
        <w:rPr>
          <w:rFonts w:ascii="Verdana" w:hAnsi="Verdana" w:cs="Verdana"/>
          <w:sz w:val="20"/>
          <w:lang w:bidi="en-US"/>
        </w:rPr>
      </w:pPr>
    </w:p>
    <w:p w14:paraId="37F6FEBB" w14:textId="77777777" w:rsidR="00A75D94" w:rsidRPr="009D5EA7" w:rsidRDefault="00A75D94" w:rsidP="00A75D94">
      <w:pPr>
        <w:pStyle w:val="Prrafodelista"/>
        <w:numPr>
          <w:ilvl w:val="0"/>
          <w:numId w:val="5"/>
        </w:numPr>
        <w:autoSpaceDE w:val="0"/>
        <w:autoSpaceDN w:val="0"/>
        <w:adjustRightInd w:val="0"/>
        <w:ind w:left="0" w:right="34" w:firstLine="0"/>
        <w:jc w:val="both"/>
        <w:rPr>
          <w:rFonts w:ascii="Verdana" w:hAnsi="Verdana" w:cs="Verdana"/>
          <w:sz w:val="20"/>
          <w:lang w:bidi="en-US"/>
        </w:rPr>
      </w:pPr>
      <w:r w:rsidRPr="009D5EA7">
        <w:rPr>
          <w:rFonts w:ascii="Verdana" w:hAnsi="Verdana" w:cs="Verdana"/>
          <w:sz w:val="20"/>
          <w:lang w:bidi="en-US"/>
        </w:rPr>
        <w:t xml:space="preserve">Por las razones anteriores, la Corte considera que el Estado es responsable por el incumplimiento de su obligación de garantizar los derechos de acceso a la justicia y a conocer la verdad, lo que conlleva una violación de los derechos a las garantías judiciales y protección judicial, en los términos de los artículos 8.1 y 25 de la Convención Americana, en relación con el artículo 1.1 de la misma, en perjuicio de </w:t>
      </w:r>
      <w:r w:rsidRPr="009D5EA7">
        <w:rPr>
          <w:rFonts w:ascii="Verdana" w:hAnsi="Verdana" w:cs="Arial"/>
          <w:sz w:val="20"/>
        </w:rPr>
        <w:t xml:space="preserve">María Luisa Acosta Castellón, Ana María Vergara Acosta, Álvaro Arístides Vergara Acosta, </w:t>
      </w:r>
      <w:r w:rsidRPr="009D5EA7">
        <w:rPr>
          <w:rFonts w:ascii="Verdana" w:eastAsiaTheme="minorHAnsi" w:hAnsi="Verdana" w:cs="Arial"/>
          <w:sz w:val="20"/>
        </w:rPr>
        <w:t>María Leonor Valle Estrada (conocida como Leonor del Carmen Valle de García) y Rodolfo García Solari.</w:t>
      </w:r>
    </w:p>
    <w:p w14:paraId="4D7C8877" w14:textId="77777777" w:rsidR="00FB1E17" w:rsidRPr="009D5EA7" w:rsidRDefault="00FB1E17" w:rsidP="00FB1E17">
      <w:pPr>
        <w:pStyle w:val="Prrafodelista"/>
        <w:ind w:left="0"/>
        <w:jc w:val="both"/>
        <w:rPr>
          <w:rFonts w:ascii="Verdana" w:hAnsi="Verdana" w:cs="Arial"/>
          <w:sz w:val="20"/>
        </w:rPr>
      </w:pPr>
    </w:p>
    <w:p w14:paraId="3D8C1340" w14:textId="591FFD2E" w:rsidR="00FB1E17" w:rsidRPr="009D5EA7" w:rsidRDefault="00FB1E17" w:rsidP="00C15BA7">
      <w:pPr>
        <w:pStyle w:val="Ttulo2"/>
        <w:numPr>
          <w:ilvl w:val="0"/>
          <w:numId w:val="0"/>
        </w:numPr>
        <w:ind w:left="1410" w:hanging="690"/>
        <w:rPr>
          <w:rFonts w:ascii="Verdana" w:hAnsi="Verdana"/>
          <w:smallCaps/>
          <w:sz w:val="20"/>
          <w:lang w:val="es-ES_tradnl"/>
        </w:rPr>
      </w:pPr>
      <w:bookmarkStart w:id="20" w:name="_Toc476251459"/>
      <w:r w:rsidRPr="009D5EA7">
        <w:rPr>
          <w:rFonts w:ascii="Verdana" w:hAnsi="Verdana"/>
          <w:smallCaps/>
          <w:sz w:val="20"/>
          <w:lang w:val="es-ES_tradnl"/>
        </w:rPr>
        <w:t>1.B</w:t>
      </w:r>
      <w:r w:rsidR="00C66E0D">
        <w:rPr>
          <w:rFonts w:ascii="Verdana" w:hAnsi="Verdana"/>
          <w:smallCaps/>
          <w:sz w:val="20"/>
          <w:lang w:val="es-ES_tradnl"/>
        </w:rPr>
        <w:t>)</w:t>
      </w:r>
      <w:r w:rsidRPr="009D5EA7">
        <w:rPr>
          <w:rFonts w:ascii="Verdana" w:hAnsi="Verdana"/>
          <w:smallCaps/>
          <w:sz w:val="20"/>
          <w:lang w:val="es-ES_tradnl"/>
        </w:rPr>
        <w:tab/>
        <w:t>Derecho a las garantías judiciales de la señora Acosta en relación con los procesos penales y civiles abiertos en su contra (arts. 8.1 y 8.2)</w:t>
      </w:r>
      <w:bookmarkEnd w:id="20"/>
    </w:p>
    <w:p w14:paraId="41CB5145" w14:textId="77777777" w:rsidR="00FB1E17" w:rsidRPr="009D5EA7" w:rsidRDefault="00FB1E17" w:rsidP="00FB1E17">
      <w:pPr>
        <w:pStyle w:val="Prrafodelista"/>
        <w:ind w:left="0"/>
        <w:jc w:val="both"/>
        <w:rPr>
          <w:rFonts w:ascii="Verdana" w:hAnsi="Verdana"/>
          <w:sz w:val="20"/>
        </w:rPr>
      </w:pPr>
    </w:p>
    <w:p w14:paraId="2FF9A7CC" w14:textId="77777777" w:rsidR="00FB1E17" w:rsidRPr="009D5EA7" w:rsidRDefault="00FB1E17" w:rsidP="00FB1E17">
      <w:pPr>
        <w:suppressAutoHyphens/>
        <w:spacing w:after="0" w:line="240" w:lineRule="auto"/>
        <w:ind w:left="708"/>
        <w:jc w:val="both"/>
        <w:rPr>
          <w:rFonts w:ascii="Verdana" w:eastAsia="Times New Roman" w:hAnsi="Verdana" w:cs="Tahoma"/>
          <w:i/>
          <w:sz w:val="20"/>
          <w:szCs w:val="20"/>
          <w:lang w:val="es-ES_tradnl"/>
        </w:rPr>
      </w:pPr>
      <w:r w:rsidRPr="009D5EA7">
        <w:rPr>
          <w:rFonts w:ascii="Verdana" w:eastAsia="Times New Roman" w:hAnsi="Verdana" w:cs="Tahoma"/>
          <w:i/>
          <w:sz w:val="20"/>
          <w:szCs w:val="20"/>
          <w:lang w:val="es-ES_tradnl"/>
        </w:rPr>
        <w:t>Alegatos de la partes y de la Comisión</w:t>
      </w:r>
    </w:p>
    <w:p w14:paraId="17A70DE3" w14:textId="77777777" w:rsidR="00FB1E17" w:rsidRPr="009D5EA7" w:rsidRDefault="00FB1E17" w:rsidP="00FB1E17">
      <w:pPr>
        <w:suppressAutoHyphens/>
        <w:spacing w:after="0" w:line="240" w:lineRule="auto"/>
        <w:jc w:val="both"/>
        <w:rPr>
          <w:rFonts w:ascii="Verdana" w:eastAsia="Times New Roman" w:hAnsi="Verdana" w:cs="Tahoma"/>
          <w:sz w:val="20"/>
          <w:szCs w:val="20"/>
          <w:lang w:val="es-ES_tradnl"/>
        </w:rPr>
      </w:pPr>
    </w:p>
    <w:p w14:paraId="0BE2D68E" w14:textId="6465C79D" w:rsidR="00AA09B6" w:rsidRPr="009D5EA7" w:rsidRDefault="00AA09B6" w:rsidP="00587FE3">
      <w:pPr>
        <w:pStyle w:val="Prrafodelista"/>
        <w:numPr>
          <w:ilvl w:val="0"/>
          <w:numId w:val="5"/>
        </w:numPr>
        <w:autoSpaceDE w:val="0"/>
        <w:autoSpaceDN w:val="0"/>
        <w:adjustRightInd w:val="0"/>
        <w:ind w:left="0" w:right="34" w:firstLine="0"/>
        <w:jc w:val="both"/>
        <w:rPr>
          <w:rFonts w:ascii="Verdana" w:hAnsi="Verdana" w:cs="Cambria"/>
          <w:sz w:val="20"/>
        </w:rPr>
      </w:pPr>
      <w:r w:rsidRPr="009D5EA7">
        <w:rPr>
          <w:rFonts w:ascii="Verdana" w:hAnsi="Verdana" w:cs="Arial"/>
          <w:sz w:val="20"/>
        </w:rPr>
        <w:t xml:space="preserve">La </w:t>
      </w:r>
      <w:r w:rsidRPr="007A3724">
        <w:rPr>
          <w:rFonts w:ascii="Verdana" w:hAnsi="Verdana" w:cs="Arial"/>
          <w:b/>
          <w:sz w:val="20"/>
        </w:rPr>
        <w:t>Comisión</w:t>
      </w:r>
      <w:r w:rsidRPr="009D5EA7">
        <w:rPr>
          <w:rFonts w:ascii="Verdana" w:hAnsi="Verdana" w:cs="Arial"/>
          <w:sz w:val="20"/>
        </w:rPr>
        <w:t xml:space="preserve"> alegó</w:t>
      </w:r>
      <w:r w:rsidR="009900C2" w:rsidRPr="009D5EA7">
        <w:rPr>
          <w:rFonts w:ascii="Verdana" w:hAnsi="Verdana" w:cs="Arial"/>
          <w:sz w:val="20"/>
        </w:rPr>
        <w:t xml:space="preserve"> violaciones al derecho de defensa y al debido proceso </w:t>
      </w:r>
      <w:r w:rsidR="001943A4">
        <w:rPr>
          <w:rFonts w:ascii="Verdana" w:hAnsi="Verdana" w:cs="Arial"/>
          <w:sz w:val="20"/>
        </w:rPr>
        <w:t>en relación con</w:t>
      </w:r>
      <w:r w:rsidRPr="009D5EA7">
        <w:rPr>
          <w:rFonts w:ascii="Verdana" w:hAnsi="Verdana" w:cs="Arial"/>
          <w:sz w:val="20"/>
        </w:rPr>
        <w:t xml:space="preserve"> la investigación penal </w:t>
      </w:r>
      <w:r w:rsidR="009900C2" w:rsidRPr="009D5EA7">
        <w:rPr>
          <w:rFonts w:ascii="Verdana" w:hAnsi="Verdana" w:cs="Arial"/>
          <w:sz w:val="20"/>
        </w:rPr>
        <w:t xml:space="preserve">abierta </w:t>
      </w:r>
      <w:r w:rsidRPr="009D5EA7">
        <w:rPr>
          <w:rFonts w:ascii="Verdana" w:hAnsi="Verdana" w:cs="Arial"/>
          <w:sz w:val="20"/>
        </w:rPr>
        <w:t xml:space="preserve">contra la señora Acosta por supuesto encubrimiento, </w:t>
      </w:r>
      <w:r w:rsidR="001943A4">
        <w:rPr>
          <w:rFonts w:ascii="Verdana" w:hAnsi="Verdana" w:cs="Cambria"/>
          <w:sz w:val="20"/>
        </w:rPr>
        <w:t>pues no había</w:t>
      </w:r>
      <w:r w:rsidRPr="009D5EA7">
        <w:rPr>
          <w:rFonts w:ascii="Verdana" w:hAnsi="Verdana" w:cs="Cambria"/>
          <w:sz w:val="20"/>
        </w:rPr>
        <w:t xml:space="preserve"> base real para </w:t>
      </w:r>
      <w:r w:rsidR="009900C2" w:rsidRPr="009D5EA7">
        <w:rPr>
          <w:rFonts w:ascii="Verdana" w:hAnsi="Verdana" w:cs="Cambria"/>
          <w:sz w:val="20"/>
        </w:rPr>
        <w:t xml:space="preserve">hacerlo; </w:t>
      </w:r>
      <w:r w:rsidR="00994DCC" w:rsidRPr="009D5EA7">
        <w:rPr>
          <w:rFonts w:ascii="Verdana" w:hAnsi="Verdana" w:cs="Cambria"/>
          <w:sz w:val="20"/>
        </w:rPr>
        <w:t xml:space="preserve">porque </w:t>
      </w:r>
      <w:r w:rsidR="009900C2" w:rsidRPr="009D5EA7">
        <w:rPr>
          <w:rFonts w:ascii="Verdana" w:hAnsi="Verdana" w:cs="Cambria"/>
          <w:sz w:val="20"/>
        </w:rPr>
        <w:t>e</w:t>
      </w:r>
      <w:r w:rsidRPr="009D5EA7">
        <w:rPr>
          <w:rFonts w:ascii="Verdana" w:hAnsi="Verdana" w:cs="Cambria"/>
          <w:sz w:val="20"/>
        </w:rPr>
        <w:t xml:space="preserve">l juez no admitió </w:t>
      </w:r>
      <w:r w:rsidR="00994DCC" w:rsidRPr="009D5EA7">
        <w:rPr>
          <w:rFonts w:ascii="Verdana" w:hAnsi="Verdana" w:cs="Cambria"/>
          <w:sz w:val="20"/>
        </w:rPr>
        <w:t xml:space="preserve">una </w:t>
      </w:r>
      <w:r w:rsidRPr="009D5EA7">
        <w:rPr>
          <w:rFonts w:ascii="Verdana" w:hAnsi="Verdana" w:cs="Cambria"/>
          <w:sz w:val="20"/>
        </w:rPr>
        <w:t xml:space="preserve">acusación </w:t>
      </w:r>
      <w:r w:rsidR="001943A4">
        <w:rPr>
          <w:rFonts w:ascii="Verdana" w:hAnsi="Verdana" w:cs="Cambria"/>
          <w:sz w:val="20"/>
        </w:rPr>
        <w:t xml:space="preserve">por considerar insuficiente el </w:t>
      </w:r>
      <w:r w:rsidRPr="009D5EA7">
        <w:rPr>
          <w:rFonts w:ascii="Verdana" w:hAnsi="Verdana" w:cs="Cambria"/>
          <w:sz w:val="20"/>
        </w:rPr>
        <w:t xml:space="preserve">poder </w:t>
      </w:r>
      <w:r w:rsidR="009900C2" w:rsidRPr="009D5EA7">
        <w:rPr>
          <w:rFonts w:ascii="Verdana" w:hAnsi="Verdana" w:cs="Cambria"/>
          <w:sz w:val="20"/>
        </w:rPr>
        <w:t xml:space="preserve">aportado por su </w:t>
      </w:r>
      <w:r w:rsidRPr="009D5EA7">
        <w:rPr>
          <w:rFonts w:ascii="Verdana" w:hAnsi="Verdana" w:cs="Cambria"/>
          <w:sz w:val="20"/>
        </w:rPr>
        <w:t>representante legal</w:t>
      </w:r>
      <w:r w:rsidR="009900C2" w:rsidRPr="009D5EA7">
        <w:rPr>
          <w:rFonts w:ascii="Verdana" w:hAnsi="Verdana" w:cs="Cambria"/>
          <w:sz w:val="20"/>
        </w:rPr>
        <w:t xml:space="preserve">; </w:t>
      </w:r>
      <w:r w:rsidR="00994DCC" w:rsidRPr="009D5EA7">
        <w:rPr>
          <w:rFonts w:ascii="Verdana" w:hAnsi="Verdana" w:cs="Cambria"/>
          <w:sz w:val="20"/>
        </w:rPr>
        <w:t xml:space="preserve">no le permitió declarar en Chinandega; </w:t>
      </w:r>
      <w:r w:rsidR="009900C2" w:rsidRPr="009D5EA7">
        <w:rPr>
          <w:rFonts w:ascii="Verdana" w:hAnsi="Verdana" w:cs="Cambria"/>
          <w:sz w:val="20"/>
        </w:rPr>
        <w:t xml:space="preserve">no le asignó </w:t>
      </w:r>
      <w:r w:rsidRPr="009D5EA7">
        <w:rPr>
          <w:rFonts w:ascii="Verdana" w:hAnsi="Verdana" w:cs="Cambria"/>
          <w:sz w:val="20"/>
        </w:rPr>
        <w:t>un defensor de oficio</w:t>
      </w:r>
      <w:r w:rsidR="009900C2" w:rsidRPr="009D5EA7">
        <w:rPr>
          <w:rFonts w:ascii="Verdana" w:hAnsi="Verdana" w:cs="Cambria"/>
          <w:sz w:val="20"/>
        </w:rPr>
        <w:t>; y</w:t>
      </w:r>
      <w:r w:rsidR="00994DCC" w:rsidRPr="009D5EA7">
        <w:rPr>
          <w:rFonts w:ascii="Verdana" w:hAnsi="Verdana" w:cs="Cambria"/>
          <w:sz w:val="20"/>
        </w:rPr>
        <w:t xml:space="preserve"> no</w:t>
      </w:r>
      <w:r w:rsidR="009900C2" w:rsidRPr="009D5EA7">
        <w:rPr>
          <w:rFonts w:ascii="Verdana" w:hAnsi="Verdana" w:cs="Cambria"/>
          <w:sz w:val="20"/>
        </w:rPr>
        <w:t xml:space="preserve"> le </w:t>
      </w:r>
      <w:r w:rsidRPr="009D5EA7">
        <w:rPr>
          <w:rFonts w:ascii="Verdana" w:hAnsi="Verdana" w:cs="Cambria"/>
          <w:sz w:val="20"/>
        </w:rPr>
        <w:t xml:space="preserve">otorgó intervención en el proceso </w:t>
      </w:r>
      <w:r w:rsidR="00994DCC" w:rsidRPr="009D5EA7">
        <w:rPr>
          <w:rFonts w:ascii="Verdana" w:hAnsi="Verdana" w:cs="Cambria"/>
          <w:sz w:val="20"/>
        </w:rPr>
        <w:t xml:space="preserve">sino hasta </w:t>
      </w:r>
      <w:r w:rsidRPr="009D5EA7">
        <w:rPr>
          <w:rFonts w:ascii="Verdana" w:hAnsi="Verdana" w:cs="Cambria"/>
          <w:sz w:val="20"/>
        </w:rPr>
        <w:t xml:space="preserve">el </w:t>
      </w:r>
      <w:r w:rsidR="009900C2" w:rsidRPr="009D5EA7">
        <w:rPr>
          <w:rFonts w:ascii="Verdana" w:hAnsi="Verdana" w:cs="Cambria"/>
          <w:sz w:val="20"/>
        </w:rPr>
        <w:t xml:space="preserve">mismo </w:t>
      </w:r>
      <w:r w:rsidRPr="009D5EA7">
        <w:rPr>
          <w:rFonts w:ascii="Verdana" w:hAnsi="Verdana" w:cs="Cambria"/>
          <w:sz w:val="20"/>
        </w:rPr>
        <w:t xml:space="preserve">día </w:t>
      </w:r>
      <w:r w:rsidR="009900C2" w:rsidRPr="009D5EA7">
        <w:rPr>
          <w:rFonts w:ascii="Verdana" w:hAnsi="Verdana" w:cs="Cambria"/>
          <w:sz w:val="20"/>
        </w:rPr>
        <w:t>que dictó e</w:t>
      </w:r>
      <w:r w:rsidR="00994DCC" w:rsidRPr="009D5EA7">
        <w:rPr>
          <w:rFonts w:ascii="Verdana" w:hAnsi="Verdana" w:cs="Cambria"/>
          <w:sz w:val="20"/>
        </w:rPr>
        <w:t>l sobreseimiento. Con base en ello, señaló</w:t>
      </w:r>
      <w:r w:rsidRPr="009D5EA7">
        <w:rPr>
          <w:rFonts w:ascii="Verdana" w:hAnsi="Verdana" w:cs="Cambria"/>
          <w:sz w:val="20"/>
        </w:rPr>
        <w:t xml:space="preserve"> que esta investigación constituyó un mecanismo de amedrentamiento e intimidación </w:t>
      </w:r>
      <w:r w:rsidR="009900C2" w:rsidRPr="009D5EA7">
        <w:rPr>
          <w:rFonts w:ascii="Verdana" w:hAnsi="Verdana" w:cs="Cambria"/>
          <w:sz w:val="20"/>
        </w:rPr>
        <w:t xml:space="preserve">en su contra. Respecto de las </w:t>
      </w:r>
      <w:r w:rsidR="00587FE3" w:rsidRPr="009D5EA7">
        <w:rPr>
          <w:rFonts w:ascii="Verdana" w:hAnsi="Verdana" w:cs="Cambria"/>
          <w:sz w:val="20"/>
        </w:rPr>
        <w:t>investigaciones</w:t>
      </w:r>
      <w:r w:rsidR="00994DCC" w:rsidRPr="009D5EA7">
        <w:rPr>
          <w:rFonts w:ascii="Verdana" w:hAnsi="Verdana" w:cs="Cambria"/>
          <w:sz w:val="20"/>
        </w:rPr>
        <w:t xml:space="preserve"> penal</w:t>
      </w:r>
      <w:r w:rsidR="00B11651">
        <w:rPr>
          <w:rFonts w:ascii="Verdana" w:hAnsi="Verdana" w:cs="Cambria"/>
          <w:sz w:val="20"/>
        </w:rPr>
        <w:t>es</w:t>
      </w:r>
      <w:r w:rsidR="00994DCC" w:rsidRPr="009D5EA7">
        <w:rPr>
          <w:rFonts w:ascii="Verdana" w:hAnsi="Verdana" w:cs="Cambria"/>
          <w:sz w:val="20"/>
        </w:rPr>
        <w:t xml:space="preserve"> por delitos de falso testimonio</w:t>
      </w:r>
      <w:r w:rsidRPr="009D5EA7">
        <w:rPr>
          <w:rFonts w:ascii="Verdana" w:hAnsi="Verdana" w:cs="Cambria"/>
          <w:sz w:val="20"/>
        </w:rPr>
        <w:t xml:space="preserve"> y denuncia falsa y el </w:t>
      </w:r>
      <w:r w:rsidR="00D53572" w:rsidRPr="009D5EA7">
        <w:rPr>
          <w:rFonts w:ascii="Verdana" w:hAnsi="Verdana" w:cs="Cambria"/>
          <w:sz w:val="20"/>
        </w:rPr>
        <w:t xml:space="preserve">embargo y </w:t>
      </w:r>
      <w:r w:rsidRPr="009D5EA7">
        <w:rPr>
          <w:rFonts w:ascii="Verdana" w:hAnsi="Verdana" w:cs="Cambria"/>
          <w:sz w:val="20"/>
        </w:rPr>
        <w:t>proceso civil por daños y perjuicios</w:t>
      </w:r>
      <w:r w:rsidR="00D53572" w:rsidRPr="009D5EA7">
        <w:rPr>
          <w:rFonts w:ascii="Verdana" w:hAnsi="Verdana" w:cs="Cambria"/>
          <w:sz w:val="20"/>
        </w:rPr>
        <w:t>, la Comisión alegó que el Estado violó la garantía del plazo razonable y que la base sobre la cual fueron iniciados estos procesos, sumado a la falta de decisión oportuna y en el contexto de la falta deliberada de investigación de la presunta autoría intelectual de quienes activaron esos procesos, constituyeron mecanismos de intimidación y hostigamiento en su contra.</w:t>
      </w:r>
    </w:p>
    <w:p w14:paraId="15E65A22" w14:textId="77777777" w:rsidR="00FB1E17" w:rsidRPr="009D5EA7" w:rsidRDefault="00FB1E17" w:rsidP="00D53572">
      <w:pPr>
        <w:pStyle w:val="Prrafodelista"/>
        <w:autoSpaceDE w:val="0"/>
        <w:autoSpaceDN w:val="0"/>
        <w:adjustRightInd w:val="0"/>
        <w:ind w:left="0" w:right="34"/>
        <w:jc w:val="both"/>
        <w:rPr>
          <w:rFonts w:ascii="Verdana" w:hAnsi="Verdana" w:cs="Cambria"/>
          <w:sz w:val="20"/>
        </w:rPr>
      </w:pPr>
    </w:p>
    <w:p w14:paraId="727883FF" w14:textId="517E5AC4" w:rsidR="00D53572" w:rsidRPr="009D5EA7" w:rsidRDefault="00D53572" w:rsidP="00D53572">
      <w:pPr>
        <w:pStyle w:val="Prrafodelista"/>
        <w:numPr>
          <w:ilvl w:val="0"/>
          <w:numId w:val="5"/>
        </w:numPr>
        <w:autoSpaceDE w:val="0"/>
        <w:autoSpaceDN w:val="0"/>
        <w:adjustRightInd w:val="0"/>
        <w:ind w:left="0" w:right="34" w:firstLine="0"/>
        <w:jc w:val="both"/>
        <w:rPr>
          <w:rFonts w:ascii="Verdana" w:hAnsi="Verdana" w:cs="Cambria"/>
          <w:sz w:val="20"/>
        </w:rPr>
      </w:pPr>
      <w:r w:rsidRPr="009D5EA7">
        <w:rPr>
          <w:rFonts w:ascii="Verdana" w:hAnsi="Verdana" w:cs="Cambria"/>
          <w:sz w:val="20"/>
        </w:rPr>
        <w:t>L</w:t>
      </w:r>
      <w:r w:rsidR="009E6EB7" w:rsidRPr="009D5EA7">
        <w:rPr>
          <w:rFonts w:ascii="Verdana" w:hAnsi="Verdana" w:cs="Cambria"/>
          <w:sz w:val="20"/>
        </w:rPr>
        <w:t>a</w:t>
      </w:r>
      <w:r w:rsidRPr="009D5EA7">
        <w:rPr>
          <w:rFonts w:ascii="Verdana" w:hAnsi="Verdana" w:cs="Cambria"/>
          <w:sz w:val="20"/>
        </w:rPr>
        <w:t xml:space="preserve">s </w:t>
      </w:r>
      <w:r w:rsidRPr="007A3724">
        <w:rPr>
          <w:rFonts w:ascii="Verdana" w:hAnsi="Verdana" w:cs="Cambria"/>
          <w:b/>
          <w:sz w:val="20"/>
        </w:rPr>
        <w:t>representantes</w:t>
      </w:r>
      <w:r w:rsidRPr="009D5EA7">
        <w:rPr>
          <w:rFonts w:ascii="Verdana" w:hAnsi="Verdana" w:cs="Cambria"/>
          <w:sz w:val="20"/>
        </w:rPr>
        <w:t xml:space="preserve"> agregaron que el mismo juez que ordenó detenerla, declaró ante el diario de mayor circulación nacional que ella era “encubridora” de los asesinos de su esposo. Respecto de la querella por injurias, recalcaron que aunque los demandantes no prosiguieron con dicha querella, alcanzaron a notificarla y a causar preocupación en ella, sus hijos y suegros. Asimismo, la acusación por supuestos delitos de falso testimonio y denuncia falsa fue ampliamente publicitada en los medios locales. </w:t>
      </w:r>
    </w:p>
    <w:p w14:paraId="2B445852" w14:textId="77777777" w:rsidR="00D53572" w:rsidRPr="009D5EA7" w:rsidRDefault="00D53572" w:rsidP="00D53572">
      <w:pPr>
        <w:pStyle w:val="Prrafodelista"/>
        <w:rPr>
          <w:rFonts w:ascii="Verdana" w:hAnsi="Verdana" w:cs="Cambria"/>
          <w:sz w:val="20"/>
        </w:rPr>
      </w:pPr>
    </w:p>
    <w:p w14:paraId="2E120607" w14:textId="087B2D40" w:rsidR="00D53572" w:rsidRPr="009D5EA7" w:rsidRDefault="00D53572" w:rsidP="00D53572">
      <w:pPr>
        <w:pStyle w:val="Prrafodelista"/>
        <w:numPr>
          <w:ilvl w:val="0"/>
          <w:numId w:val="5"/>
        </w:numPr>
        <w:autoSpaceDE w:val="0"/>
        <w:autoSpaceDN w:val="0"/>
        <w:adjustRightInd w:val="0"/>
        <w:ind w:left="0" w:right="34" w:firstLine="0"/>
        <w:jc w:val="both"/>
        <w:rPr>
          <w:rFonts w:ascii="Verdana" w:hAnsi="Verdana"/>
          <w:sz w:val="20"/>
        </w:rPr>
      </w:pPr>
      <w:r w:rsidRPr="009D5EA7">
        <w:rPr>
          <w:rFonts w:ascii="Verdana" w:hAnsi="Verdana" w:cs="Cambria"/>
          <w:sz w:val="20"/>
        </w:rPr>
        <w:t xml:space="preserve">El </w:t>
      </w:r>
      <w:r w:rsidRPr="007A3724">
        <w:rPr>
          <w:rFonts w:ascii="Verdana" w:hAnsi="Verdana" w:cs="Cambria"/>
          <w:b/>
          <w:sz w:val="20"/>
        </w:rPr>
        <w:t>Estado</w:t>
      </w:r>
      <w:r w:rsidRPr="009D5EA7">
        <w:rPr>
          <w:rFonts w:ascii="Verdana" w:hAnsi="Verdana" w:cs="Cambria"/>
          <w:sz w:val="20"/>
        </w:rPr>
        <w:t xml:space="preserve"> alegó que los procesos abiertos por otros ciudadanos en su calidad de particulares en el ejercicio de sus derechos de </w:t>
      </w:r>
      <w:r w:rsidR="009E6EB7" w:rsidRPr="009D5EA7">
        <w:rPr>
          <w:rFonts w:ascii="Verdana" w:hAnsi="Verdana" w:cs="Cambria"/>
          <w:sz w:val="20"/>
        </w:rPr>
        <w:t xml:space="preserve">interponer </w:t>
      </w:r>
      <w:r w:rsidRPr="009D5EA7">
        <w:rPr>
          <w:rFonts w:ascii="Verdana" w:hAnsi="Verdana" w:cs="Cambria"/>
          <w:sz w:val="20"/>
        </w:rPr>
        <w:t>acciones legales que permite su ordenamiento jurídico, no constituyen una acción u omisión que puede atribuirse al Estado y que, en esos procesos abiertos contra l</w:t>
      </w:r>
      <w:r w:rsidR="009E6EB7" w:rsidRPr="009D5EA7">
        <w:rPr>
          <w:rFonts w:ascii="Verdana" w:hAnsi="Verdana" w:cs="Cambria"/>
          <w:sz w:val="20"/>
        </w:rPr>
        <w:t>a señora Acosta, se le garantizaron</w:t>
      </w:r>
      <w:r w:rsidRPr="009D5EA7">
        <w:rPr>
          <w:rFonts w:ascii="Verdana" w:hAnsi="Verdana" w:cs="Cambria"/>
          <w:sz w:val="20"/>
        </w:rPr>
        <w:t xml:space="preserve"> su</w:t>
      </w:r>
      <w:r w:rsidR="009E6EB7" w:rsidRPr="009D5EA7">
        <w:rPr>
          <w:rFonts w:ascii="Verdana" w:hAnsi="Verdana" w:cs="Cambria"/>
          <w:sz w:val="20"/>
        </w:rPr>
        <w:t>s</w:t>
      </w:r>
      <w:r w:rsidRPr="009D5EA7">
        <w:rPr>
          <w:rFonts w:ascii="Verdana" w:hAnsi="Verdana" w:cs="Cambria"/>
          <w:sz w:val="20"/>
        </w:rPr>
        <w:t xml:space="preserve"> derecho a las garantías judiciales y protección judicial. Respecto del proceso por encubrimiento, indicó que hubo señalamientos mutuos entre la señora Acosta y los otros imputados, “en ejercicio de su derecho de acciones legales”, luego de lo cual el juez sobreseyó a los tres. En cuanto a la investigación por falso testimonio y denuncia falsa, el Estado</w:t>
      </w:r>
      <w:r w:rsidRPr="009D5EA7">
        <w:rPr>
          <w:rFonts w:ascii="Verdana" w:hAnsi="Verdana" w:cs="Cambria"/>
          <w:b/>
          <w:sz w:val="20"/>
        </w:rPr>
        <w:t xml:space="preserve"> </w:t>
      </w:r>
      <w:r w:rsidRPr="009D5EA7">
        <w:rPr>
          <w:rFonts w:ascii="Verdana" w:hAnsi="Verdana" w:cs="Cambria"/>
          <w:sz w:val="20"/>
        </w:rPr>
        <w:t xml:space="preserve">señaló que tenía la obligación de darle curso a la </w:t>
      </w:r>
      <w:r w:rsidR="009E6EB7" w:rsidRPr="009D5EA7">
        <w:rPr>
          <w:rFonts w:ascii="Verdana" w:hAnsi="Verdana" w:cs="Cambria"/>
          <w:sz w:val="20"/>
        </w:rPr>
        <w:t>petición de cualquier ciudadano;</w:t>
      </w:r>
      <w:r w:rsidRPr="009D5EA7">
        <w:rPr>
          <w:rFonts w:ascii="Verdana" w:hAnsi="Verdana" w:cs="Cambria"/>
          <w:sz w:val="20"/>
        </w:rPr>
        <w:t xml:space="preserve"> </w:t>
      </w:r>
      <w:r w:rsidR="000F3276" w:rsidRPr="009D5EA7">
        <w:rPr>
          <w:rFonts w:ascii="Verdana" w:hAnsi="Verdana" w:cs="Cambria"/>
          <w:sz w:val="20"/>
        </w:rPr>
        <w:t>que el solo transcurso del tiempo, sin que la parte acusadora realizara ningún trámite, era beneficioso</w:t>
      </w:r>
      <w:r w:rsidR="003630B8" w:rsidRPr="009D5EA7">
        <w:rPr>
          <w:rFonts w:ascii="Verdana" w:hAnsi="Verdana" w:cs="Cambria"/>
          <w:sz w:val="20"/>
        </w:rPr>
        <w:t xml:space="preserve"> </w:t>
      </w:r>
      <w:r w:rsidR="009E6EB7" w:rsidRPr="009D5EA7">
        <w:rPr>
          <w:rFonts w:ascii="Verdana" w:hAnsi="Verdana" w:cs="Cambria"/>
          <w:sz w:val="20"/>
        </w:rPr>
        <w:t xml:space="preserve">para ella </w:t>
      </w:r>
      <w:r w:rsidR="003630B8" w:rsidRPr="009D5EA7">
        <w:rPr>
          <w:rFonts w:ascii="Verdana" w:hAnsi="Verdana" w:cs="Cambria"/>
          <w:sz w:val="20"/>
        </w:rPr>
        <w:t>y que</w:t>
      </w:r>
      <w:r w:rsidRPr="009D5EA7">
        <w:rPr>
          <w:rFonts w:ascii="Verdana" w:hAnsi="Verdana"/>
          <w:sz w:val="20"/>
        </w:rPr>
        <w:t>, desde su condición de víctima y parte en el referido proceso penal</w:t>
      </w:r>
      <w:r w:rsidR="003630B8" w:rsidRPr="009D5EA7">
        <w:rPr>
          <w:rFonts w:ascii="Verdana" w:hAnsi="Verdana"/>
          <w:sz w:val="20"/>
        </w:rPr>
        <w:t>,</w:t>
      </w:r>
      <w:r w:rsidRPr="009D5EA7">
        <w:rPr>
          <w:rFonts w:ascii="Verdana" w:hAnsi="Verdana"/>
          <w:sz w:val="20"/>
        </w:rPr>
        <w:t xml:space="preserve"> no </w:t>
      </w:r>
      <w:r w:rsidR="003630B8" w:rsidRPr="009D5EA7">
        <w:rPr>
          <w:rFonts w:ascii="Verdana" w:hAnsi="Verdana"/>
          <w:sz w:val="20"/>
        </w:rPr>
        <w:t xml:space="preserve">tenía </w:t>
      </w:r>
      <w:r w:rsidRPr="009D5EA7">
        <w:rPr>
          <w:rFonts w:ascii="Verdana" w:hAnsi="Verdana"/>
          <w:sz w:val="20"/>
        </w:rPr>
        <w:t xml:space="preserve">privilegios diferentes. </w:t>
      </w:r>
      <w:r w:rsidR="009E6EB7" w:rsidRPr="009D5EA7">
        <w:rPr>
          <w:rFonts w:ascii="Verdana" w:hAnsi="Verdana"/>
          <w:sz w:val="20"/>
        </w:rPr>
        <w:t>Señaló que, e</w:t>
      </w:r>
      <w:r w:rsidRPr="009D5EA7">
        <w:rPr>
          <w:rFonts w:ascii="Verdana" w:hAnsi="Verdana"/>
          <w:sz w:val="20"/>
        </w:rPr>
        <w:t>n Nicaragua, la condición de defensora de derechos humanos no exime a ningún ciudadano de la responsabilidad derivada de sus actos cuando pueden transgredir leyes penales o civiles.</w:t>
      </w:r>
      <w:r w:rsidR="003630B8" w:rsidRPr="009D5EA7">
        <w:rPr>
          <w:rFonts w:ascii="Verdana" w:hAnsi="Verdana"/>
          <w:sz w:val="20"/>
        </w:rPr>
        <w:t xml:space="preserve"> R</w:t>
      </w:r>
      <w:r w:rsidRPr="009D5EA7">
        <w:rPr>
          <w:rFonts w:ascii="Verdana" w:hAnsi="Verdana" w:cs="Cambria"/>
          <w:sz w:val="20"/>
        </w:rPr>
        <w:t xml:space="preserve">echazó la </w:t>
      </w:r>
      <w:r w:rsidR="009E6EB7" w:rsidRPr="009D5EA7">
        <w:rPr>
          <w:rFonts w:ascii="Verdana" w:hAnsi="Verdana" w:cs="Cambria"/>
          <w:sz w:val="20"/>
        </w:rPr>
        <w:t xml:space="preserve">supuesta retardación maliciosa </w:t>
      </w:r>
      <w:r w:rsidRPr="009D5EA7">
        <w:rPr>
          <w:rFonts w:ascii="Verdana" w:hAnsi="Verdana" w:cs="Cambria"/>
          <w:sz w:val="20"/>
        </w:rPr>
        <w:t xml:space="preserve">y acoso por dichos procesos, pues </w:t>
      </w:r>
      <w:r w:rsidR="009E6EB7" w:rsidRPr="009D5EA7">
        <w:rPr>
          <w:rFonts w:ascii="Verdana" w:hAnsi="Verdana" w:cs="Cambria"/>
          <w:sz w:val="20"/>
        </w:rPr>
        <w:t xml:space="preserve">ella </w:t>
      </w:r>
      <w:r w:rsidR="003630B8" w:rsidRPr="009D5EA7">
        <w:rPr>
          <w:rFonts w:ascii="Verdana" w:hAnsi="Verdana" w:cs="Cambria"/>
          <w:sz w:val="20"/>
        </w:rPr>
        <w:t>y su representante contribuyeron a extender los plazos</w:t>
      </w:r>
      <w:r w:rsidRPr="009D5EA7">
        <w:rPr>
          <w:rFonts w:ascii="Verdana" w:hAnsi="Verdana" w:cs="Cambria"/>
          <w:sz w:val="20"/>
        </w:rPr>
        <w:t>,</w:t>
      </w:r>
      <w:r w:rsidR="003630B8" w:rsidRPr="009D5EA7">
        <w:rPr>
          <w:rFonts w:ascii="Verdana" w:hAnsi="Verdana" w:cs="Cambria"/>
          <w:sz w:val="20"/>
        </w:rPr>
        <w:t xml:space="preserve"> lo que</w:t>
      </w:r>
      <w:r w:rsidRPr="009D5EA7">
        <w:rPr>
          <w:rFonts w:ascii="Verdana" w:hAnsi="Verdana" w:cs="Cambria"/>
          <w:sz w:val="20"/>
        </w:rPr>
        <w:t xml:space="preserve"> no </w:t>
      </w:r>
      <w:r w:rsidR="003630B8" w:rsidRPr="009D5EA7">
        <w:rPr>
          <w:rFonts w:ascii="Verdana" w:hAnsi="Verdana" w:cs="Cambria"/>
          <w:sz w:val="20"/>
        </w:rPr>
        <w:t>es atribuible</w:t>
      </w:r>
      <w:r w:rsidRPr="009D5EA7">
        <w:rPr>
          <w:rFonts w:ascii="Verdana" w:hAnsi="Verdana" w:cs="Cambria"/>
          <w:sz w:val="20"/>
        </w:rPr>
        <w:t xml:space="preserve"> al Estado</w:t>
      </w:r>
      <w:r w:rsidR="009E6EB7" w:rsidRPr="009D5EA7">
        <w:rPr>
          <w:rFonts w:ascii="Verdana" w:hAnsi="Verdana" w:cs="Cambria"/>
          <w:sz w:val="20"/>
        </w:rPr>
        <w:t xml:space="preserve">; </w:t>
      </w:r>
      <w:r w:rsidRPr="009D5EA7">
        <w:rPr>
          <w:rFonts w:ascii="Verdana" w:hAnsi="Verdana" w:cs="Cambria"/>
          <w:sz w:val="20"/>
        </w:rPr>
        <w:t xml:space="preserve">el juez nunca ordenó la detención de Acosta vía exhorto al juez de Chinandega </w:t>
      </w:r>
      <w:r w:rsidR="009E6EB7" w:rsidRPr="009D5EA7">
        <w:rPr>
          <w:rFonts w:ascii="Verdana" w:hAnsi="Verdana" w:cs="Cambria"/>
          <w:sz w:val="20"/>
        </w:rPr>
        <w:t xml:space="preserve">aún </w:t>
      </w:r>
      <w:r w:rsidRPr="009D5EA7">
        <w:rPr>
          <w:rFonts w:ascii="Verdana" w:hAnsi="Verdana" w:cs="Cambria"/>
          <w:sz w:val="20"/>
        </w:rPr>
        <w:t>ante la persistente incomparecencia de la misma a las citaciones judiciales</w:t>
      </w:r>
      <w:r w:rsidR="009E6EB7" w:rsidRPr="009D5EA7">
        <w:rPr>
          <w:rFonts w:ascii="Verdana" w:hAnsi="Verdana" w:cs="Cambria"/>
          <w:sz w:val="20"/>
        </w:rPr>
        <w:t xml:space="preserve">; y el juez procedió a declarar la caducidad del proceso </w:t>
      </w:r>
      <w:r w:rsidRPr="009D5EA7">
        <w:rPr>
          <w:rFonts w:ascii="Verdana" w:hAnsi="Verdana" w:cs="Cambria"/>
          <w:sz w:val="20"/>
        </w:rPr>
        <w:t>de manera oficiosa y ante la falta de impulso del</w:t>
      </w:r>
      <w:r w:rsidR="009E6EB7" w:rsidRPr="009D5EA7">
        <w:rPr>
          <w:rFonts w:ascii="Verdana" w:hAnsi="Verdana" w:cs="Cambria"/>
          <w:sz w:val="20"/>
        </w:rPr>
        <w:t xml:space="preserve"> mismo</w:t>
      </w:r>
      <w:r w:rsidRPr="009D5EA7">
        <w:rPr>
          <w:rFonts w:ascii="Verdana" w:hAnsi="Verdana" w:cs="Cambria"/>
          <w:sz w:val="20"/>
        </w:rPr>
        <w:t xml:space="preserve">. </w:t>
      </w:r>
    </w:p>
    <w:p w14:paraId="4F065BB6" w14:textId="77777777" w:rsidR="00B11651" w:rsidRPr="009D5EA7" w:rsidRDefault="00B11651" w:rsidP="00FB1E17">
      <w:pPr>
        <w:pStyle w:val="Prrafodelista"/>
        <w:ind w:left="0"/>
        <w:jc w:val="both"/>
        <w:rPr>
          <w:rFonts w:ascii="Verdana" w:hAnsi="Verdana"/>
          <w:sz w:val="20"/>
          <w:lang w:eastAsia="es-CR"/>
        </w:rPr>
      </w:pPr>
    </w:p>
    <w:p w14:paraId="20FE8E30" w14:textId="31DAA7CE" w:rsidR="004C050E" w:rsidRPr="009D5EA7" w:rsidRDefault="004C050E" w:rsidP="004C050E">
      <w:pPr>
        <w:pStyle w:val="Prrafodelista"/>
        <w:ind w:left="708"/>
        <w:jc w:val="both"/>
        <w:rPr>
          <w:rFonts w:ascii="Verdana" w:hAnsi="Verdana"/>
          <w:i/>
          <w:sz w:val="20"/>
          <w:lang w:eastAsia="es-CR"/>
        </w:rPr>
      </w:pPr>
      <w:r w:rsidRPr="009D5EA7">
        <w:rPr>
          <w:rFonts w:ascii="Verdana" w:hAnsi="Verdana"/>
          <w:i/>
          <w:sz w:val="20"/>
          <w:lang w:eastAsia="es-CR"/>
        </w:rPr>
        <w:t>Consideraciones de la Corte</w:t>
      </w:r>
    </w:p>
    <w:p w14:paraId="60A194E9" w14:textId="77777777" w:rsidR="004C050E" w:rsidRPr="009D5EA7" w:rsidRDefault="004C050E" w:rsidP="00FB1E17">
      <w:pPr>
        <w:pStyle w:val="Prrafodelista"/>
        <w:ind w:left="0"/>
        <w:jc w:val="both"/>
        <w:rPr>
          <w:rFonts w:ascii="Verdana" w:hAnsi="Verdana"/>
          <w:sz w:val="20"/>
          <w:lang w:eastAsia="es-CR"/>
        </w:rPr>
      </w:pPr>
    </w:p>
    <w:p w14:paraId="48F59410" w14:textId="70E04443" w:rsidR="00D5695B" w:rsidRPr="009D5EA7" w:rsidRDefault="00540C65" w:rsidP="00540C65">
      <w:pPr>
        <w:pStyle w:val="Prrafodelista"/>
        <w:ind w:left="2124" w:hanging="990"/>
        <w:jc w:val="both"/>
        <w:rPr>
          <w:rFonts w:ascii="Verdana" w:hAnsi="Verdana"/>
          <w:b/>
          <w:i/>
          <w:sz w:val="20"/>
        </w:rPr>
      </w:pPr>
      <w:r w:rsidRPr="009D5EA7">
        <w:rPr>
          <w:rFonts w:ascii="Verdana" w:hAnsi="Verdana"/>
          <w:b/>
          <w:i/>
          <w:sz w:val="20"/>
        </w:rPr>
        <w:t xml:space="preserve">a) </w:t>
      </w:r>
      <w:r w:rsidRPr="009D5EA7">
        <w:rPr>
          <w:rFonts w:ascii="Verdana" w:hAnsi="Verdana"/>
          <w:b/>
          <w:i/>
          <w:sz w:val="20"/>
        </w:rPr>
        <w:tab/>
        <w:t xml:space="preserve">Imputación </w:t>
      </w:r>
      <w:r w:rsidR="00AE208E">
        <w:rPr>
          <w:rFonts w:ascii="Verdana" w:hAnsi="Verdana"/>
          <w:b/>
          <w:i/>
          <w:sz w:val="20"/>
        </w:rPr>
        <w:t>a</w:t>
      </w:r>
      <w:r w:rsidRPr="009D5EA7">
        <w:rPr>
          <w:rFonts w:ascii="Verdana" w:hAnsi="Verdana"/>
          <w:b/>
          <w:i/>
          <w:sz w:val="20"/>
        </w:rPr>
        <w:t xml:space="preserve"> la señora Acosta p</w:t>
      </w:r>
      <w:r w:rsidR="00D5695B" w:rsidRPr="009D5EA7">
        <w:rPr>
          <w:rFonts w:ascii="Verdana" w:hAnsi="Verdana"/>
          <w:b/>
          <w:i/>
          <w:sz w:val="20"/>
        </w:rPr>
        <w:t>or supuesto en</w:t>
      </w:r>
      <w:r w:rsidRPr="009D5EA7">
        <w:rPr>
          <w:rFonts w:ascii="Verdana" w:hAnsi="Verdana"/>
          <w:b/>
          <w:i/>
          <w:sz w:val="20"/>
        </w:rPr>
        <w:t xml:space="preserve">cubrimiento </w:t>
      </w:r>
      <w:r w:rsidR="00142BB8">
        <w:rPr>
          <w:rFonts w:ascii="Verdana" w:hAnsi="Verdana"/>
          <w:b/>
          <w:i/>
          <w:sz w:val="20"/>
        </w:rPr>
        <w:t>d</w:t>
      </w:r>
      <w:r w:rsidRPr="009D5EA7">
        <w:rPr>
          <w:rFonts w:ascii="Verdana" w:hAnsi="Verdana"/>
          <w:b/>
          <w:i/>
          <w:sz w:val="20"/>
        </w:rPr>
        <w:t xml:space="preserve">el </w:t>
      </w:r>
      <w:r w:rsidR="006233D1" w:rsidRPr="006233D1">
        <w:rPr>
          <w:rFonts w:ascii="Verdana" w:hAnsi="Verdana" w:cs="Arial"/>
          <w:b/>
          <w:i/>
          <w:sz w:val="20"/>
        </w:rPr>
        <w:t>homicidio</w:t>
      </w:r>
      <w:r w:rsidR="006233D1" w:rsidRPr="009D5EA7">
        <w:rPr>
          <w:rFonts w:ascii="Verdana" w:hAnsi="Verdana" w:cs="Arial"/>
          <w:sz w:val="20"/>
        </w:rPr>
        <w:t xml:space="preserve"> </w:t>
      </w:r>
      <w:r w:rsidRPr="009D5EA7">
        <w:rPr>
          <w:rFonts w:ascii="Verdana" w:hAnsi="Verdana"/>
          <w:b/>
          <w:i/>
          <w:sz w:val="20"/>
        </w:rPr>
        <w:t>de su esposo</w:t>
      </w:r>
    </w:p>
    <w:p w14:paraId="4FFA2A4D" w14:textId="77777777" w:rsidR="00540C65" w:rsidRPr="009D5EA7" w:rsidRDefault="00540C65" w:rsidP="00540C65">
      <w:pPr>
        <w:pStyle w:val="Prrafodelista"/>
        <w:autoSpaceDE w:val="0"/>
        <w:autoSpaceDN w:val="0"/>
        <w:adjustRightInd w:val="0"/>
        <w:ind w:left="0" w:right="34"/>
        <w:jc w:val="both"/>
        <w:rPr>
          <w:rFonts w:ascii="Verdana" w:hAnsi="Verdana" w:cs="Cambria"/>
          <w:sz w:val="20"/>
        </w:rPr>
      </w:pPr>
    </w:p>
    <w:p w14:paraId="5DEF74D8" w14:textId="2F27F9A8" w:rsidR="00587A96" w:rsidRPr="009D5EA7" w:rsidRDefault="00540C65" w:rsidP="00587A96">
      <w:pPr>
        <w:pStyle w:val="Prrafodelista"/>
        <w:numPr>
          <w:ilvl w:val="0"/>
          <w:numId w:val="5"/>
        </w:numPr>
        <w:autoSpaceDE w:val="0"/>
        <w:autoSpaceDN w:val="0"/>
        <w:adjustRightInd w:val="0"/>
        <w:ind w:left="0" w:right="34" w:firstLine="0"/>
        <w:jc w:val="both"/>
        <w:rPr>
          <w:rFonts w:ascii="Verdana" w:hAnsi="Verdana" w:cs="Cambria"/>
          <w:sz w:val="20"/>
        </w:rPr>
      </w:pPr>
      <w:r w:rsidRPr="009D5EA7">
        <w:rPr>
          <w:rFonts w:ascii="Verdana" w:hAnsi="Verdana" w:cs="Cambria"/>
          <w:sz w:val="20"/>
        </w:rPr>
        <w:t xml:space="preserve">La Corte hace notar que, en efecto, </w:t>
      </w:r>
      <w:r w:rsidR="00D5695B" w:rsidRPr="009D5EA7">
        <w:rPr>
          <w:rFonts w:ascii="Verdana" w:hAnsi="Verdana" w:cs="Cambria"/>
          <w:sz w:val="20"/>
        </w:rPr>
        <w:t xml:space="preserve">cualquier persona podía interponer </w:t>
      </w:r>
      <w:r w:rsidRPr="009D5EA7">
        <w:rPr>
          <w:rFonts w:ascii="Verdana" w:hAnsi="Verdana" w:cs="Cambria"/>
          <w:sz w:val="20"/>
        </w:rPr>
        <w:t xml:space="preserve">una </w:t>
      </w:r>
      <w:r w:rsidR="00D5695B" w:rsidRPr="009D5EA7">
        <w:rPr>
          <w:rFonts w:ascii="Verdana" w:hAnsi="Verdana" w:cs="Cambria"/>
          <w:sz w:val="20"/>
        </w:rPr>
        <w:t xml:space="preserve">denuncia, </w:t>
      </w:r>
      <w:r w:rsidRPr="009D5EA7">
        <w:rPr>
          <w:rFonts w:ascii="Verdana" w:hAnsi="Verdana" w:cs="Cambria"/>
          <w:sz w:val="20"/>
        </w:rPr>
        <w:t>lo cual implicaba la apertura de una investigación por parte de las autoridades</w:t>
      </w:r>
      <w:r w:rsidR="002212E9" w:rsidRPr="009D5EA7">
        <w:rPr>
          <w:rFonts w:ascii="Verdana" w:hAnsi="Verdana" w:cs="Cambria"/>
          <w:sz w:val="20"/>
        </w:rPr>
        <w:t xml:space="preserve">, sin que necesariamente correspondiera analizar </w:t>
      </w:r>
      <w:r w:rsidR="00A0781B" w:rsidRPr="009D5EA7">
        <w:rPr>
          <w:rFonts w:ascii="Verdana" w:hAnsi="Verdana" w:cs="Cambria"/>
          <w:sz w:val="20"/>
        </w:rPr>
        <w:t xml:space="preserve">inicialmente </w:t>
      </w:r>
      <w:r w:rsidR="002212E9" w:rsidRPr="009D5EA7">
        <w:rPr>
          <w:rFonts w:ascii="Verdana" w:hAnsi="Verdana" w:cs="Cambria"/>
          <w:sz w:val="20"/>
        </w:rPr>
        <w:t xml:space="preserve">si la denuncia tenía o no una base </w:t>
      </w:r>
      <w:r w:rsidR="002212E9" w:rsidRPr="009D5EA7">
        <w:rPr>
          <w:rFonts w:ascii="Verdana" w:hAnsi="Verdana" w:cs="Cambria"/>
          <w:sz w:val="20"/>
        </w:rPr>
        <w:lastRenderedPageBreak/>
        <w:t xml:space="preserve">objetiva. Sin embargo, lo que no ha sido claramente sustentado por parte del Estado </w:t>
      </w:r>
      <w:r w:rsidR="00A0781B" w:rsidRPr="009D5EA7">
        <w:rPr>
          <w:rFonts w:ascii="Verdana" w:hAnsi="Verdana" w:cs="Cambria"/>
          <w:sz w:val="20"/>
        </w:rPr>
        <w:t xml:space="preserve">son </w:t>
      </w:r>
      <w:r w:rsidR="002212E9" w:rsidRPr="009D5EA7">
        <w:rPr>
          <w:rFonts w:ascii="Verdana" w:hAnsi="Verdana" w:cs="Cambria"/>
          <w:sz w:val="20"/>
        </w:rPr>
        <w:t xml:space="preserve">las razones jurídicas por las cuales el juez no aceptaba la participación de la señora Acosta como ofendida y </w:t>
      </w:r>
      <w:r w:rsidR="00A0781B" w:rsidRPr="009D5EA7">
        <w:rPr>
          <w:rFonts w:ascii="Verdana" w:hAnsi="Verdana" w:cs="Cambria"/>
          <w:sz w:val="20"/>
        </w:rPr>
        <w:t>acusadora</w:t>
      </w:r>
      <w:r w:rsidR="002212E9" w:rsidRPr="009D5EA7">
        <w:rPr>
          <w:rFonts w:ascii="Verdana" w:hAnsi="Verdana" w:cs="Cambria"/>
          <w:sz w:val="20"/>
        </w:rPr>
        <w:t xml:space="preserve">, pero sí abrió la investigación en su contra como </w:t>
      </w:r>
      <w:r w:rsidR="00D5695B" w:rsidRPr="009D5EA7">
        <w:rPr>
          <w:rFonts w:ascii="Verdana" w:hAnsi="Verdana" w:cs="Cambria"/>
          <w:sz w:val="20"/>
        </w:rPr>
        <w:t xml:space="preserve">imputada </w:t>
      </w:r>
      <w:r w:rsidR="002212E9" w:rsidRPr="009D5EA7">
        <w:rPr>
          <w:rFonts w:ascii="Verdana" w:hAnsi="Verdana" w:cs="Cambria"/>
          <w:sz w:val="20"/>
        </w:rPr>
        <w:t xml:space="preserve">por encubrimiento dentro de la misma </w:t>
      </w:r>
      <w:r w:rsidR="00D5695B" w:rsidRPr="009D5EA7">
        <w:rPr>
          <w:rFonts w:ascii="Verdana" w:hAnsi="Verdana" w:cs="Cambria"/>
          <w:sz w:val="20"/>
        </w:rPr>
        <w:t>instrucción.</w:t>
      </w:r>
      <w:r w:rsidR="00B11651">
        <w:rPr>
          <w:rFonts w:ascii="Verdana" w:hAnsi="Verdana" w:cs="Cambria"/>
          <w:sz w:val="20"/>
        </w:rPr>
        <w:t xml:space="preserve"> Al respecto, l</w:t>
      </w:r>
      <w:r w:rsidR="00587A96" w:rsidRPr="009D5EA7">
        <w:rPr>
          <w:rFonts w:ascii="Verdana" w:hAnsi="Verdana" w:cs="Cambria"/>
          <w:sz w:val="20"/>
        </w:rPr>
        <w:t xml:space="preserve">as representantes </w:t>
      </w:r>
      <w:r w:rsidR="00B52245" w:rsidRPr="009D5EA7">
        <w:rPr>
          <w:rFonts w:ascii="Verdana" w:hAnsi="Verdana" w:cs="Cambria"/>
          <w:sz w:val="20"/>
        </w:rPr>
        <w:t>plantearon</w:t>
      </w:r>
      <w:r w:rsidR="00587A96" w:rsidRPr="009D5EA7">
        <w:rPr>
          <w:rFonts w:ascii="Verdana" w:hAnsi="Verdana" w:cs="Cambria"/>
          <w:sz w:val="20"/>
        </w:rPr>
        <w:t xml:space="preserve"> que, ante la denuncia de PMF, el juez debió solicitar la ampliación de la declaración de ofendida (</w:t>
      </w:r>
      <w:r w:rsidR="00587A96" w:rsidRPr="009D5EA7">
        <w:rPr>
          <w:rFonts w:ascii="Verdana" w:hAnsi="Verdana" w:cs="Cambria"/>
          <w:i/>
          <w:sz w:val="20"/>
        </w:rPr>
        <w:t>ad-inquirendum</w:t>
      </w:r>
      <w:r w:rsidR="00587A96" w:rsidRPr="009D5EA7">
        <w:rPr>
          <w:rFonts w:ascii="Verdana" w:hAnsi="Verdana" w:cs="Cambria"/>
          <w:sz w:val="20"/>
        </w:rPr>
        <w:t>) de la señora Acosta, pero no podía procesarla en la misma causa. El Estado alegó que no existía norma legal que lo impidiera, tomando en cuenta que el encubrimiento en esa época era una forma de participación criminal y no un delito autónomo, por lo cual el juez lo llevó a cabo en un solo proceso por presentarse en el mismo caso las denuncias por encubrimiento y por autoría intelectual, para no dividir la contin</w:t>
      </w:r>
      <w:r w:rsidR="00685726" w:rsidRPr="009D5EA7">
        <w:rPr>
          <w:rFonts w:ascii="Verdana" w:hAnsi="Verdana" w:cs="Cambria"/>
          <w:sz w:val="20"/>
        </w:rPr>
        <w:t>g</w:t>
      </w:r>
      <w:r w:rsidR="00587A96" w:rsidRPr="009D5EA7">
        <w:rPr>
          <w:rFonts w:ascii="Verdana" w:hAnsi="Verdana" w:cs="Cambria"/>
          <w:sz w:val="20"/>
        </w:rPr>
        <w:t>encia de la causa y para evitar sentencias contradictorias. Agregó que a partir del año 2008 se adoptó la autonomía del delito de encubrimiento, en que se previó el eximente de responsabilidad para cónyuge o compañero y otros familiares</w:t>
      </w:r>
      <w:r w:rsidR="00B032AD" w:rsidRPr="009D5EA7">
        <w:rPr>
          <w:rFonts w:ascii="Verdana" w:hAnsi="Verdana" w:cs="Cambria"/>
          <w:sz w:val="20"/>
        </w:rPr>
        <w:t>.</w:t>
      </w:r>
    </w:p>
    <w:p w14:paraId="4CB72C45" w14:textId="1451866A" w:rsidR="00587A96" w:rsidRPr="009D5EA7" w:rsidRDefault="00587A96" w:rsidP="00587A96">
      <w:pPr>
        <w:pStyle w:val="Prrafodelista"/>
        <w:autoSpaceDE w:val="0"/>
        <w:autoSpaceDN w:val="0"/>
        <w:adjustRightInd w:val="0"/>
        <w:ind w:left="0" w:right="34"/>
        <w:jc w:val="both"/>
        <w:rPr>
          <w:rFonts w:ascii="Verdana" w:hAnsi="Verdana" w:cs="Cambria"/>
          <w:sz w:val="20"/>
        </w:rPr>
      </w:pPr>
    </w:p>
    <w:p w14:paraId="3A3ED651" w14:textId="2BA161CC" w:rsidR="00587A96" w:rsidRPr="009D5EA7" w:rsidRDefault="00587A96" w:rsidP="00587A96">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Cambria"/>
          <w:sz w:val="20"/>
        </w:rPr>
        <w:t xml:space="preserve">En este sentido, </w:t>
      </w:r>
      <w:r w:rsidR="00B11651">
        <w:rPr>
          <w:rFonts w:ascii="Verdana" w:hAnsi="Verdana" w:cs="Cambria"/>
          <w:sz w:val="20"/>
        </w:rPr>
        <w:t xml:space="preserve">se hace notar que </w:t>
      </w:r>
      <w:r w:rsidRPr="009D5EA7">
        <w:rPr>
          <w:rFonts w:ascii="Verdana" w:hAnsi="Verdana" w:cs="Cambria"/>
          <w:sz w:val="20"/>
        </w:rPr>
        <w:t xml:space="preserve">en </w:t>
      </w:r>
      <w:r w:rsidRPr="009D5EA7">
        <w:rPr>
          <w:rFonts w:ascii="Verdana" w:hAnsi="Verdana" w:cs="Arial"/>
          <w:sz w:val="20"/>
        </w:rPr>
        <w:t>octubre de 2002 el caso fue transferido a otro juzgado, en razón de la entrada en vigencia del nuevo Código de Procedimiento Penal, el cual ordenó trámite de segunda vista al Ministerio Público, para que alegara nulidades y presentara conclusiones finales. La Fiscal Auxiliar alegó que “se cambió la calidad de ofendida a procesada [de la señora Acosta] lo que es supremamente irregular, pues lo lícito es abrir proceso en calidad de procesado, resulta un absurdo jurídico tener dos calidades en un proceso como parte ofendida con la representación de un apoderado judicial y como parte procesada en ca</w:t>
      </w:r>
      <w:r w:rsidR="00A0781B" w:rsidRPr="009D5EA7">
        <w:rPr>
          <w:rFonts w:ascii="Verdana" w:hAnsi="Verdana" w:cs="Arial"/>
          <w:sz w:val="20"/>
        </w:rPr>
        <w:t>lidad de reo ausente [y ú]</w:t>
      </w:r>
      <w:r w:rsidRPr="009D5EA7">
        <w:rPr>
          <w:rFonts w:ascii="Verdana" w:hAnsi="Verdana" w:cs="Arial"/>
          <w:sz w:val="20"/>
        </w:rPr>
        <w:t>nicamente con ese mal accionar judicial el proceso</w:t>
      </w:r>
      <w:r w:rsidR="00A0781B" w:rsidRPr="009D5EA7">
        <w:rPr>
          <w:rFonts w:ascii="Verdana" w:hAnsi="Verdana" w:cs="Arial"/>
          <w:sz w:val="20"/>
        </w:rPr>
        <w:t xml:space="preserve"> es nulo con nulidad absoluta</w:t>
      </w:r>
      <w:r w:rsidRPr="009D5EA7">
        <w:rPr>
          <w:rFonts w:ascii="Verdana" w:hAnsi="Verdana" w:cs="Arial"/>
          <w:sz w:val="20"/>
        </w:rPr>
        <w:t>”</w:t>
      </w:r>
      <w:r w:rsidR="00446B36">
        <w:rPr>
          <w:rFonts w:ascii="Verdana" w:hAnsi="Verdana" w:cs="Arial"/>
          <w:sz w:val="20"/>
        </w:rPr>
        <w:t xml:space="preserve"> (</w:t>
      </w:r>
      <w:r w:rsidR="00446B36">
        <w:rPr>
          <w:rFonts w:ascii="Verdana" w:hAnsi="Verdana" w:cs="Arial"/>
          <w:i/>
          <w:sz w:val="20"/>
        </w:rPr>
        <w:t xml:space="preserve">supra </w:t>
      </w:r>
      <w:r w:rsidR="00446B36">
        <w:rPr>
          <w:rFonts w:ascii="Verdana" w:hAnsi="Verdana" w:cs="Arial"/>
          <w:sz w:val="20"/>
        </w:rPr>
        <w:t>párrs. 80, 100 y 150)</w:t>
      </w:r>
      <w:r w:rsidRPr="009D5EA7">
        <w:rPr>
          <w:rFonts w:ascii="Verdana" w:hAnsi="Verdana" w:cs="Arial"/>
          <w:sz w:val="20"/>
        </w:rPr>
        <w:t>. Similares argumentos fueron esgrimidos por el representante de la señ</w:t>
      </w:r>
      <w:r w:rsidR="00446B36">
        <w:rPr>
          <w:rFonts w:ascii="Verdana" w:hAnsi="Verdana" w:cs="Arial"/>
          <w:sz w:val="20"/>
        </w:rPr>
        <w:t>ora Acosta ante el propio juez y ante</w:t>
      </w:r>
      <w:r w:rsidRPr="009D5EA7">
        <w:rPr>
          <w:rFonts w:ascii="Verdana" w:hAnsi="Verdana" w:cs="Arial"/>
          <w:sz w:val="20"/>
        </w:rPr>
        <w:t xml:space="preserve"> instancias superiores, así como en las quejas disciplinarias, pero no consta una respuesta al respecto. La Corte considera que tal actuación del juez instructor, en relación con las demás actuaciones analizadas, implicó una violación del derecho</w:t>
      </w:r>
      <w:r w:rsidR="00B032AD" w:rsidRPr="009D5EA7">
        <w:rPr>
          <w:rFonts w:ascii="Verdana" w:hAnsi="Verdana" w:cs="Arial"/>
          <w:sz w:val="20"/>
        </w:rPr>
        <w:t xml:space="preserve"> como imputada a ser oída por un juez con las garantías del </w:t>
      </w:r>
      <w:r w:rsidRPr="009D5EA7">
        <w:rPr>
          <w:rFonts w:ascii="Verdana" w:hAnsi="Verdana" w:cs="Arial"/>
          <w:sz w:val="20"/>
        </w:rPr>
        <w:t>debido proceso, en los términos del artículo 8.1 de la Convención, en perjuicio de la señora Acosta.</w:t>
      </w:r>
    </w:p>
    <w:p w14:paraId="0C4F533B" w14:textId="77777777" w:rsidR="002212E9" w:rsidRPr="009D5EA7" w:rsidRDefault="002212E9" w:rsidP="002212E9">
      <w:pPr>
        <w:pStyle w:val="Prrafodelista"/>
        <w:rPr>
          <w:rFonts w:ascii="Verdana" w:hAnsi="Verdana" w:cs="Cambria"/>
          <w:sz w:val="20"/>
        </w:rPr>
      </w:pPr>
    </w:p>
    <w:p w14:paraId="3E1235F8" w14:textId="0C9A25DA" w:rsidR="00D5695B" w:rsidRPr="009D5EA7" w:rsidRDefault="00587A96" w:rsidP="00587A96">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En segundo lugar, el</w:t>
      </w:r>
      <w:r w:rsidR="00D5695B" w:rsidRPr="009D5EA7">
        <w:rPr>
          <w:rFonts w:ascii="Verdana" w:hAnsi="Verdana" w:cs="Arial"/>
          <w:sz w:val="20"/>
        </w:rPr>
        <w:t xml:space="preserve"> juez rechazó la representación legal ofrecida por la señora Acosta con base en </w:t>
      </w:r>
      <w:r w:rsidR="00A7310D" w:rsidRPr="009D5EA7">
        <w:rPr>
          <w:rFonts w:ascii="Verdana" w:hAnsi="Verdana" w:cs="Arial"/>
          <w:sz w:val="20"/>
        </w:rPr>
        <w:t xml:space="preserve">la </w:t>
      </w:r>
      <w:r w:rsidR="00D5695B" w:rsidRPr="009D5EA7">
        <w:rPr>
          <w:rFonts w:ascii="Verdana" w:hAnsi="Verdana" w:cs="Arial"/>
          <w:sz w:val="20"/>
        </w:rPr>
        <w:t xml:space="preserve">supuesta falta de </w:t>
      </w:r>
      <w:r w:rsidR="00A7310D" w:rsidRPr="009D5EA7">
        <w:rPr>
          <w:rFonts w:ascii="Verdana" w:hAnsi="Verdana" w:cs="Arial"/>
          <w:sz w:val="20"/>
        </w:rPr>
        <w:t xml:space="preserve">un </w:t>
      </w:r>
      <w:r w:rsidR="00446B36">
        <w:rPr>
          <w:rFonts w:ascii="Verdana" w:hAnsi="Verdana" w:cs="Arial"/>
          <w:sz w:val="20"/>
        </w:rPr>
        <w:t>poder adecuado, sin nombrarle</w:t>
      </w:r>
      <w:r w:rsidR="00D5695B" w:rsidRPr="009D5EA7">
        <w:rPr>
          <w:rFonts w:ascii="Verdana" w:hAnsi="Verdana" w:cs="Arial"/>
          <w:sz w:val="20"/>
        </w:rPr>
        <w:t xml:space="preserve"> defensor de oficio, en el mismo oficio en que ordena detenerla con la fuerza pública bajo el supuesto de no querer </w:t>
      </w:r>
      <w:r w:rsidR="0052500F">
        <w:rPr>
          <w:rFonts w:ascii="Verdana" w:hAnsi="Verdana" w:cs="Arial"/>
          <w:sz w:val="20"/>
        </w:rPr>
        <w:t>atender su orden de indagatoria</w:t>
      </w:r>
      <w:r w:rsidR="00A7310D" w:rsidRPr="009D5EA7">
        <w:rPr>
          <w:rFonts w:ascii="Verdana" w:hAnsi="Verdana" w:cs="Arial"/>
          <w:sz w:val="20"/>
        </w:rPr>
        <w:t>. Según fue analizado, la representación legal fue aceptada por el juez el mismo día que dictó el sobreseimiento a su</w:t>
      </w:r>
      <w:r w:rsidR="003A3D4A">
        <w:rPr>
          <w:rFonts w:ascii="Verdana" w:hAnsi="Verdana" w:cs="Arial"/>
          <w:sz w:val="20"/>
        </w:rPr>
        <w:t xml:space="preserve"> favor, juzgándola en ausencia</w:t>
      </w:r>
      <w:r w:rsidR="00A7310D" w:rsidRPr="009D5EA7">
        <w:rPr>
          <w:rFonts w:ascii="Verdana" w:hAnsi="Verdana" w:cs="Arial"/>
          <w:sz w:val="20"/>
        </w:rPr>
        <w:t xml:space="preserve">. Es decir, aún si la propia Constitución </w:t>
      </w:r>
      <w:r w:rsidR="00763DCA" w:rsidRPr="009D5EA7">
        <w:rPr>
          <w:rFonts w:ascii="Verdana" w:hAnsi="Verdana" w:cs="Arial"/>
          <w:sz w:val="20"/>
        </w:rPr>
        <w:t>nicaragüense</w:t>
      </w:r>
      <w:r w:rsidR="00A7310D" w:rsidRPr="009D5EA7">
        <w:rPr>
          <w:rFonts w:ascii="Verdana" w:hAnsi="Verdana" w:cs="Arial"/>
          <w:sz w:val="20"/>
        </w:rPr>
        <w:t xml:space="preserve"> y la Convención Americana protegen el derecho del procesado a ser defendido y representado por abogado desde el inicio del proceso, tal actuación del juez significó que ella no pudo ejercer su derecho de defensa mientras fue imputada en dicha instrucción. En consecuencia, la Corte considera que el Estado es responsable por esta manifiesta violación del derecho de defensa de la señora Acosta, en los términos del artículo 8.2 de la Convención. </w:t>
      </w:r>
    </w:p>
    <w:p w14:paraId="6DFA9B4B" w14:textId="77777777" w:rsidR="00CF5007" w:rsidRPr="009D5EA7" w:rsidRDefault="00CF5007" w:rsidP="00CF5007">
      <w:pPr>
        <w:pStyle w:val="Prrafodelista"/>
        <w:rPr>
          <w:rFonts w:ascii="Verdana" w:hAnsi="Verdana" w:cs="Arial"/>
          <w:sz w:val="20"/>
        </w:rPr>
      </w:pPr>
    </w:p>
    <w:p w14:paraId="570940DC" w14:textId="034A8459" w:rsidR="003E316F" w:rsidRPr="009D5EA7" w:rsidRDefault="00CF5007" w:rsidP="003E316F">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En tercer lugar, si bien los representantes</w:t>
      </w:r>
      <w:r w:rsidR="003A3D4A">
        <w:rPr>
          <w:rFonts w:ascii="Verdana" w:hAnsi="Verdana" w:cs="Arial"/>
          <w:sz w:val="20"/>
        </w:rPr>
        <w:t xml:space="preserve"> plantearon que las</w:t>
      </w:r>
      <w:r w:rsidRPr="009D5EA7">
        <w:rPr>
          <w:rFonts w:ascii="Verdana" w:hAnsi="Verdana" w:cs="Arial"/>
          <w:sz w:val="20"/>
        </w:rPr>
        <w:t xml:space="preserve"> </w:t>
      </w:r>
      <w:r w:rsidR="003A3D4A" w:rsidRPr="009D5EA7">
        <w:rPr>
          <w:rFonts w:ascii="Verdana" w:hAnsi="Verdana" w:cs="Arial"/>
          <w:sz w:val="20"/>
        </w:rPr>
        <w:t xml:space="preserve">declaraciones públicas del juez instructor </w:t>
      </w:r>
      <w:r w:rsidR="003A3D4A">
        <w:rPr>
          <w:rFonts w:ascii="Verdana" w:hAnsi="Verdana" w:cs="Arial"/>
          <w:sz w:val="20"/>
        </w:rPr>
        <w:t xml:space="preserve">deben ser analizadas bajo </w:t>
      </w:r>
      <w:r w:rsidRPr="009D5EA7">
        <w:rPr>
          <w:rFonts w:ascii="Verdana" w:hAnsi="Verdana" w:cs="Arial"/>
          <w:sz w:val="20"/>
        </w:rPr>
        <w:t xml:space="preserve">el derecho a la honra y dignidad </w:t>
      </w:r>
      <w:r w:rsidR="003E316F" w:rsidRPr="009D5EA7">
        <w:rPr>
          <w:rFonts w:ascii="Verdana" w:hAnsi="Verdana" w:cs="Arial"/>
          <w:sz w:val="20"/>
        </w:rPr>
        <w:t>(</w:t>
      </w:r>
      <w:r w:rsidR="003E316F" w:rsidRPr="009D5EA7">
        <w:rPr>
          <w:rFonts w:ascii="Verdana" w:hAnsi="Verdana" w:cs="Arial"/>
          <w:i/>
          <w:sz w:val="20"/>
        </w:rPr>
        <w:t xml:space="preserve">infra </w:t>
      </w:r>
      <w:r w:rsidR="003A3D4A">
        <w:rPr>
          <w:rFonts w:ascii="Verdana" w:hAnsi="Verdana" w:cs="Arial"/>
          <w:sz w:val="20"/>
        </w:rPr>
        <w:t>párrs. 202 y 203</w:t>
      </w:r>
      <w:r w:rsidR="003E316F" w:rsidRPr="009D5EA7">
        <w:rPr>
          <w:rFonts w:ascii="Verdana" w:hAnsi="Verdana" w:cs="Arial"/>
          <w:sz w:val="20"/>
        </w:rPr>
        <w:t xml:space="preserve">), la Corte considera necesario analizar </w:t>
      </w:r>
      <w:r w:rsidR="003A3D4A">
        <w:rPr>
          <w:rFonts w:ascii="Verdana" w:hAnsi="Verdana" w:cs="Arial"/>
          <w:sz w:val="20"/>
        </w:rPr>
        <w:t>tales</w:t>
      </w:r>
      <w:r w:rsidR="003E316F" w:rsidRPr="009D5EA7">
        <w:rPr>
          <w:rFonts w:ascii="Verdana" w:hAnsi="Verdana" w:cs="Arial"/>
          <w:sz w:val="20"/>
        </w:rPr>
        <w:t xml:space="preserve"> declaraciones, en aplicación del principio </w:t>
      </w:r>
      <w:r w:rsidR="003E316F" w:rsidRPr="009D5EA7">
        <w:rPr>
          <w:rFonts w:ascii="Verdana" w:hAnsi="Verdana" w:cs="Arial"/>
          <w:i/>
          <w:sz w:val="20"/>
        </w:rPr>
        <w:t>iura novit curia</w:t>
      </w:r>
      <w:r w:rsidR="003E316F" w:rsidRPr="009D5EA7">
        <w:rPr>
          <w:rFonts w:ascii="Verdana" w:hAnsi="Verdana" w:cs="Arial"/>
          <w:sz w:val="20"/>
        </w:rPr>
        <w:t xml:space="preserve">, bajo el derecho de presunción de inocencia en los términos del artículo 8.2 de la Convención. </w:t>
      </w:r>
    </w:p>
    <w:p w14:paraId="7E9782E0" w14:textId="77777777" w:rsidR="00B032AD" w:rsidRPr="009D5EA7" w:rsidRDefault="00B032AD" w:rsidP="00B032AD">
      <w:pPr>
        <w:pStyle w:val="Prrafodelista"/>
        <w:autoSpaceDE w:val="0"/>
        <w:autoSpaceDN w:val="0"/>
        <w:adjustRightInd w:val="0"/>
        <w:ind w:left="0" w:right="34"/>
        <w:jc w:val="both"/>
        <w:rPr>
          <w:rFonts w:ascii="Times New Roman" w:hAnsi="Times New Roman"/>
          <w:sz w:val="24"/>
          <w:szCs w:val="24"/>
          <w:lang w:eastAsia="es-CR"/>
        </w:rPr>
      </w:pPr>
    </w:p>
    <w:p w14:paraId="785EB9FC" w14:textId="77777777" w:rsidR="00B032AD" w:rsidRPr="009D5EA7" w:rsidRDefault="00B032AD" w:rsidP="00B032AD">
      <w:pPr>
        <w:pStyle w:val="Prrafodelista"/>
        <w:numPr>
          <w:ilvl w:val="0"/>
          <w:numId w:val="5"/>
        </w:numPr>
        <w:autoSpaceDE w:val="0"/>
        <w:autoSpaceDN w:val="0"/>
        <w:adjustRightInd w:val="0"/>
        <w:ind w:left="0" w:right="34" w:firstLine="0"/>
        <w:jc w:val="both"/>
        <w:rPr>
          <w:rFonts w:ascii="Times New Roman" w:hAnsi="Times New Roman"/>
          <w:sz w:val="24"/>
          <w:szCs w:val="24"/>
          <w:lang w:eastAsia="es-CR"/>
        </w:rPr>
      </w:pPr>
      <w:r w:rsidRPr="009D5EA7">
        <w:rPr>
          <w:rFonts w:ascii="Verdana" w:hAnsi="Verdana" w:cs="Arial"/>
          <w:sz w:val="20"/>
        </w:rPr>
        <w:t xml:space="preserve">El derecho a la presunción de inocencia exige que el Estado no condene informalmente a una persona o emita juicio ante la sociedad, contribuyendo así a formar una opinión pública, mientras no se acredite su responsabilidad penal conforme a la ley. Por ello, ese derecho puede ser violado tanto por los jueces a cargo del proceso, como por otras autoridades públicas, por lo </w:t>
      </w:r>
      <w:r w:rsidRPr="009D5EA7">
        <w:rPr>
          <w:rFonts w:ascii="Verdana" w:hAnsi="Verdana" w:cs="Arial"/>
          <w:sz w:val="20"/>
        </w:rPr>
        <w:lastRenderedPageBreak/>
        <w:t>cual éstas deben ser discretas y prudentes al realizar declaraciones públicas sobre un proceso penal, antes de que la persona haya sido juzgada y condenada</w:t>
      </w:r>
      <w:r w:rsidRPr="009D5EA7">
        <w:rPr>
          <w:rFonts w:ascii="Verdana" w:eastAsia="MS Mincho" w:hAnsi="Verdana"/>
          <w:spacing w:val="-2"/>
          <w:sz w:val="20"/>
          <w:vertAlign w:val="superscript"/>
        </w:rPr>
        <w:footnoteReference w:id="174"/>
      </w:r>
      <w:r w:rsidRPr="009D5EA7">
        <w:rPr>
          <w:rFonts w:ascii="Verdana" w:hAnsi="Verdana"/>
          <w:spacing w:val="-2"/>
          <w:sz w:val="20"/>
        </w:rPr>
        <w:t xml:space="preserve">. </w:t>
      </w:r>
    </w:p>
    <w:p w14:paraId="31D3FD76" w14:textId="77777777" w:rsidR="003E316F" w:rsidRPr="009D5EA7" w:rsidRDefault="003E316F" w:rsidP="003E316F">
      <w:pPr>
        <w:pStyle w:val="Prrafodelista"/>
        <w:rPr>
          <w:sz w:val="20"/>
        </w:rPr>
      </w:pPr>
    </w:p>
    <w:p w14:paraId="00C7D10D" w14:textId="15599324" w:rsidR="00D5695B" w:rsidRPr="009D5EA7" w:rsidRDefault="003E316F" w:rsidP="00B032AD">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L</w:t>
      </w:r>
      <w:r w:rsidR="00D5695B" w:rsidRPr="009D5EA7">
        <w:rPr>
          <w:rFonts w:ascii="Verdana" w:hAnsi="Verdana" w:cs="Arial"/>
          <w:sz w:val="20"/>
        </w:rPr>
        <w:t xml:space="preserve">a Corte hace notar que el juez encargado de la instrucción realizó una serie de declaraciones en el diario de mayor circulación nacional de entonces, refiriéndose a una manifestación de la señora Acosta realizada en el marco de la </w:t>
      </w:r>
      <w:r w:rsidR="00305795">
        <w:rPr>
          <w:rFonts w:ascii="Verdana" w:hAnsi="Verdana" w:cs="Arial"/>
          <w:sz w:val="20"/>
        </w:rPr>
        <w:t>instrucción</w:t>
      </w:r>
      <w:r w:rsidR="00B032AD" w:rsidRPr="009D5EA7">
        <w:rPr>
          <w:rFonts w:ascii="Verdana" w:hAnsi="Verdana" w:cs="Arial"/>
          <w:sz w:val="20"/>
        </w:rPr>
        <w:t xml:space="preserve"> </w:t>
      </w:r>
      <w:r w:rsidR="00D5695B" w:rsidRPr="009D5EA7">
        <w:rPr>
          <w:rFonts w:ascii="Verdana" w:hAnsi="Verdana" w:cs="Arial"/>
          <w:sz w:val="20"/>
        </w:rPr>
        <w:t>que se seguía por la muerte de su esposo, en que señaló como sospechoso a una persona que en ese momento no identificó (</w:t>
      </w:r>
      <w:r w:rsidR="00D5695B" w:rsidRPr="009D5EA7">
        <w:rPr>
          <w:rFonts w:ascii="Verdana" w:hAnsi="Verdana" w:cs="Arial"/>
          <w:i/>
          <w:sz w:val="20"/>
        </w:rPr>
        <w:t>supra</w:t>
      </w:r>
      <w:r w:rsidR="003A3D4A">
        <w:rPr>
          <w:rFonts w:ascii="Verdana" w:hAnsi="Verdana" w:cs="Arial"/>
          <w:sz w:val="20"/>
        </w:rPr>
        <w:t xml:space="preserve"> párr. 58</w:t>
      </w:r>
      <w:r w:rsidR="00D5695B" w:rsidRPr="009D5EA7">
        <w:rPr>
          <w:rFonts w:ascii="Verdana" w:hAnsi="Verdana" w:cs="Arial"/>
          <w:sz w:val="20"/>
        </w:rPr>
        <w:t xml:space="preserve">). El juez manifestó ante la prensa que tal declaración, así como una respuesta de </w:t>
      </w:r>
      <w:r w:rsidR="00856ECC">
        <w:rPr>
          <w:rFonts w:ascii="Verdana" w:hAnsi="Verdana" w:cs="Arial"/>
          <w:sz w:val="20"/>
        </w:rPr>
        <w:t>ella</w:t>
      </w:r>
      <w:r w:rsidR="00D5695B" w:rsidRPr="009D5EA7">
        <w:rPr>
          <w:rFonts w:ascii="Verdana" w:hAnsi="Verdana" w:cs="Arial"/>
          <w:sz w:val="20"/>
        </w:rPr>
        <w:t xml:space="preserve"> a una pregunta de la fiscalía, “perfectamente encuadra</w:t>
      </w:r>
      <w:r w:rsidR="00305795">
        <w:rPr>
          <w:rFonts w:ascii="Verdana" w:hAnsi="Verdana" w:cs="Arial"/>
          <w:sz w:val="20"/>
        </w:rPr>
        <w:t>[ba]</w:t>
      </w:r>
      <w:r w:rsidR="00D5695B" w:rsidRPr="009D5EA7">
        <w:rPr>
          <w:rFonts w:ascii="Verdana" w:hAnsi="Verdana" w:cs="Arial"/>
          <w:sz w:val="20"/>
        </w:rPr>
        <w:t xml:space="preserve"> en señalarla como encubridora del </w:t>
      </w:r>
      <w:r w:rsidR="006233D1">
        <w:rPr>
          <w:rFonts w:ascii="Verdana" w:hAnsi="Verdana" w:cs="Arial"/>
          <w:sz w:val="20"/>
        </w:rPr>
        <w:t>homicidio</w:t>
      </w:r>
      <w:r w:rsidR="006233D1" w:rsidRPr="009D5EA7">
        <w:rPr>
          <w:rFonts w:ascii="Verdana" w:hAnsi="Verdana" w:cs="Arial"/>
          <w:sz w:val="20"/>
        </w:rPr>
        <w:t xml:space="preserve"> </w:t>
      </w:r>
      <w:r w:rsidR="00D5695B" w:rsidRPr="009D5EA7">
        <w:rPr>
          <w:rFonts w:ascii="Verdana" w:hAnsi="Verdana" w:cs="Arial"/>
          <w:sz w:val="20"/>
        </w:rPr>
        <w:t xml:space="preserve">de su esposo”. Es decir, </w:t>
      </w:r>
      <w:r w:rsidR="00305795">
        <w:rPr>
          <w:rFonts w:ascii="Verdana" w:hAnsi="Verdana" w:cs="Arial"/>
          <w:sz w:val="20"/>
        </w:rPr>
        <w:t>además de calificar</w:t>
      </w:r>
      <w:r w:rsidR="00D5695B" w:rsidRPr="009D5EA7">
        <w:rPr>
          <w:rFonts w:ascii="Verdana" w:hAnsi="Verdana" w:cs="Arial"/>
          <w:sz w:val="20"/>
        </w:rPr>
        <w:t xml:space="preserve"> de “aventurera” tal declaración</w:t>
      </w:r>
      <w:r w:rsidR="00305795">
        <w:rPr>
          <w:rFonts w:ascii="Verdana" w:hAnsi="Verdana" w:cs="Arial"/>
          <w:sz w:val="20"/>
        </w:rPr>
        <w:t>, el juez</w:t>
      </w:r>
      <w:r w:rsidR="00D5695B" w:rsidRPr="009D5EA7">
        <w:rPr>
          <w:rFonts w:ascii="Verdana" w:hAnsi="Verdana" w:cs="Arial"/>
          <w:sz w:val="20"/>
        </w:rPr>
        <w:t xml:space="preserve"> emitió un criterio al respec</w:t>
      </w:r>
      <w:r w:rsidRPr="009D5EA7">
        <w:rPr>
          <w:rFonts w:ascii="Verdana" w:hAnsi="Verdana" w:cs="Arial"/>
          <w:sz w:val="20"/>
        </w:rPr>
        <w:t>to, nada menos que “encuadrarla</w:t>
      </w:r>
      <w:r w:rsidR="00D5695B" w:rsidRPr="009D5EA7">
        <w:rPr>
          <w:rFonts w:ascii="Verdana" w:hAnsi="Verdana" w:cs="Arial"/>
          <w:sz w:val="20"/>
        </w:rPr>
        <w:t xml:space="preserve">” en una forma de participación criminal en el hecho investigado y en la conducta específica que a ella se le imputaba en la investigación que él mismo </w:t>
      </w:r>
      <w:r w:rsidR="00650CCF" w:rsidRPr="009D5EA7">
        <w:rPr>
          <w:rFonts w:ascii="Verdana" w:hAnsi="Verdana" w:cs="Arial"/>
          <w:sz w:val="20"/>
        </w:rPr>
        <w:t xml:space="preserve">abrió </w:t>
      </w:r>
      <w:r w:rsidR="00D5695B" w:rsidRPr="009D5EA7">
        <w:rPr>
          <w:rFonts w:ascii="Verdana" w:hAnsi="Verdana" w:cs="Arial"/>
          <w:sz w:val="20"/>
        </w:rPr>
        <w:t xml:space="preserve">en su contra. De este modo, tales manifestaciones de un juez indudablemente hacen alusión al procedimiento penal en curso en ese momento y revelan una animadversión de </w:t>
      </w:r>
      <w:r w:rsidR="009124B1">
        <w:rPr>
          <w:rFonts w:ascii="Verdana" w:hAnsi="Verdana" w:cs="Arial"/>
          <w:sz w:val="20"/>
        </w:rPr>
        <w:t>su parte hacia la señora Acosta</w:t>
      </w:r>
      <w:r w:rsidR="00D5695B" w:rsidRPr="009D5EA7">
        <w:rPr>
          <w:rFonts w:ascii="Verdana" w:hAnsi="Verdana" w:cs="Arial"/>
          <w:sz w:val="20"/>
        </w:rPr>
        <w:t>.</w:t>
      </w:r>
      <w:r w:rsidR="00650CCF" w:rsidRPr="009D5EA7">
        <w:rPr>
          <w:rFonts w:ascii="Verdana" w:hAnsi="Verdana" w:cs="Arial"/>
          <w:sz w:val="20"/>
        </w:rPr>
        <w:t xml:space="preserve"> Este Tribunal estima que, sumada a la falta de imparcialidad del juez ya señalada, t</w:t>
      </w:r>
      <w:r w:rsidR="00D5695B" w:rsidRPr="009D5EA7">
        <w:rPr>
          <w:rFonts w:ascii="Verdana" w:hAnsi="Verdana" w:cs="Arial"/>
          <w:sz w:val="20"/>
        </w:rPr>
        <w:t>ales manifestaciones</w:t>
      </w:r>
      <w:r w:rsidR="00305795">
        <w:rPr>
          <w:rFonts w:ascii="Verdana" w:hAnsi="Verdana" w:cs="Arial"/>
          <w:sz w:val="20"/>
        </w:rPr>
        <w:t xml:space="preserve"> públicas</w:t>
      </w:r>
      <w:r w:rsidR="00D5695B" w:rsidRPr="009D5EA7">
        <w:rPr>
          <w:rFonts w:ascii="Verdana" w:hAnsi="Verdana" w:cs="Arial"/>
          <w:sz w:val="20"/>
        </w:rPr>
        <w:t xml:space="preserve"> pudieron propiciar, en el referido contexto, una creencia o prejuicio sobre su culpabilidad, además de revelar un posible prejuicio sobre la evaluación de los hechos por parte de la propia autoridad judicial que conocía el caso</w:t>
      </w:r>
      <w:r w:rsidRPr="009D5EA7">
        <w:rPr>
          <w:rFonts w:ascii="Verdana" w:hAnsi="Verdana" w:cs="Arial"/>
          <w:sz w:val="20"/>
        </w:rPr>
        <w:t xml:space="preserve"> y la juzgaba en ausencia, </w:t>
      </w:r>
      <w:r w:rsidR="00763DCA" w:rsidRPr="009D5EA7">
        <w:rPr>
          <w:rFonts w:ascii="Verdana" w:hAnsi="Verdana" w:cs="Arial"/>
          <w:sz w:val="20"/>
        </w:rPr>
        <w:t>independientemente</w:t>
      </w:r>
      <w:r w:rsidRPr="009D5EA7">
        <w:rPr>
          <w:rFonts w:ascii="Verdana" w:hAnsi="Verdana" w:cs="Arial"/>
          <w:sz w:val="20"/>
        </w:rPr>
        <w:t xml:space="preserve"> del hecho de que al día siguiente dictaría un sobreseimiento a su favor</w:t>
      </w:r>
      <w:r w:rsidR="00D5695B" w:rsidRPr="009D5EA7">
        <w:rPr>
          <w:rFonts w:ascii="Verdana" w:hAnsi="Verdana" w:cs="Arial"/>
          <w:sz w:val="20"/>
        </w:rPr>
        <w:t xml:space="preserve">. De este modo, la Corte considera que el Estado es responsable por la violación del derecho a la presunción de inocencia, reconocido en el artículo 8.2 de la Convención, en perjuicio de la señora Acosta.  </w:t>
      </w:r>
    </w:p>
    <w:p w14:paraId="4090263A" w14:textId="77777777" w:rsidR="00D5695B" w:rsidRPr="009D5EA7" w:rsidRDefault="00D5695B" w:rsidP="003E316F">
      <w:pPr>
        <w:pStyle w:val="Prrafodelista"/>
        <w:ind w:left="2124" w:hanging="990"/>
        <w:jc w:val="both"/>
        <w:rPr>
          <w:rFonts w:ascii="Verdana" w:hAnsi="Verdana"/>
          <w:b/>
          <w:i/>
          <w:sz w:val="20"/>
        </w:rPr>
      </w:pPr>
    </w:p>
    <w:p w14:paraId="7D21BC99" w14:textId="77777777" w:rsidR="003617F4" w:rsidRPr="009D5EA7" w:rsidRDefault="003617F4" w:rsidP="003E316F">
      <w:pPr>
        <w:pStyle w:val="Prrafodelista"/>
        <w:ind w:left="2124" w:hanging="990"/>
        <w:jc w:val="both"/>
        <w:rPr>
          <w:rFonts w:ascii="Verdana" w:hAnsi="Verdana"/>
          <w:b/>
          <w:i/>
          <w:sz w:val="20"/>
        </w:rPr>
      </w:pPr>
    </w:p>
    <w:p w14:paraId="751759D8" w14:textId="26345525" w:rsidR="00D5695B" w:rsidRPr="009D5EA7" w:rsidRDefault="003E316F" w:rsidP="003E316F">
      <w:pPr>
        <w:pStyle w:val="Prrafodelista"/>
        <w:ind w:left="2124" w:hanging="990"/>
        <w:jc w:val="both"/>
        <w:rPr>
          <w:rFonts w:ascii="Verdana" w:hAnsi="Verdana"/>
          <w:b/>
          <w:i/>
          <w:sz w:val="20"/>
        </w:rPr>
      </w:pPr>
      <w:r w:rsidRPr="009D5EA7">
        <w:rPr>
          <w:rFonts w:ascii="Verdana" w:hAnsi="Verdana"/>
          <w:b/>
          <w:i/>
          <w:sz w:val="20"/>
        </w:rPr>
        <w:t xml:space="preserve">b) </w:t>
      </w:r>
      <w:r w:rsidRPr="009D5EA7">
        <w:rPr>
          <w:rFonts w:ascii="Verdana" w:hAnsi="Verdana"/>
          <w:b/>
          <w:i/>
          <w:sz w:val="20"/>
        </w:rPr>
        <w:tab/>
      </w:r>
      <w:r w:rsidR="00D5695B" w:rsidRPr="009D5EA7">
        <w:rPr>
          <w:rFonts w:ascii="Verdana" w:hAnsi="Verdana"/>
          <w:b/>
          <w:i/>
          <w:sz w:val="20"/>
        </w:rPr>
        <w:t>Denuncia por delitos de falso testimonio y denuncia falsa</w:t>
      </w:r>
      <w:r w:rsidR="00AE208E">
        <w:rPr>
          <w:rFonts w:ascii="Verdana" w:hAnsi="Verdana"/>
          <w:b/>
          <w:i/>
          <w:sz w:val="20"/>
        </w:rPr>
        <w:t xml:space="preserve"> -</w:t>
      </w:r>
      <w:r w:rsidR="003617F4" w:rsidRPr="009D5EA7">
        <w:rPr>
          <w:rFonts w:ascii="Verdana" w:hAnsi="Verdana"/>
          <w:b/>
          <w:i/>
          <w:sz w:val="20"/>
        </w:rPr>
        <w:t xml:space="preserve"> embargo y proceso civil por daños y perjuicios</w:t>
      </w:r>
      <w:r w:rsidR="00D5695B" w:rsidRPr="009D5EA7">
        <w:rPr>
          <w:rFonts w:ascii="Verdana" w:hAnsi="Verdana"/>
          <w:b/>
          <w:i/>
          <w:sz w:val="20"/>
        </w:rPr>
        <w:t xml:space="preserve"> </w:t>
      </w:r>
    </w:p>
    <w:p w14:paraId="1BDEA2AA" w14:textId="77777777" w:rsidR="00D5695B" w:rsidRPr="009D5EA7" w:rsidRDefault="00D5695B" w:rsidP="00D5695B">
      <w:pPr>
        <w:pStyle w:val="Prrafodelista"/>
        <w:ind w:left="1134"/>
        <w:jc w:val="both"/>
        <w:rPr>
          <w:sz w:val="20"/>
        </w:rPr>
      </w:pPr>
    </w:p>
    <w:p w14:paraId="47131C83" w14:textId="5FAFE187" w:rsidR="00D5695B" w:rsidRPr="009D5EA7" w:rsidRDefault="00D5695B" w:rsidP="003E316F">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E</w:t>
      </w:r>
      <w:r w:rsidR="003E316F" w:rsidRPr="009D5EA7">
        <w:rPr>
          <w:rFonts w:ascii="Verdana" w:hAnsi="Verdana" w:cs="Arial"/>
          <w:sz w:val="20"/>
        </w:rPr>
        <w:t xml:space="preserve">n relación con </w:t>
      </w:r>
      <w:r w:rsidR="00446B36">
        <w:rPr>
          <w:rFonts w:ascii="Verdana" w:hAnsi="Verdana" w:cs="Arial"/>
          <w:sz w:val="20"/>
        </w:rPr>
        <w:t xml:space="preserve">el embargo, demanda civil y </w:t>
      </w:r>
      <w:r w:rsidR="003E316F" w:rsidRPr="009D5EA7">
        <w:rPr>
          <w:rFonts w:ascii="Verdana" w:hAnsi="Verdana" w:cs="Arial"/>
          <w:sz w:val="20"/>
        </w:rPr>
        <w:t xml:space="preserve">otras denuncias en la vía penal por delitos de falso testimonio y denuncia falsa </w:t>
      </w:r>
      <w:r w:rsidR="003617F4" w:rsidRPr="009D5EA7">
        <w:rPr>
          <w:rFonts w:ascii="Verdana" w:hAnsi="Verdana" w:cs="Arial"/>
          <w:sz w:val="20"/>
        </w:rPr>
        <w:t xml:space="preserve">interpuestas contra la señora Acosta por parte de </w:t>
      </w:r>
      <w:r w:rsidR="00FB48FB" w:rsidRPr="009D5EA7">
        <w:rPr>
          <w:rFonts w:ascii="Verdana" w:hAnsi="Verdana" w:cs="Arial"/>
          <w:sz w:val="20"/>
        </w:rPr>
        <w:t xml:space="preserve">los </w:t>
      </w:r>
      <w:r w:rsidR="003617F4" w:rsidRPr="009D5EA7">
        <w:rPr>
          <w:rFonts w:ascii="Verdana" w:hAnsi="Verdana" w:cs="Arial"/>
          <w:sz w:val="20"/>
        </w:rPr>
        <w:t>presuntos autores intelectuales (</w:t>
      </w:r>
      <w:r w:rsidR="003617F4" w:rsidRPr="009D5EA7">
        <w:rPr>
          <w:rFonts w:ascii="Verdana" w:hAnsi="Verdana" w:cs="Arial"/>
          <w:i/>
          <w:sz w:val="20"/>
        </w:rPr>
        <w:t>supra</w:t>
      </w:r>
      <w:r w:rsidR="003A3D4A">
        <w:rPr>
          <w:rFonts w:ascii="Verdana" w:hAnsi="Verdana" w:cs="Arial"/>
          <w:sz w:val="20"/>
        </w:rPr>
        <w:t xml:space="preserve"> párrs. 102 a 112</w:t>
      </w:r>
      <w:r w:rsidR="003617F4" w:rsidRPr="009D5EA7">
        <w:rPr>
          <w:rFonts w:ascii="Verdana" w:hAnsi="Verdana" w:cs="Arial"/>
          <w:sz w:val="20"/>
        </w:rPr>
        <w:t>), es evidente que un</w:t>
      </w:r>
      <w:r w:rsidRPr="009D5EA7">
        <w:rPr>
          <w:rFonts w:ascii="Verdana" w:hAnsi="Verdana" w:cs="Arial"/>
          <w:sz w:val="20"/>
        </w:rPr>
        <w:t xml:space="preserve"> Estado no puede evitar que una persona ejerza alguna acción legal contra otra. En este sentido, es claro que el Estado no tiene responsabilidad por el hecho en sí de que</w:t>
      </w:r>
      <w:r w:rsidR="003617F4" w:rsidRPr="009D5EA7">
        <w:rPr>
          <w:rFonts w:ascii="Verdana" w:hAnsi="Verdana" w:cs="Arial"/>
          <w:sz w:val="20"/>
        </w:rPr>
        <w:t xml:space="preserve"> esas</w:t>
      </w:r>
      <w:r w:rsidRPr="009D5EA7">
        <w:rPr>
          <w:rFonts w:ascii="Verdana" w:hAnsi="Verdana" w:cs="Arial"/>
          <w:sz w:val="20"/>
        </w:rPr>
        <w:t xml:space="preserve"> personas hayan interpuesto una querella y una denuncia o instaurado un proceso civil contra ella</w:t>
      </w:r>
      <w:r w:rsidR="00E33A3A" w:rsidRPr="009D5EA7">
        <w:rPr>
          <w:rFonts w:ascii="Verdana" w:hAnsi="Verdana" w:cs="Arial"/>
          <w:sz w:val="20"/>
        </w:rPr>
        <w:t xml:space="preserve"> o de que las autoridades judiciales hayan abierto las causas respectivas</w:t>
      </w:r>
      <w:r w:rsidRPr="009D5EA7">
        <w:rPr>
          <w:rFonts w:ascii="Verdana" w:hAnsi="Verdana" w:cs="Arial"/>
          <w:sz w:val="20"/>
        </w:rPr>
        <w:t>. No obstante, ante la posibilidad de que tales procedimientos constituyeran formas de amedrentamiento o desacreditación contra una defensora de derechos humanos</w:t>
      </w:r>
      <w:r w:rsidR="003617F4" w:rsidRPr="009D5EA7">
        <w:rPr>
          <w:rFonts w:ascii="Verdana" w:hAnsi="Verdana" w:cs="Arial"/>
          <w:sz w:val="20"/>
        </w:rPr>
        <w:t>,</w:t>
      </w:r>
      <w:r w:rsidRPr="009D5EA7">
        <w:rPr>
          <w:rFonts w:ascii="Verdana" w:hAnsi="Verdana" w:cs="Arial"/>
          <w:sz w:val="20"/>
        </w:rPr>
        <w:t xml:space="preserve"> que era a la vez parte ofendida en otro proceso penal, corresponde observar si las autoridades estatales actuaron dilige</w:t>
      </w:r>
      <w:r w:rsidR="003617F4" w:rsidRPr="009D5EA7">
        <w:rPr>
          <w:rFonts w:ascii="Verdana" w:hAnsi="Verdana" w:cs="Arial"/>
          <w:sz w:val="20"/>
        </w:rPr>
        <w:t>ntemente en esos procedimientos, particularmente bajo la garantía del plazo razonable, según lo alegado.</w:t>
      </w:r>
    </w:p>
    <w:p w14:paraId="4339B5BE" w14:textId="77777777" w:rsidR="00D5695B" w:rsidRPr="009D5EA7" w:rsidRDefault="00D5695B" w:rsidP="003617F4">
      <w:pPr>
        <w:pStyle w:val="Prrafodelista"/>
        <w:autoSpaceDE w:val="0"/>
        <w:autoSpaceDN w:val="0"/>
        <w:adjustRightInd w:val="0"/>
        <w:ind w:left="0" w:right="34"/>
        <w:jc w:val="both"/>
        <w:rPr>
          <w:rFonts w:ascii="Verdana" w:hAnsi="Verdana" w:cs="Arial"/>
          <w:sz w:val="20"/>
        </w:rPr>
      </w:pPr>
    </w:p>
    <w:p w14:paraId="1EA72C82" w14:textId="79F237CE" w:rsidR="00E33A3A" w:rsidRPr="009D5EA7" w:rsidRDefault="00DE2542" w:rsidP="00E33A3A">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Respecto de tales</w:t>
      </w:r>
      <w:r w:rsidR="003617F4" w:rsidRPr="009D5EA7">
        <w:rPr>
          <w:rFonts w:ascii="Verdana" w:hAnsi="Verdana" w:cs="Arial"/>
          <w:sz w:val="20"/>
        </w:rPr>
        <w:t xml:space="preserve"> denuncias en la vía penal, consta que </w:t>
      </w:r>
      <w:r w:rsidR="00E33A3A" w:rsidRPr="009D5EA7">
        <w:rPr>
          <w:rFonts w:ascii="Verdana" w:hAnsi="Verdana" w:cs="Arial"/>
          <w:sz w:val="20"/>
        </w:rPr>
        <w:t>la señora Acosta manifestó que eso era un medio de hostigamiento y solicitó que se tomara su declaración indagatoria en Chinandega. E</w:t>
      </w:r>
      <w:r w:rsidR="003617F4" w:rsidRPr="009D5EA7">
        <w:rPr>
          <w:rFonts w:ascii="Verdana" w:hAnsi="Verdana" w:cs="Arial"/>
          <w:sz w:val="20"/>
        </w:rPr>
        <w:t xml:space="preserve">l </w:t>
      </w:r>
      <w:r w:rsidR="00E33A3A" w:rsidRPr="009D5EA7">
        <w:rPr>
          <w:rFonts w:ascii="Verdana" w:hAnsi="Verdana" w:cs="Arial"/>
          <w:sz w:val="20"/>
        </w:rPr>
        <w:t xml:space="preserve">proceso </w:t>
      </w:r>
      <w:r w:rsidR="00D5695B" w:rsidRPr="009D5EA7">
        <w:rPr>
          <w:rFonts w:ascii="Verdana" w:hAnsi="Verdana" w:cs="Arial"/>
          <w:sz w:val="20"/>
        </w:rPr>
        <w:t xml:space="preserve">se mantuvo abierto hasta que </w:t>
      </w:r>
      <w:r w:rsidRPr="009D5EA7">
        <w:rPr>
          <w:rFonts w:ascii="Verdana" w:hAnsi="Verdana" w:cs="Arial"/>
          <w:sz w:val="20"/>
        </w:rPr>
        <w:t>el juez lo declaró</w:t>
      </w:r>
      <w:r w:rsidR="00D5695B" w:rsidRPr="009D5EA7">
        <w:rPr>
          <w:rFonts w:ascii="Verdana" w:hAnsi="Verdana" w:cs="Arial"/>
          <w:sz w:val="20"/>
        </w:rPr>
        <w:t xml:space="preserve"> caduco en agosto de 2004</w:t>
      </w:r>
      <w:r w:rsidRPr="009D5EA7">
        <w:rPr>
          <w:rFonts w:ascii="Verdana" w:hAnsi="Verdana" w:cs="Arial"/>
          <w:sz w:val="20"/>
        </w:rPr>
        <w:t>,</w:t>
      </w:r>
      <w:r w:rsidR="00D5695B" w:rsidRPr="009D5EA7">
        <w:rPr>
          <w:rFonts w:ascii="Verdana" w:hAnsi="Verdana" w:cs="Arial"/>
          <w:sz w:val="20"/>
        </w:rPr>
        <w:t xml:space="preserve"> por haber transcurrido más de ocho meses sin que alguna de las partes lo accionara</w:t>
      </w:r>
      <w:r w:rsidR="00E33A3A" w:rsidRPr="009D5EA7">
        <w:rPr>
          <w:rFonts w:ascii="Verdana" w:hAnsi="Verdana" w:cs="Arial"/>
          <w:sz w:val="20"/>
        </w:rPr>
        <w:t xml:space="preserve">. </w:t>
      </w:r>
    </w:p>
    <w:p w14:paraId="111322E8" w14:textId="77777777" w:rsidR="00E33A3A" w:rsidRPr="009D5EA7" w:rsidRDefault="00E33A3A" w:rsidP="00E33A3A">
      <w:pPr>
        <w:pStyle w:val="Prrafodelista"/>
        <w:rPr>
          <w:rFonts w:ascii="Verdana" w:hAnsi="Verdana" w:cs="Arial"/>
          <w:sz w:val="20"/>
        </w:rPr>
      </w:pPr>
    </w:p>
    <w:p w14:paraId="2FC0A8F9" w14:textId="01D95FAA" w:rsidR="00D5695B" w:rsidRPr="009D5EA7" w:rsidRDefault="00E33A3A" w:rsidP="00E33A3A">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Por otro lado, consta que el e</w:t>
      </w:r>
      <w:r w:rsidR="00D5695B" w:rsidRPr="009D5EA7">
        <w:rPr>
          <w:rFonts w:ascii="Verdana" w:hAnsi="Verdana" w:cs="Arial"/>
          <w:sz w:val="20"/>
        </w:rPr>
        <w:t xml:space="preserve">mbargo de la casa de la familia Acosta </w:t>
      </w:r>
      <w:r w:rsidRPr="009D5EA7">
        <w:rPr>
          <w:rFonts w:ascii="Verdana" w:hAnsi="Verdana" w:cs="Arial"/>
          <w:sz w:val="20"/>
        </w:rPr>
        <w:t xml:space="preserve">fue </w:t>
      </w:r>
      <w:r w:rsidR="00D5695B" w:rsidRPr="009D5EA7">
        <w:rPr>
          <w:rFonts w:ascii="Verdana" w:hAnsi="Verdana" w:cs="Arial"/>
          <w:sz w:val="20"/>
        </w:rPr>
        <w:t xml:space="preserve">ejecutado el 15 de mayo de 2002, por más de dos años, a pesar de solicitudes de levantamiento y de retardación interpuestas. Si bien </w:t>
      </w:r>
      <w:r w:rsidRPr="009D5EA7">
        <w:rPr>
          <w:rFonts w:ascii="Verdana" w:hAnsi="Verdana" w:cs="Arial"/>
          <w:sz w:val="20"/>
        </w:rPr>
        <w:t xml:space="preserve">el </w:t>
      </w:r>
      <w:r w:rsidR="00D5695B" w:rsidRPr="009D5EA7">
        <w:rPr>
          <w:rFonts w:ascii="Verdana" w:hAnsi="Verdana" w:cs="Arial"/>
          <w:sz w:val="20"/>
        </w:rPr>
        <w:t xml:space="preserve">juzgado declaró nulo el embargo en febrero de 2003, la Sala Civil del Tribunal de Apelaciones de Bluefields tardó hasta diciembre de 2004 en </w:t>
      </w:r>
      <w:r w:rsidRPr="009D5EA7">
        <w:rPr>
          <w:rFonts w:ascii="Verdana" w:hAnsi="Verdana" w:cs="Arial"/>
          <w:sz w:val="20"/>
        </w:rPr>
        <w:t>rechazar</w:t>
      </w:r>
      <w:r w:rsidR="00D5695B" w:rsidRPr="009D5EA7">
        <w:rPr>
          <w:rFonts w:ascii="Verdana" w:hAnsi="Verdana" w:cs="Arial"/>
          <w:sz w:val="20"/>
        </w:rPr>
        <w:t xml:space="preserve"> el recurso de apelación interpuesto por los demandantes</w:t>
      </w:r>
      <w:r w:rsidRPr="009D5EA7">
        <w:rPr>
          <w:rFonts w:ascii="Verdana" w:hAnsi="Verdana" w:cs="Arial"/>
          <w:sz w:val="20"/>
        </w:rPr>
        <w:t>.</w:t>
      </w:r>
      <w:r w:rsidR="002C1A70" w:rsidRPr="009D5EA7">
        <w:rPr>
          <w:rFonts w:ascii="Verdana" w:hAnsi="Verdana" w:cs="Arial"/>
          <w:sz w:val="20"/>
        </w:rPr>
        <w:t xml:space="preserve"> Dada la naturaleza de los embargos, es claro que podían tener una especial afectación en la persona que debió enfrentarlos y que hubo </w:t>
      </w:r>
      <w:r w:rsidR="002C1A70" w:rsidRPr="009D5EA7">
        <w:rPr>
          <w:rFonts w:ascii="Verdana" w:hAnsi="Verdana" w:cs="Arial"/>
          <w:sz w:val="20"/>
        </w:rPr>
        <w:lastRenderedPageBreak/>
        <w:t>períodos en que no hubo actividad judicial, manteniendo abiertos tales procedimientos innecesariamente.</w:t>
      </w:r>
    </w:p>
    <w:p w14:paraId="7E07DFBD" w14:textId="77777777" w:rsidR="00D5695B" w:rsidRPr="009D5EA7" w:rsidRDefault="00D5695B" w:rsidP="00E33A3A">
      <w:pPr>
        <w:pStyle w:val="Prrafodelista"/>
        <w:autoSpaceDE w:val="0"/>
        <w:autoSpaceDN w:val="0"/>
        <w:adjustRightInd w:val="0"/>
        <w:ind w:left="0" w:right="34"/>
        <w:jc w:val="both"/>
        <w:rPr>
          <w:rFonts w:ascii="Verdana" w:hAnsi="Verdana" w:cs="Arial"/>
          <w:sz w:val="20"/>
        </w:rPr>
      </w:pPr>
    </w:p>
    <w:p w14:paraId="0B37BF99" w14:textId="163A26DB" w:rsidR="002C1A70" w:rsidRPr="009D5EA7" w:rsidRDefault="00E33A3A" w:rsidP="006F51C7">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S</w:t>
      </w:r>
      <w:r w:rsidR="00D5695B" w:rsidRPr="009D5EA7">
        <w:rPr>
          <w:rFonts w:ascii="Verdana" w:hAnsi="Verdana" w:cs="Arial"/>
          <w:sz w:val="20"/>
        </w:rPr>
        <w:t xml:space="preserve">e alega que estos procesos constituyeron un mecanismo de amedrentamiento e intimidación </w:t>
      </w:r>
      <w:r w:rsidRPr="009D5EA7">
        <w:rPr>
          <w:rFonts w:ascii="Verdana" w:hAnsi="Verdana" w:cs="Arial"/>
          <w:sz w:val="20"/>
        </w:rPr>
        <w:t xml:space="preserve">contra la señora Acosta en relación con su </w:t>
      </w:r>
      <w:r w:rsidR="00D5695B" w:rsidRPr="009D5EA7">
        <w:rPr>
          <w:rFonts w:ascii="Verdana" w:hAnsi="Verdana" w:cs="Arial"/>
          <w:sz w:val="20"/>
        </w:rPr>
        <w:t xml:space="preserve">denuncia sobre el móvil del </w:t>
      </w:r>
      <w:r w:rsidR="006233D1">
        <w:rPr>
          <w:rFonts w:ascii="Verdana" w:hAnsi="Verdana" w:cs="Arial"/>
          <w:sz w:val="20"/>
        </w:rPr>
        <w:t>homicidio</w:t>
      </w:r>
      <w:r w:rsidR="006233D1" w:rsidRPr="009D5EA7">
        <w:rPr>
          <w:rFonts w:ascii="Verdana" w:hAnsi="Verdana" w:cs="Arial"/>
          <w:sz w:val="20"/>
        </w:rPr>
        <w:t xml:space="preserve"> </w:t>
      </w:r>
      <w:r w:rsidR="00D5695B" w:rsidRPr="009D5EA7">
        <w:rPr>
          <w:rFonts w:ascii="Verdana" w:hAnsi="Verdana" w:cs="Arial"/>
          <w:sz w:val="20"/>
        </w:rPr>
        <w:t>de su esposo</w:t>
      </w:r>
      <w:r w:rsidRPr="009D5EA7">
        <w:rPr>
          <w:rFonts w:ascii="Verdana" w:hAnsi="Verdana" w:cs="Arial"/>
          <w:sz w:val="20"/>
        </w:rPr>
        <w:t>.</w:t>
      </w:r>
      <w:r w:rsidR="00D5695B" w:rsidRPr="009D5EA7">
        <w:rPr>
          <w:rFonts w:ascii="Verdana" w:hAnsi="Verdana" w:cs="Arial"/>
          <w:sz w:val="20"/>
        </w:rPr>
        <w:t xml:space="preserve"> </w:t>
      </w:r>
      <w:r w:rsidR="006F51C7" w:rsidRPr="009D5EA7">
        <w:rPr>
          <w:rFonts w:ascii="Verdana" w:hAnsi="Verdana" w:cs="Arial"/>
          <w:sz w:val="20"/>
        </w:rPr>
        <w:t xml:space="preserve">En un caso anterior, la Corte </w:t>
      </w:r>
      <w:r w:rsidR="00FB48FB" w:rsidRPr="009D5EA7">
        <w:rPr>
          <w:rFonts w:ascii="Verdana" w:hAnsi="Verdana" w:cs="Arial"/>
          <w:sz w:val="20"/>
        </w:rPr>
        <w:t>consideró</w:t>
      </w:r>
      <w:r w:rsidR="006F51C7" w:rsidRPr="009D5EA7">
        <w:rPr>
          <w:rFonts w:ascii="Verdana" w:hAnsi="Verdana" w:cs="Arial"/>
          <w:sz w:val="20"/>
        </w:rPr>
        <w:t xml:space="preserve"> que un defensor de derechos humanos fue mantenido en una situación de incertidumbre, inseguridad e intimidación por la existencia de un proceso penal en su contra</w:t>
      </w:r>
      <w:r w:rsidR="002C1A70" w:rsidRPr="009D5EA7">
        <w:rPr>
          <w:rFonts w:ascii="Verdana" w:hAnsi="Verdana" w:cs="Arial"/>
          <w:sz w:val="20"/>
        </w:rPr>
        <w:t xml:space="preserve"> que permaneció abierto alrededor de </w:t>
      </w:r>
      <w:r w:rsidR="009B5196">
        <w:rPr>
          <w:rFonts w:ascii="Verdana" w:hAnsi="Verdana" w:cs="Arial"/>
          <w:sz w:val="20"/>
        </w:rPr>
        <w:t>cinco</w:t>
      </w:r>
      <w:r w:rsidR="002C1A70" w:rsidRPr="009D5EA7">
        <w:rPr>
          <w:rFonts w:ascii="Verdana" w:hAnsi="Verdana" w:cs="Arial"/>
          <w:sz w:val="20"/>
        </w:rPr>
        <w:t xml:space="preserve"> años sin mayor actividad procesal</w:t>
      </w:r>
      <w:r w:rsidR="006F51C7" w:rsidRPr="009D5EA7">
        <w:rPr>
          <w:rFonts w:ascii="Verdana" w:hAnsi="Verdana" w:cs="Arial"/>
          <w:sz w:val="20"/>
        </w:rPr>
        <w:t>, en atención al alto cargo policial que ocupaba quien presentó la querella</w:t>
      </w:r>
      <w:r w:rsidR="00FB48FB" w:rsidRPr="009D5EA7">
        <w:rPr>
          <w:rFonts w:ascii="Verdana" w:hAnsi="Verdana" w:cs="Arial"/>
          <w:sz w:val="20"/>
        </w:rPr>
        <w:t xml:space="preserve"> y que era</w:t>
      </w:r>
      <w:r w:rsidR="006F51C7" w:rsidRPr="009D5EA7">
        <w:rPr>
          <w:rFonts w:ascii="Verdana" w:hAnsi="Verdana" w:cs="Arial"/>
          <w:sz w:val="20"/>
        </w:rPr>
        <w:t xml:space="preserve"> señalado como uno de los responsables de la ejecución de su hermano, en un contexto de actos de amenaza, hostigamiento y detenciones ilegales en contra de aquél. En ese caso, se consideró que el proceso penal pudo haber generado un efecto intimidador o inhibidor en el </w:t>
      </w:r>
      <w:r w:rsidR="009B5196" w:rsidRPr="009D5EA7">
        <w:rPr>
          <w:rFonts w:ascii="Verdana" w:hAnsi="Verdana" w:cs="Arial"/>
          <w:sz w:val="20"/>
        </w:rPr>
        <w:t xml:space="preserve">libre y pleno </w:t>
      </w:r>
      <w:r w:rsidR="006F51C7" w:rsidRPr="009D5EA7">
        <w:rPr>
          <w:rFonts w:ascii="Verdana" w:hAnsi="Verdana" w:cs="Arial"/>
          <w:sz w:val="20"/>
        </w:rPr>
        <w:t>ejerci</w:t>
      </w:r>
      <w:r w:rsidR="009B5196">
        <w:rPr>
          <w:rFonts w:ascii="Verdana" w:hAnsi="Verdana" w:cs="Arial"/>
          <w:sz w:val="20"/>
        </w:rPr>
        <w:t>cio de su libertad de expresión</w:t>
      </w:r>
      <w:r w:rsidR="006F51C7" w:rsidRPr="009D5EA7">
        <w:rPr>
          <w:rStyle w:val="Refdenotaalpie"/>
          <w:rFonts w:ascii="Verdana" w:hAnsi="Verdana" w:cs="Arial"/>
          <w:sz w:val="20"/>
        </w:rPr>
        <w:footnoteReference w:id="175"/>
      </w:r>
      <w:r w:rsidR="006F51C7" w:rsidRPr="009D5EA7">
        <w:rPr>
          <w:rFonts w:ascii="Verdana" w:hAnsi="Verdana" w:cs="Arial"/>
          <w:sz w:val="20"/>
        </w:rPr>
        <w:t>.</w:t>
      </w:r>
      <w:r w:rsidR="007D5B96" w:rsidRPr="009D5EA7">
        <w:rPr>
          <w:rFonts w:ascii="Verdana" w:hAnsi="Verdana" w:cs="Arial"/>
          <w:sz w:val="20"/>
        </w:rPr>
        <w:t xml:space="preserve"> </w:t>
      </w:r>
    </w:p>
    <w:p w14:paraId="38D11A90" w14:textId="77777777" w:rsidR="002C1A70" w:rsidRPr="009D5EA7" w:rsidRDefault="002C1A70" w:rsidP="002C1A70">
      <w:pPr>
        <w:pStyle w:val="Prrafodelista"/>
        <w:rPr>
          <w:rFonts w:ascii="Verdana" w:hAnsi="Verdana" w:cs="Arial"/>
          <w:sz w:val="20"/>
        </w:rPr>
      </w:pPr>
    </w:p>
    <w:p w14:paraId="0F1F53FE" w14:textId="3C67E093" w:rsidR="00D5695B" w:rsidRPr="009D5EA7" w:rsidRDefault="002C1A70" w:rsidP="002C1A70">
      <w:pPr>
        <w:pStyle w:val="Prrafodelista"/>
        <w:numPr>
          <w:ilvl w:val="0"/>
          <w:numId w:val="5"/>
        </w:numPr>
        <w:autoSpaceDE w:val="0"/>
        <w:autoSpaceDN w:val="0"/>
        <w:adjustRightInd w:val="0"/>
        <w:ind w:left="0" w:right="34" w:firstLine="0"/>
        <w:jc w:val="both"/>
        <w:rPr>
          <w:rFonts w:ascii="Verdana" w:hAnsi="Verdana" w:cs="Arial"/>
          <w:sz w:val="20"/>
        </w:rPr>
      </w:pPr>
      <w:r w:rsidRPr="009D5EA7">
        <w:rPr>
          <w:rFonts w:ascii="Verdana" w:hAnsi="Verdana" w:cs="Arial"/>
          <w:sz w:val="20"/>
        </w:rPr>
        <w:t xml:space="preserve">Así, es probable que la duración irrazonable de determinados procesos contra un defensor de derechos humanos tenga particulares afectaciones a varios de sus derechos, lo cual corresponde analizar en cada caso. </w:t>
      </w:r>
      <w:r w:rsidR="00D5695B" w:rsidRPr="009D5EA7">
        <w:rPr>
          <w:rFonts w:ascii="Verdana" w:hAnsi="Verdana" w:cs="Arial"/>
          <w:sz w:val="20"/>
        </w:rPr>
        <w:t>Sin embargo,</w:t>
      </w:r>
      <w:r w:rsidR="00E33A3A" w:rsidRPr="009D5EA7">
        <w:rPr>
          <w:rFonts w:ascii="Verdana" w:hAnsi="Verdana" w:cs="Arial"/>
          <w:sz w:val="20"/>
        </w:rPr>
        <w:t xml:space="preserve"> la Corte considera que</w:t>
      </w:r>
      <w:r w:rsidR="00D5695B" w:rsidRPr="009D5EA7">
        <w:rPr>
          <w:rFonts w:ascii="Verdana" w:hAnsi="Verdana" w:cs="Arial"/>
          <w:sz w:val="20"/>
        </w:rPr>
        <w:t xml:space="preserve"> los elementos aportados</w:t>
      </w:r>
      <w:r w:rsidRPr="009D5EA7">
        <w:rPr>
          <w:rFonts w:ascii="Verdana" w:hAnsi="Verdana" w:cs="Arial"/>
          <w:sz w:val="20"/>
        </w:rPr>
        <w:t xml:space="preserve"> en este caso</w:t>
      </w:r>
      <w:r w:rsidR="00D5695B" w:rsidRPr="009D5EA7">
        <w:rPr>
          <w:rFonts w:ascii="Verdana" w:hAnsi="Verdana" w:cs="Arial"/>
          <w:sz w:val="20"/>
        </w:rPr>
        <w:t xml:space="preserve"> no son suficientes para considerar que el Estado incurriera en una violación d</w:t>
      </w:r>
      <w:r w:rsidR="00E33A3A" w:rsidRPr="009D5EA7">
        <w:rPr>
          <w:rFonts w:ascii="Verdana" w:hAnsi="Verdana" w:cs="Arial"/>
          <w:sz w:val="20"/>
        </w:rPr>
        <w:t>el principio de plazo razonable, en los términos del artículo 8.1 de la Convención.</w:t>
      </w:r>
    </w:p>
    <w:p w14:paraId="2275D2A8" w14:textId="77777777" w:rsidR="006B19D0" w:rsidRPr="009D5EA7" w:rsidRDefault="006B19D0" w:rsidP="00FB1E17">
      <w:pPr>
        <w:pStyle w:val="Prrafodelista"/>
        <w:ind w:left="0"/>
        <w:jc w:val="both"/>
        <w:rPr>
          <w:rFonts w:ascii="Verdana" w:hAnsi="Verdana"/>
          <w:sz w:val="20"/>
          <w:lang w:eastAsia="es-CR"/>
        </w:rPr>
      </w:pPr>
    </w:p>
    <w:p w14:paraId="64EE55FE" w14:textId="77777777" w:rsidR="00EC25BE" w:rsidRPr="009D5EA7" w:rsidRDefault="00EC25BE" w:rsidP="006B19D0">
      <w:pPr>
        <w:spacing w:after="0" w:line="240" w:lineRule="auto"/>
        <w:jc w:val="both"/>
        <w:rPr>
          <w:rFonts w:ascii="Verdana" w:eastAsia="Times New Roman" w:hAnsi="Verdana" w:cs="Times New Roman"/>
          <w:sz w:val="20"/>
          <w:szCs w:val="20"/>
          <w:lang w:val="es-ES_tradnl" w:eastAsia="es-ES"/>
        </w:rPr>
      </w:pPr>
    </w:p>
    <w:p w14:paraId="3115D8AA" w14:textId="301EE2E4" w:rsidR="006B19D0" w:rsidRPr="009D5EA7" w:rsidRDefault="006B19D0" w:rsidP="006B19D0">
      <w:pPr>
        <w:pStyle w:val="Ttulo1"/>
        <w:spacing w:before="0" w:after="0" w:line="240" w:lineRule="auto"/>
        <w:ind w:firstLine="4"/>
        <w:jc w:val="center"/>
        <w:rPr>
          <w:rFonts w:ascii="Verdana" w:hAnsi="Verdana" w:cs="Verdana"/>
          <w:caps/>
          <w:snapToGrid w:val="0"/>
          <w:sz w:val="20"/>
          <w:szCs w:val="20"/>
          <w:lang w:val="es-ES_tradnl" w:eastAsia="es-ES"/>
        </w:rPr>
      </w:pPr>
      <w:bookmarkStart w:id="21" w:name="_Toc476251460"/>
      <w:r w:rsidRPr="009D5EA7">
        <w:rPr>
          <w:rFonts w:ascii="Verdana" w:hAnsi="Verdana" w:cs="Verdana"/>
          <w:caps/>
          <w:snapToGrid w:val="0"/>
          <w:sz w:val="20"/>
          <w:szCs w:val="20"/>
          <w:lang w:val="es-ES_tradnl" w:eastAsia="es-ES"/>
        </w:rPr>
        <w:t>ViIi.2</w:t>
      </w:r>
      <w:r w:rsidRPr="009D5EA7">
        <w:rPr>
          <w:rFonts w:ascii="Verdana" w:hAnsi="Verdana" w:cs="Verdana"/>
          <w:caps/>
          <w:snapToGrid w:val="0"/>
          <w:sz w:val="20"/>
          <w:szCs w:val="20"/>
          <w:lang w:val="es-ES_tradnl" w:eastAsia="es-ES"/>
        </w:rPr>
        <w:br/>
        <w:t>derecho a la integridad personal y otros derechos</w:t>
      </w:r>
      <w:bookmarkEnd w:id="21"/>
    </w:p>
    <w:p w14:paraId="2E25D1D1" w14:textId="11F0D348" w:rsidR="006B19D0" w:rsidRPr="009D5EA7" w:rsidRDefault="006B19D0" w:rsidP="006B19D0">
      <w:pPr>
        <w:spacing w:after="0" w:line="240" w:lineRule="auto"/>
        <w:jc w:val="center"/>
        <w:rPr>
          <w:rFonts w:ascii="Times New Roman" w:hAnsi="Times New Roman" w:cs="Times New Roman"/>
          <w:sz w:val="24"/>
          <w:szCs w:val="24"/>
          <w:lang w:val="es-ES_tradnl" w:eastAsia="es-CR"/>
        </w:rPr>
      </w:pPr>
      <w:r w:rsidRPr="009D5EA7">
        <w:rPr>
          <w:rFonts w:ascii="Verdana" w:hAnsi="Verdana" w:cs="Verdana"/>
          <w:b/>
          <w:smallCaps/>
          <w:snapToGrid w:val="0"/>
          <w:sz w:val="20"/>
          <w:szCs w:val="20"/>
          <w:lang w:val="es-ES_tradnl" w:eastAsia="es-ES"/>
        </w:rPr>
        <w:t>(</w:t>
      </w:r>
      <w:r w:rsidRPr="009D5EA7">
        <w:rPr>
          <w:rFonts w:ascii="Verdana" w:hAnsi="Verdana" w:cs="Verdana"/>
          <w:b/>
          <w:snapToGrid w:val="0"/>
          <w:sz w:val="20"/>
          <w:szCs w:val="20"/>
          <w:lang w:val="es-ES_tradnl" w:eastAsia="es-ES"/>
        </w:rPr>
        <w:t>Artículo 5.1</w:t>
      </w:r>
      <w:r w:rsidRPr="009D5EA7">
        <w:rPr>
          <w:rStyle w:val="Refdenotaalpie"/>
          <w:rFonts w:ascii="Verdana" w:hAnsi="Verdana"/>
          <w:sz w:val="20"/>
          <w:szCs w:val="20"/>
          <w:lang w:val="es-ES_tradnl"/>
        </w:rPr>
        <w:footnoteReference w:id="176"/>
      </w:r>
      <w:r w:rsidRPr="009D5EA7">
        <w:rPr>
          <w:rFonts w:ascii="Verdana" w:hAnsi="Verdana"/>
          <w:b/>
          <w:sz w:val="20"/>
          <w:szCs w:val="20"/>
          <w:lang w:val="es-ES_tradnl" w:eastAsia="es-ES"/>
        </w:rPr>
        <w:t xml:space="preserve"> de la Convención Americana)</w:t>
      </w:r>
    </w:p>
    <w:p w14:paraId="7BEF1384" w14:textId="77777777" w:rsidR="006B19D0" w:rsidRPr="009D5EA7" w:rsidRDefault="006B19D0" w:rsidP="006B19D0">
      <w:pPr>
        <w:suppressAutoHyphens/>
        <w:spacing w:after="0" w:line="240" w:lineRule="auto"/>
        <w:jc w:val="both"/>
        <w:rPr>
          <w:rFonts w:ascii="Verdana" w:eastAsia="Times New Roman" w:hAnsi="Verdana" w:cs="Tahoma"/>
          <w:sz w:val="20"/>
          <w:szCs w:val="20"/>
          <w:lang w:val="es-ES_tradnl"/>
        </w:rPr>
      </w:pPr>
    </w:p>
    <w:p w14:paraId="4E4707D0" w14:textId="0B103E9E" w:rsidR="002A7B23" w:rsidRPr="009D5EA7" w:rsidRDefault="002A7B23" w:rsidP="00C15BA7">
      <w:pPr>
        <w:pStyle w:val="Ttulo2"/>
        <w:numPr>
          <w:ilvl w:val="0"/>
          <w:numId w:val="0"/>
        </w:numPr>
        <w:ind w:left="1410" w:hanging="690"/>
        <w:rPr>
          <w:rFonts w:ascii="Verdana" w:hAnsi="Verdana" w:cs="Arial"/>
          <w:b w:val="0"/>
          <w:smallCaps/>
          <w:sz w:val="20"/>
          <w:lang w:val="es-ES_tradnl"/>
        </w:rPr>
      </w:pPr>
      <w:bookmarkStart w:id="22" w:name="_Toc476251461"/>
      <w:r w:rsidRPr="009D5EA7">
        <w:rPr>
          <w:rFonts w:ascii="Verdana" w:hAnsi="Verdana"/>
          <w:smallCaps/>
          <w:sz w:val="20"/>
          <w:lang w:val="es-ES_tradnl"/>
        </w:rPr>
        <w:t>2.A</w:t>
      </w:r>
      <w:r w:rsidR="009C67ED" w:rsidRPr="009D5EA7">
        <w:rPr>
          <w:rFonts w:ascii="Verdana" w:hAnsi="Verdana"/>
          <w:smallCaps/>
          <w:sz w:val="20"/>
          <w:lang w:val="es-ES_tradnl"/>
        </w:rPr>
        <w:t>)</w:t>
      </w:r>
      <w:r w:rsidRPr="009D5EA7">
        <w:rPr>
          <w:rFonts w:ascii="Verdana" w:hAnsi="Verdana"/>
          <w:smallCaps/>
          <w:sz w:val="20"/>
          <w:lang w:val="es-ES_tradnl"/>
        </w:rPr>
        <w:tab/>
        <w:t>Derecho a la integridad personal</w:t>
      </w:r>
      <w:bookmarkEnd w:id="22"/>
      <w:r w:rsidRPr="009D5EA7">
        <w:rPr>
          <w:rFonts w:ascii="Verdana" w:hAnsi="Verdana"/>
          <w:smallCaps/>
          <w:sz w:val="20"/>
          <w:lang w:val="es-ES_tradnl"/>
        </w:rPr>
        <w:t xml:space="preserve"> </w:t>
      </w:r>
    </w:p>
    <w:p w14:paraId="569BF749" w14:textId="77777777" w:rsidR="002A7B23" w:rsidRPr="009D5EA7" w:rsidRDefault="002A7B23" w:rsidP="006B19D0">
      <w:pPr>
        <w:suppressAutoHyphens/>
        <w:spacing w:after="0" w:line="240" w:lineRule="auto"/>
        <w:jc w:val="both"/>
        <w:rPr>
          <w:rFonts w:ascii="Verdana" w:eastAsia="Times New Roman" w:hAnsi="Verdana" w:cs="Tahoma"/>
          <w:sz w:val="20"/>
          <w:szCs w:val="20"/>
          <w:lang w:val="es-ES_tradnl"/>
        </w:rPr>
      </w:pPr>
    </w:p>
    <w:p w14:paraId="1D1F4BC7" w14:textId="1C4B1057" w:rsidR="006B19D0" w:rsidRPr="009D5EA7" w:rsidRDefault="002A7B23" w:rsidP="00FB1E17">
      <w:pPr>
        <w:pStyle w:val="Prrafodelista"/>
        <w:ind w:left="0"/>
        <w:jc w:val="both"/>
        <w:rPr>
          <w:rFonts w:ascii="Verdana" w:hAnsi="Verdana"/>
          <w:i/>
          <w:sz w:val="20"/>
          <w:lang w:eastAsia="es-CR"/>
        </w:rPr>
      </w:pPr>
      <w:r w:rsidRPr="009D5EA7">
        <w:rPr>
          <w:rFonts w:ascii="Verdana" w:hAnsi="Verdana"/>
          <w:sz w:val="20"/>
          <w:lang w:eastAsia="es-CR"/>
        </w:rPr>
        <w:tab/>
      </w:r>
      <w:r w:rsidRPr="009D5EA7">
        <w:rPr>
          <w:rFonts w:ascii="Verdana" w:hAnsi="Verdana"/>
          <w:i/>
          <w:sz w:val="20"/>
          <w:lang w:eastAsia="es-CR"/>
        </w:rPr>
        <w:t>Alegatos de las partes y de la Comisión</w:t>
      </w:r>
    </w:p>
    <w:p w14:paraId="4A0DED78" w14:textId="77777777" w:rsidR="006F51C7" w:rsidRPr="009D5EA7" w:rsidRDefault="006F51C7" w:rsidP="006F51C7">
      <w:pPr>
        <w:pStyle w:val="Prrafodelista"/>
        <w:autoSpaceDE w:val="0"/>
        <w:autoSpaceDN w:val="0"/>
        <w:adjustRightInd w:val="0"/>
        <w:ind w:left="0" w:right="34"/>
        <w:jc w:val="both"/>
        <w:rPr>
          <w:rFonts w:ascii="Verdana" w:hAnsi="Verdana" w:cs="Arial"/>
          <w:sz w:val="20"/>
        </w:rPr>
      </w:pPr>
    </w:p>
    <w:p w14:paraId="1996D249" w14:textId="6FB6AD31" w:rsidR="006F51C7" w:rsidRPr="009D5EA7" w:rsidRDefault="006F51C7" w:rsidP="006F51C7">
      <w:pPr>
        <w:pStyle w:val="Prrafodelista"/>
        <w:numPr>
          <w:ilvl w:val="0"/>
          <w:numId w:val="5"/>
        </w:numPr>
        <w:autoSpaceDE w:val="0"/>
        <w:autoSpaceDN w:val="0"/>
        <w:adjustRightInd w:val="0"/>
        <w:ind w:left="0" w:right="34" w:firstLine="0"/>
        <w:jc w:val="both"/>
        <w:rPr>
          <w:rFonts w:ascii="Verdana" w:hAnsi="Verdana" w:cs="Cambria"/>
          <w:sz w:val="20"/>
        </w:rPr>
      </w:pPr>
      <w:r w:rsidRPr="009D5EA7">
        <w:rPr>
          <w:rFonts w:ascii="Verdana" w:hAnsi="Verdana" w:cs="Arial"/>
          <w:sz w:val="20"/>
        </w:rPr>
        <w:t xml:space="preserve">La </w:t>
      </w:r>
      <w:r w:rsidRPr="007A3724">
        <w:rPr>
          <w:rFonts w:ascii="Verdana" w:hAnsi="Verdana" w:cs="Arial"/>
          <w:b/>
          <w:sz w:val="20"/>
        </w:rPr>
        <w:t>Comisión</w:t>
      </w:r>
      <w:r w:rsidRPr="009D5EA7">
        <w:rPr>
          <w:rFonts w:ascii="Verdana" w:hAnsi="Verdana" w:cs="Arial"/>
          <w:sz w:val="20"/>
        </w:rPr>
        <w:t xml:space="preserve"> alegó que</w:t>
      </w:r>
      <w:r w:rsidRPr="009D5EA7">
        <w:rPr>
          <w:rFonts w:ascii="Verdana" w:hAnsi="Verdana" w:cs="Cambria"/>
          <w:sz w:val="20"/>
        </w:rPr>
        <w:t xml:space="preserve"> la iniciación de causas penales sin fundamento en contra de un defensor puede acarrear una violación al derecho a la integridad personal cuando el hostigamiento causado por ello afecta el normal desenvolvimiento en la vida diaria y causa grandes desequilibrios en la persona sujeta a procesos judiciales y en su familia. </w:t>
      </w:r>
      <w:r w:rsidR="00155258">
        <w:rPr>
          <w:rFonts w:ascii="Verdana" w:hAnsi="Verdana" w:cs="Cambria"/>
          <w:sz w:val="20"/>
        </w:rPr>
        <w:t xml:space="preserve">Dada </w:t>
      </w:r>
      <w:r w:rsidRPr="009D5EA7">
        <w:rPr>
          <w:rFonts w:ascii="Verdana" w:hAnsi="Verdana" w:cs="Cambria"/>
          <w:sz w:val="20"/>
        </w:rPr>
        <w:t xml:space="preserve">la apertura y manera en que se siguieron los procesos penales y el proceso civil como mecanismo de intimidación y hostigamiento por </w:t>
      </w:r>
      <w:r w:rsidR="005F175D" w:rsidRPr="009D5EA7">
        <w:rPr>
          <w:rFonts w:ascii="Verdana" w:hAnsi="Verdana" w:cs="Cambria"/>
          <w:sz w:val="20"/>
        </w:rPr>
        <w:t>la actividad de</w:t>
      </w:r>
      <w:r w:rsidRPr="009D5EA7">
        <w:rPr>
          <w:rFonts w:ascii="Verdana" w:hAnsi="Verdana" w:cs="Cambria"/>
          <w:sz w:val="20"/>
        </w:rPr>
        <w:t xml:space="preserve"> la señora Acosta, incluida la búsqueda de justicia por la muerte de su esposo, el Estado violó </w:t>
      </w:r>
      <w:r w:rsidR="005F175D" w:rsidRPr="009D5EA7">
        <w:rPr>
          <w:rFonts w:ascii="Verdana" w:hAnsi="Verdana" w:cs="Cambria"/>
          <w:sz w:val="20"/>
        </w:rPr>
        <w:t xml:space="preserve">su </w:t>
      </w:r>
      <w:r w:rsidRPr="009D5EA7">
        <w:rPr>
          <w:rFonts w:ascii="Verdana" w:hAnsi="Verdana" w:cs="Cambria"/>
          <w:sz w:val="20"/>
        </w:rPr>
        <w:t>derecho a la integridad psíquica y moral.</w:t>
      </w:r>
      <w:r w:rsidR="002B6A1A" w:rsidRPr="009D5EA7">
        <w:rPr>
          <w:rFonts w:ascii="Verdana" w:hAnsi="Verdana" w:cs="Cambria"/>
          <w:sz w:val="20"/>
        </w:rPr>
        <w:t xml:space="preserve"> Además, l</w:t>
      </w:r>
      <w:r w:rsidRPr="009D5EA7">
        <w:rPr>
          <w:rFonts w:ascii="Verdana" w:hAnsi="Verdana" w:cs="Cambria"/>
          <w:sz w:val="20"/>
        </w:rPr>
        <w:t xml:space="preserve">a pérdida de un ser querido en ese contexto y la ausencia de una investigación completa </w:t>
      </w:r>
      <w:r w:rsidR="002B6A1A" w:rsidRPr="009D5EA7">
        <w:rPr>
          <w:rFonts w:ascii="Verdana" w:hAnsi="Verdana" w:cs="Cambria"/>
          <w:sz w:val="20"/>
        </w:rPr>
        <w:t xml:space="preserve">sobre los hechos, </w:t>
      </w:r>
      <w:r w:rsidRPr="009D5EA7">
        <w:rPr>
          <w:rFonts w:ascii="Verdana" w:hAnsi="Verdana" w:cs="Cambria"/>
          <w:sz w:val="20"/>
        </w:rPr>
        <w:t>que a su vez ocasiona sufrimiento de no conocer la verdad</w:t>
      </w:r>
      <w:r w:rsidR="002B6A1A" w:rsidRPr="009D5EA7">
        <w:rPr>
          <w:rFonts w:ascii="Verdana" w:hAnsi="Verdana" w:cs="Cambria"/>
          <w:sz w:val="20"/>
        </w:rPr>
        <w:t>, constituyó</w:t>
      </w:r>
      <w:r w:rsidRPr="009D5EA7">
        <w:rPr>
          <w:rFonts w:ascii="Verdana" w:hAnsi="Verdana" w:cs="Cambria"/>
          <w:sz w:val="20"/>
        </w:rPr>
        <w:t xml:space="preserve"> en sí misma una afectación a la integridad psíquica y moral de los fa</w:t>
      </w:r>
      <w:r w:rsidR="002B6A1A" w:rsidRPr="009D5EA7">
        <w:rPr>
          <w:rFonts w:ascii="Verdana" w:hAnsi="Verdana" w:cs="Cambria"/>
          <w:sz w:val="20"/>
        </w:rPr>
        <w:t xml:space="preserve">miliares del señor García Valle, configurada además por otros efectos económicos </w:t>
      </w:r>
      <w:r w:rsidRPr="009D5EA7">
        <w:rPr>
          <w:rFonts w:ascii="Verdana" w:hAnsi="Verdana" w:cs="Cambria"/>
          <w:sz w:val="20"/>
        </w:rPr>
        <w:t>generado</w:t>
      </w:r>
      <w:r w:rsidR="00155258">
        <w:rPr>
          <w:rFonts w:ascii="Verdana" w:hAnsi="Verdana" w:cs="Cambria"/>
          <w:sz w:val="20"/>
        </w:rPr>
        <w:t xml:space="preserve">s </w:t>
      </w:r>
      <w:r w:rsidR="002B6A1A" w:rsidRPr="009D5EA7">
        <w:rPr>
          <w:rFonts w:ascii="Verdana" w:hAnsi="Verdana" w:cs="Cambria"/>
          <w:sz w:val="20"/>
        </w:rPr>
        <w:t>y</w:t>
      </w:r>
      <w:r w:rsidRPr="009D5EA7">
        <w:rPr>
          <w:rFonts w:ascii="Verdana" w:hAnsi="Verdana" w:cs="Cambria"/>
          <w:sz w:val="20"/>
        </w:rPr>
        <w:t xml:space="preserve"> el profundo sufrimie</w:t>
      </w:r>
      <w:r w:rsidR="002B6A1A" w:rsidRPr="009D5EA7">
        <w:rPr>
          <w:rFonts w:ascii="Verdana" w:hAnsi="Verdana" w:cs="Cambria"/>
          <w:sz w:val="20"/>
        </w:rPr>
        <w:t>nto y cambio radical en su</w:t>
      </w:r>
      <w:r w:rsidR="003D52BC" w:rsidRPr="009D5EA7">
        <w:rPr>
          <w:rFonts w:ascii="Verdana" w:hAnsi="Verdana" w:cs="Cambria"/>
          <w:sz w:val="20"/>
        </w:rPr>
        <w:t>s</w:t>
      </w:r>
      <w:r w:rsidR="002B6A1A" w:rsidRPr="009D5EA7">
        <w:rPr>
          <w:rFonts w:ascii="Verdana" w:hAnsi="Verdana" w:cs="Cambria"/>
          <w:sz w:val="20"/>
        </w:rPr>
        <w:t xml:space="preserve"> vida</w:t>
      </w:r>
      <w:r w:rsidR="003D52BC" w:rsidRPr="009D5EA7">
        <w:rPr>
          <w:rFonts w:ascii="Verdana" w:hAnsi="Verdana" w:cs="Cambria"/>
          <w:sz w:val="20"/>
        </w:rPr>
        <w:t>s</w:t>
      </w:r>
      <w:r w:rsidRPr="009D5EA7">
        <w:rPr>
          <w:rFonts w:ascii="Verdana" w:hAnsi="Verdana" w:cs="Cambria"/>
          <w:sz w:val="20"/>
        </w:rPr>
        <w:t>.</w:t>
      </w:r>
      <w:r w:rsidR="00E02918" w:rsidRPr="009D5EA7">
        <w:rPr>
          <w:rFonts w:ascii="Verdana" w:hAnsi="Verdana" w:cs="Cambria"/>
          <w:sz w:val="20"/>
        </w:rPr>
        <w:t xml:space="preserve"> Las </w:t>
      </w:r>
      <w:r w:rsidR="00E02918" w:rsidRPr="007A3724">
        <w:rPr>
          <w:rFonts w:ascii="Verdana" w:hAnsi="Verdana" w:cs="Cambria"/>
          <w:b/>
          <w:sz w:val="20"/>
        </w:rPr>
        <w:t>representantes</w:t>
      </w:r>
      <w:r w:rsidR="00E02918" w:rsidRPr="009D5EA7">
        <w:rPr>
          <w:rFonts w:ascii="Verdana" w:hAnsi="Verdana" w:cs="Cambria"/>
          <w:sz w:val="20"/>
        </w:rPr>
        <w:t xml:space="preserve"> presentaron argumentos similares al respecto</w:t>
      </w:r>
      <w:r w:rsidR="00685726" w:rsidRPr="009D5EA7">
        <w:rPr>
          <w:rFonts w:ascii="Verdana" w:hAnsi="Verdana" w:cs="Cambria"/>
          <w:sz w:val="20"/>
        </w:rPr>
        <w:t xml:space="preserve"> y se refirieron particularmente a la estigmatización que los familiares habrían sufrido</w:t>
      </w:r>
      <w:r w:rsidR="00E02918" w:rsidRPr="009D5EA7">
        <w:rPr>
          <w:rFonts w:ascii="Verdana" w:hAnsi="Verdana" w:cs="Cambria"/>
          <w:sz w:val="20"/>
        </w:rPr>
        <w:t>.</w:t>
      </w:r>
    </w:p>
    <w:p w14:paraId="07E85D69" w14:textId="606CDC22" w:rsidR="00E763A4" w:rsidRPr="009D5EA7" w:rsidRDefault="00E763A4" w:rsidP="00E763A4">
      <w:pPr>
        <w:pStyle w:val="Prrafodelista"/>
        <w:autoSpaceDE w:val="0"/>
        <w:autoSpaceDN w:val="0"/>
        <w:adjustRightInd w:val="0"/>
        <w:ind w:left="0" w:right="34"/>
        <w:jc w:val="both"/>
        <w:rPr>
          <w:rFonts w:ascii="Verdana" w:hAnsi="Verdana" w:cs="Cambria"/>
          <w:sz w:val="20"/>
        </w:rPr>
      </w:pPr>
    </w:p>
    <w:p w14:paraId="78544701" w14:textId="2D07FE5D" w:rsidR="00E763A4" w:rsidRPr="009D5EA7" w:rsidRDefault="00E02918" w:rsidP="006F51C7">
      <w:pPr>
        <w:pStyle w:val="Prrafodelista"/>
        <w:numPr>
          <w:ilvl w:val="0"/>
          <w:numId w:val="5"/>
        </w:numPr>
        <w:autoSpaceDE w:val="0"/>
        <w:autoSpaceDN w:val="0"/>
        <w:adjustRightInd w:val="0"/>
        <w:ind w:left="0" w:right="34" w:firstLine="0"/>
        <w:jc w:val="both"/>
        <w:rPr>
          <w:rFonts w:ascii="Verdana" w:hAnsi="Verdana" w:cs="Cambria"/>
          <w:sz w:val="20"/>
        </w:rPr>
      </w:pPr>
      <w:r w:rsidRPr="009D5EA7">
        <w:rPr>
          <w:rFonts w:ascii="Verdana" w:hAnsi="Verdana" w:cs="Cambria"/>
          <w:sz w:val="20"/>
        </w:rPr>
        <w:t xml:space="preserve">El </w:t>
      </w:r>
      <w:r w:rsidRPr="007A3724">
        <w:rPr>
          <w:rFonts w:ascii="Verdana" w:hAnsi="Verdana" w:cs="Cambria"/>
          <w:b/>
          <w:sz w:val="20"/>
        </w:rPr>
        <w:t>Estado</w:t>
      </w:r>
      <w:r w:rsidRPr="009D5EA7">
        <w:rPr>
          <w:rFonts w:ascii="Verdana" w:hAnsi="Verdana" w:cs="Cambria"/>
          <w:sz w:val="20"/>
        </w:rPr>
        <w:t xml:space="preserve"> señaló, respecto de los procesos penales y civiles seguidos contra la señora Acosta, que toda persona sometida a un proceso penal es afectada psíquica y moralmente en alguna medida, lo cual no es atribuible al Estado. Alegó que en el proceso penal para investigar el asesinato se llevó a cabo con los requisitos contemplados en la legislación y, si existieron errores en el mismo, fue por omisiones de la representación legal de la señora Acosta y no por </w:t>
      </w:r>
      <w:r w:rsidRPr="009D5EA7">
        <w:rPr>
          <w:rFonts w:ascii="Verdana" w:hAnsi="Verdana" w:cs="Cambria"/>
          <w:sz w:val="20"/>
        </w:rPr>
        <w:lastRenderedPageBreak/>
        <w:t>un encubrimiento deliberado y denegación de justicia por parte del Estado. Además, alegó que la afectación física y moral de las presuntas víctimas no se encuentra acreditada en una valoración pericial adecuada que la respalde.</w:t>
      </w:r>
    </w:p>
    <w:p w14:paraId="38CC8E66" w14:textId="77777777" w:rsidR="006B19D0" w:rsidRPr="009D5EA7" w:rsidRDefault="006B19D0" w:rsidP="00FB1E17">
      <w:pPr>
        <w:pStyle w:val="Prrafodelista"/>
        <w:ind w:left="0"/>
        <w:jc w:val="both"/>
        <w:rPr>
          <w:rFonts w:ascii="Verdana" w:hAnsi="Verdana"/>
          <w:sz w:val="20"/>
          <w:lang w:eastAsia="es-CR"/>
        </w:rPr>
      </w:pPr>
    </w:p>
    <w:p w14:paraId="03FE80B9" w14:textId="559CE184" w:rsidR="002A7B23" w:rsidRPr="009D5EA7" w:rsidRDefault="002A7B23" w:rsidP="002A7B23">
      <w:pPr>
        <w:pStyle w:val="Prrafodelista"/>
        <w:ind w:left="708"/>
        <w:jc w:val="both"/>
        <w:rPr>
          <w:rFonts w:ascii="Verdana" w:hAnsi="Verdana"/>
          <w:i/>
          <w:sz w:val="20"/>
          <w:lang w:eastAsia="es-CR"/>
        </w:rPr>
      </w:pPr>
      <w:r w:rsidRPr="009D5EA7">
        <w:rPr>
          <w:rFonts w:ascii="Verdana" w:hAnsi="Verdana"/>
          <w:i/>
          <w:sz w:val="20"/>
          <w:lang w:eastAsia="es-CR"/>
        </w:rPr>
        <w:t>Consideraciones de la Corte</w:t>
      </w:r>
    </w:p>
    <w:p w14:paraId="77F8E4CE" w14:textId="77777777" w:rsidR="002A7B23" w:rsidRPr="009D5EA7" w:rsidRDefault="002A7B23" w:rsidP="002A7B23">
      <w:pPr>
        <w:pStyle w:val="Prrafodelista"/>
        <w:autoSpaceDE w:val="0"/>
        <w:autoSpaceDN w:val="0"/>
        <w:adjustRightInd w:val="0"/>
        <w:ind w:left="0" w:right="34"/>
        <w:jc w:val="both"/>
        <w:rPr>
          <w:rFonts w:ascii="Verdana" w:hAnsi="Verdana" w:cs="Calibri"/>
          <w:color w:val="000000"/>
          <w:sz w:val="20"/>
        </w:rPr>
      </w:pPr>
    </w:p>
    <w:p w14:paraId="09D42121" w14:textId="77777777" w:rsidR="002B6A1A" w:rsidRPr="009D5EA7" w:rsidRDefault="006B19D0" w:rsidP="002B6A1A">
      <w:pPr>
        <w:pStyle w:val="Prrafodelista"/>
        <w:numPr>
          <w:ilvl w:val="0"/>
          <w:numId w:val="5"/>
        </w:numPr>
        <w:autoSpaceDE w:val="0"/>
        <w:autoSpaceDN w:val="0"/>
        <w:adjustRightInd w:val="0"/>
        <w:ind w:left="0" w:right="34" w:firstLine="0"/>
        <w:jc w:val="both"/>
        <w:rPr>
          <w:rFonts w:ascii="Verdana" w:hAnsi="Verdana" w:cs="Calibri"/>
          <w:color w:val="000000"/>
          <w:sz w:val="20"/>
        </w:rPr>
      </w:pPr>
      <w:r w:rsidRPr="009D5EA7">
        <w:rPr>
          <w:rFonts w:ascii="Verdana" w:hAnsi="Verdana"/>
          <w:sz w:val="20"/>
        </w:rPr>
        <w:t xml:space="preserve">En relación </w:t>
      </w:r>
      <w:r w:rsidRPr="009D5EA7">
        <w:rPr>
          <w:rFonts w:ascii="Verdana" w:hAnsi="Verdana" w:cs="Arial"/>
          <w:sz w:val="20"/>
        </w:rPr>
        <w:t>con</w:t>
      </w:r>
      <w:r w:rsidRPr="009D5EA7">
        <w:rPr>
          <w:rFonts w:ascii="Verdana" w:hAnsi="Verdana"/>
          <w:sz w:val="20"/>
        </w:rPr>
        <w:t xml:space="preserve"> la alegada violación del derecho a la integridad personal de los familiares de la presunta víctima, la Corte ha determinado en su jurisprudencia que ciertas violaciones de derechos humanos podrían causar en los familiares de presuntas víctimas sufrimiento y angustia, además de un sentimiento de inseguridad, frustración e impotencia, y ha concluido que tal sufrimiento, en detrimento de la integridad psíquica y moral de los familiares, podría constituir una violación del artículo 5 de la Convención</w:t>
      </w:r>
      <w:r w:rsidRPr="009D5EA7">
        <w:rPr>
          <w:rStyle w:val="Refdenotaalpie"/>
          <w:rFonts w:ascii="Verdana" w:hAnsi="Verdana"/>
          <w:sz w:val="20"/>
        </w:rPr>
        <w:footnoteReference w:id="177"/>
      </w:r>
      <w:r w:rsidRPr="009D5EA7">
        <w:rPr>
          <w:rFonts w:ascii="Verdana" w:hAnsi="Verdana"/>
          <w:sz w:val="20"/>
        </w:rPr>
        <w:t>. Se trata, por tanto, de un sufrimiento adicional o exacerbado consecuencia de las circunstancias particulares de las violaciones perpetradas contra sus seres queridos y a causa de las posteriores actuaciones u omisiones de las autoridades estatales frente a los hechos</w:t>
      </w:r>
      <w:r w:rsidRPr="009D5EA7">
        <w:rPr>
          <w:rStyle w:val="Refdenotaalpie"/>
          <w:rFonts w:ascii="Verdana" w:hAnsi="Verdana"/>
          <w:sz w:val="20"/>
        </w:rPr>
        <w:footnoteReference w:id="178"/>
      </w:r>
      <w:r w:rsidRPr="009D5EA7">
        <w:rPr>
          <w:rFonts w:ascii="Verdana" w:hAnsi="Verdana"/>
          <w:sz w:val="20"/>
        </w:rPr>
        <w:t xml:space="preserve">.  </w:t>
      </w:r>
    </w:p>
    <w:p w14:paraId="01B143C0" w14:textId="77777777" w:rsidR="002B6A1A" w:rsidRPr="009D5EA7" w:rsidRDefault="002B6A1A" w:rsidP="002B6A1A">
      <w:pPr>
        <w:pStyle w:val="Prrafodelista"/>
        <w:autoSpaceDE w:val="0"/>
        <w:autoSpaceDN w:val="0"/>
        <w:adjustRightInd w:val="0"/>
        <w:ind w:left="0" w:right="34"/>
        <w:jc w:val="both"/>
        <w:rPr>
          <w:rFonts w:ascii="Verdana" w:hAnsi="Verdana" w:cs="Calibri"/>
          <w:color w:val="000000"/>
          <w:sz w:val="20"/>
        </w:rPr>
      </w:pPr>
    </w:p>
    <w:p w14:paraId="7D80B727" w14:textId="4541A6FA" w:rsidR="006B19D0" w:rsidRPr="009D5EA7" w:rsidRDefault="002B6A1A" w:rsidP="002B6A1A">
      <w:pPr>
        <w:pStyle w:val="Prrafodelista"/>
        <w:numPr>
          <w:ilvl w:val="0"/>
          <w:numId w:val="5"/>
        </w:numPr>
        <w:autoSpaceDE w:val="0"/>
        <w:autoSpaceDN w:val="0"/>
        <w:adjustRightInd w:val="0"/>
        <w:ind w:left="0" w:right="34" w:firstLine="0"/>
        <w:jc w:val="both"/>
        <w:rPr>
          <w:rFonts w:ascii="Verdana" w:hAnsi="Verdana" w:cs="Calibri"/>
          <w:color w:val="000000"/>
          <w:sz w:val="20"/>
        </w:rPr>
      </w:pPr>
      <w:r w:rsidRPr="009D5EA7">
        <w:rPr>
          <w:rFonts w:ascii="Verdana" w:hAnsi="Verdana" w:cs="Calibri"/>
          <w:color w:val="000000"/>
          <w:sz w:val="20"/>
        </w:rPr>
        <w:t xml:space="preserve">En relación con la señora Acosta, la Corte considera que han sido aportados </w:t>
      </w:r>
      <w:r w:rsidR="006B19D0" w:rsidRPr="009D5EA7">
        <w:rPr>
          <w:rFonts w:ascii="Verdana" w:hAnsi="Verdana" w:cs="Calibri"/>
          <w:color w:val="000000"/>
          <w:sz w:val="20"/>
        </w:rPr>
        <w:t xml:space="preserve">suficientes elementos para </w:t>
      </w:r>
      <w:r w:rsidR="00E763A4" w:rsidRPr="009D5EA7">
        <w:rPr>
          <w:rFonts w:ascii="Verdana" w:hAnsi="Verdana" w:cs="Calibri"/>
          <w:color w:val="000000"/>
          <w:sz w:val="20"/>
        </w:rPr>
        <w:t xml:space="preserve">considerar que ha sufrido particulares afectaciones a su integridad personal, en razón no sólo del </w:t>
      </w:r>
      <w:r w:rsidR="006B19D0" w:rsidRPr="009D5EA7">
        <w:rPr>
          <w:rFonts w:ascii="Verdana" w:hAnsi="Verdana" w:cs="Calibri"/>
          <w:color w:val="000000"/>
          <w:sz w:val="20"/>
        </w:rPr>
        <w:t xml:space="preserve">grave sufrimiento </w:t>
      </w:r>
      <w:r w:rsidR="00E763A4" w:rsidRPr="009D5EA7">
        <w:rPr>
          <w:rFonts w:ascii="Verdana" w:hAnsi="Verdana" w:cs="Calibri"/>
          <w:color w:val="000000"/>
          <w:sz w:val="20"/>
        </w:rPr>
        <w:t xml:space="preserve">por el </w:t>
      </w:r>
      <w:r w:rsidR="006233D1">
        <w:rPr>
          <w:rFonts w:ascii="Verdana" w:hAnsi="Verdana" w:cs="Arial"/>
          <w:sz w:val="20"/>
        </w:rPr>
        <w:t>homicidio</w:t>
      </w:r>
      <w:r w:rsidR="006233D1" w:rsidRPr="009D5EA7">
        <w:rPr>
          <w:rFonts w:ascii="Verdana" w:hAnsi="Verdana" w:cs="Arial"/>
          <w:sz w:val="20"/>
        </w:rPr>
        <w:t xml:space="preserve"> </w:t>
      </w:r>
      <w:r w:rsidR="00E763A4" w:rsidRPr="009D5EA7">
        <w:rPr>
          <w:rFonts w:ascii="Verdana" w:hAnsi="Verdana" w:cs="Calibri"/>
          <w:color w:val="000000"/>
          <w:sz w:val="20"/>
        </w:rPr>
        <w:t xml:space="preserve">de su esposo, sino también </w:t>
      </w:r>
      <w:r w:rsidR="006B19D0" w:rsidRPr="009D5EA7">
        <w:rPr>
          <w:rFonts w:ascii="Verdana" w:hAnsi="Verdana" w:cs="Calibri"/>
          <w:color w:val="000000"/>
          <w:sz w:val="20"/>
        </w:rPr>
        <w:t>como consecuencia de la falta de investigación adecuada</w:t>
      </w:r>
      <w:r w:rsidR="006A3CCB">
        <w:rPr>
          <w:rFonts w:ascii="Verdana" w:hAnsi="Verdana" w:cs="Calibri"/>
          <w:color w:val="000000"/>
          <w:sz w:val="20"/>
        </w:rPr>
        <w:t xml:space="preserve"> del mismo;</w:t>
      </w:r>
      <w:r w:rsidR="00E763A4" w:rsidRPr="009D5EA7">
        <w:rPr>
          <w:rFonts w:ascii="Verdana" w:hAnsi="Verdana" w:cs="Calibri"/>
          <w:color w:val="000000"/>
          <w:sz w:val="20"/>
        </w:rPr>
        <w:t xml:space="preserve"> la</w:t>
      </w:r>
      <w:r w:rsidR="006B19D0" w:rsidRPr="009D5EA7">
        <w:rPr>
          <w:rFonts w:ascii="Verdana" w:hAnsi="Verdana" w:cs="Calibri"/>
          <w:color w:val="000000"/>
          <w:sz w:val="20"/>
        </w:rPr>
        <w:t xml:space="preserve"> </w:t>
      </w:r>
      <w:r w:rsidR="009124B1">
        <w:rPr>
          <w:rFonts w:ascii="Verdana" w:hAnsi="Verdana" w:cs="Calibri"/>
          <w:color w:val="000000"/>
          <w:sz w:val="20"/>
        </w:rPr>
        <w:t>infundada</w:t>
      </w:r>
      <w:r w:rsidR="006B19D0" w:rsidRPr="009D5EA7">
        <w:rPr>
          <w:rFonts w:ascii="Verdana" w:hAnsi="Verdana" w:cs="Calibri"/>
          <w:color w:val="000000"/>
          <w:sz w:val="20"/>
        </w:rPr>
        <w:t xml:space="preserve"> imputación</w:t>
      </w:r>
      <w:r w:rsidR="00E763A4" w:rsidRPr="009D5EA7">
        <w:rPr>
          <w:rFonts w:ascii="Verdana" w:hAnsi="Verdana" w:cs="Calibri"/>
          <w:color w:val="000000"/>
          <w:sz w:val="20"/>
        </w:rPr>
        <w:t xml:space="preserve"> </w:t>
      </w:r>
      <w:r w:rsidR="006B19D0" w:rsidRPr="009D5EA7">
        <w:rPr>
          <w:rFonts w:ascii="Verdana" w:hAnsi="Verdana" w:cs="Calibri"/>
          <w:color w:val="000000"/>
          <w:sz w:val="20"/>
        </w:rPr>
        <w:t>dentro del mismo procedimiento penal que se suponía debía investigar y procesar a los responsables</w:t>
      </w:r>
      <w:r w:rsidR="006A3CCB">
        <w:rPr>
          <w:rFonts w:ascii="Verdana" w:hAnsi="Verdana" w:cs="Calibri"/>
          <w:color w:val="000000"/>
          <w:sz w:val="20"/>
        </w:rPr>
        <w:t>;</w:t>
      </w:r>
      <w:r w:rsidR="00E763A4" w:rsidRPr="009D5EA7">
        <w:rPr>
          <w:rFonts w:ascii="Verdana" w:hAnsi="Verdana" w:cs="Calibri"/>
          <w:color w:val="000000"/>
          <w:sz w:val="20"/>
        </w:rPr>
        <w:t xml:space="preserve"> la</w:t>
      </w:r>
      <w:r w:rsidR="006B19D0" w:rsidRPr="009D5EA7">
        <w:rPr>
          <w:rFonts w:ascii="Verdana" w:hAnsi="Verdana" w:cs="Calibri"/>
          <w:color w:val="000000"/>
          <w:sz w:val="20"/>
        </w:rPr>
        <w:t xml:space="preserve"> estigmatización</w:t>
      </w:r>
      <w:r w:rsidR="00E763A4" w:rsidRPr="009D5EA7">
        <w:rPr>
          <w:rFonts w:ascii="Verdana" w:hAnsi="Verdana" w:cs="Calibri"/>
          <w:color w:val="000000"/>
          <w:sz w:val="20"/>
        </w:rPr>
        <w:t xml:space="preserve"> que debió enfrentar al haber sido</w:t>
      </w:r>
      <w:r w:rsidR="006B19D0" w:rsidRPr="009D5EA7">
        <w:rPr>
          <w:rFonts w:ascii="Verdana" w:hAnsi="Verdana" w:cs="Calibri"/>
          <w:color w:val="000000"/>
          <w:sz w:val="20"/>
        </w:rPr>
        <w:t xml:space="preserve"> objeto de</w:t>
      </w:r>
      <w:r w:rsidR="00E763A4" w:rsidRPr="009D5EA7">
        <w:rPr>
          <w:rFonts w:ascii="Verdana" w:hAnsi="Verdana" w:cs="Calibri"/>
          <w:color w:val="000000"/>
          <w:sz w:val="20"/>
        </w:rPr>
        <w:t xml:space="preserve"> infundadas acciones judiciales, así como la </w:t>
      </w:r>
      <w:r w:rsidR="006B19D0" w:rsidRPr="009D5EA7">
        <w:rPr>
          <w:rFonts w:ascii="Verdana" w:hAnsi="Verdana" w:cs="Calibri"/>
          <w:color w:val="000000"/>
          <w:sz w:val="20"/>
        </w:rPr>
        <w:t xml:space="preserve">frustración frente a la impunidad parcial. </w:t>
      </w:r>
      <w:r w:rsidR="00E763A4" w:rsidRPr="009D5EA7">
        <w:rPr>
          <w:rFonts w:ascii="Verdana" w:hAnsi="Verdana" w:cs="Calibri"/>
          <w:color w:val="000000"/>
          <w:sz w:val="20"/>
        </w:rPr>
        <w:t xml:space="preserve">En este sentido, la Corte considera que el Estado es responsable por la violación del derecho a la integridad </w:t>
      </w:r>
      <w:r w:rsidR="00222874" w:rsidRPr="009D5EA7">
        <w:rPr>
          <w:rFonts w:ascii="Verdana" w:hAnsi="Verdana" w:cs="Calibri"/>
          <w:color w:val="000000"/>
          <w:sz w:val="20"/>
        </w:rPr>
        <w:t>psíquica y moral</w:t>
      </w:r>
      <w:r w:rsidR="00E763A4" w:rsidRPr="009D5EA7">
        <w:rPr>
          <w:rFonts w:ascii="Verdana" w:hAnsi="Verdana" w:cs="Calibri"/>
          <w:color w:val="000000"/>
          <w:sz w:val="20"/>
        </w:rPr>
        <w:t xml:space="preserve">, reconocido en el artículo 5.1 de la Convención, en perjuicio de la señora Acosta. </w:t>
      </w:r>
    </w:p>
    <w:p w14:paraId="525113A3" w14:textId="77777777" w:rsidR="00E763A4" w:rsidRPr="009D5EA7" w:rsidRDefault="00E763A4" w:rsidP="00E763A4">
      <w:pPr>
        <w:pStyle w:val="Prrafodelista"/>
        <w:rPr>
          <w:rFonts w:ascii="Verdana" w:hAnsi="Verdana" w:cs="Calibri"/>
          <w:color w:val="000000"/>
          <w:sz w:val="20"/>
        </w:rPr>
      </w:pPr>
    </w:p>
    <w:p w14:paraId="138FBBD8" w14:textId="260A8F35" w:rsidR="006B19D0" w:rsidRPr="009D5EA7" w:rsidRDefault="00E763A4" w:rsidP="00E763A4">
      <w:pPr>
        <w:pStyle w:val="Prrafodelista"/>
        <w:numPr>
          <w:ilvl w:val="0"/>
          <w:numId w:val="5"/>
        </w:numPr>
        <w:autoSpaceDE w:val="0"/>
        <w:autoSpaceDN w:val="0"/>
        <w:adjustRightInd w:val="0"/>
        <w:ind w:left="0" w:right="34" w:firstLine="0"/>
        <w:jc w:val="both"/>
        <w:rPr>
          <w:rFonts w:ascii="Verdana" w:hAnsi="Verdana" w:cs="Calibri"/>
          <w:color w:val="000000"/>
          <w:sz w:val="20"/>
        </w:rPr>
      </w:pPr>
      <w:r w:rsidRPr="009D5EA7">
        <w:rPr>
          <w:rFonts w:ascii="Verdana" w:hAnsi="Verdana" w:cs="Calibri"/>
          <w:color w:val="000000"/>
          <w:sz w:val="20"/>
        </w:rPr>
        <w:t xml:space="preserve">Respecto </w:t>
      </w:r>
      <w:r w:rsidRPr="001506FD">
        <w:rPr>
          <w:rFonts w:ascii="Verdana" w:hAnsi="Verdana" w:cs="Calibri"/>
          <w:color w:val="000000"/>
          <w:sz w:val="20"/>
        </w:rPr>
        <w:t xml:space="preserve">de </w:t>
      </w:r>
      <w:r w:rsidR="00AE208E" w:rsidRPr="001506FD">
        <w:rPr>
          <w:rFonts w:ascii="Verdana" w:eastAsia="Cambria" w:hAnsi="Verdana" w:cs="Cambria"/>
          <w:spacing w:val="2"/>
          <w:sz w:val="20"/>
        </w:rPr>
        <w:t>la señora Ana María Vergara Acosta, el señor Álvaro Arístides Vergara Acosta, la señora María Leonor Valle Estrada (conocida como Leonor del Carmen Valle de García) y el señor Rodolfo García Solari</w:t>
      </w:r>
      <w:r w:rsidRPr="001506FD">
        <w:rPr>
          <w:rFonts w:ascii="Verdana" w:hAnsi="Verdana" w:cs="Calibri"/>
          <w:color w:val="000000"/>
          <w:sz w:val="20"/>
        </w:rPr>
        <w:t xml:space="preserve">, </w:t>
      </w:r>
      <w:r w:rsidR="006B19D0" w:rsidRPr="009D5EA7">
        <w:rPr>
          <w:rFonts w:ascii="Verdana" w:hAnsi="Verdana"/>
          <w:spacing w:val="-2"/>
          <w:sz w:val="20"/>
        </w:rPr>
        <w:t xml:space="preserve">no cabe duda que </w:t>
      </w:r>
      <w:r w:rsidRPr="009D5EA7">
        <w:rPr>
          <w:rFonts w:ascii="Verdana" w:hAnsi="Verdana"/>
          <w:spacing w:val="-2"/>
          <w:sz w:val="20"/>
        </w:rPr>
        <w:t xml:space="preserve">el </w:t>
      </w:r>
      <w:r w:rsidR="006233D1">
        <w:rPr>
          <w:rFonts w:ascii="Verdana" w:hAnsi="Verdana" w:cs="Arial"/>
          <w:sz w:val="20"/>
        </w:rPr>
        <w:t>homicidio</w:t>
      </w:r>
      <w:r w:rsidR="006233D1" w:rsidRPr="009D5EA7">
        <w:rPr>
          <w:rFonts w:ascii="Verdana" w:hAnsi="Verdana" w:cs="Arial"/>
          <w:sz w:val="20"/>
        </w:rPr>
        <w:t xml:space="preserve"> </w:t>
      </w:r>
      <w:r w:rsidR="00AE208E">
        <w:rPr>
          <w:rFonts w:ascii="Verdana" w:hAnsi="Verdana"/>
          <w:spacing w:val="-2"/>
          <w:sz w:val="20"/>
        </w:rPr>
        <w:t xml:space="preserve">del </w:t>
      </w:r>
      <w:r w:rsidR="00AE208E" w:rsidRPr="00AE208E">
        <w:rPr>
          <w:rFonts w:ascii="Verdana" w:eastAsia="Cambria" w:hAnsi="Verdana" w:cs="Cambria"/>
          <w:spacing w:val="2"/>
          <w:sz w:val="20"/>
        </w:rPr>
        <w:t>señor García Valle</w:t>
      </w:r>
      <w:r w:rsidR="00AE208E" w:rsidRPr="009D5EA7">
        <w:rPr>
          <w:rFonts w:ascii="Verdana" w:hAnsi="Verdana"/>
          <w:spacing w:val="-2"/>
          <w:sz w:val="20"/>
        </w:rPr>
        <w:t xml:space="preserve"> </w:t>
      </w:r>
      <w:r w:rsidRPr="009D5EA7">
        <w:rPr>
          <w:rFonts w:ascii="Verdana" w:hAnsi="Verdana"/>
          <w:spacing w:val="-2"/>
          <w:sz w:val="20"/>
        </w:rPr>
        <w:t>les</w:t>
      </w:r>
      <w:r w:rsidR="006B19D0" w:rsidRPr="009D5EA7">
        <w:rPr>
          <w:rFonts w:ascii="Verdana" w:hAnsi="Verdana"/>
          <w:spacing w:val="-2"/>
          <w:sz w:val="20"/>
        </w:rPr>
        <w:t xml:space="preserve"> ocasionó u</w:t>
      </w:r>
      <w:r w:rsidR="00AE208E">
        <w:rPr>
          <w:rFonts w:ascii="Verdana" w:hAnsi="Verdana"/>
          <w:spacing w:val="-2"/>
          <w:sz w:val="20"/>
        </w:rPr>
        <w:t xml:space="preserve">n profundo dolor y sufrimiento y que </w:t>
      </w:r>
      <w:r w:rsidR="006B19D0" w:rsidRPr="009D5EA7">
        <w:rPr>
          <w:rFonts w:ascii="Verdana" w:hAnsi="Verdana"/>
          <w:spacing w:val="-2"/>
          <w:sz w:val="20"/>
        </w:rPr>
        <w:t xml:space="preserve">han tenido secuelas de carácter emocional y personal como consecuencia de los hechos. </w:t>
      </w:r>
      <w:r w:rsidR="006A3CCB">
        <w:rPr>
          <w:rFonts w:ascii="Verdana" w:hAnsi="Verdana"/>
          <w:spacing w:val="-2"/>
          <w:sz w:val="20"/>
        </w:rPr>
        <w:t>E</w:t>
      </w:r>
      <w:r w:rsidR="006B19D0" w:rsidRPr="009D5EA7">
        <w:rPr>
          <w:rFonts w:ascii="Verdana" w:hAnsi="Verdana" w:cs="Arial"/>
          <w:spacing w:val="-2"/>
          <w:sz w:val="20"/>
        </w:rPr>
        <w:t xml:space="preserve">ste Tribunal </w:t>
      </w:r>
      <w:r w:rsidR="006B19D0" w:rsidRPr="009D5EA7">
        <w:rPr>
          <w:rFonts w:ascii="Verdana" w:hAnsi="Verdana"/>
          <w:sz w:val="20"/>
        </w:rPr>
        <w:t>ha establecido que no es necesario demostrar el daño moral o inmaterial de los padres de la víctima, por ejemplo, derivado de “la muerte cruel de sus hijos, pues es propio de la naturaleza humana que toda persona experimente dolor ante el suplicio de su</w:t>
      </w:r>
      <w:r w:rsidR="00685726" w:rsidRPr="009D5EA7">
        <w:rPr>
          <w:rFonts w:ascii="Verdana" w:hAnsi="Verdana"/>
          <w:sz w:val="20"/>
        </w:rPr>
        <w:t>s</w:t>
      </w:r>
      <w:r w:rsidR="006B19D0" w:rsidRPr="009D5EA7">
        <w:rPr>
          <w:rFonts w:ascii="Verdana" w:hAnsi="Verdana"/>
          <w:sz w:val="20"/>
        </w:rPr>
        <w:t xml:space="preserve"> hijo</w:t>
      </w:r>
      <w:r w:rsidR="00685726" w:rsidRPr="009D5EA7">
        <w:rPr>
          <w:rFonts w:ascii="Verdana" w:hAnsi="Verdana"/>
          <w:sz w:val="20"/>
        </w:rPr>
        <w:t>s</w:t>
      </w:r>
      <w:r w:rsidR="006B19D0" w:rsidRPr="009D5EA7">
        <w:rPr>
          <w:rFonts w:ascii="Verdana" w:hAnsi="Verdana"/>
          <w:sz w:val="20"/>
        </w:rPr>
        <w:t>”</w:t>
      </w:r>
      <w:r w:rsidR="006B19D0" w:rsidRPr="009D5EA7">
        <w:rPr>
          <w:rStyle w:val="Refdenotaalpie"/>
          <w:rFonts w:ascii="Verdana" w:hAnsi="Verdana"/>
          <w:sz w:val="20"/>
        </w:rPr>
        <w:footnoteReference w:id="179"/>
      </w:r>
      <w:r w:rsidR="006B19D0" w:rsidRPr="009D5EA7">
        <w:rPr>
          <w:rFonts w:ascii="Verdana" w:hAnsi="Verdana"/>
          <w:sz w:val="20"/>
        </w:rPr>
        <w:t>. Esta consideración es aplicable también a otros familiares directos de la víctima. Sin embargo, en las circunstancias del presente caso, la Corte tomará en consideración los efectos que los hechos han tenido en los familiares al momento de determinar las reparaciones pertinentes en el siguiente capítulo, por lo cual no corresponde emitir un pronunciamiento sobre la alegada violación del artículo 5 de la Convención</w:t>
      </w:r>
      <w:r w:rsidR="00500B34" w:rsidRPr="009D5EA7">
        <w:rPr>
          <w:rFonts w:ascii="Verdana" w:hAnsi="Verdana"/>
          <w:sz w:val="20"/>
        </w:rPr>
        <w:t xml:space="preserve"> respecto de ellos</w:t>
      </w:r>
      <w:r w:rsidRPr="009D5EA7">
        <w:rPr>
          <w:rStyle w:val="Refdenotaalpie"/>
          <w:rFonts w:ascii="Verdana" w:hAnsi="Verdana"/>
          <w:sz w:val="20"/>
        </w:rPr>
        <w:footnoteReference w:id="180"/>
      </w:r>
      <w:r w:rsidR="006B19D0" w:rsidRPr="009D5EA7">
        <w:rPr>
          <w:rFonts w:ascii="Verdana" w:hAnsi="Verdana"/>
          <w:sz w:val="20"/>
        </w:rPr>
        <w:t>.</w:t>
      </w:r>
    </w:p>
    <w:p w14:paraId="27DFA285" w14:textId="77777777" w:rsidR="006B19D0" w:rsidRPr="009D5EA7" w:rsidRDefault="006B19D0" w:rsidP="006B19D0">
      <w:pPr>
        <w:spacing w:after="0" w:line="240" w:lineRule="auto"/>
        <w:ind w:left="705" w:hanging="705"/>
        <w:jc w:val="both"/>
        <w:rPr>
          <w:smallCaps/>
          <w:sz w:val="24"/>
          <w:szCs w:val="28"/>
          <w:lang w:val="es-ES_tradnl"/>
        </w:rPr>
      </w:pPr>
    </w:p>
    <w:p w14:paraId="496A97D1" w14:textId="466CA2EE" w:rsidR="006B19D0" w:rsidRPr="009D5EA7" w:rsidRDefault="009C67ED" w:rsidP="00C15BA7">
      <w:pPr>
        <w:pStyle w:val="Ttulo2"/>
        <w:numPr>
          <w:ilvl w:val="0"/>
          <w:numId w:val="0"/>
        </w:numPr>
        <w:ind w:left="1410" w:hanging="690"/>
        <w:rPr>
          <w:rFonts w:ascii="Verdana" w:hAnsi="Verdana" w:cs="Arial"/>
          <w:smallCaps/>
          <w:sz w:val="20"/>
          <w:lang w:val="es-ES_tradnl"/>
        </w:rPr>
      </w:pPr>
      <w:bookmarkStart w:id="23" w:name="_Toc476251462"/>
      <w:r w:rsidRPr="009D5EA7">
        <w:rPr>
          <w:rFonts w:ascii="Verdana" w:hAnsi="Verdana"/>
          <w:smallCaps/>
          <w:sz w:val="20"/>
          <w:lang w:val="es-ES_tradnl"/>
        </w:rPr>
        <w:lastRenderedPageBreak/>
        <w:t>2.B)</w:t>
      </w:r>
      <w:r w:rsidR="002C545A" w:rsidRPr="009D5EA7">
        <w:rPr>
          <w:rFonts w:ascii="Verdana" w:hAnsi="Verdana"/>
          <w:smallCaps/>
          <w:sz w:val="20"/>
          <w:lang w:val="es-ES_tradnl"/>
        </w:rPr>
        <w:tab/>
        <w:t>Alegada violación del d</w:t>
      </w:r>
      <w:r w:rsidR="006B19D0" w:rsidRPr="009D5EA7">
        <w:rPr>
          <w:rFonts w:ascii="Verdana" w:hAnsi="Verdana"/>
          <w:smallCaps/>
          <w:sz w:val="20"/>
          <w:lang w:val="es-ES_tradnl"/>
        </w:rPr>
        <w:t>erecho a la honra y dignidad (</w:t>
      </w:r>
      <w:r w:rsidR="009D562C" w:rsidRPr="009D5EA7">
        <w:rPr>
          <w:rFonts w:ascii="Verdana" w:hAnsi="Verdana"/>
          <w:smallCaps/>
          <w:sz w:val="20"/>
          <w:lang w:val="es-ES_tradnl"/>
        </w:rPr>
        <w:t>artículo 11</w:t>
      </w:r>
      <w:r w:rsidR="006B19D0" w:rsidRPr="009D5EA7">
        <w:rPr>
          <w:rFonts w:ascii="Verdana" w:hAnsi="Verdana"/>
          <w:smallCaps/>
          <w:sz w:val="20"/>
          <w:lang w:val="es-ES_tradnl"/>
        </w:rPr>
        <w:t xml:space="preserve"> </w:t>
      </w:r>
      <w:r w:rsidR="009D562C" w:rsidRPr="009D5EA7">
        <w:rPr>
          <w:rFonts w:ascii="Verdana" w:hAnsi="Verdana"/>
          <w:smallCaps/>
          <w:sz w:val="20"/>
          <w:lang w:val="es-ES_tradnl"/>
        </w:rPr>
        <w:t>de la Convención</w:t>
      </w:r>
      <w:r w:rsidR="006B19D0" w:rsidRPr="009D5EA7">
        <w:rPr>
          <w:rFonts w:ascii="Verdana" w:hAnsi="Verdana"/>
          <w:smallCaps/>
          <w:sz w:val="20"/>
          <w:lang w:val="es-ES_tradnl"/>
        </w:rPr>
        <w:t>)</w:t>
      </w:r>
      <w:r w:rsidR="009D562C" w:rsidRPr="009D5EA7">
        <w:rPr>
          <w:rStyle w:val="Refdenotaalpie"/>
          <w:rFonts w:ascii="Verdana" w:hAnsi="Verdana" w:cs="Arial"/>
          <w:smallCaps/>
          <w:sz w:val="20"/>
          <w:lang w:val="es-ES_tradnl"/>
        </w:rPr>
        <w:footnoteReference w:id="181"/>
      </w:r>
      <w:bookmarkEnd w:id="23"/>
    </w:p>
    <w:p w14:paraId="15AADA67" w14:textId="77777777" w:rsidR="00B849F0" w:rsidRPr="009D5EA7" w:rsidRDefault="00B849F0" w:rsidP="00B849F0">
      <w:pPr>
        <w:suppressAutoHyphens/>
        <w:spacing w:after="0" w:line="240" w:lineRule="auto"/>
        <w:jc w:val="both"/>
        <w:rPr>
          <w:rFonts w:ascii="Verdana" w:eastAsia="Times New Roman" w:hAnsi="Verdana" w:cs="Tahoma"/>
          <w:sz w:val="20"/>
          <w:szCs w:val="20"/>
          <w:lang w:val="es-ES_tradnl"/>
        </w:rPr>
      </w:pPr>
    </w:p>
    <w:p w14:paraId="56895C89" w14:textId="6B3E7685" w:rsidR="00B849F0" w:rsidRPr="009D5EA7" w:rsidRDefault="00B849F0" w:rsidP="00B849F0">
      <w:pPr>
        <w:pStyle w:val="Prrafodelista"/>
        <w:ind w:left="0"/>
        <w:jc w:val="both"/>
        <w:rPr>
          <w:rFonts w:ascii="Verdana" w:hAnsi="Verdana"/>
          <w:i/>
          <w:sz w:val="20"/>
          <w:lang w:eastAsia="es-CR"/>
        </w:rPr>
      </w:pPr>
      <w:r w:rsidRPr="009D5EA7">
        <w:rPr>
          <w:rFonts w:ascii="Verdana" w:hAnsi="Verdana"/>
          <w:sz w:val="20"/>
          <w:lang w:eastAsia="es-CR"/>
        </w:rPr>
        <w:tab/>
      </w:r>
      <w:r w:rsidRPr="009D5EA7">
        <w:rPr>
          <w:rFonts w:ascii="Verdana" w:hAnsi="Verdana"/>
          <w:i/>
          <w:sz w:val="20"/>
          <w:lang w:eastAsia="es-CR"/>
        </w:rPr>
        <w:t xml:space="preserve">Alegatos de las partes </w:t>
      </w:r>
    </w:p>
    <w:p w14:paraId="414F3009" w14:textId="77777777" w:rsidR="00B849F0" w:rsidRPr="009D5EA7" w:rsidRDefault="00B849F0" w:rsidP="00B849F0">
      <w:pPr>
        <w:pStyle w:val="Prrafodelista"/>
        <w:autoSpaceDE w:val="0"/>
        <w:autoSpaceDN w:val="0"/>
        <w:adjustRightInd w:val="0"/>
        <w:ind w:left="0" w:right="34"/>
        <w:jc w:val="both"/>
        <w:rPr>
          <w:rFonts w:ascii="Verdana" w:hAnsi="Verdana"/>
          <w:sz w:val="20"/>
        </w:rPr>
      </w:pPr>
    </w:p>
    <w:p w14:paraId="29B5759B" w14:textId="1D76DB18" w:rsidR="00B849F0" w:rsidRPr="009D5EA7" w:rsidRDefault="00B849F0" w:rsidP="00EB0819">
      <w:pPr>
        <w:pStyle w:val="Prrafodelista"/>
        <w:numPr>
          <w:ilvl w:val="0"/>
          <w:numId w:val="5"/>
        </w:numPr>
        <w:autoSpaceDE w:val="0"/>
        <w:autoSpaceDN w:val="0"/>
        <w:adjustRightInd w:val="0"/>
        <w:ind w:left="0" w:right="34" w:firstLine="0"/>
        <w:jc w:val="both"/>
        <w:rPr>
          <w:rFonts w:ascii="Verdana" w:hAnsi="Verdana"/>
          <w:sz w:val="20"/>
        </w:rPr>
      </w:pPr>
      <w:r w:rsidRPr="009D5EA7">
        <w:rPr>
          <w:rFonts w:ascii="Verdana" w:hAnsi="Verdana"/>
          <w:sz w:val="20"/>
        </w:rPr>
        <w:t xml:space="preserve">Las </w:t>
      </w:r>
      <w:r w:rsidRPr="007A3724">
        <w:rPr>
          <w:rFonts w:ascii="Verdana" w:hAnsi="Verdana"/>
          <w:b/>
          <w:sz w:val="20"/>
        </w:rPr>
        <w:t>representantes</w:t>
      </w:r>
      <w:r w:rsidRPr="009D5EA7">
        <w:rPr>
          <w:rFonts w:ascii="Verdana" w:hAnsi="Verdana"/>
          <w:sz w:val="20"/>
        </w:rPr>
        <w:t xml:space="preserve"> alegaron que, a pesar de estar juzgando la causa penal sobre el </w:t>
      </w:r>
      <w:r w:rsidR="006233D1">
        <w:rPr>
          <w:rFonts w:ascii="Verdana" w:hAnsi="Verdana" w:cs="Arial"/>
          <w:sz w:val="20"/>
        </w:rPr>
        <w:t>homicidio</w:t>
      </w:r>
      <w:r w:rsidRPr="009D5EA7">
        <w:rPr>
          <w:rFonts w:ascii="Verdana" w:hAnsi="Verdana"/>
          <w:sz w:val="20"/>
        </w:rPr>
        <w:t>, el juez Julio Acuña Cambronero dio declaraciones infundadas e impropias que deshonró la reputación de María Luisa Acotas, desprestigiándola intencionalmente en los medios de comunicació</w:t>
      </w:r>
      <w:r w:rsidR="004C7892">
        <w:rPr>
          <w:rFonts w:ascii="Verdana" w:hAnsi="Verdana"/>
          <w:sz w:val="20"/>
        </w:rPr>
        <w:t>n social, de manera arbitraria,</w:t>
      </w:r>
      <w:r w:rsidRPr="009D5EA7">
        <w:rPr>
          <w:rFonts w:ascii="Verdana" w:hAnsi="Verdana"/>
          <w:sz w:val="20"/>
        </w:rPr>
        <w:t xml:space="preserve"> abusiva </w:t>
      </w:r>
      <w:r w:rsidR="004C7892">
        <w:rPr>
          <w:rFonts w:ascii="Verdana" w:hAnsi="Verdana"/>
          <w:sz w:val="20"/>
        </w:rPr>
        <w:t>y calumniosa</w:t>
      </w:r>
      <w:r w:rsidRPr="009D5EA7">
        <w:rPr>
          <w:rFonts w:ascii="Verdana" w:hAnsi="Verdana"/>
          <w:sz w:val="20"/>
        </w:rPr>
        <w:t xml:space="preserve">, con el ilegítimo fin de amedrentarla y persuadirla de seguir exigiendo justicia, para proteger a los imputados por ella como autores intelectuales. Alegaron que tales acciones </w:t>
      </w:r>
      <w:r w:rsidR="00C46909" w:rsidRPr="009D5EA7">
        <w:rPr>
          <w:rFonts w:ascii="Verdana" w:hAnsi="Verdana"/>
          <w:sz w:val="20"/>
        </w:rPr>
        <w:t>le causaron</w:t>
      </w:r>
      <w:r w:rsidRPr="009D5EA7">
        <w:rPr>
          <w:rFonts w:ascii="Verdana" w:hAnsi="Verdana"/>
          <w:sz w:val="20"/>
        </w:rPr>
        <w:t xml:space="preserve"> enorme incertidumbre al sentirse humillada y desacreditada ante quien tenía el poder de condenarla por un hecho que ella no había cometido, </w:t>
      </w:r>
      <w:r w:rsidR="004C7892">
        <w:rPr>
          <w:rFonts w:ascii="Verdana" w:hAnsi="Verdana"/>
          <w:sz w:val="20"/>
        </w:rPr>
        <w:t xml:space="preserve">mientras </w:t>
      </w:r>
      <w:r w:rsidRPr="009D5EA7">
        <w:rPr>
          <w:rFonts w:ascii="Verdana" w:hAnsi="Verdana"/>
          <w:sz w:val="20"/>
        </w:rPr>
        <w:t xml:space="preserve">los principales imputados hacían toda clase de declaraciones </w:t>
      </w:r>
      <w:r w:rsidR="004C7892">
        <w:rPr>
          <w:rFonts w:ascii="Verdana" w:hAnsi="Verdana"/>
          <w:sz w:val="20"/>
        </w:rPr>
        <w:t xml:space="preserve">públicas </w:t>
      </w:r>
      <w:r w:rsidRPr="009D5EA7">
        <w:rPr>
          <w:rFonts w:ascii="Verdana" w:hAnsi="Verdana"/>
          <w:sz w:val="20"/>
        </w:rPr>
        <w:t xml:space="preserve">en </w:t>
      </w:r>
      <w:r w:rsidR="00EB0819" w:rsidRPr="009D5EA7">
        <w:rPr>
          <w:rFonts w:ascii="Verdana" w:hAnsi="Verdana"/>
          <w:sz w:val="20"/>
        </w:rPr>
        <w:t xml:space="preserve">su </w:t>
      </w:r>
      <w:r w:rsidRPr="009D5EA7">
        <w:rPr>
          <w:rFonts w:ascii="Verdana" w:hAnsi="Verdana"/>
          <w:sz w:val="20"/>
        </w:rPr>
        <w:t>contra, lo que significó una afrenta contra su honra, dignidad y reputación,</w:t>
      </w:r>
      <w:r w:rsidR="00EB0819" w:rsidRPr="009D5EA7">
        <w:rPr>
          <w:rFonts w:ascii="Verdana" w:hAnsi="Verdana"/>
          <w:sz w:val="20"/>
        </w:rPr>
        <w:t xml:space="preserve"> así como de</w:t>
      </w:r>
      <w:r w:rsidRPr="009D5EA7">
        <w:rPr>
          <w:rFonts w:ascii="Verdana" w:hAnsi="Verdana"/>
          <w:sz w:val="20"/>
        </w:rPr>
        <w:t xml:space="preserve"> sus hijos y sus suegros, sometiéndolos al escarnio público, persecución y discriminación</w:t>
      </w:r>
      <w:r w:rsidR="00EB0819" w:rsidRPr="009D5EA7">
        <w:rPr>
          <w:rFonts w:ascii="Verdana" w:hAnsi="Verdana"/>
          <w:sz w:val="20"/>
        </w:rPr>
        <w:t>, haciendo muy difícil su vida privada y laboral como abogada</w:t>
      </w:r>
      <w:r w:rsidRPr="009D5EA7">
        <w:rPr>
          <w:rFonts w:ascii="Verdana" w:hAnsi="Verdana"/>
          <w:sz w:val="20"/>
        </w:rPr>
        <w:t xml:space="preserve">. </w:t>
      </w:r>
      <w:r w:rsidR="00EB0819" w:rsidRPr="009D5EA7">
        <w:rPr>
          <w:rFonts w:ascii="Verdana" w:hAnsi="Verdana"/>
          <w:sz w:val="20"/>
        </w:rPr>
        <w:t xml:space="preserve"> Alegaron que </w:t>
      </w:r>
      <w:r w:rsidRPr="009D5EA7">
        <w:rPr>
          <w:rFonts w:ascii="Verdana" w:hAnsi="Verdana"/>
          <w:sz w:val="20"/>
        </w:rPr>
        <w:t>era fútil intentar remediar la violación a través de recursos judiciales o administrativos, pues la violación la cometió un</w:t>
      </w:r>
      <w:r w:rsidR="00EB0819" w:rsidRPr="009D5EA7">
        <w:rPr>
          <w:rFonts w:ascii="Verdana" w:hAnsi="Verdana"/>
          <w:sz w:val="20"/>
        </w:rPr>
        <w:t xml:space="preserve"> miembro del sistema judicial, y que l</w:t>
      </w:r>
      <w:r w:rsidRPr="009D5EA7">
        <w:rPr>
          <w:rFonts w:ascii="Verdana" w:hAnsi="Verdana"/>
          <w:sz w:val="20"/>
        </w:rPr>
        <w:t>a Comisión de Régimen Disciplinario jamás se pronunció sobre las quejas presentadas. Por lo anterior, alegaron que el Estado violó la garantía establecida en el artículo 11.1 y 11.2 de</w:t>
      </w:r>
      <w:r w:rsidR="00EB0819" w:rsidRPr="009D5EA7">
        <w:rPr>
          <w:rFonts w:ascii="Verdana" w:hAnsi="Verdana"/>
          <w:sz w:val="20"/>
        </w:rPr>
        <w:t xml:space="preserve"> la Convención, </w:t>
      </w:r>
      <w:r w:rsidRPr="009D5EA7">
        <w:rPr>
          <w:rFonts w:ascii="Verdana" w:hAnsi="Verdana"/>
          <w:sz w:val="20"/>
        </w:rPr>
        <w:t xml:space="preserve">en </w:t>
      </w:r>
      <w:r w:rsidR="004C7892">
        <w:rPr>
          <w:rFonts w:ascii="Verdana" w:hAnsi="Verdana"/>
          <w:sz w:val="20"/>
        </w:rPr>
        <w:t xml:space="preserve">su </w:t>
      </w:r>
      <w:r w:rsidRPr="009D5EA7">
        <w:rPr>
          <w:rFonts w:ascii="Verdana" w:hAnsi="Verdana"/>
          <w:sz w:val="20"/>
        </w:rPr>
        <w:t xml:space="preserve">perjuicio. </w:t>
      </w:r>
    </w:p>
    <w:p w14:paraId="602CBD42" w14:textId="77777777" w:rsidR="00EB0819" w:rsidRPr="009D5EA7" w:rsidRDefault="00EB0819" w:rsidP="00EB0819">
      <w:pPr>
        <w:pStyle w:val="Prrafodelista"/>
        <w:autoSpaceDE w:val="0"/>
        <w:autoSpaceDN w:val="0"/>
        <w:adjustRightInd w:val="0"/>
        <w:ind w:left="0" w:right="34"/>
        <w:jc w:val="both"/>
        <w:rPr>
          <w:rFonts w:ascii="Verdana" w:hAnsi="Verdana"/>
          <w:sz w:val="20"/>
        </w:rPr>
      </w:pPr>
    </w:p>
    <w:p w14:paraId="2591D52B" w14:textId="5D5F40FA" w:rsidR="00EB0819" w:rsidRPr="009D5EA7" w:rsidRDefault="00EB0819" w:rsidP="00EB0819">
      <w:pPr>
        <w:pStyle w:val="Prrafodelista"/>
        <w:numPr>
          <w:ilvl w:val="0"/>
          <w:numId w:val="5"/>
        </w:numPr>
        <w:autoSpaceDE w:val="0"/>
        <w:autoSpaceDN w:val="0"/>
        <w:adjustRightInd w:val="0"/>
        <w:ind w:left="0" w:right="34" w:firstLine="0"/>
        <w:jc w:val="both"/>
        <w:rPr>
          <w:rFonts w:ascii="Verdana" w:hAnsi="Verdana"/>
          <w:sz w:val="20"/>
        </w:rPr>
      </w:pPr>
      <w:r w:rsidRPr="009D5EA7">
        <w:rPr>
          <w:rFonts w:ascii="Verdana" w:hAnsi="Verdana"/>
          <w:sz w:val="20"/>
        </w:rPr>
        <w:t xml:space="preserve">El </w:t>
      </w:r>
      <w:r w:rsidRPr="007A3724">
        <w:rPr>
          <w:rFonts w:ascii="Verdana" w:hAnsi="Verdana"/>
          <w:b/>
          <w:sz w:val="20"/>
        </w:rPr>
        <w:t>Estado</w:t>
      </w:r>
      <w:r w:rsidRPr="009D5EA7">
        <w:rPr>
          <w:rFonts w:ascii="Verdana" w:hAnsi="Verdana"/>
          <w:sz w:val="20"/>
        </w:rPr>
        <w:t xml:space="preserve"> no presentó argumentos al respecto. Sin embargo, al rechazar las solicitudes de reparaciones</w:t>
      </w:r>
      <w:r w:rsidR="00B37D91" w:rsidRPr="009D5EA7">
        <w:rPr>
          <w:rFonts w:ascii="Verdana" w:hAnsi="Verdana"/>
          <w:sz w:val="20"/>
        </w:rPr>
        <w:t>,</w:t>
      </w:r>
      <w:r w:rsidRPr="009D5EA7">
        <w:rPr>
          <w:rFonts w:ascii="Verdana" w:hAnsi="Verdana"/>
          <w:sz w:val="20"/>
        </w:rPr>
        <w:t xml:space="preserve"> manifestó que el caso cobró relevancia porque la señora Acosta</w:t>
      </w:r>
      <w:r w:rsidR="00B37D91" w:rsidRPr="009D5EA7">
        <w:rPr>
          <w:rFonts w:ascii="Verdana" w:hAnsi="Verdana"/>
          <w:sz w:val="20"/>
        </w:rPr>
        <w:t xml:space="preserve"> trasladó la contienda judicial a los medios de comunicación</w:t>
      </w:r>
      <w:r w:rsidRPr="009D5EA7">
        <w:rPr>
          <w:rFonts w:ascii="Verdana" w:hAnsi="Verdana"/>
          <w:sz w:val="20"/>
        </w:rPr>
        <w:t xml:space="preserve"> con sus declaraciones públicas, dá</w:t>
      </w:r>
      <w:r w:rsidR="004C7892">
        <w:rPr>
          <w:rFonts w:ascii="Verdana" w:hAnsi="Verdana"/>
          <w:sz w:val="20"/>
        </w:rPr>
        <w:t xml:space="preserve">ndose un giro mediático al caso y que, siendo </w:t>
      </w:r>
      <w:r w:rsidR="00B37D91" w:rsidRPr="009D5EA7">
        <w:rPr>
          <w:rFonts w:ascii="Verdana" w:hAnsi="Verdana"/>
          <w:sz w:val="20"/>
        </w:rPr>
        <w:t>e</w:t>
      </w:r>
      <w:r w:rsidRPr="009D5EA7">
        <w:rPr>
          <w:rFonts w:ascii="Verdana" w:hAnsi="Verdana"/>
          <w:sz w:val="20"/>
        </w:rPr>
        <w:t>l proceso penal público,</w:t>
      </w:r>
      <w:r w:rsidR="00B37D91" w:rsidRPr="009D5EA7">
        <w:rPr>
          <w:rFonts w:ascii="Verdana" w:hAnsi="Verdana"/>
          <w:sz w:val="20"/>
        </w:rPr>
        <w:t xml:space="preserve"> </w:t>
      </w:r>
      <w:r w:rsidRPr="009D5EA7">
        <w:rPr>
          <w:rFonts w:ascii="Verdana" w:hAnsi="Verdana"/>
          <w:sz w:val="20"/>
        </w:rPr>
        <w:t xml:space="preserve">la autoridad judicial informó el estado en que </w:t>
      </w:r>
      <w:r w:rsidR="00B37D91" w:rsidRPr="009D5EA7">
        <w:rPr>
          <w:rFonts w:ascii="Verdana" w:hAnsi="Verdana"/>
          <w:sz w:val="20"/>
        </w:rPr>
        <w:t>se encontraba</w:t>
      </w:r>
      <w:r w:rsidRPr="009D5EA7">
        <w:rPr>
          <w:rFonts w:ascii="Verdana" w:hAnsi="Verdana"/>
          <w:sz w:val="20"/>
        </w:rPr>
        <w:t>, sin hacer imputaciones en contra de ella como autora de encubrimiento, lo que se desvirtúa cuando el juez dictó sobreseimiento definitivo a su favor.</w:t>
      </w:r>
    </w:p>
    <w:p w14:paraId="4383ADF7" w14:textId="77777777" w:rsidR="00EB0819" w:rsidRPr="009D5EA7" w:rsidRDefault="00EB0819" w:rsidP="00EB0819">
      <w:pPr>
        <w:pStyle w:val="Prrafodelista"/>
        <w:autoSpaceDE w:val="0"/>
        <w:autoSpaceDN w:val="0"/>
        <w:adjustRightInd w:val="0"/>
        <w:ind w:left="0" w:right="34"/>
        <w:jc w:val="both"/>
        <w:rPr>
          <w:rFonts w:ascii="Verdana" w:hAnsi="Verdana"/>
          <w:sz w:val="20"/>
        </w:rPr>
      </w:pPr>
    </w:p>
    <w:p w14:paraId="75075770" w14:textId="26B9795C" w:rsidR="00EB0819" w:rsidRPr="009D5EA7" w:rsidRDefault="00EB0819" w:rsidP="00EB0819">
      <w:pPr>
        <w:pStyle w:val="Prrafodelista"/>
        <w:autoSpaceDE w:val="0"/>
        <w:autoSpaceDN w:val="0"/>
        <w:adjustRightInd w:val="0"/>
        <w:ind w:left="0" w:right="34" w:firstLine="708"/>
        <w:jc w:val="both"/>
        <w:rPr>
          <w:rFonts w:ascii="Verdana" w:hAnsi="Verdana"/>
          <w:i/>
          <w:sz w:val="20"/>
        </w:rPr>
      </w:pPr>
      <w:r w:rsidRPr="009D5EA7">
        <w:rPr>
          <w:rFonts w:ascii="Verdana" w:hAnsi="Verdana"/>
          <w:i/>
          <w:sz w:val="20"/>
        </w:rPr>
        <w:t>Consideraciones de la Corte</w:t>
      </w:r>
    </w:p>
    <w:p w14:paraId="0455612E" w14:textId="77777777" w:rsidR="00EB0819" w:rsidRPr="009D5EA7" w:rsidRDefault="00EB0819" w:rsidP="00EB0819">
      <w:pPr>
        <w:pStyle w:val="Prrafodelista"/>
        <w:autoSpaceDE w:val="0"/>
        <w:autoSpaceDN w:val="0"/>
        <w:adjustRightInd w:val="0"/>
        <w:ind w:left="0" w:right="34"/>
        <w:jc w:val="both"/>
        <w:rPr>
          <w:rFonts w:ascii="Verdana" w:hAnsi="Verdana"/>
          <w:sz w:val="20"/>
        </w:rPr>
      </w:pPr>
    </w:p>
    <w:p w14:paraId="53C66A66" w14:textId="02A654A2" w:rsidR="006B19D0" w:rsidRPr="009D5EA7" w:rsidRDefault="006B19D0" w:rsidP="00EB0819">
      <w:pPr>
        <w:pStyle w:val="Prrafodelista"/>
        <w:numPr>
          <w:ilvl w:val="0"/>
          <w:numId w:val="5"/>
        </w:numPr>
        <w:autoSpaceDE w:val="0"/>
        <w:autoSpaceDN w:val="0"/>
        <w:adjustRightInd w:val="0"/>
        <w:ind w:left="0" w:right="34" w:firstLine="0"/>
        <w:jc w:val="both"/>
        <w:rPr>
          <w:rFonts w:ascii="Verdana" w:hAnsi="Verdana"/>
          <w:sz w:val="20"/>
        </w:rPr>
      </w:pPr>
      <w:bookmarkStart w:id="24" w:name="_Ref464741780"/>
      <w:r w:rsidRPr="009D5EA7">
        <w:rPr>
          <w:rFonts w:ascii="Verdana" w:hAnsi="Verdana"/>
          <w:sz w:val="20"/>
        </w:rPr>
        <w:t xml:space="preserve">La Corte ha señalado que el artículo 11 de la Convención reconoce que toda persona tiene derecho al respeto de su honra, prohíbe todo ataque ilegal contra la honra o reputación e impone a los Estados el deber de brindar la protección de la ley contra tales ataques. En términos generales, </w:t>
      </w:r>
      <w:r w:rsidRPr="009D5EA7">
        <w:rPr>
          <w:rFonts w:ascii="Verdana" w:hAnsi="Verdana"/>
          <w:spacing w:val="-2"/>
          <w:sz w:val="20"/>
        </w:rPr>
        <w:t>el derecho a la honra se relaciona con la estima y valía propia, mientras que la reputación se refiere a la opinión que otros tienen de una persona</w:t>
      </w:r>
      <w:r w:rsidRPr="009D5EA7">
        <w:rPr>
          <w:rStyle w:val="Refdenotaalpie"/>
          <w:rFonts w:ascii="Verdana" w:hAnsi="Verdana"/>
          <w:sz w:val="20"/>
        </w:rPr>
        <w:footnoteReference w:id="182"/>
      </w:r>
      <w:r w:rsidRPr="009D5EA7">
        <w:rPr>
          <w:rFonts w:ascii="Verdana" w:hAnsi="Verdana"/>
          <w:spacing w:val="-2"/>
          <w:sz w:val="20"/>
        </w:rPr>
        <w:t>.</w:t>
      </w:r>
      <w:bookmarkEnd w:id="24"/>
      <w:r w:rsidRPr="009D5EA7">
        <w:rPr>
          <w:rFonts w:ascii="Verdana" w:hAnsi="Verdana"/>
          <w:spacing w:val="-2"/>
          <w:sz w:val="20"/>
        </w:rPr>
        <w:t xml:space="preserve"> </w:t>
      </w:r>
      <w:r w:rsidRPr="009D5EA7">
        <w:rPr>
          <w:rFonts w:ascii="Verdana" w:hAnsi="Verdana"/>
          <w:sz w:val="20"/>
          <w:bdr w:val="none" w:sz="0" w:space="0" w:color="auto" w:frame="1"/>
          <w:lang w:eastAsia="es-ES_tradnl"/>
        </w:rPr>
        <w:t>El derecho a la honra se relaciona entonces con la estimación o deferencia</w:t>
      </w:r>
      <w:r w:rsidR="001048B3" w:rsidRPr="009D5EA7">
        <w:rPr>
          <w:rFonts w:ascii="Verdana" w:hAnsi="Verdana"/>
          <w:sz w:val="20"/>
          <w:bdr w:val="none" w:sz="0" w:space="0" w:color="auto" w:frame="1"/>
          <w:lang w:eastAsia="es-ES_tradnl"/>
        </w:rPr>
        <w:t xml:space="preserve"> con la que cada persona </w:t>
      </w:r>
      <w:r w:rsidRPr="009D5EA7">
        <w:rPr>
          <w:rFonts w:ascii="Verdana" w:hAnsi="Verdana"/>
          <w:sz w:val="20"/>
          <w:bdr w:val="none" w:sz="0" w:space="0" w:color="auto" w:frame="1"/>
          <w:lang w:eastAsia="es-ES_tradnl"/>
        </w:rPr>
        <w:t>debe ser tenid</w:t>
      </w:r>
      <w:r w:rsidR="001048B3" w:rsidRPr="009D5EA7">
        <w:rPr>
          <w:rFonts w:ascii="Verdana" w:hAnsi="Verdana"/>
          <w:sz w:val="20"/>
          <w:bdr w:val="none" w:sz="0" w:space="0" w:color="auto" w:frame="1"/>
          <w:lang w:eastAsia="es-ES_tradnl"/>
        </w:rPr>
        <w:t xml:space="preserve">a </w:t>
      </w:r>
      <w:r w:rsidRPr="009D5EA7">
        <w:rPr>
          <w:rFonts w:ascii="Verdana" w:hAnsi="Verdana"/>
          <w:sz w:val="20"/>
          <w:bdr w:val="none" w:sz="0" w:space="0" w:color="auto" w:frame="1"/>
          <w:lang w:eastAsia="es-ES_tradnl"/>
        </w:rPr>
        <w:t>por los demás miembros de la colectividad que le conocen y le tratan, en razón a su dignidad hum</w:t>
      </w:r>
      <w:r w:rsidR="001048B3" w:rsidRPr="009D5EA7">
        <w:rPr>
          <w:rFonts w:ascii="Verdana" w:hAnsi="Verdana"/>
          <w:sz w:val="20"/>
          <w:bdr w:val="none" w:sz="0" w:space="0" w:color="auto" w:frame="1"/>
          <w:lang w:eastAsia="es-ES_tradnl"/>
        </w:rPr>
        <w:t xml:space="preserve">ana. Se trata de un derecho que debe ser protegido con el fin de no menoscabar el </w:t>
      </w:r>
      <w:r w:rsidRPr="009D5EA7">
        <w:rPr>
          <w:rFonts w:ascii="Verdana" w:hAnsi="Verdana"/>
          <w:sz w:val="20"/>
          <w:bdr w:val="none" w:sz="0" w:space="0" w:color="auto" w:frame="1"/>
          <w:lang w:eastAsia="es-ES_tradnl"/>
        </w:rPr>
        <w:t>val</w:t>
      </w:r>
      <w:r w:rsidR="001048B3" w:rsidRPr="009D5EA7">
        <w:rPr>
          <w:rFonts w:ascii="Verdana" w:hAnsi="Verdana"/>
          <w:sz w:val="20"/>
          <w:bdr w:val="none" w:sz="0" w:space="0" w:color="auto" w:frame="1"/>
          <w:lang w:eastAsia="es-ES_tradnl"/>
        </w:rPr>
        <w:t xml:space="preserve">or intrínseco de los individuos </w:t>
      </w:r>
      <w:r w:rsidRPr="009D5EA7">
        <w:rPr>
          <w:rFonts w:ascii="Verdana" w:hAnsi="Verdana"/>
          <w:sz w:val="20"/>
          <w:bdr w:val="none" w:sz="0" w:space="0" w:color="auto" w:frame="1"/>
          <w:lang w:eastAsia="es-ES_tradnl"/>
        </w:rPr>
        <w:t>frente a la sociedad y frente a sí mismos, y garantizar la adecuada consideración y valoración de las personas</w:t>
      </w:r>
      <w:r w:rsidR="001048B3" w:rsidRPr="009D5EA7">
        <w:rPr>
          <w:rFonts w:ascii="Verdana" w:hAnsi="Verdana"/>
          <w:sz w:val="20"/>
          <w:bdr w:val="none" w:sz="0" w:space="0" w:color="auto" w:frame="1"/>
          <w:lang w:eastAsia="es-ES_tradnl"/>
        </w:rPr>
        <w:t xml:space="preserve"> </w:t>
      </w:r>
      <w:r w:rsidRPr="009D5EA7">
        <w:rPr>
          <w:rFonts w:ascii="Verdana" w:hAnsi="Verdana"/>
          <w:sz w:val="20"/>
          <w:bdr w:val="none" w:sz="0" w:space="0" w:color="auto" w:frame="1"/>
          <w:lang w:eastAsia="es-ES_tradnl"/>
        </w:rPr>
        <w:t>dentro de la colectividad</w:t>
      </w:r>
      <w:r w:rsidR="001048B3" w:rsidRPr="009D5EA7">
        <w:rPr>
          <w:rFonts w:ascii="Verdana" w:hAnsi="Verdana"/>
          <w:i/>
          <w:sz w:val="20"/>
          <w:bdr w:val="none" w:sz="0" w:space="0" w:color="auto" w:frame="1"/>
          <w:lang w:eastAsia="es-ES_tradnl"/>
        </w:rPr>
        <w:t xml:space="preserve">. </w:t>
      </w:r>
      <w:r w:rsidRPr="009D5EA7">
        <w:rPr>
          <w:rFonts w:ascii="Verdana" w:hAnsi="Verdana"/>
          <w:sz w:val="20"/>
          <w:bdr w:val="none" w:sz="0" w:space="0" w:color="auto" w:frame="1"/>
          <w:lang w:eastAsia="es-ES_tradnl"/>
        </w:rPr>
        <w:t>Por otra parte, la reputación puede resultar lesionada como consecuencia de informaciones falsas o erróneas que se difundan sin fundamento y que distorsionan el concepto público que se tiene del individuo. Tiene por lo tanto una cercana relación con la dignidad humana, en la medida que protege a las personas contra ataques que restrinjan la proyección de la persona en el ámbito público o colectivo</w:t>
      </w:r>
      <w:r w:rsidRPr="009D5EA7">
        <w:rPr>
          <w:rStyle w:val="Refdenotaalpie"/>
          <w:rFonts w:ascii="Verdana" w:hAnsi="Verdana"/>
          <w:sz w:val="20"/>
          <w:bdr w:val="none" w:sz="0" w:space="0" w:color="auto" w:frame="1"/>
          <w:lang w:eastAsia="es-ES_tradnl"/>
        </w:rPr>
        <w:footnoteReference w:id="183"/>
      </w:r>
      <w:r w:rsidRPr="009D5EA7">
        <w:rPr>
          <w:rFonts w:ascii="Verdana" w:hAnsi="Verdana"/>
          <w:sz w:val="20"/>
          <w:bdr w:val="none" w:sz="0" w:space="0" w:color="auto" w:frame="1"/>
          <w:lang w:eastAsia="es-ES_tradnl"/>
        </w:rPr>
        <w:t>.</w:t>
      </w:r>
    </w:p>
    <w:p w14:paraId="4095C8D6" w14:textId="77777777" w:rsidR="006B19D0" w:rsidRPr="009D5EA7" w:rsidRDefault="006B19D0" w:rsidP="001048B3">
      <w:pPr>
        <w:pStyle w:val="Prrafodelista"/>
        <w:autoSpaceDE w:val="0"/>
        <w:autoSpaceDN w:val="0"/>
        <w:adjustRightInd w:val="0"/>
        <w:ind w:left="0" w:right="34"/>
        <w:jc w:val="both"/>
        <w:rPr>
          <w:rFonts w:ascii="Verdana" w:eastAsia="Batang" w:hAnsi="Verdana" w:cs="Times"/>
          <w:sz w:val="20"/>
        </w:rPr>
      </w:pPr>
    </w:p>
    <w:p w14:paraId="4D469B60" w14:textId="79E2C8E7" w:rsidR="006B19D0" w:rsidRPr="009D5EA7" w:rsidRDefault="006B19D0" w:rsidP="001048B3">
      <w:pPr>
        <w:pStyle w:val="Prrafodelista"/>
        <w:numPr>
          <w:ilvl w:val="0"/>
          <w:numId w:val="5"/>
        </w:numPr>
        <w:autoSpaceDE w:val="0"/>
        <w:autoSpaceDN w:val="0"/>
        <w:adjustRightInd w:val="0"/>
        <w:ind w:left="0" w:right="34" w:firstLine="0"/>
        <w:jc w:val="both"/>
        <w:rPr>
          <w:rFonts w:ascii="Verdana" w:hAnsi="Verdana"/>
          <w:sz w:val="20"/>
        </w:rPr>
      </w:pPr>
      <w:r w:rsidRPr="009D5EA7">
        <w:rPr>
          <w:rFonts w:ascii="Verdana" w:eastAsia="Batang" w:hAnsi="Verdana" w:cs="Times"/>
          <w:sz w:val="20"/>
        </w:rPr>
        <w:t>En el presente caso, la Corte considera que las declaraciones del juez instructor de la causa en un medio</w:t>
      </w:r>
      <w:r w:rsidRPr="009D5EA7">
        <w:rPr>
          <w:rFonts w:ascii="Verdana" w:hAnsi="Verdana"/>
          <w:sz w:val="20"/>
        </w:rPr>
        <w:t xml:space="preserve"> de comunicación social pudieron tener efectos perniciosos, de desacreditación, estigmatización o desprestigio, que pudieron generar impactos tanto psicosociales en la señora Acosta y otros familiares, tal como se desprende de sus declaraciones</w:t>
      </w:r>
      <w:r w:rsidRPr="009D5EA7">
        <w:rPr>
          <w:rStyle w:val="Refdenotaalpie"/>
          <w:rFonts w:ascii="Verdana" w:hAnsi="Verdana"/>
          <w:sz w:val="20"/>
        </w:rPr>
        <w:footnoteReference w:id="184"/>
      </w:r>
      <w:r w:rsidRPr="009D5EA7">
        <w:rPr>
          <w:rFonts w:ascii="Verdana" w:hAnsi="Verdana"/>
          <w:sz w:val="20"/>
        </w:rPr>
        <w:t>, como particularmente en el ámbito profesional de ella como abogada y defensora de derechos humanos. No obstante, tales situaciones o efectos ya han sido analizados bajo los artículo</w:t>
      </w:r>
      <w:r w:rsidR="001048B3" w:rsidRPr="009D5EA7">
        <w:rPr>
          <w:rFonts w:ascii="Verdana" w:hAnsi="Verdana"/>
          <w:sz w:val="20"/>
        </w:rPr>
        <w:t>s 5.1 y</w:t>
      </w:r>
      <w:r w:rsidRPr="009D5EA7">
        <w:rPr>
          <w:rFonts w:ascii="Verdana" w:hAnsi="Verdana"/>
          <w:sz w:val="20"/>
        </w:rPr>
        <w:t xml:space="preserve"> 8.2 de la Convención </w:t>
      </w:r>
      <w:r w:rsidR="004148C7" w:rsidRPr="009D5EA7">
        <w:rPr>
          <w:rFonts w:ascii="Verdana" w:hAnsi="Verdana"/>
          <w:sz w:val="20"/>
        </w:rPr>
        <w:t xml:space="preserve">respecto de la señora Acosta </w:t>
      </w:r>
      <w:r w:rsidRPr="009D5EA7">
        <w:rPr>
          <w:rFonts w:ascii="Verdana" w:hAnsi="Verdana"/>
          <w:sz w:val="20"/>
        </w:rPr>
        <w:t>(</w:t>
      </w:r>
      <w:r w:rsidRPr="009D5EA7">
        <w:rPr>
          <w:rFonts w:ascii="Verdana" w:hAnsi="Verdana"/>
          <w:i/>
          <w:sz w:val="20"/>
        </w:rPr>
        <w:t xml:space="preserve">supra </w:t>
      </w:r>
      <w:r w:rsidR="0077056A">
        <w:rPr>
          <w:rFonts w:ascii="Verdana" w:hAnsi="Verdana"/>
          <w:sz w:val="20"/>
        </w:rPr>
        <w:t>párrs. 189 a 191 y 200</w:t>
      </w:r>
      <w:r w:rsidRPr="009D5EA7">
        <w:rPr>
          <w:rFonts w:ascii="Verdana" w:hAnsi="Verdana"/>
          <w:sz w:val="20"/>
        </w:rPr>
        <w:t xml:space="preserve">), por lo cual la Corte no analizará la alegada responsabilidad del Estado bajo los artículos 11.1 y 11.2 de la misma, sin perjuicio de lo cual tomará en cuenta tales efectos al momento de fijar las reparaciones pertinentes. </w:t>
      </w:r>
      <w:r w:rsidR="004148C7" w:rsidRPr="009D5EA7">
        <w:rPr>
          <w:rFonts w:ascii="Verdana" w:hAnsi="Verdana"/>
          <w:sz w:val="20"/>
        </w:rPr>
        <w:t>Además, no han sido aportados suficientes elementos para considerar la alegada violación de los derechos reconocidos en esas normas en perjuicio de las demás presuntas víctimas.</w:t>
      </w:r>
      <w:r w:rsidRPr="009D5EA7">
        <w:rPr>
          <w:rFonts w:ascii="Verdana" w:hAnsi="Verdana"/>
          <w:sz w:val="20"/>
        </w:rPr>
        <w:t xml:space="preserve"> </w:t>
      </w:r>
    </w:p>
    <w:p w14:paraId="491A85B1" w14:textId="77777777" w:rsidR="001048B3" w:rsidRPr="009D5EA7" w:rsidRDefault="001048B3" w:rsidP="001048B3">
      <w:pPr>
        <w:pStyle w:val="Prrafodelista"/>
        <w:autoSpaceDE w:val="0"/>
        <w:autoSpaceDN w:val="0"/>
        <w:adjustRightInd w:val="0"/>
        <w:ind w:left="0" w:right="34"/>
        <w:jc w:val="both"/>
        <w:rPr>
          <w:rFonts w:ascii="Verdana" w:hAnsi="Verdana"/>
          <w:sz w:val="20"/>
        </w:rPr>
      </w:pPr>
    </w:p>
    <w:p w14:paraId="72AA1A98" w14:textId="77777777" w:rsidR="006B19D0" w:rsidRPr="009D5EA7" w:rsidRDefault="006B19D0" w:rsidP="006B19D0">
      <w:pPr>
        <w:spacing w:after="0" w:line="240" w:lineRule="auto"/>
        <w:jc w:val="both"/>
        <w:rPr>
          <w:lang w:val="es-ES_tradnl"/>
        </w:rPr>
      </w:pPr>
    </w:p>
    <w:p w14:paraId="791EDA7F" w14:textId="77777777" w:rsidR="006D1467" w:rsidRPr="009D5EA7" w:rsidRDefault="009C67ED" w:rsidP="00C15BA7">
      <w:pPr>
        <w:pStyle w:val="Ttulo2"/>
        <w:numPr>
          <w:ilvl w:val="0"/>
          <w:numId w:val="0"/>
        </w:numPr>
        <w:ind w:left="1410" w:hanging="690"/>
        <w:rPr>
          <w:rFonts w:ascii="Verdana" w:hAnsi="Verdana"/>
          <w:smallCaps/>
          <w:sz w:val="20"/>
          <w:lang w:val="es-ES_tradnl"/>
        </w:rPr>
      </w:pPr>
      <w:bookmarkStart w:id="25" w:name="_Toc476251463"/>
      <w:r w:rsidRPr="009D5EA7">
        <w:rPr>
          <w:rFonts w:ascii="Verdana" w:hAnsi="Verdana"/>
          <w:smallCaps/>
          <w:sz w:val="20"/>
          <w:lang w:val="es-ES_tradnl"/>
        </w:rPr>
        <w:t>2.</w:t>
      </w:r>
      <w:r w:rsidR="006B19D0" w:rsidRPr="009D5EA7">
        <w:rPr>
          <w:rFonts w:ascii="Verdana" w:hAnsi="Verdana"/>
          <w:smallCaps/>
          <w:sz w:val="20"/>
          <w:lang w:val="es-ES_tradnl"/>
        </w:rPr>
        <w:t>c)</w:t>
      </w:r>
      <w:r w:rsidR="006B19D0" w:rsidRPr="009D5EA7">
        <w:rPr>
          <w:rFonts w:ascii="Verdana" w:hAnsi="Verdana"/>
          <w:smallCaps/>
          <w:sz w:val="20"/>
          <w:lang w:val="es-ES_tradnl"/>
        </w:rPr>
        <w:tab/>
        <w:t>Otras alegadas violaciones (“</w:t>
      </w:r>
      <w:r w:rsidR="001048B3" w:rsidRPr="009D5EA7">
        <w:rPr>
          <w:rFonts w:ascii="Verdana" w:hAnsi="Verdana"/>
          <w:smallCaps/>
          <w:sz w:val="20"/>
          <w:lang w:val="es-ES_tradnl"/>
        </w:rPr>
        <w:t>d</w:t>
      </w:r>
      <w:r w:rsidR="006B19D0" w:rsidRPr="009D5EA7">
        <w:rPr>
          <w:rFonts w:ascii="Verdana" w:hAnsi="Verdana"/>
          <w:smallCaps/>
          <w:sz w:val="20"/>
          <w:lang w:val="es-ES_tradnl"/>
        </w:rPr>
        <w:t>erecho a defender derechos humanos”)</w:t>
      </w:r>
      <w:bookmarkEnd w:id="25"/>
      <w:r w:rsidR="006B19D0" w:rsidRPr="009D5EA7">
        <w:rPr>
          <w:rFonts w:ascii="Verdana" w:hAnsi="Verdana"/>
          <w:smallCaps/>
          <w:sz w:val="20"/>
          <w:lang w:val="es-ES_tradnl"/>
        </w:rPr>
        <w:t xml:space="preserve"> </w:t>
      </w:r>
    </w:p>
    <w:p w14:paraId="02CB3CB9" w14:textId="3A987B93" w:rsidR="006B19D0" w:rsidRPr="009D5EA7" w:rsidRDefault="006D1467" w:rsidP="006D1467">
      <w:pPr>
        <w:pStyle w:val="Prrafodelista"/>
        <w:autoSpaceDE w:val="0"/>
        <w:autoSpaceDN w:val="0"/>
        <w:adjustRightInd w:val="0"/>
        <w:ind w:left="1410" w:right="34"/>
        <w:jc w:val="both"/>
        <w:rPr>
          <w:rFonts w:ascii="Verdana" w:hAnsi="Verdana" w:cs="Arial"/>
          <w:b/>
          <w:smallCaps/>
          <w:sz w:val="20"/>
        </w:rPr>
      </w:pPr>
      <w:r w:rsidRPr="009D5EA7">
        <w:rPr>
          <w:rFonts w:ascii="Verdana" w:hAnsi="Verdana"/>
          <w:b/>
          <w:sz w:val="20"/>
        </w:rPr>
        <w:t>(A</w:t>
      </w:r>
      <w:r w:rsidR="006B19D0" w:rsidRPr="009D5EA7">
        <w:rPr>
          <w:rFonts w:ascii="Verdana" w:hAnsi="Verdana"/>
          <w:b/>
          <w:sz w:val="20"/>
        </w:rPr>
        <w:t xml:space="preserve">rts. </w:t>
      </w:r>
      <w:r w:rsidR="00D56D20" w:rsidRPr="009D5EA7">
        <w:rPr>
          <w:rFonts w:ascii="Verdana" w:hAnsi="Verdana"/>
          <w:b/>
          <w:sz w:val="20"/>
        </w:rPr>
        <w:t>1.1</w:t>
      </w:r>
      <w:r w:rsidR="00D56D20">
        <w:rPr>
          <w:rFonts w:ascii="Verdana" w:hAnsi="Verdana"/>
          <w:b/>
          <w:sz w:val="20"/>
        </w:rPr>
        <w:t>,</w:t>
      </w:r>
      <w:r w:rsidR="00D56D20" w:rsidRPr="009D5EA7">
        <w:rPr>
          <w:rFonts w:ascii="Verdana" w:hAnsi="Verdana"/>
          <w:b/>
          <w:sz w:val="20"/>
        </w:rPr>
        <w:t xml:space="preserve"> 2</w:t>
      </w:r>
      <w:r w:rsidR="00D56D20">
        <w:rPr>
          <w:rFonts w:ascii="Verdana" w:hAnsi="Verdana"/>
          <w:b/>
          <w:sz w:val="20"/>
        </w:rPr>
        <w:t>,</w:t>
      </w:r>
      <w:r w:rsidR="00D56D20" w:rsidRPr="009D5EA7">
        <w:rPr>
          <w:rFonts w:ascii="Verdana" w:hAnsi="Verdana"/>
          <w:b/>
          <w:sz w:val="20"/>
        </w:rPr>
        <w:t xml:space="preserve"> </w:t>
      </w:r>
      <w:r w:rsidR="006B19D0" w:rsidRPr="009D5EA7">
        <w:rPr>
          <w:rFonts w:ascii="Verdana" w:hAnsi="Verdana"/>
          <w:b/>
          <w:sz w:val="20"/>
        </w:rPr>
        <w:t xml:space="preserve">13.1, 15, 16.1, 23.1 y 25 </w:t>
      </w:r>
      <w:r w:rsidRPr="009D5EA7">
        <w:rPr>
          <w:rFonts w:ascii="Verdana" w:hAnsi="Verdana"/>
          <w:b/>
          <w:sz w:val="20"/>
        </w:rPr>
        <w:t>de la Convención</w:t>
      </w:r>
      <w:r w:rsidR="006B19D0" w:rsidRPr="009D5EA7">
        <w:rPr>
          <w:rFonts w:ascii="Verdana" w:hAnsi="Verdana"/>
          <w:b/>
          <w:sz w:val="20"/>
        </w:rPr>
        <w:t>).</w:t>
      </w:r>
    </w:p>
    <w:p w14:paraId="49E5304A" w14:textId="77777777" w:rsidR="006B19D0" w:rsidRPr="009D5EA7" w:rsidRDefault="006B19D0" w:rsidP="001048B3">
      <w:pPr>
        <w:pStyle w:val="Prrafodelista"/>
        <w:autoSpaceDE w:val="0"/>
        <w:autoSpaceDN w:val="0"/>
        <w:adjustRightInd w:val="0"/>
        <w:ind w:left="0" w:right="34"/>
        <w:jc w:val="both"/>
        <w:rPr>
          <w:rFonts w:ascii="Verdana" w:hAnsi="Verdana"/>
          <w:sz w:val="20"/>
        </w:rPr>
      </w:pPr>
    </w:p>
    <w:p w14:paraId="6C653B10" w14:textId="2004241F" w:rsidR="001048B3" w:rsidRPr="009D5EA7" w:rsidRDefault="001048B3" w:rsidP="001048B3">
      <w:pPr>
        <w:pStyle w:val="Prrafodelista"/>
        <w:numPr>
          <w:ilvl w:val="0"/>
          <w:numId w:val="5"/>
        </w:numPr>
        <w:autoSpaceDE w:val="0"/>
        <w:autoSpaceDN w:val="0"/>
        <w:adjustRightInd w:val="0"/>
        <w:ind w:left="0" w:right="34" w:firstLine="0"/>
        <w:jc w:val="both"/>
        <w:rPr>
          <w:rFonts w:ascii="Verdana" w:hAnsi="Verdana"/>
          <w:sz w:val="20"/>
        </w:rPr>
      </w:pPr>
      <w:r w:rsidRPr="009D5EA7">
        <w:rPr>
          <w:rFonts w:ascii="Verdana" w:hAnsi="Verdana"/>
          <w:sz w:val="20"/>
        </w:rPr>
        <w:t xml:space="preserve">Las </w:t>
      </w:r>
      <w:r w:rsidRPr="007A3724">
        <w:rPr>
          <w:rFonts w:ascii="Verdana" w:hAnsi="Verdana"/>
          <w:b/>
          <w:sz w:val="20"/>
        </w:rPr>
        <w:t>representantes</w:t>
      </w:r>
      <w:r w:rsidRPr="009D5EA7">
        <w:rPr>
          <w:rFonts w:ascii="Verdana" w:hAnsi="Verdana"/>
          <w:sz w:val="20"/>
        </w:rPr>
        <w:t xml:space="preserve"> alegaron que </w:t>
      </w:r>
      <w:r w:rsidR="0098422B" w:rsidRPr="009D5EA7">
        <w:rPr>
          <w:rFonts w:ascii="Verdana" w:hAnsi="Verdana"/>
          <w:sz w:val="20"/>
        </w:rPr>
        <w:t xml:space="preserve">la defensa de los derechos humanos </w:t>
      </w:r>
      <w:r w:rsidRPr="009D5EA7">
        <w:rPr>
          <w:rFonts w:ascii="Verdana" w:hAnsi="Verdana"/>
          <w:sz w:val="20"/>
        </w:rPr>
        <w:t xml:space="preserve">ha sido reconocida en el plano internacional como un derecho autónomo y que el Estado, por medio de la fuerza pública, aún se empeña en obstaculizar el trabajo que hacen las personas defensoras de derechos humanos y </w:t>
      </w:r>
      <w:r w:rsidR="00AB42B1">
        <w:rPr>
          <w:rFonts w:ascii="Verdana" w:hAnsi="Verdana"/>
          <w:sz w:val="20"/>
        </w:rPr>
        <w:t>que el</w:t>
      </w:r>
      <w:r w:rsidRPr="009D5EA7">
        <w:rPr>
          <w:rFonts w:ascii="Verdana" w:hAnsi="Verdana"/>
          <w:sz w:val="20"/>
        </w:rPr>
        <w:t xml:space="preserve"> Estado </w:t>
      </w:r>
      <w:r w:rsidR="00AB42B1">
        <w:rPr>
          <w:rFonts w:ascii="Verdana" w:hAnsi="Verdana"/>
          <w:sz w:val="20"/>
        </w:rPr>
        <w:t xml:space="preserve">ha </w:t>
      </w:r>
      <w:r w:rsidRPr="009D5EA7">
        <w:rPr>
          <w:rFonts w:ascii="Verdana" w:hAnsi="Verdana"/>
          <w:sz w:val="20"/>
        </w:rPr>
        <w:t>descalifica</w:t>
      </w:r>
      <w:r w:rsidR="00AB42B1">
        <w:rPr>
          <w:rFonts w:ascii="Verdana" w:hAnsi="Verdana"/>
          <w:sz w:val="20"/>
        </w:rPr>
        <w:t>do</w:t>
      </w:r>
      <w:r w:rsidRPr="009D5EA7">
        <w:rPr>
          <w:rFonts w:ascii="Verdana" w:hAnsi="Verdana"/>
          <w:sz w:val="20"/>
        </w:rPr>
        <w:t xml:space="preserve"> </w:t>
      </w:r>
      <w:r w:rsidR="00AB42B1">
        <w:rPr>
          <w:rFonts w:ascii="Verdana" w:hAnsi="Verdana"/>
          <w:sz w:val="20"/>
        </w:rPr>
        <w:t xml:space="preserve">la </w:t>
      </w:r>
      <w:r w:rsidRPr="009D5EA7">
        <w:rPr>
          <w:rFonts w:ascii="Verdana" w:hAnsi="Verdana"/>
          <w:sz w:val="20"/>
        </w:rPr>
        <w:t>labor</w:t>
      </w:r>
      <w:r w:rsidR="00AB42B1" w:rsidRPr="00AB42B1">
        <w:rPr>
          <w:rFonts w:ascii="Verdana" w:hAnsi="Verdana"/>
          <w:sz w:val="20"/>
        </w:rPr>
        <w:t xml:space="preserve"> </w:t>
      </w:r>
      <w:r w:rsidR="00AB42B1" w:rsidRPr="009D5EA7">
        <w:rPr>
          <w:rFonts w:ascii="Verdana" w:hAnsi="Verdana"/>
          <w:sz w:val="20"/>
        </w:rPr>
        <w:t>de la señora Acosta</w:t>
      </w:r>
      <w:r w:rsidRPr="009D5EA7">
        <w:rPr>
          <w:rFonts w:ascii="Verdana" w:hAnsi="Verdana"/>
          <w:sz w:val="20"/>
        </w:rPr>
        <w:t xml:space="preserve">, </w:t>
      </w:r>
      <w:r w:rsidR="00AB42B1">
        <w:rPr>
          <w:rFonts w:ascii="Verdana" w:hAnsi="Verdana"/>
          <w:sz w:val="20"/>
        </w:rPr>
        <w:t xml:space="preserve">incluso </w:t>
      </w:r>
      <w:r w:rsidRPr="009D5EA7">
        <w:rPr>
          <w:rFonts w:ascii="Verdana" w:hAnsi="Verdana"/>
          <w:sz w:val="20"/>
        </w:rPr>
        <w:t xml:space="preserve">la estigmatiza y criminaliza. Señalaron que este caso presenta claras evidencias de daños irreparables, causados a una defensora de derechos humanos y a sus familiares, además del perjuicio causado a las comunidades indígenas y afrodescendientes con las que trabajaba al momento que ocurrió el </w:t>
      </w:r>
      <w:r w:rsidR="006233D1">
        <w:rPr>
          <w:rFonts w:ascii="Verdana" w:hAnsi="Verdana" w:cs="Arial"/>
          <w:sz w:val="20"/>
        </w:rPr>
        <w:t>homicidio</w:t>
      </w:r>
      <w:r w:rsidRPr="009D5EA7">
        <w:rPr>
          <w:rFonts w:ascii="Verdana" w:hAnsi="Verdana"/>
          <w:sz w:val="20"/>
        </w:rPr>
        <w:t xml:space="preserve">, al haberlas dejado por varios años sin su defensa legal por la paralización de actividades de defensa de la señora Acosta. Alegaron que la invisibilización, criminalización y estigmatización de la que frecuentemente son objeto las personas defensoras de derechos humanos, se reflejó en este caso, por lo cual, ante un contexto de vulnerabilidad de defensoras, “es necesaria una protección reforzada que debe operar desde la Corte en beneficio del Derecho a Defender Derechos Humanos como un derecho autónomo (artículos 13.1, 15, 16.1, 23.1. y 25, todos ellos relacionados los artículos 1.1 y 2 de la </w:t>
      </w:r>
      <w:r w:rsidR="008975D1" w:rsidRPr="009D5EA7">
        <w:rPr>
          <w:rFonts w:ascii="Verdana" w:hAnsi="Verdana"/>
          <w:sz w:val="20"/>
        </w:rPr>
        <w:t>Convención</w:t>
      </w:r>
      <w:r w:rsidRPr="009D5EA7">
        <w:rPr>
          <w:rFonts w:ascii="Verdana" w:hAnsi="Verdana"/>
          <w:sz w:val="20"/>
        </w:rPr>
        <w:t>), en perjuicio de María Luisa Acosta”</w:t>
      </w:r>
      <w:r w:rsidR="008975D1" w:rsidRPr="009D5EA7">
        <w:rPr>
          <w:rFonts w:ascii="Verdana" w:hAnsi="Verdana"/>
          <w:sz w:val="20"/>
        </w:rPr>
        <w:t>, pues el</w:t>
      </w:r>
      <w:r w:rsidR="004C521A" w:rsidRPr="009D5EA7">
        <w:rPr>
          <w:rFonts w:ascii="Verdana" w:hAnsi="Verdana"/>
          <w:sz w:val="20"/>
        </w:rPr>
        <w:t xml:space="preserve"> </w:t>
      </w:r>
      <w:r w:rsidR="008975D1" w:rsidRPr="009D5EA7">
        <w:rPr>
          <w:rFonts w:ascii="Verdana" w:hAnsi="Verdana"/>
          <w:sz w:val="20"/>
        </w:rPr>
        <w:t xml:space="preserve">Estado no brindó “medidas de protección reforzadas” para que ella continuara desarrollando libremente y con seguridad su labor. </w:t>
      </w:r>
      <w:r w:rsidR="004C521A" w:rsidRPr="009D5EA7">
        <w:rPr>
          <w:rFonts w:ascii="Verdana" w:hAnsi="Verdana"/>
          <w:sz w:val="20"/>
        </w:rPr>
        <w:t xml:space="preserve">El </w:t>
      </w:r>
      <w:r w:rsidR="004C521A" w:rsidRPr="007A3724">
        <w:rPr>
          <w:rFonts w:ascii="Verdana" w:hAnsi="Verdana"/>
          <w:b/>
          <w:sz w:val="20"/>
        </w:rPr>
        <w:t>Estado</w:t>
      </w:r>
      <w:r w:rsidR="004C521A" w:rsidRPr="009D5EA7">
        <w:rPr>
          <w:rFonts w:ascii="Verdana" w:hAnsi="Verdana"/>
          <w:sz w:val="20"/>
        </w:rPr>
        <w:t xml:space="preserve"> no presentó alegatos específicos al respecto</w:t>
      </w:r>
    </w:p>
    <w:p w14:paraId="68A806CA" w14:textId="77777777" w:rsidR="008975D1" w:rsidRPr="009D5EA7" w:rsidRDefault="008975D1" w:rsidP="004C521A">
      <w:pPr>
        <w:pStyle w:val="Prrafodelista"/>
        <w:autoSpaceDE w:val="0"/>
        <w:autoSpaceDN w:val="0"/>
        <w:adjustRightInd w:val="0"/>
        <w:ind w:left="0" w:right="34"/>
        <w:jc w:val="both"/>
        <w:rPr>
          <w:rFonts w:ascii="Verdana" w:hAnsi="Verdana"/>
          <w:sz w:val="20"/>
        </w:rPr>
      </w:pPr>
    </w:p>
    <w:p w14:paraId="6E2426C4" w14:textId="389ABE57" w:rsidR="001048B3" w:rsidRPr="009D5EA7" w:rsidRDefault="004C521A" w:rsidP="004C521A">
      <w:pPr>
        <w:pStyle w:val="Prrafodelista"/>
        <w:numPr>
          <w:ilvl w:val="0"/>
          <w:numId w:val="5"/>
        </w:numPr>
        <w:autoSpaceDE w:val="0"/>
        <w:autoSpaceDN w:val="0"/>
        <w:adjustRightInd w:val="0"/>
        <w:ind w:left="0" w:right="34" w:firstLine="0"/>
        <w:jc w:val="both"/>
        <w:rPr>
          <w:rFonts w:ascii="Verdana" w:hAnsi="Verdana"/>
          <w:sz w:val="20"/>
        </w:rPr>
      </w:pPr>
      <w:r w:rsidRPr="009D5EA7">
        <w:rPr>
          <w:rFonts w:ascii="Verdana" w:hAnsi="Verdana"/>
          <w:sz w:val="20"/>
        </w:rPr>
        <w:t>La Corte recuerda que en casos anteriores, así como en el presente, se ha referido a las obligaciones de los Estados de proteger la actividad de defensa de los derechos humanos</w:t>
      </w:r>
      <w:r w:rsidR="0077056A">
        <w:rPr>
          <w:rFonts w:ascii="Verdana" w:hAnsi="Verdana"/>
          <w:sz w:val="20"/>
        </w:rPr>
        <w:t xml:space="preserve"> y </w:t>
      </w:r>
      <w:r w:rsidRPr="009D5EA7">
        <w:rPr>
          <w:rFonts w:ascii="Verdana" w:hAnsi="Verdana"/>
          <w:sz w:val="20"/>
        </w:rPr>
        <w:t>al reconocimiento internacional de esa actividad en diferentes instrumentos y pronunciamientos, particularmente la Declaración sobre Defensores de la Asamblea General de Naciones Unidas de 199</w:t>
      </w:r>
      <w:r w:rsidR="00F515FE" w:rsidRPr="009D5EA7">
        <w:rPr>
          <w:rFonts w:ascii="Verdana" w:hAnsi="Verdana"/>
          <w:sz w:val="20"/>
        </w:rPr>
        <w:t>9</w:t>
      </w:r>
      <w:r w:rsidRPr="009D5EA7">
        <w:rPr>
          <w:rFonts w:ascii="Verdana" w:hAnsi="Verdana"/>
          <w:sz w:val="20"/>
        </w:rPr>
        <w:t>. La Corte se ha pronunciado respecto de la protección debida a esa actividad en relación con varios derechos de la persona que la ejerce</w:t>
      </w:r>
      <w:r w:rsidRPr="009D5EA7">
        <w:rPr>
          <w:rStyle w:val="Refdenotaalpie"/>
          <w:rFonts w:ascii="Verdana" w:hAnsi="Verdana"/>
          <w:sz w:val="20"/>
        </w:rPr>
        <w:footnoteReference w:id="185"/>
      </w:r>
      <w:r w:rsidRPr="009D5EA7">
        <w:rPr>
          <w:rFonts w:ascii="Verdana" w:hAnsi="Verdana"/>
          <w:sz w:val="20"/>
        </w:rPr>
        <w:t xml:space="preserve"> e incluso ha reconocido que el temor causado a defensoras y defensores “por el asesinato de un defensor en represalia por sus actividades podría disminuir las posibilidades que ejerzan su derecho a defender los derechos humanos a través de la denuncia”</w:t>
      </w:r>
      <w:r w:rsidRPr="009D5EA7">
        <w:rPr>
          <w:rStyle w:val="Refdenotaalpie"/>
          <w:rFonts w:ascii="Verdana" w:hAnsi="Verdana"/>
          <w:sz w:val="20"/>
        </w:rPr>
        <w:footnoteReference w:id="186"/>
      </w:r>
      <w:r w:rsidRPr="009D5EA7">
        <w:rPr>
          <w:rFonts w:ascii="Verdana" w:hAnsi="Verdana"/>
          <w:sz w:val="20"/>
        </w:rPr>
        <w:t>.</w:t>
      </w:r>
    </w:p>
    <w:p w14:paraId="62875C85" w14:textId="77777777" w:rsidR="008975D1" w:rsidRPr="009D5EA7" w:rsidRDefault="008975D1" w:rsidP="008975D1">
      <w:pPr>
        <w:pStyle w:val="Prrafodelista"/>
        <w:autoSpaceDE w:val="0"/>
        <w:autoSpaceDN w:val="0"/>
        <w:adjustRightInd w:val="0"/>
        <w:ind w:left="0" w:right="34"/>
        <w:jc w:val="both"/>
        <w:rPr>
          <w:rFonts w:ascii="Verdana" w:hAnsi="Verdana"/>
          <w:sz w:val="20"/>
        </w:rPr>
      </w:pPr>
    </w:p>
    <w:p w14:paraId="5A3C709B" w14:textId="7C171DE5" w:rsidR="006B19D0" w:rsidRPr="009D5EA7" w:rsidRDefault="008975D1" w:rsidP="008975D1">
      <w:pPr>
        <w:pStyle w:val="Prrafodelista"/>
        <w:numPr>
          <w:ilvl w:val="0"/>
          <w:numId w:val="5"/>
        </w:numPr>
        <w:autoSpaceDE w:val="0"/>
        <w:autoSpaceDN w:val="0"/>
        <w:adjustRightInd w:val="0"/>
        <w:ind w:left="0" w:right="34" w:firstLine="0"/>
        <w:jc w:val="both"/>
        <w:rPr>
          <w:rFonts w:ascii="Verdana" w:hAnsi="Verdana"/>
          <w:sz w:val="20"/>
        </w:rPr>
      </w:pPr>
      <w:r w:rsidRPr="009D5EA7">
        <w:rPr>
          <w:rFonts w:ascii="Verdana" w:hAnsi="Verdana"/>
          <w:sz w:val="20"/>
        </w:rPr>
        <w:lastRenderedPageBreak/>
        <w:t xml:space="preserve">Sin embargo, en este caso </w:t>
      </w:r>
      <w:r w:rsidR="006B19D0" w:rsidRPr="009D5EA7">
        <w:rPr>
          <w:rFonts w:ascii="Verdana" w:hAnsi="Verdana"/>
          <w:sz w:val="20"/>
        </w:rPr>
        <w:t>las consideraciones relevantes sobre defensores de derechos humanos ya ha</w:t>
      </w:r>
      <w:r w:rsidRPr="009D5EA7">
        <w:rPr>
          <w:rFonts w:ascii="Verdana" w:hAnsi="Verdana"/>
          <w:sz w:val="20"/>
        </w:rPr>
        <w:t xml:space="preserve">n </w:t>
      </w:r>
      <w:r w:rsidR="006B19D0" w:rsidRPr="009D5EA7">
        <w:rPr>
          <w:rFonts w:ascii="Verdana" w:hAnsi="Verdana"/>
          <w:sz w:val="20"/>
        </w:rPr>
        <w:t xml:space="preserve">sido </w:t>
      </w:r>
      <w:r w:rsidR="005C705E">
        <w:rPr>
          <w:rFonts w:ascii="Verdana" w:hAnsi="Verdana"/>
          <w:sz w:val="20"/>
        </w:rPr>
        <w:t>realizadas</w:t>
      </w:r>
      <w:r w:rsidRPr="009D5EA7">
        <w:rPr>
          <w:rFonts w:ascii="Verdana" w:hAnsi="Verdana"/>
          <w:sz w:val="20"/>
        </w:rPr>
        <w:t xml:space="preserve"> </w:t>
      </w:r>
      <w:r w:rsidR="006B19D0" w:rsidRPr="009D5EA7">
        <w:rPr>
          <w:rFonts w:ascii="Verdana" w:hAnsi="Verdana"/>
          <w:sz w:val="20"/>
        </w:rPr>
        <w:t>bajo los artículos 8 y 25 de la Convención y</w:t>
      </w:r>
      <w:r w:rsidR="0077056A">
        <w:rPr>
          <w:rFonts w:ascii="Verdana" w:hAnsi="Verdana"/>
          <w:sz w:val="20"/>
        </w:rPr>
        <w:t>, al notar que</w:t>
      </w:r>
      <w:r w:rsidR="006B19D0" w:rsidRPr="009D5EA7">
        <w:rPr>
          <w:rFonts w:ascii="Verdana" w:hAnsi="Verdana"/>
          <w:sz w:val="20"/>
        </w:rPr>
        <w:t xml:space="preserve"> las representantes no han aportado información, alegatos o elementos suficientes para analizar los hechos bajo los artículos 13.1, 15, 16.1 o 23.1 de la Convención, </w:t>
      </w:r>
      <w:r w:rsidRPr="009D5EA7">
        <w:rPr>
          <w:rFonts w:ascii="Verdana" w:hAnsi="Verdana"/>
          <w:sz w:val="20"/>
        </w:rPr>
        <w:t xml:space="preserve">este Tribunal considera </w:t>
      </w:r>
      <w:r w:rsidR="0077056A">
        <w:rPr>
          <w:rFonts w:ascii="Verdana" w:hAnsi="Verdana"/>
          <w:sz w:val="20"/>
        </w:rPr>
        <w:t xml:space="preserve">que </w:t>
      </w:r>
      <w:r w:rsidR="006B19D0" w:rsidRPr="009D5EA7">
        <w:rPr>
          <w:rFonts w:ascii="Verdana" w:hAnsi="Verdana"/>
          <w:sz w:val="20"/>
        </w:rPr>
        <w:t>no ha sido demostrado que el Estado incurriera en responsabilidad por la alegada violación de derechos contenidos en esas normas.</w:t>
      </w:r>
    </w:p>
    <w:p w14:paraId="20BD0435" w14:textId="77777777" w:rsidR="00E40300" w:rsidRPr="009D5EA7" w:rsidRDefault="00E40300" w:rsidP="006B19D0">
      <w:pPr>
        <w:spacing w:after="0" w:line="240" w:lineRule="auto"/>
        <w:rPr>
          <w:lang w:val="es-ES_tradnl"/>
        </w:rPr>
      </w:pPr>
    </w:p>
    <w:p w14:paraId="3E2E91AD" w14:textId="77777777" w:rsidR="00E40300" w:rsidRPr="009D5EA7" w:rsidRDefault="00E40300" w:rsidP="00E40300">
      <w:pPr>
        <w:suppressAutoHyphens/>
        <w:spacing w:after="0" w:line="240" w:lineRule="auto"/>
        <w:jc w:val="both"/>
        <w:rPr>
          <w:rFonts w:ascii="Verdana" w:eastAsia="Times New Roman" w:hAnsi="Verdana" w:cs="Tahoma"/>
          <w:sz w:val="20"/>
          <w:szCs w:val="20"/>
          <w:lang w:val="es-ES_tradnl"/>
        </w:rPr>
      </w:pPr>
    </w:p>
    <w:p w14:paraId="1A8ECC03" w14:textId="4708105B" w:rsidR="00E40300" w:rsidRPr="009D5EA7" w:rsidRDefault="00E40300" w:rsidP="00EF6522">
      <w:pPr>
        <w:pStyle w:val="Ttulo1"/>
        <w:spacing w:before="0" w:after="0" w:line="240" w:lineRule="auto"/>
        <w:jc w:val="center"/>
        <w:rPr>
          <w:rFonts w:ascii="Verdana" w:hAnsi="Verdana" w:cs="Verdana"/>
          <w:b w:val="0"/>
          <w:bCs w:val="0"/>
          <w:caps/>
          <w:snapToGrid w:val="0"/>
          <w:sz w:val="20"/>
          <w:szCs w:val="20"/>
          <w:lang w:val="es-ES_tradnl"/>
        </w:rPr>
      </w:pPr>
      <w:bookmarkStart w:id="26" w:name="_Toc476251464"/>
      <w:r w:rsidRPr="009D5EA7">
        <w:rPr>
          <w:rFonts w:ascii="Verdana" w:hAnsi="Verdana" w:cs="Verdana"/>
          <w:caps/>
          <w:snapToGrid w:val="0"/>
          <w:sz w:val="20"/>
          <w:szCs w:val="20"/>
          <w:lang w:val="es-ES_tradnl" w:eastAsia="es-ES"/>
        </w:rPr>
        <w:t>IX</w:t>
      </w:r>
      <w:r w:rsidRPr="009D5EA7">
        <w:rPr>
          <w:rFonts w:ascii="Verdana" w:hAnsi="Verdana" w:cs="Verdana"/>
          <w:caps/>
          <w:snapToGrid w:val="0"/>
          <w:sz w:val="20"/>
          <w:szCs w:val="20"/>
          <w:lang w:val="es-ES_tradnl" w:eastAsia="es-ES"/>
        </w:rPr>
        <w:br/>
        <w:t>REPARACIONES</w:t>
      </w:r>
      <w:bookmarkEnd w:id="26"/>
    </w:p>
    <w:p w14:paraId="10644560" w14:textId="5DEF7929" w:rsidR="00EF6522" w:rsidRPr="009D5EA7" w:rsidRDefault="00EF6522" w:rsidP="00EF6522">
      <w:pPr>
        <w:jc w:val="center"/>
        <w:rPr>
          <w:rFonts w:ascii="Verdana" w:hAnsi="Verdana"/>
          <w:b/>
          <w:smallCaps/>
          <w:snapToGrid w:val="0"/>
          <w:sz w:val="20"/>
          <w:lang w:val="es-ES_tradnl" w:eastAsia="es-ES"/>
        </w:rPr>
      </w:pPr>
      <w:r w:rsidRPr="009D5EA7">
        <w:rPr>
          <w:rFonts w:ascii="Verdana" w:hAnsi="Verdana" w:cs="Tahoma"/>
          <w:b/>
          <w:smallCaps/>
          <w:sz w:val="20"/>
          <w:lang w:val="es-ES_tradnl"/>
        </w:rPr>
        <w:t xml:space="preserve"> (</w:t>
      </w:r>
      <w:r w:rsidRPr="009D5EA7">
        <w:rPr>
          <w:rFonts w:ascii="Verdana" w:hAnsi="Verdana"/>
          <w:b/>
          <w:smallCaps/>
          <w:snapToGrid w:val="0"/>
          <w:sz w:val="20"/>
          <w:lang w:val="es-ES_tradnl" w:eastAsia="es-ES"/>
        </w:rPr>
        <w:t>Aplicación del artículo 63.1 de la Convención Americana)</w:t>
      </w:r>
    </w:p>
    <w:p w14:paraId="58F7A3D7" w14:textId="18A846E3" w:rsidR="00EF6522" w:rsidRPr="009D5EA7" w:rsidRDefault="00F515FE" w:rsidP="00EF6522">
      <w:pPr>
        <w:numPr>
          <w:ilvl w:val="0"/>
          <w:numId w:val="5"/>
        </w:numPr>
        <w:autoSpaceDE w:val="0"/>
        <w:autoSpaceDN w:val="0"/>
        <w:adjustRightInd w:val="0"/>
        <w:spacing w:after="0" w:line="240" w:lineRule="auto"/>
        <w:ind w:left="0" w:right="49" w:firstLine="0"/>
        <w:contextualSpacing/>
        <w:jc w:val="both"/>
        <w:rPr>
          <w:rFonts w:ascii="Verdana" w:hAnsi="Verdana" w:cs="Times New Roman"/>
          <w:sz w:val="20"/>
          <w:szCs w:val="20"/>
          <w:lang w:val="es-ES_tradnl" w:bidi="en-US"/>
        </w:rPr>
      </w:pPr>
      <w:r w:rsidRPr="009D5EA7">
        <w:rPr>
          <w:rFonts w:ascii="Verdana" w:hAnsi="Verdana"/>
          <w:spacing w:val="-2"/>
          <w:sz w:val="20"/>
          <w:szCs w:val="20"/>
          <w:lang w:val="es-ES_tradnl"/>
        </w:rPr>
        <w:t>Con</w:t>
      </w:r>
      <w:r w:rsidR="00EF6522" w:rsidRPr="009D5EA7">
        <w:rPr>
          <w:rFonts w:ascii="Verdana" w:hAnsi="Verdana"/>
          <w:spacing w:val="-2"/>
          <w:sz w:val="20"/>
          <w:szCs w:val="20"/>
          <w:lang w:val="es-ES_tradnl"/>
        </w:rPr>
        <w:t xml:space="preserve"> base </w:t>
      </w:r>
      <w:r w:rsidRPr="009D5EA7">
        <w:rPr>
          <w:rFonts w:ascii="Verdana" w:hAnsi="Verdana"/>
          <w:spacing w:val="-2"/>
          <w:sz w:val="20"/>
          <w:szCs w:val="20"/>
          <w:lang w:val="es-ES_tradnl"/>
        </w:rPr>
        <w:t xml:space="preserve">en </w:t>
      </w:r>
      <w:r w:rsidR="00EF6522" w:rsidRPr="009D5EA7">
        <w:rPr>
          <w:rFonts w:ascii="Verdana" w:hAnsi="Verdana"/>
          <w:spacing w:val="-2"/>
          <w:sz w:val="20"/>
          <w:szCs w:val="20"/>
          <w:lang w:val="es-ES_tradnl"/>
        </w:rPr>
        <w:t>lo dispuesto en el artículo 63.1 de la Convención Americana</w:t>
      </w:r>
      <w:r w:rsidR="00EF6522" w:rsidRPr="009D5EA7">
        <w:rPr>
          <w:rStyle w:val="Refdenotaalpie"/>
          <w:rFonts w:ascii="Verdana" w:hAnsi="Verdana"/>
          <w:spacing w:val="-2"/>
          <w:sz w:val="20"/>
          <w:szCs w:val="20"/>
          <w:lang w:val="es-ES_tradnl"/>
        </w:rPr>
        <w:footnoteReference w:id="187"/>
      </w:r>
      <w:r w:rsidR="00EF6522" w:rsidRPr="009D5EA7">
        <w:rPr>
          <w:rFonts w:ascii="Verdana" w:hAnsi="Verdana"/>
          <w:spacing w:val="-2"/>
          <w:sz w:val="20"/>
          <w:szCs w:val="20"/>
          <w:lang w:val="es-ES_tradnl"/>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00EF6522" w:rsidRPr="009D5EA7">
        <w:rPr>
          <w:rStyle w:val="Refdenotaalpie"/>
          <w:rFonts w:ascii="Verdana" w:hAnsi="Verdana"/>
          <w:spacing w:val="-2"/>
          <w:sz w:val="20"/>
          <w:szCs w:val="20"/>
          <w:lang w:val="es-ES_tradnl"/>
        </w:rPr>
        <w:footnoteReference w:id="188"/>
      </w:r>
      <w:r w:rsidR="00EF6522" w:rsidRPr="009D5EA7">
        <w:rPr>
          <w:rFonts w:ascii="Verdana" w:hAnsi="Verdana"/>
          <w:spacing w:val="-2"/>
          <w:sz w:val="20"/>
          <w:szCs w:val="20"/>
          <w:lang w:val="es-ES_tradnl"/>
        </w:rPr>
        <w:t>.</w:t>
      </w:r>
    </w:p>
    <w:p w14:paraId="2F556378" w14:textId="77777777" w:rsidR="00EF6522" w:rsidRPr="009D5EA7" w:rsidRDefault="00EF6522" w:rsidP="00EF6522">
      <w:pPr>
        <w:autoSpaceDE w:val="0"/>
        <w:autoSpaceDN w:val="0"/>
        <w:adjustRightInd w:val="0"/>
        <w:spacing w:after="0" w:line="240" w:lineRule="auto"/>
        <w:ind w:right="49"/>
        <w:contextualSpacing/>
        <w:jc w:val="both"/>
        <w:rPr>
          <w:rFonts w:ascii="Verdana" w:hAnsi="Verdana" w:cs="Times New Roman"/>
          <w:sz w:val="20"/>
          <w:szCs w:val="20"/>
          <w:lang w:val="es-ES_tradnl" w:bidi="en-US"/>
        </w:rPr>
      </w:pPr>
    </w:p>
    <w:p w14:paraId="22CA4BF1" w14:textId="6B30BA09" w:rsidR="00F515FE" w:rsidRPr="009D5EA7" w:rsidRDefault="00F515FE" w:rsidP="00F515FE">
      <w:pPr>
        <w:numPr>
          <w:ilvl w:val="0"/>
          <w:numId w:val="5"/>
        </w:numPr>
        <w:autoSpaceDE w:val="0"/>
        <w:autoSpaceDN w:val="0"/>
        <w:adjustRightInd w:val="0"/>
        <w:spacing w:after="0" w:line="240" w:lineRule="auto"/>
        <w:ind w:left="0" w:right="49" w:firstLine="0"/>
        <w:contextualSpacing/>
        <w:jc w:val="both"/>
        <w:rPr>
          <w:rFonts w:ascii="Verdana" w:hAnsi="Verdana" w:cs="Times New Roman"/>
          <w:sz w:val="20"/>
          <w:szCs w:val="20"/>
          <w:lang w:val="es-ES_tradnl" w:bidi="en-US"/>
        </w:rPr>
      </w:pPr>
      <w:r w:rsidRPr="009D5EA7">
        <w:rPr>
          <w:rFonts w:ascii="Verdana" w:hAnsi="Verdana"/>
          <w:bCs/>
          <w:spacing w:val="-2"/>
          <w:sz w:val="20"/>
          <w:szCs w:val="20"/>
          <w:lang w:val="es-ES_tradnl"/>
        </w:rPr>
        <w:t>La reparación del daño ocasionado por la infracción de una obligación internacional requiere, siempre que sea posible, la plena restitución (</w:t>
      </w:r>
      <w:r w:rsidRPr="009D5EA7">
        <w:rPr>
          <w:rFonts w:ascii="Verdana" w:hAnsi="Verdana"/>
          <w:bCs/>
          <w:i/>
          <w:spacing w:val="-2"/>
          <w:sz w:val="20"/>
          <w:szCs w:val="20"/>
          <w:lang w:val="es-ES_tradnl"/>
        </w:rPr>
        <w:t>restitutio in integrum</w:t>
      </w:r>
      <w:r w:rsidRPr="009D5EA7">
        <w:rPr>
          <w:rFonts w:ascii="Verdana" w:hAnsi="Verdana"/>
          <w:bCs/>
          <w:spacing w:val="-2"/>
          <w:sz w:val="20"/>
          <w:szCs w:val="20"/>
          <w:lang w:val="es-ES_tradnl"/>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9D5EA7">
        <w:rPr>
          <w:rStyle w:val="Refdenotaalpie"/>
          <w:rFonts w:ascii="Verdana" w:hAnsi="Verdana"/>
          <w:bCs/>
          <w:spacing w:val="-2"/>
          <w:sz w:val="20"/>
          <w:szCs w:val="20"/>
          <w:lang w:val="es-ES_tradnl"/>
        </w:rPr>
        <w:footnoteReference w:id="189"/>
      </w:r>
      <w:r w:rsidRPr="009D5EA7">
        <w:rPr>
          <w:rFonts w:ascii="Verdana" w:hAnsi="Verdana"/>
          <w:bCs/>
          <w:spacing w:val="-2"/>
          <w:sz w:val="20"/>
          <w:szCs w:val="20"/>
          <w:lang w:val="es-ES_tradnl"/>
        </w:rPr>
        <w:t>. L</w:t>
      </w:r>
      <w:r w:rsidRPr="009D5EA7">
        <w:rPr>
          <w:rFonts w:ascii="Verdana" w:hAnsi="Verdana"/>
          <w:spacing w:val="-2"/>
          <w:sz w:val="20"/>
          <w:szCs w:val="20"/>
          <w:lang w:val="es-ES_tradnl"/>
        </w:rPr>
        <w:t>as reparaciones deben tener un nexo causal con los hechos del caso, las violaciones declaradas, los daños acreditados, así como las medidas solicitadas para reparar los daños respectivos, cuya concurrencia debe observar el Tribunal para pronunciarse debidamente y conforme a derecho</w:t>
      </w:r>
      <w:r w:rsidRPr="009D5EA7">
        <w:rPr>
          <w:rStyle w:val="Refdenotaalpie"/>
          <w:rFonts w:ascii="Verdana" w:hAnsi="Verdana"/>
          <w:spacing w:val="-2"/>
          <w:sz w:val="20"/>
          <w:szCs w:val="20"/>
          <w:lang w:val="es-ES_tradnl"/>
        </w:rPr>
        <w:footnoteReference w:id="190"/>
      </w:r>
      <w:r w:rsidRPr="009D5EA7">
        <w:rPr>
          <w:rFonts w:ascii="Verdana" w:hAnsi="Verdana"/>
          <w:spacing w:val="-2"/>
          <w:sz w:val="20"/>
          <w:szCs w:val="20"/>
          <w:lang w:val="es-ES_tradnl"/>
        </w:rPr>
        <w:t>.</w:t>
      </w:r>
    </w:p>
    <w:p w14:paraId="1A91EA2E" w14:textId="77777777" w:rsidR="00EF6522" w:rsidRPr="009D5EA7" w:rsidRDefault="00EF6522" w:rsidP="00EF6522">
      <w:pPr>
        <w:autoSpaceDE w:val="0"/>
        <w:autoSpaceDN w:val="0"/>
        <w:adjustRightInd w:val="0"/>
        <w:spacing w:after="0" w:line="240" w:lineRule="auto"/>
        <w:ind w:right="49"/>
        <w:contextualSpacing/>
        <w:jc w:val="both"/>
        <w:rPr>
          <w:rFonts w:ascii="Verdana" w:hAnsi="Verdana"/>
          <w:spacing w:val="-2"/>
          <w:sz w:val="20"/>
          <w:szCs w:val="20"/>
          <w:lang w:val="es-ES_tradnl"/>
        </w:rPr>
      </w:pPr>
    </w:p>
    <w:p w14:paraId="6AD1A02E" w14:textId="56ADE9C7"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hAnsi="Verdana" w:cs="Times New Roman"/>
          <w:sz w:val="20"/>
          <w:szCs w:val="20"/>
          <w:lang w:val="es-ES_tradnl" w:bidi="en-US"/>
        </w:rPr>
      </w:pPr>
      <w:r w:rsidRPr="009D5EA7">
        <w:rPr>
          <w:rFonts w:ascii="Verdana" w:hAnsi="Verdana"/>
          <w:spacing w:val="-2"/>
          <w:sz w:val="20"/>
          <w:szCs w:val="20"/>
          <w:lang w:val="es-ES_tradnl"/>
        </w:rPr>
        <w:t>En consideración de las violaciones declaradas en el capítulo anterior, el Tribunal procederá a analizar las pretensiones presentadas por la Comisión y los representantes de la víctima, así como los argumentos del Estado, a la luz de los criterios fijados en la jurisprudencia de la Corte en relación con la naturaleza y alcance de la obligación de reparar, con el objeto de disponer las medidas dirigidas a reparar los daños ocasionados a la víctima</w:t>
      </w:r>
      <w:r w:rsidR="00F515FE" w:rsidRPr="009D5EA7">
        <w:rPr>
          <w:rStyle w:val="Refdenotaalpie"/>
          <w:rFonts w:ascii="Verdana" w:hAnsi="Verdana"/>
          <w:spacing w:val="-2"/>
          <w:sz w:val="20"/>
          <w:szCs w:val="20"/>
          <w:lang w:val="es-ES_tradnl"/>
        </w:rPr>
        <w:footnoteReference w:id="191"/>
      </w:r>
      <w:r w:rsidRPr="009D5EA7">
        <w:rPr>
          <w:rFonts w:ascii="Verdana" w:hAnsi="Verdana"/>
          <w:spacing w:val="-2"/>
          <w:sz w:val="20"/>
          <w:szCs w:val="20"/>
          <w:lang w:val="es-ES_tradnl"/>
        </w:rPr>
        <w:t>.</w:t>
      </w:r>
    </w:p>
    <w:p w14:paraId="06FAEAC4" w14:textId="77777777" w:rsidR="00EF6522" w:rsidRPr="009D5EA7" w:rsidRDefault="00EF6522" w:rsidP="00EF6522">
      <w:pPr>
        <w:autoSpaceDE w:val="0"/>
        <w:autoSpaceDN w:val="0"/>
        <w:adjustRightInd w:val="0"/>
        <w:spacing w:after="0" w:line="240" w:lineRule="auto"/>
        <w:ind w:right="49"/>
        <w:contextualSpacing/>
        <w:jc w:val="both"/>
        <w:rPr>
          <w:rFonts w:ascii="Verdana" w:hAnsi="Verdana" w:cs="Times New Roman"/>
          <w:sz w:val="20"/>
          <w:szCs w:val="20"/>
          <w:lang w:val="es-ES_tradnl" w:bidi="en-US"/>
        </w:rPr>
      </w:pPr>
    </w:p>
    <w:p w14:paraId="630D23F6" w14:textId="77777777" w:rsidR="00EF6522" w:rsidRPr="009D5EA7" w:rsidRDefault="00EF6522" w:rsidP="00EF6522">
      <w:pPr>
        <w:autoSpaceDE w:val="0"/>
        <w:autoSpaceDN w:val="0"/>
        <w:adjustRightInd w:val="0"/>
        <w:spacing w:after="0" w:line="240" w:lineRule="auto"/>
        <w:ind w:right="49"/>
        <w:contextualSpacing/>
        <w:jc w:val="both"/>
        <w:rPr>
          <w:rFonts w:ascii="Verdana" w:hAnsi="Verdana" w:cs="Times New Roman"/>
          <w:sz w:val="20"/>
          <w:szCs w:val="20"/>
          <w:lang w:val="es-ES_tradnl" w:bidi="en-US"/>
        </w:rPr>
      </w:pPr>
    </w:p>
    <w:p w14:paraId="0A298E81" w14:textId="77777777" w:rsidR="00EF6522" w:rsidRPr="009D5EA7" w:rsidRDefault="00EF6522" w:rsidP="00EF6522">
      <w:pPr>
        <w:pStyle w:val="Ttulo2"/>
        <w:numPr>
          <w:ilvl w:val="0"/>
          <w:numId w:val="0"/>
        </w:numPr>
        <w:ind w:left="1080" w:hanging="360"/>
        <w:rPr>
          <w:rFonts w:ascii="Verdana" w:hAnsi="Verdana"/>
          <w:i/>
          <w:sz w:val="20"/>
          <w:lang w:val="es-ES_tradnl"/>
        </w:rPr>
      </w:pPr>
      <w:bookmarkStart w:id="27" w:name="_Toc476251465"/>
      <w:r w:rsidRPr="009D5EA7">
        <w:rPr>
          <w:rFonts w:ascii="Verdana" w:hAnsi="Verdana"/>
          <w:i/>
          <w:sz w:val="20"/>
          <w:lang w:val="es-ES_tradnl"/>
        </w:rPr>
        <w:t xml:space="preserve">A. </w:t>
      </w:r>
      <w:r w:rsidRPr="009D5EA7">
        <w:rPr>
          <w:rFonts w:ascii="Verdana" w:hAnsi="Verdana"/>
          <w:i/>
          <w:sz w:val="20"/>
          <w:lang w:val="es-ES_tradnl"/>
        </w:rPr>
        <w:tab/>
        <w:t>Parte lesionada</w:t>
      </w:r>
      <w:bookmarkEnd w:id="27"/>
    </w:p>
    <w:p w14:paraId="774CA12F" w14:textId="77777777" w:rsidR="00EF6522" w:rsidRPr="009D5EA7" w:rsidRDefault="00EF6522" w:rsidP="00EF6522">
      <w:pPr>
        <w:spacing w:after="0"/>
        <w:ind w:right="49"/>
        <w:jc w:val="both"/>
        <w:rPr>
          <w:rFonts w:ascii="Verdana" w:eastAsia="Calibri" w:hAnsi="Verdana" w:cs="Helvetica"/>
          <w:sz w:val="20"/>
          <w:szCs w:val="20"/>
          <w:lang w:val="es-ES_tradnl" w:bidi="en-US"/>
        </w:rPr>
      </w:pPr>
    </w:p>
    <w:p w14:paraId="51D07C5D" w14:textId="15722082"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77056A">
        <w:rPr>
          <w:rFonts w:ascii="Verdana" w:hAnsi="Verdana"/>
          <w:sz w:val="20"/>
          <w:szCs w:val="20"/>
          <w:lang w:val="es-ES_tradnl"/>
        </w:rPr>
        <w:t xml:space="preserve">El Tribunal </w:t>
      </w:r>
      <w:r w:rsidRPr="0077056A">
        <w:rPr>
          <w:rFonts w:ascii="Verdana" w:hAnsi="Verdana"/>
          <w:spacing w:val="-2"/>
          <w:sz w:val="20"/>
          <w:szCs w:val="20"/>
          <w:lang w:val="es-ES_tradnl"/>
        </w:rPr>
        <w:t>considera</w:t>
      </w:r>
      <w:r w:rsidR="00AE208E" w:rsidRPr="0077056A">
        <w:rPr>
          <w:rFonts w:ascii="Verdana" w:eastAsia="Calibri" w:hAnsi="Verdana" w:cs="Times New Roman"/>
          <w:sz w:val="20"/>
          <w:szCs w:val="20"/>
          <w:lang w:val="es-ES_tradnl"/>
        </w:rPr>
        <w:t xml:space="preserve"> como “parte lesionada”</w:t>
      </w:r>
      <w:r w:rsidRPr="0077056A">
        <w:rPr>
          <w:rFonts w:ascii="Verdana" w:hAnsi="Verdana"/>
          <w:sz w:val="20"/>
          <w:szCs w:val="20"/>
          <w:lang w:val="es-ES_tradnl"/>
        </w:rPr>
        <w:t>, en</w:t>
      </w:r>
      <w:r w:rsidRPr="009D5EA7">
        <w:rPr>
          <w:rFonts w:ascii="Verdana" w:hAnsi="Verdana"/>
          <w:sz w:val="20"/>
          <w:szCs w:val="20"/>
          <w:lang w:val="es-ES_tradnl"/>
        </w:rPr>
        <w:t xml:space="preserve"> los términos del artículo 63.1 de la Convención, </w:t>
      </w:r>
      <w:r w:rsidRPr="009D5EA7">
        <w:rPr>
          <w:rFonts w:ascii="Verdana" w:eastAsia="Calibri" w:hAnsi="Verdana" w:cs="Times New Roman"/>
          <w:sz w:val="20"/>
          <w:szCs w:val="20"/>
          <w:lang w:val="es-ES_tradnl"/>
        </w:rPr>
        <w:t xml:space="preserve">a María Luisa Acosta Castellón, Ana María Vergara Acosta, Álvaro Arístides Vergara Acosta, </w:t>
      </w:r>
      <w:r w:rsidR="0077056A" w:rsidRPr="001506FD">
        <w:rPr>
          <w:rFonts w:ascii="Verdana" w:eastAsia="Cambria" w:hAnsi="Verdana" w:cs="Cambria"/>
          <w:spacing w:val="2"/>
          <w:sz w:val="20"/>
        </w:rPr>
        <w:t>María Leonor Valle Estrada (conocida como Leonor del Carmen Valle de García)</w:t>
      </w:r>
      <w:r w:rsidR="0077056A">
        <w:rPr>
          <w:rFonts w:ascii="Verdana" w:eastAsia="Cambria" w:hAnsi="Verdana" w:cs="Cambria"/>
          <w:spacing w:val="2"/>
          <w:sz w:val="20"/>
        </w:rPr>
        <w:t xml:space="preserve"> </w:t>
      </w:r>
      <w:r w:rsidRPr="009D5EA7">
        <w:rPr>
          <w:rFonts w:ascii="Verdana" w:eastAsia="Calibri" w:hAnsi="Verdana" w:cs="Times New Roman"/>
          <w:sz w:val="20"/>
          <w:szCs w:val="20"/>
          <w:lang w:val="es-ES_tradnl"/>
        </w:rPr>
        <w:t>y Rodolfo García Solari.</w:t>
      </w:r>
    </w:p>
    <w:p w14:paraId="0A7B5440" w14:textId="77777777" w:rsidR="00522E47" w:rsidRDefault="00522E47" w:rsidP="00EF6522">
      <w:pPr>
        <w:spacing w:after="0"/>
        <w:ind w:right="49"/>
        <w:jc w:val="both"/>
        <w:rPr>
          <w:rFonts w:ascii="Verdana" w:hAnsi="Verdana"/>
          <w:sz w:val="20"/>
          <w:szCs w:val="20"/>
          <w:lang w:val="es-ES_tradnl"/>
        </w:rPr>
      </w:pPr>
    </w:p>
    <w:p w14:paraId="613EAE79" w14:textId="74ED4681" w:rsidR="00170D6C" w:rsidRPr="009D5EA7" w:rsidRDefault="00170D6C" w:rsidP="00170D6C">
      <w:pPr>
        <w:pStyle w:val="Ttulo2"/>
        <w:numPr>
          <w:ilvl w:val="0"/>
          <w:numId w:val="0"/>
        </w:numPr>
        <w:ind w:left="1080" w:hanging="360"/>
        <w:rPr>
          <w:rFonts w:ascii="Verdana" w:eastAsia="Calibri" w:hAnsi="Verdana"/>
          <w:i/>
          <w:sz w:val="20"/>
          <w:lang w:val="es-ES_tradnl"/>
        </w:rPr>
      </w:pPr>
      <w:r>
        <w:rPr>
          <w:rFonts w:ascii="Verdana" w:hAnsi="Verdana"/>
          <w:i/>
          <w:sz w:val="20"/>
          <w:lang w:val="es-ES_tradnl"/>
        </w:rPr>
        <w:t>B</w:t>
      </w:r>
      <w:r w:rsidRPr="009D5EA7">
        <w:rPr>
          <w:rFonts w:ascii="Verdana" w:hAnsi="Verdana"/>
          <w:i/>
          <w:sz w:val="20"/>
          <w:lang w:val="es-ES_tradnl"/>
        </w:rPr>
        <w:t>.</w:t>
      </w:r>
      <w:r w:rsidRPr="009D5EA7">
        <w:rPr>
          <w:rFonts w:ascii="Verdana" w:hAnsi="Verdana"/>
          <w:i/>
          <w:sz w:val="20"/>
          <w:lang w:val="es-ES_tradnl"/>
        </w:rPr>
        <w:tab/>
      </w:r>
      <w:r>
        <w:rPr>
          <w:rFonts w:ascii="Verdana" w:hAnsi="Verdana"/>
          <w:i/>
          <w:sz w:val="20"/>
          <w:lang w:val="es-ES_tradnl"/>
        </w:rPr>
        <w:t>Obligación de investigar</w:t>
      </w:r>
      <w:r w:rsidRPr="009D5EA7">
        <w:rPr>
          <w:rFonts w:ascii="Verdana" w:hAnsi="Verdana"/>
          <w:i/>
          <w:sz w:val="20"/>
          <w:lang w:val="es-ES_tradnl"/>
        </w:rPr>
        <w:t xml:space="preserve"> </w:t>
      </w:r>
    </w:p>
    <w:p w14:paraId="693AFFCE" w14:textId="77777777" w:rsidR="00F9470A" w:rsidRPr="009D5EA7" w:rsidRDefault="00F9470A" w:rsidP="00F9470A">
      <w:pPr>
        <w:autoSpaceDE w:val="0"/>
        <w:autoSpaceDN w:val="0"/>
        <w:adjustRightInd w:val="0"/>
        <w:spacing w:after="0" w:line="240" w:lineRule="auto"/>
        <w:ind w:right="49"/>
        <w:contextualSpacing/>
        <w:jc w:val="both"/>
        <w:rPr>
          <w:rFonts w:ascii="Verdana" w:eastAsia="Calibri" w:hAnsi="Verdana" w:cs="Times New Roman"/>
          <w:sz w:val="20"/>
          <w:szCs w:val="20"/>
          <w:lang w:val="es-ES_tradnl"/>
        </w:rPr>
      </w:pPr>
    </w:p>
    <w:p w14:paraId="17746A37" w14:textId="7EE0AD0B" w:rsidR="00F9470A" w:rsidRPr="009D5EA7" w:rsidRDefault="00F9470A" w:rsidP="00F9470A">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9D5EA7">
        <w:rPr>
          <w:rFonts w:ascii="Verdana" w:hAnsi="Verdana"/>
          <w:sz w:val="20"/>
          <w:szCs w:val="20"/>
          <w:lang w:val="es-ES_tradnl"/>
        </w:rPr>
        <w:t xml:space="preserve">La </w:t>
      </w:r>
      <w:r w:rsidRPr="009D5EA7">
        <w:rPr>
          <w:rFonts w:ascii="Verdana" w:hAnsi="Verdana"/>
          <w:b/>
          <w:sz w:val="20"/>
          <w:szCs w:val="20"/>
          <w:lang w:val="es-ES_tradnl"/>
        </w:rPr>
        <w:t xml:space="preserve">Comisión </w:t>
      </w:r>
      <w:r w:rsidRPr="009D5EA7">
        <w:rPr>
          <w:rFonts w:ascii="Verdana" w:hAnsi="Verdana"/>
          <w:sz w:val="20"/>
          <w:szCs w:val="20"/>
          <w:lang w:val="es-ES_tradnl"/>
        </w:rPr>
        <w:t xml:space="preserve">solicitó a la Corte que ordene al Estado </w:t>
      </w:r>
      <w:r w:rsidRPr="009D5EA7">
        <w:rPr>
          <w:rFonts w:ascii="Verdana" w:hAnsi="Verdana" w:cs="Cambria"/>
          <w:sz w:val="20"/>
          <w:szCs w:val="20"/>
          <w:lang w:val="es-ES_tradnl"/>
        </w:rPr>
        <w:t xml:space="preserve">desarrollar y completar una investigación judicial imparcial, completa y efectiva, de manera expedita, con el objeto de esclarecer las circunstancias de la muerte del señor Francisco García Valle; investigar de manera exhaustiva las líneas lógicas de investigación sobre la autoría material e intelectual del </w:t>
      </w:r>
      <w:r>
        <w:rPr>
          <w:rFonts w:ascii="Verdana" w:hAnsi="Verdana" w:cs="Arial"/>
          <w:sz w:val="20"/>
        </w:rPr>
        <w:t>homicidio</w:t>
      </w:r>
      <w:r w:rsidRPr="009D5EA7">
        <w:rPr>
          <w:rFonts w:ascii="Verdana" w:hAnsi="Verdana" w:cs="Cambria"/>
          <w:sz w:val="20"/>
          <w:szCs w:val="20"/>
          <w:lang w:val="es-ES_tradnl"/>
        </w:rPr>
        <w:t>; identificar a todas las personas que participaron en los diferentes niveles de decisión y ejecución; y, de ser el caso, aplicar las sanciones correspondientes</w:t>
      </w:r>
      <w:r w:rsidRPr="009D5EA7">
        <w:rPr>
          <w:rFonts w:ascii="Verdana" w:hAnsi="Verdana"/>
          <w:sz w:val="20"/>
          <w:szCs w:val="20"/>
          <w:lang w:val="es-ES_tradnl"/>
        </w:rPr>
        <w:t xml:space="preserve">. Además, solicitó que se ordene al Estado </w:t>
      </w:r>
      <w:r w:rsidRPr="009D5EA7">
        <w:rPr>
          <w:rFonts w:ascii="Verdana" w:hAnsi="Verdana" w:cs="Cambria"/>
          <w:sz w:val="20"/>
          <w:szCs w:val="20"/>
          <w:lang w:val="es-ES_tradnl"/>
        </w:rPr>
        <w:t>disponer las medidas administrativas, disciplinarias o penales correspondientes frente a las acciones u omisiones de los funcionarios estatales que contribuyeron al encubrimiento y consecuente denegación de justicia e impunidad parcial.</w:t>
      </w:r>
      <w:r w:rsidRPr="009D5EA7">
        <w:rPr>
          <w:rFonts w:ascii="Verdana" w:hAnsi="Verdana"/>
          <w:sz w:val="20"/>
          <w:szCs w:val="20"/>
          <w:lang w:val="es-ES_tradnl"/>
        </w:rPr>
        <w:t xml:space="preserve"> </w:t>
      </w:r>
      <w:r w:rsidRPr="009D5EA7">
        <w:rPr>
          <w:rFonts w:ascii="Verdana" w:eastAsia="Calibri" w:hAnsi="Verdana" w:cs="Times New Roman"/>
          <w:sz w:val="20"/>
          <w:szCs w:val="20"/>
          <w:lang w:val="es-ES_tradnl"/>
        </w:rPr>
        <w:t xml:space="preserve">Las </w:t>
      </w:r>
      <w:r w:rsidRPr="009D5EA7">
        <w:rPr>
          <w:rFonts w:ascii="Verdana" w:eastAsia="Calibri" w:hAnsi="Verdana" w:cs="Times New Roman"/>
          <w:b/>
          <w:sz w:val="20"/>
          <w:szCs w:val="20"/>
          <w:lang w:val="es-ES_tradnl"/>
        </w:rPr>
        <w:t>representantes</w:t>
      </w:r>
      <w:r w:rsidRPr="009D5EA7">
        <w:rPr>
          <w:rFonts w:ascii="Verdana" w:eastAsia="Calibri" w:hAnsi="Verdana" w:cs="Times New Roman"/>
          <w:sz w:val="20"/>
          <w:szCs w:val="20"/>
          <w:lang w:val="es-ES_tradnl"/>
        </w:rPr>
        <w:t xml:space="preserve"> hicieron solicitudes similares</w:t>
      </w:r>
      <w:r w:rsidRPr="009D5EA7">
        <w:rPr>
          <w:rStyle w:val="Refdenotaalpie"/>
          <w:rFonts w:ascii="Verdana" w:eastAsia="Calibri" w:hAnsi="Verdana" w:cs="Times New Roman"/>
          <w:sz w:val="20"/>
          <w:szCs w:val="20"/>
          <w:lang w:val="es-ES_tradnl"/>
        </w:rPr>
        <w:footnoteReference w:id="192"/>
      </w:r>
      <w:r w:rsidRPr="009D5EA7">
        <w:rPr>
          <w:rFonts w:ascii="Verdana" w:eastAsia="Calibri" w:hAnsi="Verdana" w:cs="Times New Roman"/>
          <w:sz w:val="20"/>
          <w:szCs w:val="20"/>
          <w:lang w:val="es-ES_tradnl"/>
        </w:rPr>
        <w:t>.</w:t>
      </w:r>
      <w:r w:rsidRPr="009D5EA7">
        <w:rPr>
          <w:rFonts w:ascii="Verdana" w:eastAsia="Calibri" w:hAnsi="Verdana" w:cs="Times New Roman"/>
          <w:b/>
          <w:sz w:val="20"/>
          <w:szCs w:val="20"/>
          <w:lang w:val="es-ES_tradnl"/>
        </w:rPr>
        <w:t xml:space="preserve"> </w:t>
      </w:r>
      <w:r w:rsidRPr="009D5EA7">
        <w:rPr>
          <w:rFonts w:ascii="Verdana" w:eastAsia="Calibri" w:hAnsi="Verdana" w:cs="Times New Roman"/>
          <w:sz w:val="20"/>
          <w:szCs w:val="20"/>
          <w:lang w:val="es-ES_tradnl"/>
        </w:rPr>
        <w:t xml:space="preserve">El </w:t>
      </w:r>
      <w:r w:rsidRPr="009D5EA7">
        <w:rPr>
          <w:rFonts w:ascii="Verdana" w:eastAsia="Calibri" w:hAnsi="Verdana" w:cs="Times New Roman"/>
          <w:b/>
          <w:sz w:val="20"/>
          <w:szCs w:val="20"/>
          <w:lang w:val="es-ES_tradnl"/>
        </w:rPr>
        <w:t>Estado</w:t>
      </w:r>
      <w:r w:rsidRPr="009D5EA7">
        <w:rPr>
          <w:rFonts w:ascii="Verdana" w:eastAsia="Calibri" w:hAnsi="Verdana" w:cs="Times New Roman"/>
          <w:sz w:val="20"/>
          <w:szCs w:val="20"/>
          <w:lang w:val="es-ES_tradnl"/>
        </w:rPr>
        <w:t xml:space="preserve"> </w:t>
      </w:r>
      <w:r w:rsidRPr="009D5EA7">
        <w:rPr>
          <w:rFonts w:ascii="Verdana" w:hAnsi="Verdana" w:cs="Times New Roman"/>
          <w:sz w:val="20"/>
          <w:szCs w:val="20"/>
          <w:lang w:val="es-ES_tradnl"/>
        </w:rPr>
        <w:t>manifestó que</w:t>
      </w:r>
      <w:r w:rsidR="00B43BE4">
        <w:rPr>
          <w:rFonts w:ascii="Verdana" w:hAnsi="Verdana" w:cs="Times New Roman"/>
          <w:sz w:val="20"/>
          <w:szCs w:val="20"/>
          <w:lang w:val="es-ES_tradnl"/>
        </w:rPr>
        <w:t>,</w:t>
      </w:r>
      <w:r w:rsidRPr="009D5EA7">
        <w:rPr>
          <w:rFonts w:ascii="Verdana" w:hAnsi="Verdana" w:cs="Times New Roman"/>
          <w:sz w:val="20"/>
          <w:szCs w:val="20"/>
          <w:lang w:val="es-ES_tradnl"/>
        </w:rPr>
        <w:t xml:space="preserve"> con base en el principio “</w:t>
      </w:r>
      <w:r w:rsidRPr="009D5EA7">
        <w:rPr>
          <w:rFonts w:ascii="Verdana" w:hAnsi="Verdana" w:cs="Times New Roman"/>
          <w:i/>
          <w:sz w:val="20"/>
          <w:szCs w:val="20"/>
          <w:lang w:val="es-ES_tradnl"/>
        </w:rPr>
        <w:t>ne bis in ídem”,</w:t>
      </w:r>
      <w:r w:rsidRPr="009D5EA7">
        <w:rPr>
          <w:rFonts w:ascii="Verdana" w:hAnsi="Verdana" w:cs="Times New Roman"/>
          <w:sz w:val="20"/>
          <w:szCs w:val="20"/>
          <w:lang w:val="es-ES_tradnl"/>
        </w:rPr>
        <w:t xml:space="preserve"> está imposibilitado jurídicamente para abrir una investigación por los mismos hechos contra personas sobre las cuales ya pesa una sentencia firme; que los funcionarios del Estado no contribuyeron al encubrimiento y denegación de la justicia alegados; y que las acciones disciplinarias ya fueron llevadas a cabo, por lo que volver a intentarlas implicaría una violación de dicho principio y al debido proceso en sede administrativa. </w:t>
      </w:r>
    </w:p>
    <w:p w14:paraId="681B746E" w14:textId="77777777" w:rsidR="00F9470A" w:rsidRPr="009D5EA7" w:rsidRDefault="00F9470A" w:rsidP="00F9470A">
      <w:pPr>
        <w:autoSpaceDE w:val="0"/>
        <w:autoSpaceDN w:val="0"/>
        <w:adjustRightInd w:val="0"/>
        <w:spacing w:after="0" w:line="240" w:lineRule="auto"/>
        <w:ind w:right="49"/>
        <w:contextualSpacing/>
        <w:jc w:val="both"/>
        <w:rPr>
          <w:rFonts w:ascii="Verdana" w:hAnsi="Verdana"/>
          <w:sz w:val="20"/>
          <w:szCs w:val="20"/>
          <w:lang w:val="es-ES_tradnl"/>
        </w:rPr>
      </w:pPr>
    </w:p>
    <w:p w14:paraId="004E7F80" w14:textId="77777777" w:rsidR="00F9470A" w:rsidRPr="009D5EA7" w:rsidRDefault="00F9470A" w:rsidP="00F9470A">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 xml:space="preserve">La </w:t>
      </w:r>
      <w:r w:rsidRPr="009D5EA7">
        <w:rPr>
          <w:rFonts w:ascii="Verdana" w:hAnsi="Verdana"/>
          <w:b/>
          <w:sz w:val="20"/>
          <w:szCs w:val="20"/>
          <w:lang w:val="es-ES_tradnl"/>
        </w:rPr>
        <w:t>Corte</w:t>
      </w:r>
      <w:r w:rsidRPr="009D5EA7">
        <w:rPr>
          <w:rFonts w:ascii="Verdana" w:hAnsi="Verdana"/>
          <w:sz w:val="20"/>
          <w:szCs w:val="20"/>
          <w:lang w:val="es-ES_tradnl"/>
        </w:rPr>
        <w:t xml:space="preserve"> </w:t>
      </w:r>
      <w:r w:rsidRPr="009D5EA7">
        <w:rPr>
          <w:rFonts w:ascii="Verdana" w:hAnsi="Verdana" w:cs="Times New Roman"/>
          <w:sz w:val="20"/>
          <w:szCs w:val="20"/>
          <w:lang w:val="es-ES_tradnl"/>
        </w:rPr>
        <w:t>ha considerado que toda violación a los derechos humanos supone una cierta gravedad por su propia naturaleza, porque implica el incumplimiento de determinados deberes de respeto y garantía de los derechos y libertades a cargo del Estado en perjuicio de las personas.</w:t>
      </w:r>
      <w:r w:rsidRPr="009D5EA7">
        <w:rPr>
          <w:rFonts w:ascii="Verdana" w:hAnsi="Verdana"/>
          <w:sz w:val="20"/>
          <w:szCs w:val="20"/>
          <w:lang w:val="es-ES_tradnl"/>
        </w:rPr>
        <w:t xml:space="preserve"> Sin embargo, ello no debe confundirse con lo que a lo largo de su jurisprudencia ha considerado como “violaciones graves a los derechos humanos”, las cuales tienen una connotación y consecuencias propias</w:t>
      </w:r>
      <w:r w:rsidRPr="009D5EA7">
        <w:rPr>
          <w:rStyle w:val="FootnoteAnchor"/>
          <w:rFonts w:ascii="Verdana" w:hAnsi="Verdana"/>
          <w:sz w:val="20"/>
          <w:szCs w:val="20"/>
          <w:lang w:val="es-ES_tradnl"/>
        </w:rPr>
        <w:footnoteReference w:id="193"/>
      </w:r>
      <w:r w:rsidRPr="009D5EA7">
        <w:rPr>
          <w:rFonts w:ascii="Verdana" w:hAnsi="Verdana"/>
          <w:sz w:val="20"/>
          <w:szCs w:val="20"/>
          <w:lang w:val="es-ES_tradnl"/>
        </w:rPr>
        <w:t>. Asimismo, resulta inadecuado pretender que, en todo caso que le sea sometido, por tratarse de violaciones de derechos humanos, automáticamente corresponde a la Corte ordenar al Estado que se investigue y, en su caso, procese y sancione a los responsables de determinados hechos. En cada caso corresponde valorar las circunstancias particulares de los hechos, los alcances de la responsabilidad del Estado y los efectos que a nivel interno tendría tal orden del Tribunal, particularmente si ello implica reabrir procesos internos que han llegado a decisiones definitivas o con carácter de cosa juzgada y no haya prueba o indicios de que estos resultados sean producto de la apariencia, el fraude o de una voluntad de perpetuar una situación de impunidad</w:t>
      </w:r>
      <w:r w:rsidRPr="009D5EA7">
        <w:rPr>
          <w:rStyle w:val="Refdenotaalpie"/>
          <w:rFonts w:ascii="Verdana" w:hAnsi="Verdana"/>
          <w:sz w:val="20"/>
          <w:szCs w:val="20"/>
          <w:lang w:val="es-ES_tradnl"/>
        </w:rPr>
        <w:footnoteReference w:id="194"/>
      </w:r>
      <w:r w:rsidRPr="009D5EA7">
        <w:rPr>
          <w:rFonts w:ascii="Verdana" w:hAnsi="Verdana"/>
          <w:sz w:val="20"/>
          <w:szCs w:val="20"/>
          <w:lang w:val="es-ES_tradnl"/>
        </w:rPr>
        <w:t>.</w:t>
      </w:r>
    </w:p>
    <w:p w14:paraId="5E7DF550" w14:textId="77777777" w:rsidR="00F9470A" w:rsidRPr="009D5EA7" w:rsidRDefault="00F9470A" w:rsidP="00F9470A">
      <w:pPr>
        <w:autoSpaceDE w:val="0"/>
        <w:autoSpaceDN w:val="0"/>
        <w:adjustRightInd w:val="0"/>
        <w:spacing w:after="0" w:line="240" w:lineRule="auto"/>
        <w:ind w:right="49"/>
        <w:contextualSpacing/>
        <w:jc w:val="both"/>
        <w:rPr>
          <w:rFonts w:ascii="Verdana" w:hAnsi="Verdana"/>
          <w:sz w:val="20"/>
          <w:szCs w:val="20"/>
          <w:lang w:val="es-ES_tradnl"/>
        </w:rPr>
      </w:pPr>
    </w:p>
    <w:p w14:paraId="2138F786" w14:textId="38D2316F" w:rsidR="00F9470A" w:rsidRPr="009D5EA7" w:rsidRDefault="00F9470A" w:rsidP="00F9470A">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 xml:space="preserve">En este caso se ha alegado que existe una situación de impunidad parcial respecto de determinados hechos o conductas que pudieran tener carácter delictivo, por la participación tanto de un supuesto tercer autor material o encubridor como de autores intelectuales del homicidio del señor García Valle, lo cual ameritaría continuar investigaciones para identificarlos, juzgarlos y eventualmente sancionarlos, así como la apertura de procedimientos disciplinarios y de otra índole que sean necesarios para sancionar las irregularidades y omisiones cometidas en el proceso judicial. Lo anterior tendría fundamento en la existencia de “cosa juzgada </w:t>
      </w:r>
      <w:r w:rsidRPr="009D5EA7">
        <w:rPr>
          <w:rFonts w:ascii="Verdana" w:hAnsi="Verdana"/>
          <w:sz w:val="20"/>
          <w:szCs w:val="20"/>
          <w:lang w:val="es-ES_tradnl"/>
        </w:rPr>
        <w:lastRenderedPageBreak/>
        <w:t>fraudulenta”, según alegaron la Comisión y las representantes, particularmente por la existencia de un irregular sobreseimiento definitivo que benefició a dos personas señalad</w:t>
      </w:r>
      <w:r w:rsidR="00B43BE4">
        <w:rPr>
          <w:rFonts w:ascii="Verdana" w:hAnsi="Verdana"/>
          <w:sz w:val="20"/>
          <w:szCs w:val="20"/>
          <w:lang w:val="es-ES_tradnl"/>
        </w:rPr>
        <w:t>a</w:t>
      </w:r>
      <w:r w:rsidRPr="009D5EA7">
        <w:rPr>
          <w:rFonts w:ascii="Verdana" w:hAnsi="Verdana"/>
          <w:sz w:val="20"/>
          <w:szCs w:val="20"/>
          <w:lang w:val="es-ES_tradnl"/>
        </w:rPr>
        <w:t xml:space="preserve">s como autores intelectuales en el marco del proceso penal. </w:t>
      </w:r>
    </w:p>
    <w:p w14:paraId="217CA267" w14:textId="77777777" w:rsidR="00F9470A" w:rsidRPr="009D5EA7" w:rsidRDefault="00F9470A" w:rsidP="00F9470A">
      <w:pPr>
        <w:autoSpaceDE w:val="0"/>
        <w:autoSpaceDN w:val="0"/>
        <w:adjustRightInd w:val="0"/>
        <w:spacing w:after="0" w:line="240" w:lineRule="auto"/>
        <w:ind w:right="49"/>
        <w:contextualSpacing/>
        <w:jc w:val="both"/>
        <w:rPr>
          <w:rFonts w:ascii="Verdana" w:hAnsi="Verdana"/>
          <w:sz w:val="20"/>
          <w:szCs w:val="20"/>
          <w:u w:val="single"/>
          <w:lang w:val="es-ES_tradnl"/>
        </w:rPr>
      </w:pPr>
    </w:p>
    <w:p w14:paraId="456F1146" w14:textId="0B88C41C" w:rsidR="00F9470A" w:rsidRPr="00B43BE4" w:rsidRDefault="00F9470A" w:rsidP="00F9470A">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B43BE4">
        <w:rPr>
          <w:rFonts w:ascii="Verdana" w:hAnsi="Verdana"/>
          <w:sz w:val="20"/>
          <w:szCs w:val="20"/>
          <w:lang w:val="es-ES_tradnl"/>
        </w:rPr>
        <w:t>La Corte ha constatado el dictado de un sobreseimiento</w:t>
      </w:r>
      <w:r w:rsidR="0034569C" w:rsidRPr="00B43BE4">
        <w:rPr>
          <w:rFonts w:ascii="Verdana" w:hAnsi="Verdana"/>
          <w:sz w:val="20"/>
          <w:szCs w:val="20"/>
          <w:lang w:val="es-ES_tradnl"/>
        </w:rPr>
        <w:t xml:space="preserve"> ilícito</w:t>
      </w:r>
      <w:r w:rsidR="004F7A90" w:rsidRPr="00B43BE4">
        <w:rPr>
          <w:rFonts w:ascii="Verdana" w:hAnsi="Verdana"/>
          <w:sz w:val="20"/>
          <w:szCs w:val="20"/>
          <w:lang w:val="es-ES_tradnl"/>
        </w:rPr>
        <w:t>, toda vez</w:t>
      </w:r>
      <w:r w:rsidR="0034569C" w:rsidRPr="00B43BE4">
        <w:rPr>
          <w:rFonts w:ascii="Verdana" w:hAnsi="Verdana"/>
          <w:sz w:val="20"/>
          <w:szCs w:val="20"/>
          <w:lang w:val="es-ES_tradnl"/>
        </w:rPr>
        <w:t xml:space="preserve"> que tuvo por objeto lograr la impunidad de personas determinadas. A diferencia de lo decidido por la Corte en el </w:t>
      </w:r>
      <w:r w:rsidR="0034569C" w:rsidRPr="00B43BE4">
        <w:rPr>
          <w:rFonts w:ascii="Verdana" w:hAnsi="Verdana"/>
          <w:i/>
          <w:sz w:val="20"/>
          <w:szCs w:val="20"/>
          <w:lang w:val="es-ES_tradnl"/>
        </w:rPr>
        <w:t>caso Valencia Hinojosa vs. Ecuador</w:t>
      </w:r>
      <w:r w:rsidR="0034569C" w:rsidRPr="00B43BE4">
        <w:rPr>
          <w:rStyle w:val="Refdenotaalpie"/>
          <w:rFonts w:ascii="Verdana" w:hAnsi="Verdana"/>
          <w:sz w:val="20"/>
          <w:szCs w:val="20"/>
          <w:lang w:val="es-ES_tradnl"/>
        </w:rPr>
        <w:footnoteReference w:id="195"/>
      </w:r>
      <w:r w:rsidR="0034569C" w:rsidRPr="00B43BE4">
        <w:rPr>
          <w:rFonts w:ascii="Verdana" w:hAnsi="Verdana"/>
          <w:sz w:val="20"/>
          <w:szCs w:val="20"/>
          <w:lang w:val="es-ES_tradnl"/>
        </w:rPr>
        <w:t>, no se trata en este caso de un defecto procesal o de forma y menos aún de una mera negligencia procesal que, por grave que fuese, no autoriza el desconocimiento del principio garantizador de respeto a la cosa juzgada. En este caso, la Corte constata directamente un acto ilícito deliberadamente dirigido a provocar una apariencia de extinción de la acción penal, o sea que, en definitiva, se trata de una mera apariencia de cosa juzgada</w:t>
      </w:r>
      <w:r w:rsidR="00E103B2" w:rsidRPr="00B43BE4">
        <w:rPr>
          <w:rStyle w:val="Refdenotaalpie"/>
          <w:rFonts w:ascii="Verdana" w:hAnsi="Verdana"/>
          <w:sz w:val="20"/>
          <w:szCs w:val="20"/>
          <w:lang w:val="es-ES_tradnl"/>
        </w:rPr>
        <w:footnoteReference w:id="196"/>
      </w:r>
      <w:r w:rsidR="00E103B2" w:rsidRPr="00B43BE4">
        <w:rPr>
          <w:rFonts w:ascii="Verdana" w:hAnsi="Verdana"/>
          <w:sz w:val="20"/>
          <w:szCs w:val="20"/>
          <w:lang w:val="es-ES_tradnl"/>
        </w:rPr>
        <w:t xml:space="preserve">. Una </w:t>
      </w:r>
      <w:r w:rsidR="0034569C" w:rsidRPr="00B43BE4">
        <w:rPr>
          <w:rFonts w:ascii="Verdana" w:hAnsi="Verdana"/>
          <w:sz w:val="20"/>
          <w:szCs w:val="20"/>
          <w:lang w:val="es-ES_tradnl"/>
        </w:rPr>
        <w:t xml:space="preserve">conducta ilícita dolosa nunca puede ser relevada jurídicamente como un acto procesal de extinción de la acción penal, pues conforme a una interpretación racional y no contradictoria de cualquier orden jurídico, a un eventual ilícito penal no puede reconocérsele el carácter de un obstáculo de derecho a la persecución de otro hecho de igual naturaleza. Por ende, corresponde resolver que no se considera extinguida la acción penal contra PT y PMF en razón del ilícito sobreseimiento de fecha 13 de mayo de 2002. </w:t>
      </w:r>
      <w:r w:rsidR="004D067A" w:rsidRPr="00B43BE4">
        <w:rPr>
          <w:rFonts w:ascii="Verdana" w:hAnsi="Verdana"/>
          <w:sz w:val="20"/>
          <w:szCs w:val="20"/>
          <w:lang w:val="es-ES_tradnl"/>
        </w:rPr>
        <w:t>En consecuencia, en el presente caso, y dadas las particularidades del mismo, el Estado no computará, en el término de la prescripción de la acción penal, el tiempo durante el cual se</w:t>
      </w:r>
      <w:r w:rsidR="00343DB5" w:rsidRPr="00B43BE4">
        <w:rPr>
          <w:rFonts w:ascii="Verdana" w:hAnsi="Verdana"/>
          <w:sz w:val="20"/>
          <w:szCs w:val="20"/>
          <w:lang w:val="es-ES_tradnl"/>
        </w:rPr>
        <w:t xml:space="preserve"> ha</w:t>
      </w:r>
      <w:r w:rsidR="004D067A" w:rsidRPr="00B43BE4">
        <w:rPr>
          <w:rFonts w:ascii="Verdana" w:hAnsi="Verdana"/>
          <w:sz w:val="20"/>
          <w:szCs w:val="20"/>
          <w:lang w:val="es-ES_tradnl"/>
        </w:rPr>
        <w:t xml:space="preserve"> considerado extinguida.</w:t>
      </w:r>
    </w:p>
    <w:p w14:paraId="7EBC0E56" w14:textId="77777777" w:rsidR="00222874" w:rsidRDefault="00222874" w:rsidP="00EF6522">
      <w:pPr>
        <w:spacing w:after="0"/>
        <w:ind w:right="49"/>
        <w:jc w:val="both"/>
        <w:rPr>
          <w:rFonts w:ascii="Verdana" w:hAnsi="Verdana"/>
          <w:sz w:val="20"/>
          <w:szCs w:val="20"/>
          <w:lang w:val="es-ES_tradnl"/>
        </w:rPr>
      </w:pPr>
    </w:p>
    <w:p w14:paraId="025B5ACC" w14:textId="77777777" w:rsidR="00AB531C" w:rsidRPr="009D5EA7" w:rsidRDefault="00AB531C" w:rsidP="00EF6522">
      <w:pPr>
        <w:spacing w:after="0"/>
        <w:ind w:right="49"/>
        <w:jc w:val="both"/>
        <w:rPr>
          <w:rFonts w:ascii="Verdana" w:hAnsi="Verdana"/>
          <w:sz w:val="20"/>
          <w:szCs w:val="20"/>
          <w:lang w:val="es-ES_tradnl"/>
        </w:rPr>
      </w:pPr>
    </w:p>
    <w:p w14:paraId="3562ED63" w14:textId="493B3B8F" w:rsidR="00EF6522" w:rsidRPr="009D5EA7" w:rsidRDefault="00170D6C" w:rsidP="00885070">
      <w:pPr>
        <w:pStyle w:val="Ttulo2"/>
        <w:numPr>
          <w:ilvl w:val="0"/>
          <w:numId w:val="0"/>
        </w:numPr>
        <w:ind w:left="1080" w:hanging="360"/>
        <w:rPr>
          <w:rFonts w:ascii="Verdana" w:eastAsia="Calibri" w:hAnsi="Verdana"/>
          <w:i/>
          <w:sz w:val="20"/>
          <w:lang w:val="es-ES_tradnl"/>
        </w:rPr>
      </w:pPr>
      <w:bookmarkStart w:id="28" w:name="_Toc476251466"/>
      <w:r>
        <w:rPr>
          <w:rFonts w:ascii="Verdana" w:hAnsi="Verdana"/>
          <w:i/>
          <w:sz w:val="20"/>
          <w:lang w:val="es-ES_tradnl"/>
        </w:rPr>
        <w:t>C</w:t>
      </w:r>
      <w:r w:rsidR="00EF6522" w:rsidRPr="009D5EA7">
        <w:rPr>
          <w:rFonts w:ascii="Verdana" w:hAnsi="Verdana"/>
          <w:i/>
          <w:sz w:val="20"/>
          <w:lang w:val="es-ES_tradnl"/>
        </w:rPr>
        <w:t>.</w:t>
      </w:r>
      <w:r w:rsidR="00EF6522" w:rsidRPr="009D5EA7">
        <w:rPr>
          <w:rFonts w:ascii="Verdana" w:hAnsi="Verdana"/>
          <w:i/>
          <w:sz w:val="20"/>
          <w:lang w:val="es-ES_tradnl"/>
        </w:rPr>
        <w:tab/>
        <w:t>Medida de satisfacción</w:t>
      </w:r>
      <w:bookmarkEnd w:id="28"/>
      <w:r w:rsidR="007F398D" w:rsidRPr="009D5EA7">
        <w:rPr>
          <w:rFonts w:ascii="Verdana" w:hAnsi="Verdana"/>
          <w:i/>
          <w:sz w:val="20"/>
          <w:lang w:val="es-ES_tradnl"/>
        </w:rPr>
        <w:t xml:space="preserve"> </w:t>
      </w:r>
      <w:r w:rsidR="001523DA">
        <w:rPr>
          <w:rFonts w:ascii="Verdana" w:hAnsi="Verdana"/>
          <w:i/>
          <w:sz w:val="20"/>
          <w:lang w:val="es-ES_tradnl"/>
        </w:rPr>
        <w:t>(publicación de la sentencia)</w:t>
      </w:r>
    </w:p>
    <w:p w14:paraId="2F39C7E8" w14:textId="77777777" w:rsidR="00EF6522" w:rsidRPr="009D5EA7" w:rsidRDefault="00EF6522" w:rsidP="00EF6522">
      <w:pPr>
        <w:spacing w:after="0"/>
        <w:jc w:val="both"/>
        <w:rPr>
          <w:rFonts w:ascii="Verdana" w:eastAsia="Calibri" w:hAnsi="Verdana" w:cs="Times New Roman"/>
          <w:b/>
          <w:sz w:val="20"/>
          <w:szCs w:val="20"/>
          <w:lang w:val="es-ES_tradnl"/>
        </w:rPr>
      </w:pPr>
    </w:p>
    <w:p w14:paraId="56B6DA0F" w14:textId="1DDC1EC3" w:rsidR="00EF6522" w:rsidRPr="009D5EA7" w:rsidRDefault="00B31B64" w:rsidP="00EF6522">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b/>
          <w:sz w:val="20"/>
          <w:szCs w:val="20"/>
          <w:lang w:val="es-ES_tradnl"/>
        </w:rPr>
      </w:pPr>
      <w:r w:rsidRPr="009D5EA7">
        <w:rPr>
          <w:rFonts w:ascii="Verdana" w:eastAsia="Times New Roman" w:hAnsi="Verdana" w:cs="Times New Roman"/>
          <w:sz w:val="20"/>
          <w:szCs w:val="20"/>
          <w:lang w:val="es-ES_tradnl" w:eastAsia="es-ES"/>
        </w:rPr>
        <w:t>Las</w:t>
      </w:r>
      <w:r w:rsidR="00EF6522" w:rsidRPr="009D5EA7">
        <w:rPr>
          <w:rFonts w:ascii="Verdana" w:eastAsia="Calibri" w:hAnsi="Verdana" w:cs="Times New Roman"/>
          <w:b/>
          <w:sz w:val="20"/>
          <w:szCs w:val="20"/>
          <w:lang w:val="es-ES_tradnl"/>
        </w:rPr>
        <w:t xml:space="preserve"> representantes</w:t>
      </w:r>
      <w:r w:rsidR="00EF6522" w:rsidRPr="009D5EA7">
        <w:rPr>
          <w:rFonts w:ascii="Verdana" w:eastAsia="Calibri" w:hAnsi="Verdana" w:cs="Times New Roman"/>
          <w:sz w:val="20"/>
          <w:szCs w:val="20"/>
          <w:lang w:val="es-ES_tradnl"/>
        </w:rPr>
        <w:t xml:space="preserve"> solicitaron</w:t>
      </w:r>
      <w:r w:rsidRPr="009D5EA7">
        <w:rPr>
          <w:rFonts w:ascii="Verdana" w:eastAsia="Calibri" w:hAnsi="Verdana" w:cs="Times New Roman"/>
          <w:sz w:val="20"/>
          <w:szCs w:val="20"/>
          <w:lang w:val="es-ES_tradnl"/>
        </w:rPr>
        <w:t xml:space="preserve"> que se ordene al Estado</w:t>
      </w:r>
      <w:r w:rsidR="00EF6522" w:rsidRPr="009D5EA7">
        <w:rPr>
          <w:rFonts w:ascii="Verdana" w:eastAsia="Calibri" w:hAnsi="Verdana" w:cs="Times New Roman"/>
          <w:sz w:val="20"/>
          <w:szCs w:val="20"/>
          <w:lang w:val="es-ES_tradnl"/>
        </w:rPr>
        <w:t xml:space="preserve"> la publicación del texto íntegro </w:t>
      </w:r>
      <w:r w:rsidR="00A03085">
        <w:rPr>
          <w:rFonts w:ascii="Verdana" w:eastAsia="Calibri" w:hAnsi="Verdana" w:cs="Times New Roman"/>
          <w:sz w:val="20"/>
          <w:szCs w:val="20"/>
          <w:lang w:val="es-ES_tradnl"/>
        </w:rPr>
        <w:t xml:space="preserve">de la sentencia </w:t>
      </w:r>
      <w:r w:rsidR="00EF6522" w:rsidRPr="009D5EA7">
        <w:rPr>
          <w:rFonts w:ascii="Verdana" w:eastAsia="Calibri" w:hAnsi="Verdana" w:cs="Times New Roman"/>
          <w:sz w:val="20"/>
          <w:szCs w:val="20"/>
          <w:lang w:val="es-ES_tradnl"/>
        </w:rPr>
        <w:t>en el diario oficial</w:t>
      </w:r>
      <w:r w:rsidR="00A03085">
        <w:rPr>
          <w:rFonts w:ascii="Verdana" w:eastAsia="Calibri" w:hAnsi="Verdana" w:cs="Times New Roman"/>
          <w:sz w:val="20"/>
          <w:szCs w:val="20"/>
          <w:lang w:val="es-ES_tradnl"/>
        </w:rPr>
        <w:t>, en un diario de circulación nacional y en páginas web</w:t>
      </w:r>
      <w:r w:rsidRPr="009D5EA7">
        <w:rPr>
          <w:rStyle w:val="Refdenotaalpie"/>
          <w:rFonts w:ascii="Verdana" w:eastAsia="Calibri" w:hAnsi="Verdana" w:cs="Times New Roman"/>
          <w:sz w:val="20"/>
          <w:szCs w:val="20"/>
          <w:lang w:val="es-ES_tradnl"/>
        </w:rPr>
        <w:footnoteReference w:id="197"/>
      </w:r>
      <w:r w:rsidR="001523DA">
        <w:rPr>
          <w:rFonts w:ascii="Verdana" w:eastAsia="Calibri" w:hAnsi="Verdana" w:cs="Times New Roman"/>
          <w:sz w:val="20"/>
          <w:szCs w:val="20"/>
          <w:lang w:val="es-ES_tradnl"/>
        </w:rPr>
        <w:t>.</w:t>
      </w:r>
    </w:p>
    <w:p w14:paraId="2C5A1220" w14:textId="77777777" w:rsidR="00885070" w:rsidRPr="009D5EA7" w:rsidRDefault="00885070" w:rsidP="00EF6522">
      <w:pPr>
        <w:autoSpaceDE w:val="0"/>
        <w:autoSpaceDN w:val="0"/>
        <w:adjustRightInd w:val="0"/>
        <w:spacing w:after="0" w:line="240" w:lineRule="auto"/>
        <w:ind w:right="49"/>
        <w:contextualSpacing/>
        <w:jc w:val="both"/>
        <w:rPr>
          <w:rFonts w:ascii="Verdana" w:eastAsia="Calibri" w:hAnsi="Verdana" w:cs="Times New Roman"/>
          <w:b/>
          <w:sz w:val="20"/>
          <w:szCs w:val="20"/>
          <w:lang w:val="es-ES_tradnl"/>
        </w:rPr>
      </w:pPr>
    </w:p>
    <w:p w14:paraId="0B5789DA" w14:textId="52034BC1" w:rsidR="00E03C9A"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 xml:space="preserve">La </w:t>
      </w:r>
      <w:r w:rsidRPr="009D5EA7">
        <w:rPr>
          <w:rFonts w:ascii="Verdana" w:hAnsi="Verdana"/>
          <w:b/>
          <w:sz w:val="20"/>
          <w:szCs w:val="20"/>
          <w:lang w:val="es-ES_tradnl"/>
        </w:rPr>
        <w:t>Corte</w:t>
      </w:r>
      <w:r w:rsidRPr="009D5EA7">
        <w:rPr>
          <w:rFonts w:ascii="Verdana" w:hAnsi="Verdana"/>
          <w:sz w:val="20"/>
          <w:szCs w:val="20"/>
          <w:lang w:val="es-ES_tradnl"/>
        </w:rPr>
        <w:t xml:space="preserve"> dispone, como lo ha hecho en otros casos, que el Estado publique, en el plazo de seis meses, contado a partir de la notificación de la presente Sentencia: a) el resumen oficial de la presente Sentencia elaborado por la Corte, por una sola vez, en el diario oficial </w:t>
      </w:r>
      <w:r w:rsidR="00E03C9A" w:rsidRPr="009D5EA7">
        <w:rPr>
          <w:rFonts w:ascii="Verdana" w:hAnsi="Verdana"/>
          <w:sz w:val="20"/>
          <w:szCs w:val="20"/>
          <w:lang w:val="es-ES_tradnl"/>
        </w:rPr>
        <w:t>en un tamaño de letra legible y adecuado</w:t>
      </w:r>
      <w:r w:rsidRPr="009D5EA7">
        <w:rPr>
          <w:rFonts w:ascii="Verdana" w:hAnsi="Verdana"/>
          <w:sz w:val="20"/>
          <w:szCs w:val="20"/>
          <w:lang w:val="es-ES_tradnl"/>
        </w:rPr>
        <w:t xml:space="preserve">; </w:t>
      </w:r>
      <w:r w:rsidR="00E03C9A" w:rsidRPr="009D5EA7">
        <w:rPr>
          <w:rFonts w:ascii="Verdana" w:hAnsi="Verdana"/>
          <w:sz w:val="20"/>
          <w:szCs w:val="20"/>
          <w:lang w:val="es-ES_tradnl"/>
        </w:rPr>
        <w:t>b) el resumen oficial de la presente Sentencia elaborado por la Corte, por una sola vez, en un diario de amplia circulación a nivel nacional en un tamaño de letra legible y adecuado; y c</w:t>
      </w:r>
      <w:r w:rsidRPr="009D5EA7">
        <w:rPr>
          <w:rFonts w:ascii="Verdana" w:hAnsi="Verdana"/>
          <w:sz w:val="20"/>
          <w:szCs w:val="20"/>
          <w:lang w:val="es-ES_tradnl"/>
        </w:rPr>
        <w:t>) la presente Sentencia en su integridad, disponible al menos por un período de un a</w:t>
      </w:r>
      <w:r w:rsidR="0088539C" w:rsidRPr="009D5EA7">
        <w:rPr>
          <w:rFonts w:ascii="Verdana" w:hAnsi="Verdana"/>
          <w:sz w:val="20"/>
          <w:szCs w:val="20"/>
          <w:lang w:val="es-ES_tradnl"/>
        </w:rPr>
        <w:t xml:space="preserve">ño, en un sitio web oficial </w:t>
      </w:r>
      <w:r w:rsidR="004E6CF7">
        <w:rPr>
          <w:rFonts w:ascii="Verdana" w:hAnsi="Verdana"/>
          <w:sz w:val="20"/>
          <w:szCs w:val="20"/>
          <w:lang w:val="es-ES_tradnl"/>
        </w:rPr>
        <w:t>del Poder Judicial;</w:t>
      </w:r>
      <w:r w:rsidRPr="009D5EA7">
        <w:rPr>
          <w:rFonts w:ascii="Verdana" w:hAnsi="Verdana"/>
          <w:sz w:val="20"/>
          <w:szCs w:val="20"/>
          <w:lang w:val="es-ES_tradnl"/>
        </w:rPr>
        <w:t xml:space="preserve"> </w:t>
      </w:r>
      <w:r w:rsidR="00EB3CF9" w:rsidRPr="004E6CF7">
        <w:rPr>
          <w:rFonts w:ascii="Verdana" w:hAnsi="Verdana"/>
          <w:sz w:val="20"/>
          <w:szCs w:val="20"/>
          <w:lang w:val="es-ES_tradnl"/>
        </w:rPr>
        <w:t>de la Procuraduría General de la Republica</w:t>
      </w:r>
      <w:r w:rsidR="004E6CF7">
        <w:rPr>
          <w:rFonts w:ascii="Verdana" w:hAnsi="Verdana"/>
          <w:sz w:val="20"/>
          <w:szCs w:val="20"/>
          <w:lang w:val="es-ES_tradnl"/>
        </w:rPr>
        <w:t xml:space="preserve">; </w:t>
      </w:r>
      <w:r w:rsidR="004E6CF7" w:rsidRPr="00B43BE4">
        <w:rPr>
          <w:rFonts w:ascii="Verdana" w:hAnsi="Verdana"/>
          <w:sz w:val="20"/>
          <w:szCs w:val="20"/>
          <w:lang w:val="es-ES_tradnl"/>
        </w:rPr>
        <w:t>de la Procuraduría para</w:t>
      </w:r>
      <w:r w:rsidR="00713C0A">
        <w:rPr>
          <w:rFonts w:ascii="Verdana" w:hAnsi="Verdana"/>
          <w:sz w:val="20"/>
          <w:szCs w:val="20"/>
          <w:lang w:val="es-ES_tradnl"/>
        </w:rPr>
        <w:t xml:space="preserve"> la Defensa de</w:t>
      </w:r>
      <w:r w:rsidR="004E6CF7" w:rsidRPr="00B43BE4">
        <w:rPr>
          <w:rFonts w:ascii="Verdana" w:hAnsi="Verdana"/>
          <w:sz w:val="20"/>
          <w:szCs w:val="20"/>
          <w:lang w:val="es-ES_tradnl"/>
        </w:rPr>
        <w:t xml:space="preserve"> los Derechos Humanos</w:t>
      </w:r>
      <w:r w:rsidR="00EB3CF9" w:rsidRPr="004E6CF7">
        <w:rPr>
          <w:rFonts w:ascii="Verdana" w:hAnsi="Verdana"/>
          <w:sz w:val="20"/>
          <w:szCs w:val="20"/>
          <w:lang w:val="es-ES_tradnl"/>
        </w:rPr>
        <w:t xml:space="preserve"> y </w:t>
      </w:r>
      <w:r w:rsidR="00E03C9A" w:rsidRPr="004E6CF7">
        <w:rPr>
          <w:rFonts w:ascii="Verdana" w:hAnsi="Verdana"/>
          <w:sz w:val="20"/>
          <w:szCs w:val="20"/>
          <w:lang w:val="es-ES_tradnl"/>
        </w:rPr>
        <w:t>d</w:t>
      </w:r>
      <w:r w:rsidR="00EB3CF9" w:rsidRPr="004E6CF7">
        <w:rPr>
          <w:rFonts w:ascii="Verdana" w:hAnsi="Verdana"/>
          <w:sz w:val="20"/>
          <w:szCs w:val="20"/>
          <w:lang w:val="es-ES_tradnl"/>
        </w:rPr>
        <w:t>el Ministerio Público</w:t>
      </w:r>
      <w:r w:rsidR="00EB3CF9" w:rsidRPr="009D5EA7">
        <w:rPr>
          <w:rFonts w:ascii="Verdana" w:hAnsi="Verdana"/>
          <w:sz w:val="20"/>
          <w:szCs w:val="20"/>
          <w:lang w:val="es-ES_tradnl"/>
        </w:rPr>
        <w:t xml:space="preserve">, </w:t>
      </w:r>
      <w:r w:rsidRPr="009D5EA7">
        <w:rPr>
          <w:rFonts w:ascii="Verdana" w:hAnsi="Verdana"/>
          <w:sz w:val="20"/>
          <w:szCs w:val="20"/>
          <w:lang w:val="es-ES_tradnl"/>
        </w:rPr>
        <w:t xml:space="preserve">de manera accesible al público. </w:t>
      </w:r>
    </w:p>
    <w:p w14:paraId="74B797B0" w14:textId="77777777" w:rsidR="00E03C9A" w:rsidRPr="009D5EA7" w:rsidRDefault="00E03C9A" w:rsidP="00E03C9A">
      <w:pPr>
        <w:autoSpaceDE w:val="0"/>
        <w:autoSpaceDN w:val="0"/>
        <w:adjustRightInd w:val="0"/>
        <w:spacing w:after="0" w:line="240" w:lineRule="auto"/>
        <w:ind w:right="49"/>
        <w:contextualSpacing/>
        <w:jc w:val="both"/>
        <w:rPr>
          <w:rFonts w:ascii="Verdana" w:hAnsi="Verdana"/>
          <w:sz w:val="20"/>
          <w:szCs w:val="20"/>
          <w:lang w:val="es-ES_tradnl"/>
        </w:rPr>
      </w:pPr>
    </w:p>
    <w:p w14:paraId="69655530" w14:textId="4886A06D"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 xml:space="preserve">El Estado deberá informar de forma inmediata a este Tribunal una vez que proceda a realizar cada una de las publicaciones dispuestas, independientemente del plazo de un año para presentar su primer informe dispuesto en el punto resolutivo </w:t>
      </w:r>
      <w:r w:rsidR="00B43BE4">
        <w:rPr>
          <w:rFonts w:ascii="Verdana" w:hAnsi="Verdana"/>
          <w:sz w:val="20"/>
          <w:szCs w:val="20"/>
          <w:lang w:val="es-ES_tradnl"/>
        </w:rPr>
        <w:t>13</w:t>
      </w:r>
      <w:r w:rsidRPr="009D5EA7">
        <w:rPr>
          <w:rFonts w:ascii="Verdana" w:hAnsi="Verdana"/>
          <w:sz w:val="20"/>
          <w:szCs w:val="20"/>
          <w:lang w:val="es-ES_tradnl"/>
        </w:rPr>
        <w:t xml:space="preserve"> de la Sentencia.</w:t>
      </w:r>
    </w:p>
    <w:p w14:paraId="642B698A" w14:textId="77777777" w:rsidR="001451B0" w:rsidRDefault="001451B0" w:rsidP="00EF6522">
      <w:pPr>
        <w:autoSpaceDE w:val="0"/>
        <w:autoSpaceDN w:val="0"/>
        <w:adjustRightInd w:val="0"/>
        <w:spacing w:after="0" w:line="240" w:lineRule="auto"/>
        <w:ind w:right="49"/>
        <w:contextualSpacing/>
        <w:jc w:val="both"/>
        <w:rPr>
          <w:rFonts w:ascii="Verdana" w:eastAsia="Calibri" w:hAnsi="Verdana" w:cs="Times New Roman"/>
          <w:b/>
          <w:sz w:val="20"/>
          <w:szCs w:val="20"/>
          <w:lang w:val="es-ES_tradnl"/>
        </w:rPr>
      </w:pPr>
    </w:p>
    <w:p w14:paraId="05B6F1AB" w14:textId="77777777" w:rsidR="00AB531C" w:rsidRPr="009D5EA7" w:rsidRDefault="00AB531C" w:rsidP="00EF6522">
      <w:pPr>
        <w:autoSpaceDE w:val="0"/>
        <w:autoSpaceDN w:val="0"/>
        <w:adjustRightInd w:val="0"/>
        <w:spacing w:after="0" w:line="240" w:lineRule="auto"/>
        <w:ind w:right="49"/>
        <w:contextualSpacing/>
        <w:jc w:val="both"/>
        <w:rPr>
          <w:rFonts w:ascii="Verdana" w:eastAsia="Calibri" w:hAnsi="Verdana" w:cs="Times New Roman"/>
          <w:b/>
          <w:sz w:val="20"/>
          <w:szCs w:val="20"/>
          <w:lang w:val="es-ES_tradnl"/>
        </w:rPr>
      </w:pPr>
    </w:p>
    <w:p w14:paraId="7CAAFF9B" w14:textId="5CB034CF" w:rsidR="001451B0" w:rsidRPr="009D5EA7" w:rsidRDefault="00170D6C" w:rsidP="00885070">
      <w:pPr>
        <w:pStyle w:val="Ttulo2"/>
        <w:numPr>
          <w:ilvl w:val="0"/>
          <w:numId w:val="0"/>
        </w:numPr>
        <w:ind w:left="1080" w:hanging="360"/>
        <w:rPr>
          <w:rFonts w:ascii="Verdana" w:hAnsi="Verdana"/>
          <w:i/>
          <w:sz w:val="20"/>
          <w:lang w:val="es-ES_tradnl"/>
        </w:rPr>
      </w:pPr>
      <w:bookmarkStart w:id="29" w:name="_Toc476251467"/>
      <w:r>
        <w:rPr>
          <w:rFonts w:ascii="Verdana" w:hAnsi="Verdana"/>
          <w:i/>
          <w:sz w:val="20"/>
          <w:lang w:val="es-ES_tradnl"/>
        </w:rPr>
        <w:lastRenderedPageBreak/>
        <w:t>D</w:t>
      </w:r>
      <w:r w:rsidR="007F398D" w:rsidRPr="009D5EA7">
        <w:rPr>
          <w:rFonts w:ascii="Verdana" w:hAnsi="Verdana"/>
          <w:i/>
          <w:sz w:val="20"/>
          <w:lang w:val="es-ES_tradnl"/>
        </w:rPr>
        <w:t>.</w:t>
      </w:r>
      <w:r w:rsidR="007F398D" w:rsidRPr="009D5EA7">
        <w:rPr>
          <w:rFonts w:ascii="Verdana" w:hAnsi="Verdana"/>
          <w:i/>
          <w:sz w:val="20"/>
          <w:lang w:val="es-ES_tradnl"/>
        </w:rPr>
        <w:tab/>
      </w:r>
      <w:r w:rsidR="001451B0" w:rsidRPr="009D5EA7">
        <w:rPr>
          <w:rFonts w:ascii="Verdana" w:hAnsi="Verdana"/>
          <w:i/>
          <w:sz w:val="20"/>
          <w:lang w:val="es-ES_tradnl"/>
        </w:rPr>
        <w:t>Garantía de no repetición</w:t>
      </w:r>
      <w:r w:rsidR="00385F49" w:rsidRPr="009D5EA7">
        <w:rPr>
          <w:rFonts w:ascii="Verdana" w:hAnsi="Verdana"/>
          <w:i/>
          <w:sz w:val="20"/>
          <w:lang w:val="es-ES_tradnl"/>
        </w:rPr>
        <w:t xml:space="preserve"> (</w:t>
      </w:r>
      <w:r w:rsidR="002657D9">
        <w:rPr>
          <w:rFonts w:ascii="Verdana" w:hAnsi="Verdana"/>
          <w:i/>
          <w:sz w:val="20"/>
          <w:lang w:val="es-ES_tradnl"/>
        </w:rPr>
        <w:t xml:space="preserve">mecanismo de protección y </w:t>
      </w:r>
      <w:r w:rsidR="00385F49" w:rsidRPr="009D5EA7">
        <w:rPr>
          <w:rFonts w:ascii="Verdana" w:hAnsi="Verdana"/>
          <w:i/>
          <w:sz w:val="20"/>
          <w:lang w:val="es-ES_tradnl"/>
        </w:rPr>
        <w:t>protocolo de investigación)</w:t>
      </w:r>
      <w:bookmarkEnd w:id="29"/>
    </w:p>
    <w:p w14:paraId="707CBEA7" w14:textId="77777777" w:rsidR="001451B0" w:rsidRPr="009D5EA7" w:rsidRDefault="001451B0" w:rsidP="00EF6522">
      <w:pPr>
        <w:autoSpaceDE w:val="0"/>
        <w:autoSpaceDN w:val="0"/>
        <w:adjustRightInd w:val="0"/>
        <w:spacing w:after="0" w:line="240" w:lineRule="auto"/>
        <w:ind w:right="49"/>
        <w:contextualSpacing/>
        <w:jc w:val="both"/>
        <w:rPr>
          <w:rFonts w:ascii="Verdana" w:eastAsia="Calibri" w:hAnsi="Verdana" w:cs="Times New Roman"/>
          <w:b/>
          <w:sz w:val="20"/>
          <w:szCs w:val="20"/>
          <w:lang w:val="es-ES_tradnl"/>
        </w:rPr>
      </w:pPr>
    </w:p>
    <w:p w14:paraId="1BC319F2" w14:textId="7F481A22" w:rsidR="00FF19F9" w:rsidRPr="009D5EA7" w:rsidRDefault="0096360F" w:rsidP="00B31B64">
      <w:pPr>
        <w:numPr>
          <w:ilvl w:val="0"/>
          <w:numId w:val="5"/>
        </w:numPr>
        <w:autoSpaceDE w:val="0"/>
        <w:autoSpaceDN w:val="0"/>
        <w:adjustRightInd w:val="0"/>
        <w:spacing w:after="0" w:line="240" w:lineRule="auto"/>
        <w:ind w:left="0" w:right="49" w:firstLine="0"/>
        <w:contextualSpacing/>
        <w:jc w:val="both"/>
        <w:rPr>
          <w:rFonts w:ascii="Verdana" w:hAnsi="Verdana" w:cs="Cambria"/>
          <w:sz w:val="20"/>
          <w:szCs w:val="20"/>
          <w:lang w:val="es-ES_tradnl"/>
        </w:rPr>
      </w:pPr>
      <w:r w:rsidRPr="009D5EA7">
        <w:rPr>
          <w:rFonts w:ascii="Verdana" w:hAnsi="Verdana" w:cs="Cambria"/>
          <w:sz w:val="20"/>
          <w:szCs w:val="20"/>
          <w:lang w:val="es-ES_tradnl"/>
        </w:rPr>
        <w:t xml:space="preserve">La </w:t>
      </w:r>
      <w:r w:rsidRPr="009D5EA7">
        <w:rPr>
          <w:rFonts w:ascii="Verdana" w:hAnsi="Verdana" w:cs="Cambria"/>
          <w:b/>
          <w:sz w:val="20"/>
          <w:szCs w:val="20"/>
          <w:lang w:val="es-ES_tradnl"/>
        </w:rPr>
        <w:t>Comisión</w:t>
      </w:r>
      <w:r w:rsidRPr="009D5EA7">
        <w:rPr>
          <w:rFonts w:ascii="Verdana" w:hAnsi="Verdana" w:cs="Cambria"/>
          <w:sz w:val="20"/>
          <w:szCs w:val="20"/>
          <w:lang w:val="es-ES_tradnl"/>
        </w:rPr>
        <w:t xml:space="preserve"> solicitó que el Estado adopte </w:t>
      </w:r>
      <w:r w:rsidRPr="009D5EA7">
        <w:rPr>
          <w:rFonts w:ascii="Verdana" w:hAnsi="Verdana"/>
          <w:sz w:val="20"/>
          <w:szCs w:val="20"/>
          <w:lang w:val="es-ES_tradnl"/>
        </w:rPr>
        <w:t>medidas</w:t>
      </w:r>
      <w:r w:rsidRPr="009D5EA7">
        <w:rPr>
          <w:rFonts w:ascii="Verdana" w:hAnsi="Verdana" w:cs="Cambria"/>
          <w:sz w:val="20"/>
          <w:szCs w:val="20"/>
          <w:lang w:val="es-ES_tradnl"/>
        </w:rPr>
        <w:t xml:space="preserve"> de carácter legislativo, institucional y judicial orientadas a reducir la exposición al riesgo de las defensoras y defensores de derechos humanos que se encuentran en situación de vulnerabilidad</w:t>
      </w:r>
      <w:r w:rsidRPr="009D5EA7">
        <w:rPr>
          <w:rStyle w:val="Refdenotaalpie"/>
          <w:rFonts w:ascii="Verdana" w:hAnsi="Verdana" w:cs="Cambria"/>
          <w:sz w:val="20"/>
          <w:szCs w:val="20"/>
          <w:lang w:val="es-ES_tradnl"/>
        </w:rPr>
        <w:footnoteReference w:id="198"/>
      </w:r>
      <w:r w:rsidRPr="009D5EA7">
        <w:rPr>
          <w:rFonts w:ascii="Verdana" w:hAnsi="Verdana" w:cs="Cambria"/>
          <w:sz w:val="20"/>
          <w:szCs w:val="20"/>
          <w:lang w:val="es-ES_tradnl"/>
        </w:rPr>
        <w:t xml:space="preserve">. </w:t>
      </w:r>
      <w:r w:rsidR="00F1487A" w:rsidRPr="009D5EA7">
        <w:rPr>
          <w:rFonts w:ascii="Verdana" w:hAnsi="Verdana" w:cs="Cambria"/>
          <w:sz w:val="20"/>
          <w:szCs w:val="20"/>
          <w:lang w:val="es-ES_tradnl"/>
        </w:rPr>
        <w:t xml:space="preserve">Las </w:t>
      </w:r>
      <w:r w:rsidR="00F1487A" w:rsidRPr="009D5EA7">
        <w:rPr>
          <w:rFonts w:ascii="Verdana" w:hAnsi="Verdana" w:cs="Cambria"/>
          <w:b/>
          <w:sz w:val="20"/>
          <w:szCs w:val="20"/>
          <w:lang w:val="es-ES_tradnl"/>
        </w:rPr>
        <w:t>representantes</w:t>
      </w:r>
      <w:r w:rsidR="00F1487A" w:rsidRPr="009D5EA7">
        <w:rPr>
          <w:rFonts w:ascii="Verdana" w:hAnsi="Verdana" w:cs="Cambria"/>
          <w:sz w:val="20"/>
          <w:szCs w:val="20"/>
          <w:lang w:val="es-ES_tradnl"/>
        </w:rPr>
        <w:t xml:space="preserve"> solicitaron </w:t>
      </w:r>
      <w:r w:rsidR="00F1487A" w:rsidRPr="009D5EA7">
        <w:rPr>
          <w:rFonts w:ascii="Verdana" w:hAnsi="Verdana"/>
          <w:sz w:val="20"/>
          <w:szCs w:val="20"/>
          <w:lang w:val="es-ES_tradnl" w:bidi="x-none"/>
        </w:rPr>
        <w:t xml:space="preserve">que el Estado diseñe e implemente un protocolo de investigación para crímenes cometidos en contra de personas defensoras de derechos humanos, basado en la Declaración sobre defensores de derechos humanos de 1999, para brindar herramientas al Ministerio Público y Policía Nacional para asegurar una investigación y proceso efectivos. </w:t>
      </w:r>
      <w:r w:rsidR="00FF19F9" w:rsidRPr="009D5EA7">
        <w:rPr>
          <w:rFonts w:ascii="Verdana" w:hAnsi="Verdana" w:cs="Cambria"/>
          <w:sz w:val="20"/>
          <w:szCs w:val="20"/>
          <w:lang w:val="es-ES_tradnl"/>
        </w:rPr>
        <w:t xml:space="preserve">El </w:t>
      </w:r>
      <w:r w:rsidR="00FF19F9" w:rsidRPr="009D5EA7">
        <w:rPr>
          <w:rFonts w:ascii="Verdana" w:hAnsi="Verdana" w:cs="Cambria"/>
          <w:b/>
          <w:sz w:val="20"/>
          <w:szCs w:val="20"/>
          <w:lang w:val="es-ES_tradnl"/>
        </w:rPr>
        <w:t xml:space="preserve">Estado </w:t>
      </w:r>
      <w:r w:rsidR="00FF19F9" w:rsidRPr="009D5EA7">
        <w:rPr>
          <w:rFonts w:ascii="Verdana" w:hAnsi="Verdana" w:cs="Cambria"/>
          <w:sz w:val="20"/>
          <w:szCs w:val="20"/>
          <w:lang w:val="es-ES_tradnl"/>
        </w:rPr>
        <w:t>alegó que la sentencia sería sufic</w:t>
      </w:r>
      <w:r w:rsidR="00F515FE" w:rsidRPr="009D5EA7">
        <w:rPr>
          <w:rFonts w:ascii="Verdana" w:hAnsi="Verdana" w:cs="Cambria"/>
          <w:sz w:val="20"/>
          <w:szCs w:val="20"/>
          <w:lang w:val="es-ES_tradnl"/>
        </w:rPr>
        <w:t>iente como forma de reparación;</w:t>
      </w:r>
      <w:r w:rsidR="00FF19F9" w:rsidRPr="009D5EA7">
        <w:rPr>
          <w:rFonts w:ascii="Verdana" w:hAnsi="Verdana" w:cs="Cambria"/>
          <w:sz w:val="20"/>
          <w:szCs w:val="20"/>
          <w:lang w:val="es-ES_tradnl"/>
        </w:rPr>
        <w:t xml:space="preserve"> que ya cuenta con suficiente normativa a nivel interno que garantiza la labor de protección y</w:t>
      </w:r>
      <w:r w:rsidR="00F515FE" w:rsidRPr="009D5EA7">
        <w:rPr>
          <w:rFonts w:ascii="Verdana" w:hAnsi="Verdana" w:cs="Cambria"/>
          <w:sz w:val="20"/>
          <w:szCs w:val="20"/>
          <w:lang w:val="es-ES_tradnl"/>
        </w:rPr>
        <w:t xml:space="preserve"> promoción de derechos humanos</w:t>
      </w:r>
      <w:r w:rsidR="002657D9">
        <w:rPr>
          <w:rFonts w:ascii="Verdana" w:hAnsi="Verdana" w:cs="Cambria"/>
          <w:sz w:val="20"/>
          <w:szCs w:val="20"/>
          <w:lang w:val="es-ES_tradnl"/>
        </w:rPr>
        <w:t>, tanto</w:t>
      </w:r>
      <w:r w:rsidR="00FF19F9" w:rsidRPr="009D5EA7">
        <w:rPr>
          <w:rFonts w:ascii="Verdana" w:hAnsi="Verdana" w:cs="Cambria"/>
          <w:sz w:val="20"/>
          <w:szCs w:val="20"/>
          <w:lang w:val="es-ES_tradnl"/>
        </w:rPr>
        <w:t xml:space="preserve"> de defensores y </w:t>
      </w:r>
      <w:r w:rsidR="00FF19F9" w:rsidRPr="009D5EA7">
        <w:rPr>
          <w:rFonts w:ascii="Verdana" w:hAnsi="Verdana"/>
          <w:sz w:val="20"/>
          <w:szCs w:val="20"/>
          <w:lang w:val="es-ES_tradnl" w:bidi="x-none"/>
        </w:rPr>
        <w:t>defensoras</w:t>
      </w:r>
      <w:r w:rsidR="00F515FE" w:rsidRPr="009D5EA7">
        <w:rPr>
          <w:rFonts w:ascii="Verdana" w:hAnsi="Verdana"/>
          <w:sz w:val="20"/>
          <w:szCs w:val="20"/>
          <w:lang w:val="es-ES_tradnl" w:bidi="x-none"/>
        </w:rPr>
        <w:t xml:space="preserve"> </w:t>
      </w:r>
      <w:r w:rsidR="002657D9">
        <w:rPr>
          <w:rFonts w:ascii="Verdana" w:hAnsi="Verdana"/>
          <w:sz w:val="20"/>
          <w:szCs w:val="20"/>
          <w:lang w:val="es-ES_tradnl" w:bidi="x-none"/>
        </w:rPr>
        <w:t xml:space="preserve">como </w:t>
      </w:r>
      <w:r w:rsidR="00F515FE" w:rsidRPr="009D5EA7">
        <w:rPr>
          <w:rFonts w:ascii="Verdana" w:hAnsi="Verdana"/>
          <w:sz w:val="20"/>
          <w:szCs w:val="20"/>
          <w:lang w:val="es-ES_tradnl" w:bidi="x-none"/>
        </w:rPr>
        <w:t>para garantizar la protección del medio ambiente</w:t>
      </w:r>
      <w:r w:rsidRPr="009D5EA7">
        <w:rPr>
          <w:rStyle w:val="Refdenotaalpie"/>
          <w:rFonts w:ascii="Verdana" w:hAnsi="Verdana" w:cs="Cambria"/>
          <w:sz w:val="20"/>
          <w:szCs w:val="20"/>
          <w:lang w:val="es-ES_tradnl"/>
        </w:rPr>
        <w:footnoteReference w:id="199"/>
      </w:r>
      <w:r w:rsidR="00FF19F9" w:rsidRPr="009D5EA7">
        <w:rPr>
          <w:rFonts w:ascii="Verdana" w:hAnsi="Verdana" w:cs="Cambria"/>
          <w:sz w:val="20"/>
          <w:szCs w:val="20"/>
          <w:lang w:val="es-ES_tradnl"/>
        </w:rPr>
        <w:t xml:space="preserve">.  </w:t>
      </w:r>
    </w:p>
    <w:p w14:paraId="69B64BC2" w14:textId="5D496522" w:rsidR="00E03C9A" w:rsidRPr="009D5EA7" w:rsidRDefault="00E03C9A" w:rsidP="001D33F9">
      <w:pPr>
        <w:autoSpaceDE w:val="0"/>
        <w:autoSpaceDN w:val="0"/>
        <w:adjustRightInd w:val="0"/>
        <w:spacing w:after="0" w:line="240" w:lineRule="auto"/>
        <w:ind w:right="49"/>
        <w:contextualSpacing/>
        <w:jc w:val="both"/>
        <w:rPr>
          <w:rFonts w:ascii="Verdana" w:hAnsi="Verdana" w:cs="Cambria"/>
          <w:sz w:val="20"/>
          <w:szCs w:val="20"/>
          <w:lang w:val="es-ES_tradnl"/>
        </w:rPr>
      </w:pPr>
    </w:p>
    <w:p w14:paraId="20EC822E" w14:textId="17ABBA99" w:rsidR="001D33F9" w:rsidRPr="009D5EA7" w:rsidRDefault="001D33F9" w:rsidP="001D33F9">
      <w:pPr>
        <w:numPr>
          <w:ilvl w:val="0"/>
          <w:numId w:val="5"/>
        </w:numPr>
        <w:autoSpaceDE w:val="0"/>
        <w:autoSpaceDN w:val="0"/>
        <w:adjustRightInd w:val="0"/>
        <w:spacing w:after="0" w:line="240" w:lineRule="auto"/>
        <w:ind w:left="0" w:right="49" w:firstLine="0"/>
        <w:contextualSpacing/>
        <w:jc w:val="both"/>
        <w:rPr>
          <w:rFonts w:ascii="Verdana" w:hAnsi="Verdana" w:cs="Cambria"/>
          <w:sz w:val="20"/>
          <w:szCs w:val="20"/>
          <w:lang w:val="es-ES_tradnl"/>
        </w:rPr>
      </w:pPr>
      <w:r w:rsidRPr="009D5EA7">
        <w:rPr>
          <w:rFonts w:ascii="Verdana" w:hAnsi="Verdana" w:cs="Cambria"/>
          <w:sz w:val="20"/>
          <w:szCs w:val="20"/>
          <w:lang w:val="es-ES_tradnl"/>
        </w:rPr>
        <w:t>Los defensores de derechos humanos desempeñan un papel decisivo al documentar y dar a conocer violaciones de derechos humanos. Suelen ser portavoces de grupos vulnerables y marginados o de personas que no están en condiciones de defenderse. En muchos casos representan movimientos de base que están tratando de lograr cambios en sus</w:t>
      </w:r>
      <w:r w:rsidR="00DB0D5C" w:rsidRPr="009D5EA7">
        <w:rPr>
          <w:rFonts w:ascii="Verdana" w:hAnsi="Verdana" w:cs="Cambria"/>
          <w:sz w:val="20"/>
          <w:szCs w:val="20"/>
          <w:lang w:val="es-ES_tradnl"/>
        </w:rPr>
        <w:t xml:space="preserve"> </w:t>
      </w:r>
      <w:r w:rsidRPr="009D5EA7">
        <w:rPr>
          <w:rFonts w:ascii="Verdana" w:hAnsi="Verdana" w:cs="Cambria"/>
          <w:sz w:val="20"/>
          <w:szCs w:val="20"/>
          <w:lang w:val="es-ES_tradnl"/>
        </w:rPr>
        <w:t>comunidades. Ayudan a asegurar que se haga justicia y que se observen las normas de derechos</w:t>
      </w:r>
      <w:r w:rsidR="00DB0D5C" w:rsidRPr="009D5EA7">
        <w:rPr>
          <w:rFonts w:ascii="Verdana" w:hAnsi="Verdana" w:cs="Cambria"/>
          <w:sz w:val="20"/>
          <w:szCs w:val="20"/>
          <w:lang w:val="es-ES_tradnl"/>
        </w:rPr>
        <w:t xml:space="preserve"> </w:t>
      </w:r>
      <w:r w:rsidRPr="009D5EA7">
        <w:rPr>
          <w:rFonts w:ascii="Verdana" w:hAnsi="Verdana" w:cs="Cambria"/>
          <w:sz w:val="20"/>
          <w:szCs w:val="20"/>
          <w:lang w:val="es-ES_tradnl"/>
        </w:rPr>
        <w:t>humanos en su paí</w:t>
      </w:r>
      <w:r w:rsidR="00DB0D5C" w:rsidRPr="009D5EA7">
        <w:rPr>
          <w:rFonts w:ascii="Verdana" w:hAnsi="Verdana" w:cs="Cambria"/>
          <w:sz w:val="20"/>
          <w:szCs w:val="20"/>
          <w:lang w:val="es-ES_tradnl"/>
        </w:rPr>
        <w:t>s. Por ello, a</w:t>
      </w:r>
      <w:r w:rsidRPr="009D5EA7">
        <w:rPr>
          <w:rFonts w:ascii="Verdana" w:hAnsi="Verdana" w:cs="Cambria"/>
          <w:sz w:val="20"/>
          <w:szCs w:val="20"/>
          <w:lang w:val="es-ES_tradnl"/>
        </w:rPr>
        <w:t>poyar su trabajo es una inversión en el estado de derecho y la democracia</w:t>
      </w:r>
      <w:r w:rsidR="00DB0D5C" w:rsidRPr="009D5EA7">
        <w:rPr>
          <w:rFonts w:ascii="Verdana" w:hAnsi="Verdana" w:cs="Cambria"/>
          <w:sz w:val="20"/>
          <w:szCs w:val="20"/>
          <w:lang w:val="es-ES_tradnl"/>
        </w:rPr>
        <w:t>, pues l</w:t>
      </w:r>
      <w:r w:rsidRPr="009D5EA7">
        <w:rPr>
          <w:rFonts w:ascii="Verdana" w:hAnsi="Verdana" w:cs="Cambria"/>
          <w:sz w:val="20"/>
          <w:szCs w:val="20"/>
          <w:lang w:val="es-ES_tradnl"/>
        </w:rPr>
        <w:t xml:space="preserve">os defensores de derechos humanos </w:t>
      </w:r>
      <w:r w:rsidR="00DB0D5C" w:rsidRPr="009D5EA7">
        <w:rPr>
          <w:rFonts w:ascii="Verdana" w:hAnsi="Verdana" w:cs="Cambria"/>
          <w:sz w:val="20"/>
          <w:szCs w:val="20"/>
          <w:lang w:val="es-ES_tradnl"/>
        </w:rPr>
        <w:t xml:space="preserve">pueden ser </w:t>
      </w:r>
      <w:r w:rsidRPr="009D5EA7">
        <w:rPr>
          <w:rFonts w:ascii="Verdana" w:hAnsi="Verdana" w:cs="Cambria"/>
          <w:sz w:val="20"/>
          <w:szCs w:val="20"/>
          <w:lang w:val="es-ES_tradnl"/>
        </w:rPr>
        <w:t>agentes de cambio que efectúan una contribución directa e</w:t>
      </w:r>
      <w:r w:rsidR="00DB0D5C" w:rsidRPr="009D5EA7">
        <w:rPr>
          <w:rFonts w:ascii="Verdana" w:hAnsi="Verdana" w:cs="Cambria"/>
          <w:sz w:val="20"/>
          <w:szCs w:val="20"/>
          <w:lang w:val="es-ES_tradnl"/>
        </w:rPr>
        <w:t xml:space="preserve"> </w:t>
      </w:r>
      <w:r w:rsidRPr="009D5EA7">
        <w:rPr>
          <w:rFonts w:ascii="Verdana" w:hAnsi="Verdana" w:cs="Cambria"/>
          <w:sz w:val="20"/>
          <w:szCs w:val="20"/>
          <w:lang w:val="es-ES_tradnl"/>
        </w:rPr>
        <w:t>indirecta al desarrollo sostenible y la gobernabilidad de sus países</w:t>
      </w:r>
      <w:r w:rsidR="00332E88" w:rsidRPr="009D5EA7">
        <w:rPr>
          <w:rFonts w:ascii="Verdana" w:hAnsi="Verdana" w:cs="Cambria"/>
          <w:sz w:val="20"/>
          <w:szCs w:val="20"/>
          <w:lang w:val="es-ES_tradnl"/>
        </w:rPr>
        <w:t>. Por ello, particularmente los defensores de derechos relacionados con tierras, suelen ser el blanco de diversos tipos de vigilancia, ataques, agresiones o campañas de desacreditación como oponentes al progreso y el desarrollo, tanto por parte de agentes estatales como no estatales</w:t>
      </w:r>
      <w:r w:rsidR="00DB0D5C" w:rsidRPr="009D5EA7">
        <w:rPr>
          <w:rStyle w:val="Refdenotaalpie"/>
          <w:rFonts w:ascii="Verdana" w:hAnsi="Verdana" w:cs="Cambria"/>
          <w:sz w:val="20"/>
          <w:szCs w:val="20"/>
          <w:lang w:val="es-ES_tradnl"/>
        </w:rPr>
        <w:footnoteReference w:id="200"/>
      </w:r>
      <w:r w:rsidR="00DB0D5C" w:rsidRPr="009D5EA7">
        <w:rPr>
          <w:rFonts w:ascii="Verdana" w:hAnsi="Verdana" w:cs="Cambria"/>
          <w:sz w:val="20"/>
          <w:szCs w:val="20"/>
          <w:lang w:val="es-ES_tradnl"/>
        </w:rPr>
        <w:t>.</w:t>
      </w:r>
    </w:p>
    <w:p w14:paraId="424C37CB" w14:textId="77777777" w:rsidR="001D33F9" w:rsidRPr="009D5EA7" w:rsidRDefault="001D33F9" w:rsidP="00DB0D5C">
      <w:pPr>
        <w:autoSpaceDE w:val="0"/>
        <w:autoSpaceDN w:val="0"/>
        <w:adjustRightInd w:val="0"/>
        <w:spacing w:after="0" w:line="240" w:lineRule="auto"/>
        <w:ind w:right="49"/>
        <w:contextualSpacing/>
        <w:jc w:val="both"/>
        <w:rPr>
          <w:rFonts w:ascii="Verdana" w:hAnsi="Verdana" w:cs="Cambria"/>
          <w:sz w:val="20"/>
          <w:szCs w:val="20"/>
          <w:lang w:val="es-ES_tradnl"/>
        </w:rPr>
      </w:pPr>
    </w:p>
    <w:p w14:paraId="0283461B" w14:textId="460DA069" w:rsidR="00C61837" w:rsidRPr="009D5EA7" w:rsidRDefault="00187B35" w:rsidP="00187B35">
      <w:pPr>
        <w:numPr>
          <w:ilvl w:val="0"/>
          <w:numId w:val="5"/>
        </w:numPr>
        <w:autoSpaceDE w:val="0"/>
        <w:autoSpaceDN w:val="0"/>
        <w:adjustRightInd w:val="0"/>
        <w:spacing w:after="0" w:line="240" w:lineRule="auto"/>
        <w:ind w:left="0" w:right="49" w:firstLine="0"/>
        <w:contextualSpacing/>
        <w:jc w:val="both"/>
        <w:rPr>
          <w:rFonts w:ascii="Verdana" w:hAnsi="Verdana" w:cs="Cambria"/>
          <w:sz w:val="20"/>
          <w:szCs w:val="20"/>
          <w:lang w:val="es-ES_tradnl"/>
        </w:rPr>
      </w:pPr>
      <w:r w:rsidRPr="009D5EA7">
        <w:rPr>
          <w:rFonts w:ascii="Verdana" w:hAnsi="Verdana" w:cs="Cambria"/>
          <w:sz w:val="20"/>
          <w:szCs w:val="20"/>
          <w:lang w:val="es-ES_tradnl"/>
        </w:rPr>
        <w:t>Según información aportada al expediente, la s</w:t>
      </w:r>
      <w:r w:rsidR="00C61837" w:rsidRPr="009D5EA7">
        <w:rPr>
          <w:rFonts w:ascii="Verdana" w:hAnsi="Verdana" w:cs="Cambria"/>
          <w:sz w:val="20"/>
          <w:szCs w:val="20"/>
          <w:lang w:val="es-ES_tradnl"/>
        </w:rPr>
        <w:t xml:space="preserve">ituación actual </w:t>
      </w:r>
      <w:r w:rsidRPr="009D5EA7">
        <w:rPr>
          <w:rFonts w:ascii="Verdana" w:hAnsi="Verdana" w:cs="Cambria"/>
          <w:sz w:val="20"/>
          <w:szCs w:val="20"/>
          <w:lang w:val="es-ES_tradnl"/>
        </w:rPr>
        <w:t xml:space="preserve">de </w:t>
      </w:r>
      <w:r w:rsidR="00C61837" w:rsidRPr="009D5EA7">
        <w:rPr>
          <w:rFonts w:ascii="Verdana" w:hAnsi="Verdana" w:cs="Cambria"/>
          <w:sz w:val="20"/>
          <w:szCs w:val="20"/>
          <w:lang w:val="es-ES_tradnl"/>
        </w:rPr>
        <w:t>defensores</w:t>
      </w:r>
      <w:r w:rsidRPr="009D5EA7">
        <w:rPr>
          <w:rFonts w:ascii="Verdana" w:hAnsi="Verdana" w:cs="Cambria"/>
          <w:sz w:val="20"/>
          <w:szCs w:val="20"/>
          <w:lang w:val="es-ES_tradnl"/>
        </w:rPr>
        <w:t xml:space="preserve"> y defensoras de derechos humanos en Nicaragua ha despertado alarma y preocupación en varios foros internacionales</w:t>
      </w:r>
      <w:r w:rsidR="00C61837" w:rsidRPr="009D5EA7">
        <w:rPr>
          <w:rFonts w:ascii="Verdana" w:hAnsi="Verdana" w:cs="Cambria"/>
          <w:sz w:val="20"/>
          <w:szCs w:val="20"/>
          <w:lang w:val="es-ES_tradnl"/>
        </w:rPr>
        <w:t xml:space="preserve">, particularmente en </w:t>
      </w:r>
      <w:r w:rsidRPr="009D5EA7">
        <w:rPr>
          <w:rFonts w:ascii="Verdana" w:hAnsi="Verdana" w:cs="Cambria"/>
          <w:sz w:val="20"/>
          <w:szCs w:val="20"/>
          <w:lang w:val="es-ES_tradnl"/>
        </w:rPr>
        <w:t xml:space="preserve">lo relativo a </w:t>
      </w:r>
      <w:r w:rsidR="00C61837" w:rsidRPr="009D5EA7">
        <w:rPr>
          <w:rFonts w:ascii="Verdana" w:hAnsi="Verdana" w:cs="Cambria"/>
          <w:sz w:val="20"/>
          <w:szCs w:val="20"/>
          <w:lang w:val="es-ES_tradnl"/>
        </w:rPr>
        <w:t>conflictos de tierras de comunidades indígenas</w:t>
      </w:r>
      <w:r w:rsidR="00777AAA" w:rsidRPr="009D5EA7">
        <w:rPr>
          <w:rStyle w:val="Refdenotaalpie"/>
          <w:rFonts w:ascii="Verdana" w:hAnsi="Verdana" w:cs="Cambria"/>
          <w:sz w:val="20"/>
          <w:szCs w:val="20"/>
          <w:lang w:val="es-ES_tradnl"/>
        </w:rPr>
        <w:footnoteReference w:id="201"/>
      </w:r>
      <w:r w:rsidRPr="009D5EA7">
        <w:rPr>
          <w:rFonts w:ascii="Verdana" w:hAnsi="Verdana" w:cs="Cambria"/>
          <w:sz w:val="20"/>
          <w:szCs w:val="20"/>
          <w:lang w:val="es-ES_tradnl"/>
        </w:rPr>
        <w:t>. Así</w:t>
      </w:r>
      <w:r w:rsidR="00C61837" w:rsidRPr="009D5EA7">
        <w:rPr>
          <w:rFonts w:ascii="Verdana" w:hAnsi="Verdana" w:cs="Cambria"/>
          <w:sz w:val="20"/>
          <w:szCs w:val="20"/>
          <w:lang w:val="es-ES_tradnl"/>
        </w:rPr>
        <w:t>,</w:t>
      </w:r>
      <w:r w:rsidRPr="009D5EA7">
        <w:rPr>
          <w:rFonts w:ascii="Verdana" w:hAnsi="Verdana" w:cs="Cambria"/>
          <w:sz w:val="20"/>
          <w:szCs w:val="20"/>
          <w:lang w:val="es-ES_tradnl"/>
        </w:rPr>
        <w:t xml:space="preserve"> la Comisión Interamericana ha dispuesto medidas cautelares</w:t>
      </w:r>
      <w:r w:rsidR="001D33F9" w:rsidRPr="009D5EA7">
        <w:rPr>
          <w:rStyle w:val="Refdenotaalpie"/>
          <w:rFonts w:ascii="Verdana" w:hAnsi="Verdana" w:cs="Cambria"/>
          <w:sz w:val="20"/>
          <w:szCs w:val="20"/>
          <w:lang w:val="es-ES_tradnl"/>
        </w:rPr>
        <w:footnoteReference w:id="202"/>
      </w:r>
      <w:r w:rsidRPr="009D5EA7">
        <w:rPr>
          <w:rFonts w:ascii="Verdana" w:hAnsi="Verdana" w:cs="Cambria"/>
          <w:sz w:val="20"/>
          <w:szCs w:val="20"/>
          <w:lang w:val="es-ES_tradnl"/>
        </w:rPr>
        <w:t xml:space="preserve"> y, </w:t>
      </w:r>
      <w:r w:rsidRPr="009D5EA7">
        <w:rPr>
          <w:rFonts w:ascii="Verdana" w:hAnsi="Verdana" w:cs="Cambria"/>
          <w:sz w:val="20"/>
          <w:szCs w:val="20"/>
          <w:lang w:val="es-ES_tradnl"/>
        </w:rPr>
        <w:lastRenderedPageBreak/>
        <w:t>recientemente, este Tribunal también ordenó medidas provisionales de protección</w:t>
      </w:r>
      <w:r w:rsidR="001D33F9" w:rsidRPr="009D5EA7">
        <w:rPr>
          <w:rStyle w:val="Refdenotaalpie"/>
          <w:rFonts w:ascii="Verdana" w:hAnsi="Verdana" w:cs="Cambria"/>
          <w:sz w:val="20"/>
          <w:szCs w:val="20"/>
          <w:lang w:val="es-ES_tradnl"/>
        </w:rPr>
        <w:footnoteReference w:id="203"/>
      </w:r>
      <w:r w:rsidRPr="009D5EA7">
        <w:rPr>
          <w:rFonts w:ascii="Verdana" w:hAnsi="Verdana" w:cs="Cambria"/>
          <w:sz w:val="20"/>
          <w:szCs w:val="20"/>
          <w:lang w:val="es-ES_tradnl"/>
        </w:rPr>
        <w:t>, en situaciones que revelan tensiones y riesgos para quienes defienden derechos humanos</w:t>
      </w:r>
      <w:r w:rsidR="00506E73" w:rsidRPr="009D5EA7">
        <w:rPr>
          <w:rFonts w:ascii="Verdana" w:hAnsi="Verdana" w:cs="Cambria"/>
          <w:sz w:val="20"/>
          <w:szCs w:val="20"/>
          <w:lang w:val="es-ES_tradnl"/>
        </w:rPr>
        <w:t xml:space="preserve"> de esos grupos</w:t>
      </w:r>
      <w:r w:rsidRPr="009D5EA7">
        <w:rPr>
          <w:rFonts w:ascii="Verdana" w:hAnsi="Verdana" w:cs="Cambria"/>
          <w:sz w:val="20"/>
          <w:szCs w:val="20"/>
          <w:lang w:val="es-ES_tradnl"/>
        </w:rPr>
        <w:t>.</w:t>
      </w:r>
      <w:r w:rsidR="00777AAA" w:rsidRPr="009D5EA7">
        <w:rPr>
          <w:rFonts w:ascii="Verdana" w:hAnsi="Verdana" w:cs="Cambria"/>
          <w:sz w:val="20"/>
          <w:szCs w:val="20"/>
          <w:lang w:val="es-ES_tradnl"/>
        </w:rPr>
        <w:t xml:space="preserve"> </w:t>
      </w:r>
      <w:r w:rsidR="001D33F9" w:rsidRPr="009D5EA7">
        <w:rPr>
          <w:rFonts w:ascii="Verdana" w:hAnsi="Verdana" w:cs="Cambria"/>
          <w:sz w:val="20"/>
          <w:szCs w:val="20"/>
          <w:lang w:val="es-ES_tradnl"/>
        </w:rPr>
        <w:t xml:space="preserve">En el presente caso, la señora Acosta manifestó que dejó de trabajar en Bluefields, donde litigaba los procesos en representación de las comunidades indígenas y afrodescendientes y se trasladó a Chinandega por temor a sufrir </w:t>
      </w:r>
      <w:r w:rsidR="002657D9">
        <w:rPr>
          <w:rFonts w:ascii="Verdana" w:hAnsi="Verdana" w:cs="Cambria"/>
          <w:sz w:val="20"/>
          <w:szCs w:val="20"/>
          <w:lang w:val="es-ES_tradnl"/>
        </w:rPr>
        <w:t>un</w:t>
      </w:r>
      <w:r w:rsidR="001D33F9" w:rsidRPr="009D5EA7">
        <w:rPr>
          <w:rFonts w:ascii="Verdana" w:hAnsi="Verdana" w:cs="Cambria"/>
          <w:sz w:val="20"/>
          <w:szCs w:val="20"/>
          <w:lang w:val="es-ES_tradnl"/>
        </w:rPr>
        <w:t xml:space="preserve"> atentado y, hasta hoy, solo regresa a la región de forma puntual y efímera. Lo anterior </w:t>
      </w:r>
      <w:r w:rsidR="00C61837" w:rsidRPr="009D5EA7">
        <w:rPr>
          <w:rFonts w:ascii="Verdana" w:hAnsi="Verdana" w:cs="Cambria"/>
          <w:sz w:val="20"/>
          <w:szCs w:val="20"/>
          <w:lang w:val="es-ES_tradnl"/>
        </w:rPr>
        <w:t xml:space="preserve">demuestra </w:t>
      </w:r>
      <w:r w:rsidR="001D33F9" w:rsidRPr="009D5EA7">
        <w:rPr>
          <w:rFonts w:ascii="Verdana" w:hAnsi="Verdana" w:cs="Cambria"/>
          <w:sz w:val="20"/>
          <w:szCs w:val="20"/>
          <w:lang w:val="es-ES_tradnl"/>
        </w:rPr>
        <w:t>que existen o se mantienen situaciones</w:t>
      </w:r>
      <w:r w:rsidR="00C61837" w:rsidRPr="009D5EA7">
        <w:rPr>
          <w:rFonts w:ascii="Verdana" w:hAnsi="Verdana" w:cs="Cambria"/>
          <w:sz w:val="20"/>
          <w:szCs w:val="20"/>
          <w:lang w:val="es-ES_tradnl"/>
        </w:rPr>
        <w:t xml:space="preserve"> preocupante</w:t>
      </w:r>
      <w:r w:rsidR="001D33F9" w:rsidRPr="009D5EA7">
        <w:rPr>
          <w:rFonts w:ascii="Verdana" w:hAnsi="Verdana" w:cs="Cambria"/>
          <w:sz w:val="20"/>
          <w:szCs w:val="20"/>
          <w:lang w:val="es-ES_tradnl"/>
        </w:rPr>
        <w:t>s</w:t>
      </w:r>
      <w:r w:rsidR="00C61837" w:rsidRPr="009D5EA7">
        <w:rPr>
          <w:rFonts w:ascii="Verdana" w:hAnsi="Verdana" w:cs="Cambria"/>
          <w:sz w:val="20"/>
          <w:szCs w:val="20"/>
          <w:lang w:val="es-ES_tradnl"/>
        </w:rPr>
        <w:t xml:space="preserve"> </w:t>
      </w:r>
      <w:r w:rsidR="001D33F9" w:rsidRPr="009D5EA7">
        <w:rPr>
          <w:rFonts w:ascii="Verdana" w:hAnsi="Verdana" w:cs="Cambria"/>
          <w:sz w:val="20"/>
          <w:szCs w:val="20"/>
          <w:lang w:val="es-ES_tradnl"/>
        </w:rPr>
        <w:t>para que estas personas continúen desarrollando libremente y con seguridad su labor</w:t>
      </w:r>
      <w:r w:rsidR="008E0F08" w:rsidRPr="009D5EA7">
        <w:rPr>
          <w:rFonts w:ascii="Verdana" w:hAnsi="Verdana" w:cs="Cambria"/>
          <w:sz w:val="20"/>
          <w:szCs w:val="20"/>
          <w:lang w:val="es-ES_tradnl"/>
        </w:rPr>
        <w:t>, lo cual</w:t>
      </w:r>
      <w:r w:rsidR="001D33F9" w:rsidRPr="009D5EA7">
        <w:rPr>
          <w:rFonts w:ascii="Verdana" w:hAnsi="Verdana" w:cs="Cambria"/>
          <w:sz w:val="20"/>
          <w:szCs w:val="20"/>
          <w:lang w:val="es-ES_tradnl"/>
        </w:rPr>
        <w:t xml:space="preserve"> </w:t>
      </w:r>
      <w:r w:rsidR="008E0F08" w:rsidRPr="009D5EA7">
        <w:rPr>
          <w:rFonts w:ascii="Verdana" w:hAnsi="Verdana" w:cs="Cambria"/>
          <w:sz w:val="20"/>
          <w:szCs w:val="20"/>
          <w:lang w:val="es-ES_tradnl"/>
        </w:rPr>
        <w:t>genera un riesgo adicional o paralelo de agravamiento de ese tipo de conflictos existentes en Nicaragua.</w:t>
      </w:r>
      <w:r w:rsidR="00506E73" w:rsidRPr="009D5EA7">
        <w:rPr>
          <w:rFonts w:ascii="Verdana" w:hAnsi="Verdana" w:cs="Cambria"/>
          <w:sz w:val="20"/>
          <w:szCs w:val="20"/>
          <w:lang w:val="es-ES_tradnl"/>
        </w:rPr>
        <w:t xml:space="preserve"> </w:t>
      </w:r>
      <w:r w:rsidR="008E0F08" w:rsidRPr="009D5EA7">
        <w:rPr>
          <w:rFonts w:ascii="Verdana" w:hAnsi="Verdana" w:cs="Cambria"/>
          <w:sz w:val="20"/>
          <w:szCs w:val="20"/>
          <w:lang w:val="es-ES_tradnl"/>
        </w:rPr>
        <w:t>De ello se desprende la</w:t>
      </w:r>
      <w:r w:rsidR="00C61837" w:rsidRPr="009D5EA7">
        <w:rPr>
          <w:rFonts w:ascii="Verdana" w:hAnsi="Verdana" w:cs="Cambria"/>
          <w:sz w:val="20"/>
          <w:szCs w:val="20"/>
          <w:lang w:val="es-ES_tradnl"/>
        </w:rPr>
        <w:t xml:space="preserve"> necesidad de fortalecer </w:t>
      </w:r>
      <w:r w:rsidR="001D33F9" w:rsidRPr="009D5EA7">
        <w:rPr>
          <w:rFonts w:ascii="Verdana" w:hAnsi="Verdana" w:cs="Cambria"/>
          <w:sz w:val="20"/>
          <w:szCs w:val="20"/>
          <w:lang w:val="es-ES_tradnl"/>
        </w:rPr>
        <w:t xml:space="preserve">los </w:t>
      </w:r>
      <w:r w:rsidR="00C61837" w:rsidRPr="009D5EA7">
        <w:rPr>
          <w:rFonts w:ascii="Verdana" w:hAnsi="Verdana" w:cs="Cambria"/>
          <w:sz w:val="20"/>
          <w:szCs w:val="20"/>
          <w:lang w:val="es-ES_tradnl"/>
        </w:rPr>
        <w:t>mecanismos existentes.</w:t>
      </w:r>
    </w:p>
    <w:p w14:paraId="3AE605C3" w14:textId="77777777" w:rsidR="00C61837" w:rsidRPr="009D5EA7" w:rsidRDefault="00C61837" w:rsidP="008D3998">
      <w:pPr>
        <w:tabs>
          <w:tab w:val="left" w:pos="1387"/>
        </w:tabs>
        <w:autoSpaceDE w:val="0"/>
        <w:autoSpaceDN w:val="0"/>
        <w:adjustRightInd w:val="0"/>
        <w:spacing w:after="0" w:line="240" w:lineRule="auto"/>
        <w:ind w:right="49"/>
        <w:contextualSpacing/>
        <w:jc w:val="both"/>
        <w:rPr>
          <w:rFonts w:ascii="Verdana" w:hAnsi="Verdana" w:cs="Cambria"/>
          <w:sz w:val="20"/>
          <w:szCs w:val="20"/>
          <w:lang w:val="es-ES_tradnl"/>
        </w:rPr>
      </w:pPr>
    </w:p>
    <w:p w14:paraId="012F0E1B" w14:textId="32F4977E" w:rsidR="006B03D1" w:rsidRPr="009D5EA7" w:rsidRDefault="008E0F08" w:rsidP="006B03D1">
      <w:pPr>
        <w:numPr>
          <w:ilvl w:val="0"/>
          <w:numId w:val="5"/>
        </w:numPr>
        <w:autoSpaceDE w:val="0"/>
        <w:autoSpaceDN w:val="0"/>
        <w:adjustRightInd w:val="0"/>
        <w:spacing w:after="0" w:line="240" w:lineRule="auto"/>
        <w:ind w:left="0" w:right="49" w:firstLine="0"/>
        <w:contextualSpacing/>
        <w:jc w:val="both"/>
        <w:rPr>
          <w:rFonts w:ascii="Verdana" w:hAnsi="Verdana" w:cs="Cambria"/>
          <w:sz w:val="20"/>
          <w:szCs w:val="20"/>
          <w:lang w:val="es-ES_tradnl"/>
        </w:rPr>
      </w:pPr>
      <w:r w:rsidRPr="009D5EA7">
        <w:rPr>
          <w:rFonts w:ascii="Verdana" w:hAnsi="Verdana" w:cs="Cambria"/>
          <w:sz w:val="20"/>
          <w:szCs w:val="20"/>
          <w:lang w:val="es-ES_tradnl"/>
        </w:rPr>
        <w:t>Por lo anterior, l</w:t>
      </w:r>
      <w:r w:rsidR="00B31B64" w:rsidRPr="009D5EA7">
        <w:rPr>
          <w:rFonts w:ascii="Verdana" w:hAnsi="Verdana" w:cs="Cambria"/>
          <w:sz w:val="20"/>
          <w:szCs w:val="20"/>
          <w:lang w:val="es-ES_tradnl"/>
        </w:rPr>
        <w:t xml:space="preserve">a </w:t>
      </w:r>
      <w:r w:rsidR="00B31B64" w:rsidRPr="009D5EA7">
        <w:rPr>
          <w:rFonts w:ascii="Verdana" w:hAnsi="Verdana" w:cs="Cambria"/>
          <w:b/>
          <w:sz w:val="20"/>
          <w:szCs w:val="20"/>
          <w:lang w:val="es-ES_tradnl"/>
        </w:rPr>
        <w:t>Corte</w:t>
      </w:r>
      <w:r w:rsidR="00B31B64" w:rsidRPr="009D5EA7">
        <w:rPr>
          <w:rFonts w:ascii="Verdana" w:hAnsi="Verdana" w:cs="Cambria"/>
          <w:sz w:val="20"/>
          <w:szCs w:val="20"/>
          <w:lang w:val="es-ES_tradnl"/>
        </w:rPr>
        <w:t xml:space="preserve"> </w:t>
      </w:r>
      <w:r w:rsidR="00FB13ED" w:rsidRPr="009D5EA7">
        <w:rPr>
          <w:rFonts w:ascii="Verdana" w:hAnsi="Verdana" w:cs="Cambria"/>
          <w:sz w:val="20"/>
          <w:szCs w:val="20"/>
          <w:lang w:val="es-ES_tradnl"/>
        </w:rPr>
        <w:t>estima pertinente disponer que el Estado</w:t>
      </w:r>
      <w:r w:rsidR="008D3998" w:rsidRPr="009D5EA7">
        <w:rPr>
          <w:rFonts w:ascii="Verdana" w:hAnsi="Verdana" w:cs="Cambria"/>
          <w:sz w:val="20"/>
          <w:szCs w:val="20"/>
          <w:lang w:val="es-ES_tradnl"/>
        </w:rPr>
        <w:t xml:space="preserve"> elabore </w:t>
      </w:r>
      <w:r w:rsidR="000F52A7" w:rsidRPr="009D5EA7">
        <w:rPr>
          <w:rFonts w:ascii="Verdana" w:hAnsi="Verdana" w:cs="Cambria"/>
          <w:sz w:val="20"/>
          <w:szCs w:val="20"/>
          <w:lang w:val="es-ES_tradnl"/>
        </w:rPr>
        <w:t>mecanismos de protección y</w:t>
      </w:r>
      <w:r w:rsidR="008D3998" w:rsidRPr="009D5EA7">
        <w:rPr>
          <w:rFonts w:ascii="Verdana" w:hAnsi="Verdana" w:cs="Cambria"/>
          <w:sz w:val="20"/>
          <w:szCs w:val="20"/>
          <w:lang w:val="es-ES_tradnl"/>
        </w:rPr>
        <w:t xml:space="preserve"> </w:t>
      </w:r>
      <w:r w:rsidR="000F52A7" w:rsidRPr="009D5EA7">
        <w:rPr>
          <w:rFonts w:ascii="Verdana" w:hAnsi="Verdana" w:cs="Cambria"/>
          <w:sz w:val="20"/>
          <w:szCs w:val="20"/>
          <w:lang w:val="es-ES_tradnl"/>
        </w:rPr>
        <w:t xml:space="preserve">protocolos de </w:t>
      </w:r>
      <w:r w:rsidR="001451B0" w:rsidRPr="009D5EA7">
        <w:rPr>
          <w:rFonts w:ascii="Verdana" w:hAnsi="Verdana" w:cs="Cambria"/>
          <w:sz w:val="20"/>
          <w:szCs w:val="20"/>
          <w:lang w:val="es-ES_tradnl"/>
        </w:rPr>
        <w:t xml:space="preserve">investigación </w:t>
      </w:r>
      <w:r w:rsidR="008D3998" w:rsidRPr="009D5EA7">
        <w:rPr>
          <w:rFonts w:ascii="Verdana" w:hAnsi="Verdana" w:cs="Cambria"/>
          <w:sz w:val="20"/>
          <w:szCs w:val="20"/>
          <w:lang w:val="es-ES_tradnl"/>
        </w:rPr>
        <w:t xml:space="preserve">para casos de situaciones de riesgo, </w:t>
      </w:r>
      <w:r w:rsidR="000F52A7" w:rsidRPr="009D5EA7">
        <w:rPr>
          <w:rFonts w:ascii="Verdana" w:hAnsi="Verdana" w:cs="Cambria"/>
          <w:sz w:val="20"/>
          <w:szCs w:val="20"/>
          <w:lang w:val="es-ES_tradnl"/>
        </w:rPr>
        <w:t>amenazas y</w:t>
      </w:r>
      <w:r w:rsidR="008D3998" w:rsidRPr="009D5EA7">
        <w:rPr>
          <w:rFonts w:ascii="Verdana" w:hAnsi="Verdana" w:cs="Cambria"/>
          <w:sz w:val="20"/>
          <w:szCs w:val="20"/>
          <w:lang w:val="es-ES_tradnl"/>
        </w:rPr>
        <w:t xml:space="preserve"> agresiones de defensoras y</w:t>
      </w:r>
      <w:r w:rsidR="006B03D1" w:rsidRPr="009D5EA7">
        <w:rPr>
          <w:rFonts w:ascii="Verdana" w:hAnsi="Verdana" w:cs="Cambria"/>
          <w:sz w:val="20"/>
          <w:szCs w:val="20"/>
          <w:lang w:val="es-ES_tradnl"/>
        </w:rPr>
        <w:t xml:space="preserve"> defensores de derechos humanos, </w:t>
      </w:r>
      <w:r w:rsidR="001451B0" w:rsidRPr="009D5EA7">
        <w:rPr>
          <w:rFonts w:ascii="Verdana" w:hAnsi="Verdana" w:cs="Cambria"/>
          <w:sz w:val="20"/>
          <w:szCs w:val="20"/>
          <w:lang w:val="es-ES_tradnl"/>
        </w:rPr>
        <w:t xml:space="preserve">que tengan en cuenta los riesgos inherentes a </w:t>
      </w:r>
      <w:r w:rsidR="008D3998" w:rsidRPr="009D5EA7">
        <w:rPr>
          <w:rFonts w:ascii="Verdana" w:hAnsi="Verdana" w:cs="Cambria"/>
          <w:sz w:val="20"/>
          <w:szCs w:val="20"/>
          <w:lang w:val="es-ES_tradnl"/>
        </w:rPr>
        <w:t>tal actividad</w:t>
      </w:r>
      <w:r w:rsidR="000F52A7" w:rsidRPr="009D5EA7">
        <w:rPr>
          <w:rFonts w:ascii="Verdana" w:hAnsi="Verdana" w:cs="Cambria"/>
          <w:sz w:val="20"/>
          <w:szCs w:val="20"/>
          <w:lang w:val="es-ES_tradnl"/>
        </w:rPr>
        <w:t xml:space="preserve"> y </w:t>
      </w:r>
      <w:r w:rsidR="001451B0" w:rsidRPr="009D5EA7">
        <w:rPr>
          <w:rFonts w:ascii="Verdana" w:hAnsi="Verdana" w:cs="Cambria"/>
          <w:sz w:val="20"/>
          <w:szCs w:val="20"/>
          <w:lang w:val="es-ES_tradnl"/>
        </w:rPr>
        <w:t xml:space="preserve">conduzcan a la </w:t>
      </w:r>
      <w:r w:rsidR="000F52A7" w:rsidRPr="009D5EA7">
        <w:rPr>
          <w:rFonts w:ascii="Verdana" w:hAnsi="Verdana" w:cs="Cambria"/>
          <w:sz w:val="20"/>
          <w:szCs w:val="20"/>
          <w:lang w:val="es-ES_tradnl"/>
        </w:rPr>
        <w:t xml:space="preserve">determinación y eventual sanción </w:t>
      </w:r>
      <w:r w:rsidR="001451B0" w:rsidRPr="009D5EA7">
        <w:rPr>
          <w:rFonts w:ascii="Verdana" w:hAnsi="Verdana" w:cs="Cambria"/>
          <w:sz w:val="20"/>
          <w:szCs w:val="20"/>
          <w:lang w:val="es-ES_tradnl"/>
        </w:rPr>
        <w:t>de los responsables y a una reparación adecuada</w:t>
      </w:r>
      <w:r w:rsidR="006B03D1" w:rsidRPr="009D5EA7">
        <w:rPr>
          <w:rFonts w:ascii="Verdana" w:hAnsi="Verdana" w:cs="Cambria"/>
          <w:sz w:val="20"/>
          <w:szCs w:val="20"/>
          <w:lang w:val="es-ES_tradnl"/>
        </w:rPr>
        <w:t>, así como</w:t>
      </w:r>
      <w:r w:rsidR="008D3998" w:rsidRPr="009D5EA7">
        <w:rPr>
          <w:rFonts w:ascii="Verdana" w:hAnsi="Verdana" w:cs="Cambria"/>
          <w:sz w:val="20"/>
          <w:szCs w:val="20"/>
          <w:lang w:val="es-ES_tradnl"/>
        </w:rPr>
        <w:t xml:space="preserve"> f</w:t>
      </w:r>
      <w:r w:rsidR="00506E73" w:rsidRPr="009D5EA7">
        <w:rPr>
          <w:rFonts w:ascii="Verdana" w:hAnsi="Verdana" w:cs="Cambria"/>
          <w:sz w:val="20"/>
          <w:szCs w:val="20"/>
          <w:lang w:val="es-ES_tradnl"/>
        </w:rPr>
        <w:t>ortalecer</w:t>
      </w:r>
      <w:r w:rsidR="001451B0" w:rsidRPr="009D5EA7">
        <w:rPr>
          <w:rFonts w:ascii="Verdana" w:hAnsi="Verdana" w:cs="Cambria"/>
          <w:sz w:val="20"/>
          <w:szCs w:val="20"/>
          <w:lang w:val="es-ES_tradnl"/>
        </w:rPr>
        <w:t xml:space="preserve"> mecanismos para proteger eficazmente a testigos, víctimas y familiares que se encuentren en riesgo como resultado de su v</w:t>
      </w:r>
      <w:r w:rsidR="006B03D1" w:rsidRPr="009D5EA7">
        <w:rPr>
          <w:rFonts w:ascii="Verdana" w:hAnsi="Verdana" w:cs="Cambria"/>
          <w:sz w:val="20"/>
          <w:szCs w:val="20"/>
          <w:lang w:val="es-ES_tradnl"/>
        </w:rPr>
        <w:t xml:space="preserve">inculación a </w:t>
      </w:r>
      <w:r w:rsidR="00506E73" w:rsidRPr="009D5EA7">
        <w:rPr>
          <w:rFonts w:ascii="Verdana" w:hAnsi="Verdana" w:cs="Cambria"/>
          <w:sz w:val="20"/>
          <w:szCs w:val="20"/>
          <w:lang w:val="es-ES_tradnl"/>
        </w:rPr>
        <w:t>tales</w:t>
      </w:r>
      <w:r w:rsidR="006B03D1" w:rsidRPr="009D5EA7">
        <w:rPr>
          <w:rFonts w:ascii="Verdana" w:hAnsi="Verdana" w:cs="Cambria"/>
          <w:sz w:val="20"/>
          <w:szCs w:val="20"/>
          <w:lang w:val="es-ES_tradnl"/>
        </w:rPr>
        <w:t xml:space="preserve"> investigacione</w:t>
      </w:r>
      <w:r w:rsidR="00506E73" w:rsidRPr="009D5EA7">
        <w:rPr>
          <w:rFonts w:ascii="Verdana" w:hAnsi="Verdana" w:cs="Cambria"/>
          <w:sz w:val="20"/>
          <w:szCs w:val="20"/>
          <w:lang w:val="es-ES_tradnl"/>
        </w:rPr>
        <w:t>s</w:t>
      </w:r>
      <w:r w:rsidR="006B03D1" w:rsidRPr="009D5EA7">
        <w:rPr>
          <w:rFonts w:ascii="Verdana" w:hAnsi="Verdana" w:cs="Cambria"/>
          <w:sz w:val="20"/>
          <w:szCs w:val="20"/>
          <w:lang w:val="es-ES_tradnl"/>
        </w:rPr>
        <w:t>, tomando en cuenta, al menos, los siguientes requisitos</w:t>
      </w:r>
      <w:r w:rsidR="006B03D1" w:rsidRPr="009D5EA7">
        <w:rPr>
          <w:rStyle w:val="Refdenotaalpie"/>
          <w:rFonts w:ascii="Verdana" w:hAnsi="Verdana" w:cs="Arial"/>
          <w:sz w:val="20"/>
          <w:szCs w:val="20"/>
          <w:lang w:val="es-ES_tradnl" w:eastAsia="es-CR"/>
        </w:rPr>
        <w:footnoteReference w:id="204"/>
      </w:r>
      <w:r w:rsidR="006B03D1" w:rsidRPr="009D5EA7">
        <w:rPr>
          <w:rFonts w:ascii="Verdana" w:hAnsi="Verdana"/>
          <w:sz w:val="20"/>
          <w:szCs w:val="20"/>
          <w:lang w:val="es-ES_tradnl" w:eastAsia="es-CR"/>
        </w:rPr>
        <w:t>:</w:t>
      </w:r>
    </w:p>
    <w:p w14:paraId="053CD729" w14:textId="44813D9D" w:rsidR="006B03D1" w:rsidRPr="009D5EA7" w:rsidRDefault="006B03D1" w:rsidP="006B03D1">
      <w:pPr>
        <w:pStyle w:val="Estilo3"/>
        <w:numPr>
          <w:ilvl w:val="4"/>
          <w:numId w:val="26"/>
        </w:numPr>
        <w:spacing w:beforeLines="40" w:before="96"/>
        <w:ind w:left="720"/>
        <w:rPr>
          <w:rFonts w:cs="Verdana"/>
          <w:b/>
          <w:i/>
          <w:lang w:val="es-ES_tradnl" w:eastAsia="es-CR"/>
        </w:rPr>
      </w:pPr>
      <w:r w:rsidRPr="009D5EA7">
        <w:rPr>
          <w:lang w:val="es-ES_tradnl"/>
        </w:rPr>
        <w:t>la participación de defensores de derechos humanos, organizaciones de la sociedad civil y expertos en la elaboración de las normas que puedan regular un programa de protección al colectivo en cuestión</w:t>
      </w:r>
      <w:r w:rsidR="00506E73" w:rsidRPr="009D5EA7">
        <w:rPr>
          <w:lang w:val="es-ES_tradnl"/>
        </w:rPr>
        <w:t xml:space="preserve">, en lo cual sería particularmente relevante la participación de la oficina del </w:t>
      </w:r>
      <w:r w:rsidR="00713C0A">
        <w:rPr>
          <w:lang w:val="es-ES_tradnl"/>
        </w:rPr>
        <w:t>o</w:t>
      </w:r>
      <w:r w:rsidR="00506E73" w:rsidRPr="009D5EA7">
        <w:rPr>
          <w:lang w:val="es-ES_tradnl"/>
        </w:rPr>
        <w:t>mbuds</w:t>
      </w:r>
      <w:r w:rsidR="00713C0A">
        <w:rPr>
          <w:lang w:val="es-ES_tradnl"/>
        </w:rPr>
        <w:t>person</w:t>
      </w:r>
      <w:r w:rsidR="00506E73" w:rsidRPr="009D5EA7">
        <w:rPr>
          <w:lang w:val="es-ES_tradnl"/>
        </w:rPr>
        <w:t xml:space="preserve"> de Nicaragua</w:t>
      </w:r>
      <w:r w:rsidR="00713C0A">
        <w:rPr>
          <w:lang w:val="es-ES_tradnl"/>
        </w:rPr>
        <w:t xml:space="preserve"> (</w:t>
      </w:r>
      <w:r w:rsidR="00713C0A" w:rsidRPr="00B43BE4">
        <w:rPr>
          <w:lang w:val="es-ES_tradnl"/>
        </w:rPr>
        <w:t>Procuraduría para</w:t>
      </w:r>
      <w:r w:rsidR="00713C0A">
        <w:rPr>
          <w:lang w:val="es-ES_tradnl"/>
        </w:rPr>
        <w:t xml:space="preserve"> la Defensa de</w:t>
      </w:r>
      <w:r w:rsidR="00713C0A" w:rsidRPr="00B43BE4">
        <w:rPr>
          <w:lang w:val="es-ES_tradnl"/>
        </w:rPr>
        <w:t xml:space="preserve"> los Derechos Humanos</w:t>
      </w:r>
      <w:r w:rsidR="00713C0A">
        <w:rPr>
          <w:lang w:val="es-ES_tradnl"/>
        </w:rPr>
        <w:t>)</w:t>
      </w:r>
      <w:r w:rsidR="00506E73" w:rsidRPr="009D5EA7">
        <w:rPr>
          <w:lang w:val="es-ES_tradnl"/>
        </w:rPr>
        <w:t>, en el marco de sus competencias y de los programas que actualmente esté desarrollando</w:t>
      </w:r>
      <w:r w:rsidRPr="009D5EA7">
        <w:rPr>
          <w:lang w:val="es-ES_tradnl"/>
        </w:rPr>
        <w:t xml:space="preserve">; </w:t>
      </w:r>
    </w:p>
    <w:p w14:paraId="0A16FFF7" w14:textId="77777777" w:rsidR="006B03D1" w:rsidRPr="009D5EA7" w:rsidRDefault="006B03D1" w:rsidP="006B03D1">
      <w:pPr>
        <w:pStyle w:val="Estilo3"/>
        <w:numPr>
          <w:ilvl w:val="4"/>
          <w:numId w:val="26"/>
        </w:numPr>
        <w:spacing w:beforeLines="40" w:before="96"/>
        <w:ind w:left="720"/>
        <w:rPr>
          <w:rFonts w:cs="Verdana"/>
          <w:b/>
          <w:i/>
          <w:lang w:val="es-ES_tradnl" w:eastAsia="es-CR"/>
        </w:rPr>
      </w:pPr>
      <w:r w:rsidRPr="009D5EA7">
        <w:rPr>
          <w:lang w:val="es-ES_tradnl"/>
        </w:rPr>
        <w:t xml:space="preserve">el programa de protección debe abordar de forma integral e interinstitucional la problemática de acuerdo con el riesgo de cada situación y adoptar medidas de atención inmediata frente a denuncias de defensores y defensoras; </w:t>
      </w:r>
    </w:p>
    <w:p w14:paraId="2F664AF4" w14:textId="77777777" w:rsidR="006B03D1" w:rsidRPr="009D5EA7" w:rsidRDefault="006B03D1" w:rsidP="006B03D1">
      <w:pPr>
        <w:pStyle w:val="Estilo3"/>
        <w:numPr>
          <w:ilvl w:val="4"/>
          <w:numId w:val="26"/>
        </w:numPr>
        <w:spacing w:beforeLines="40" w:before="96"/>
        <w:ind w:left="720"/>
        <w:rPr>
          <w:rFonts w:cs="Verdana"/>
          <w:b/>
          <w:i/>
          <w:lang w:val="es-ES_tradnl" w:eastAsia="es-CR"/>
        </w:rPr>
      </w:pPr>
      <w:r w:rsidRPr="009D5EA7">
        <w:rPr>
          <w:lang w:val="es-ES_tradnl"/>
        </w:rPr>
        <w:t xml:space="preserve">la creación de un modelo de análisis de riesgo que permita determinar adecuadamente el riesgo y las necesidades de protección de cada defensor o grupo; </w:t>
      </w:r>
    </w:p>
    <w:p w14:paraId="02565143" w14:textId="77777777" w:rsidR="006B03D1" w:rsidRPr="009D5EA7" w:rsidRDefault="006B03D1" w:rsidP="006B03D1">
      <w:pPr>
        <w:pStyle w:val="Estilo3"/>
        <w:numPr>
          <w:ilvl w:val="4"/>
          <w:numId w:val="26"/>
        </w:numPr>
        <w:spacing w:beforeLines="40" w:before="96"/>
        <w:ind w:left="720"/>
        <w:rPr>
          <w:rFonts w:cs="Verdana"/>
          <w:b/>
          <w:i/>
          <w:lang w:val="es-ES_tradnl" w:eastAsia="es-CR"/>
        </w:rPr>
      </w:pPr>
      <w:r w:rsidRPr="009D5EA7">
        <w:rPr>
          <w:lang w:val="es-ES_tradnl"/>
        </w:rPr>
        <w:t xml:space="preserve">la creación de un sistema de gestión de la información sobre la situación de prevención y protección de los defensores de derechos humanos; </w:t>
      </w:r>
    </w:p>
    <w:p w14:paraId="4EDBFEF2" w14:textId="77777777" w:rsidR="006B03D1" w:rsidRPr="009D5EA7" w:rsidRDefault="006B03D1" w:rsidP="006B03D1">
      <w:pPr>
        <w:pStyle w:val="Estilo3"/>
        <w:numPr>
          <w:ilvl w:val="4"/>
          <w:numId w:val="26"/>
        </w:numPr>
        <w:spacing w:beforeLines="40" w:before="96"/>
        <w:ind w:left="720"/>
        <w:rPr>
          <w:rFonts w:cs="Verdana"/>
          <w:b/>
          <w:i/>
          <w:lang w:val="es-ES_tradnl" w:eastAsia="es-CR"/>
        </w:rPr>
      </w:pPr>
      <w:r w:rsidRPr="009D5EA7">
        <w:rPr>
          <w:lang w:val="es-ES_tradnl"/>
        </w:rPr>
        <w:t xml:space="preserve">la promoción de una cultura de legitimación y protección de la labor de las defensoras y los defensores de derechos humanos, y </w:t>
      </w:r>
    </w:p>
    <w:p w14:paraId="68D07C67" w14:textId="77777777" w:rsidR="006B03D1" w:rsidRPr="009D5EA7" w:rsidRDefault="006B03D1" w:rsidP="006B03D1">
      <w:pPr>
        <w:pStyle w:val="Estilo3"/>
        <w:numPr>
          <w:ilvl w:val="4"/>
          <w:numId w:val="26"/>
        </w:numPr>
        <w:spacing w:beforeLines="40" w:before="96"/>
        <w:ind w:left="720"/>
        <w:rPr>
          <w:rFonts w:cs="Verdana"/>
          <w:b/>
          <w:i/>
          <w:lang w:val="es-ES_tradnl" w:eastAsia="es-CR"/>
        </w:rPr>
      </w:pPr>
      <w:r w:rsidRPr="009D5EA7">
        <w:rPr>
          <w:lang w:val="es-ES_tradnl"/>
        </w:rPr>
        <w:t>l</w:t>
      </w:r>
      <w:r w:rsidRPr="009D5EA7">
        <w:rPr>
          <w:rFonts w:eastAsia="Times New Roman"/>
          <w:lang w:val="es-ES_tradnl"/>
        </w:rPr>
        <w:t>a dotación de los recursos humanos y financieros suficientes que responda a las necesidades reales de protección de las defensoras y los defensores de derechos humanos.</w:t>
      </w:r>
    </w:p>
    <w:p w14:paraId="7CE03464" w14:textId="77777777" w:rsidR="00C165DA" w:rsidRPr="009D5EA7" w:rsidRDefault="00C165DA" w:rsidP="00C165DA">
      <w:pPr>
        <w:autoSpaceDE w:val="0"/>
        <w:autoSpaceDN w:val="0"/>
        <w:adjustRightInd w:val="0"/>
        <w:spacing w:after="0" w:line="240" w:lineRule="auto"/>
        <w:ind w:right="49"/>
        <w:contextualSpacing/>
        <w:jc w:val="both"/>
        <w:rPr>
          <w:rFonts w:ascii="Verdana" w:hAnsi="Verdana" w:cs="Cambria"/>
          <w:sz w:val="20"/>
          <w:szCs w:val="20"/>
          <w:lang w:val="es-ES_tradnl"/>
        </w:rPr>
      </w:pPr>
    </w:p>
    <w:p w14:paraId="21416A3D" w14:textId="2D2592B8" w:rsidR="006B03D1" w:rsidRPr="009D5EA7" w:rsidRDefault="006B03D1" w:rsidP="006B03D1">
      <w:pPr>
        <w:numPr>
          <w:ilvl w:val="0"/>
          <w:numId w:val="5"/>
        </w:numPr>
        <w:autoSpaceDE w:val="0"/>
        <w:autoSpaceDN w:val="0"/>
        <w:adjustRightInd w:val="0"/>
        <w:spacing w:after="0" w:line="240" w:lineRule="auto"/>
        <w:ind w:left="0" w:right="49" w:firstLine="0"/>
        <w:contextualSpacing/>
        <w:jc w:val="both"/>
        <w:rPr>
          <w:rFonts w:ascii="Verdana" w:hAnsi="Verdana" w:cs="Cambria"/>
          <w:sz w:val="20"/>
          <w:szCs w:val="20"/>
          <w:lang w:val="es-ES_tradnl"/>
        </w:rPr>
      </w:pPr>
      <w:r w:rsidRPr="009D5EA7">
        <w:rPr>
          <w:rFonts w:ascii="Verdana" w:hAnsi="Verdana" w:cs="Cambria"/>
          <w:sz w:val="20"/>
          <w:szCs w:val="20"/>
          <w:lang w:val="es-ES_tradnl"/>
        </w:rPr>
        <w:t>Asimismo, el Estado debe presentar informes anuales</w:t>
      </w:r>
      <w:r w:rsidR="00D734E8" w:rsidRPr="009D5EA7">
        <w:rPr>
          <w:rFonts w:ascii="Verdana" w:hAnsi="Verdana" w:cs="Cambria"/>
          <w:sz w:val="20"/>
          <w:szCs w:val="20"/>
          <w:lang w:val="es-ES_tradnl"/>
        </w:rPr>
        <w:t>, el primero de ellos</w:t>
      </w:r>
      <w:r w:rsidRPr="009D5EA7">
        <w:rPr>
          <w:rFonts w:ascii="Verdana" w:hAnsi="Verdana" w:cs="Cambria"/>
          <w:sz w:val="20"/>
          <w:szCs w:val="20"/>
          <w:lang w:val="es-ES_tradnl"/>
        </w:rPr>
        <w:t xml:space="preserve"> en el plazo de un año</w:t>
      </w:r>
      <w:r w:rsidR="00D734E8" w:rsidRPr="009D5EA7">
        <w:rPr>
          <w:rFonts w:ascii="Verdana" w:hAnsi="Verdana" w:cs="Cambria"/>
          <w:sz w:val="20"/>
          <w:szCs w:val="20"/>
          <w:lang w:val="es-ES_tradnl"/>
        </w:rPr>
        <w:t>,</w:t>
      </w:r>
      <w:r w:rsidRPr="009D5EA7">
        <w:rPr>
          <w:rFonts w:ascii="Verdana" w:hAnsi="Verdana" w:cs="Cambria"/>
          <w:sz w:val="20"/>
          <w:szCs w:val="20"/>
          <w:lang w:val="es-ES_tradnl"/>
        </w:rPr>
        <w:t xml:space="preserve"> sobre las acciones que se ha</w:t>
      </w:r>
      <w:r w:rsidR="00506E73" w:rsidRPr="009D5EA7">
        <w:rPr>
          <w:rFonts w:ascii="Verdana" w:hAnsi="Verdana" w:cs="Cambria"/>
          <w:sz w:val="20"/>
          <w:szCs w:val="20"/>
          <w:lang w:val="es-ES_tradnl"/>
        </w:rPr>
        <w:t>ya</w:t>
      </w:r>
      <w:r w:rsidRPr="009D5EA7">
        <w:rPr>
          <w:rFonts w:ascii="Verdana" w:hAnsi="Verdana" w:cs="Cambria"/>
          <w:sz w:val="20"/>
          <w:szCs w:val="20"/>
          <w:lang w:val="es-ES_tradnl"/>
        </w:rPr>
        <w:t>n realizado</w:t>
      </w:r>
      <w:r w:rsidR="00D734E8" w:rsidRPr="009D5EA7">
        <w:rPr>
          <w:rFonts w:ascii="Verdana" w:hAnsi="Verdana" w:cs="Cambria"/>
          <w:sz w:val="20"/>
          <w:szCs w:val="20"/>
          <w:lang w:val="es-ES_tradnl"/>
        </w:rPr>
        <w:t xml:space="preserve"> para la implementación de dichos</w:t>
      </w:r>
      <w:r w:rsidRPr="009D5EA7">
        <w:rPr>
          <w:rFonts w:ascii="Verdana" w:hAnsi="Verdana" w:cs="Cambria"/>
          <w:sz w:val="20"/>
          <w:szCs w:val="20"/>
          <w:lang w:val="es-ES_tradnl"/>
        </w:rPr>
        <w:t xml:space="preserve"> </w:t>
      </w:r>
      <w:r w:rsidR="00D734E8" w:rsidRPr="009D5EA7">
        <w:rPr>
          <w:rFonts w:ascii="Verdana" w:hAnsi="Verdana" w:cs="Cambria"/>
          <w:sz w:val="20"/>
          <w:szCs w:val="20"/>
          <w:lang w:val="es-ES_tradnl"/>
        </w:rPr>
        <w:t>mecanismos y protocolos</w:t>
      </w:r>
      <w:r w:rsidRPr="009D5EA7">
        <w:rPr>
          <w:rFonts w:ascii="Verdana" w:hAnsi="Verdana" w:cs="Cambria"/>
          <w:sz w:val="20"/>
          <w:szCs w:val="20"/>
          <w:lang w:val="es-ES_tradnl"/>
        </w:rPr>
        <w:t>.</w:t>
      </w:r>
      <w:r w:rsidR="00D734E8" w:rsidRPr="009D5EA7">
        <w:rPr>
          <w:rFonts w:ascii="Verdana" w:hAnsi="Verdana" w:cs="Cambria"/>
          <w:sz w:val="20"/>
          <w:szCs w:val="20"/>
          <w:lang w:val="es-ES_tradnl"/>
        </w:rPr>
        <w:t xml:space="preserve"> En este sentido, </w:t>
      </w:r>
      <w:r w:rsidR="0034569C" w:rsidRPr="00344EAC">
        <w:rPr>
          <w:rFonts w:ascii="Verdana" w:hAnsi="Verdana" w:cs="Cambria"/>
          <w:sz w:val="20"/>
          <w:szCs w:val="20"/>
          <w:lang w:val="es-ES_tradnl"/>
        </w:rPr>
        <w:t>la Corte podrá solicitar a</w:t>
      </w:r>
      <w:r w:rsidR="0034569C">
        <w:rPr>
          <w:rFonts w:ascii="Verdana" w:hAnsi="Verdana" w:cs="Cambria"/>
          <w:b/>
          <w:sz w:val="20"/>
          <w:szCs w:val="20"/>
          <w:lang w:val="es-ES_tradnl"/>
        </w:rPr>
        <w:t xml:space="preserve"> </w:t>
      </w:r>
      <w:r w:rsidR="00D734E8" w:rsidRPr="009D5EA7">
        <w:rPr>
          <w:rFonts w:ascii="Verdana" w:hAnsi="Verdana" w:cs="Cambria"/>
          <w:sz w:val="20"/>
          <w:szCs w:val="20"/>
          <w:lang w:val="es-ES_tradnl"/>
        </w:rPr>
        <w:t>la oficina d</w:t>
      </w:r>
      <w:r w:rsidR="00713C0A">
        <w:rPr>
          <w:rFonts w:ascii="Verdana" w:hAnsi="Verdana" w:cs="Cambria"/>
          <w:sz w:val="20"/>
          <w:szCs w:val="20"/>
          <w:lang w:val="es-ES_tradnl"/>
        </w:rPr>
        <w:t>e la</w:t>
      </w:r>
      <w:r w:rsidR="00713C0A" w:rsidRPr="00713C0A">
        <w:rPr>
          <w:rFonts w:ascii="Verdana" w:hAnsi="Verdana"/>
          <w:sz w:val="20"/>
          <w:szCs w:val="20"/>
          <w:lang w:val="es-ES_tradnl"/>
        </w:rPr>
        <w:t xml:space="preserve"> </w:t>
      </w:r>
      <w:r w:rsidR="00713C0A" w:rsidRPr="00B43BE4">
        <w:rPr>
          <w:rFonts w:ascii="Verdana" w:hAnsi="Verdana"/>
          <w:sz w:val="20"/>
          <w:szCs w:val="20"/>
          <w:lang w:val="es-ES_tradnl"/>
        </w:rPr>
        <w:t>Procuraduría para</w:t>
      </w:r>
      <w:r w:rsidR="00713C0A">
        <w:rPr>
          <w:rFonts w:ascii="Verdana" w:hAnsi="Verdana"/>
          <w:sz w:val="20"/>
          <w:szCs w:val="20"/>
          <w:lang w:val="es-ES_tradnl"/>
        </w:rPr>
        <w:t xml:space="preserve"> la Defensa de</w:t>
      </w:r>
      <w:r w:rsidR="00713C0A" w:rsidRPr="00B43BE4">
        <w:rPr>
          <w:rFonts w:ascii="Verdana" w:hAnsi="Verdana"/>
          <w:sz w:val="20"/>
          <w:szCs w:val="20"/>
          <w:lang w:val="es-ES_tradnl"/>
        </w:rPr>
        <w:t xml:space="preserve"> los Derechos Humanos</w:t>
      </w:r>
      <w:r w:rsidR="00713C0A" w:rsidRPr="004E6CF7">
        <w:rPr>
          <w:rFonts w:ascii="Verdana" w:hAnsi="Verdana"/>
          <w:sz w:val="20"/>
          <w:szCs w:val="20"/>
          <w:lang w:val="es-ES_tradnl"/>
        </w:rPr>
        <w:t xml:space="preserve"> </w:t>
      </w:r>
      <w:r w:rsidR="00D734E8" w:rsidRPr="009D5EA7">
        <w:rPr>
          <w:rFonts w:ascii="Verdana" w:hAnsi="Verdana" w:cs="Cambria"/>
          <w:sz w:val="20"/>
          <w:szCs w:val="20"/>
          <w:lang w:val="es-ES_tradnl"/>
        </w:rPr>
        <w:t xml:space="preserve">de Nicaragua </w:t>
      </w:r>
      <w:r w:rsidR="0034569C">
        <w:rPr>
          <w:rFonts w:ascii="Verdana" w:hAnsi="Verdana" w:cs="Cambria"/>
          <w:sz w:val="20"/>
          <w:szCs w:val="20"/>
          <w:lang w:val="es-ES_tradnl"/>
        </w:rPr>
        <w:t>que rinda</w:t>
      </w:r>
      <w:r w:rsidR="00D734E8" w:rsidRPr="009D5EA7">
        <w:rPr>
          <w:rFonts w:ascii="Verdana" w:hAnsi="Verdana" w:cs="Cambria"/>
          <w:sz w:val="20"/>
          <w:szCs w:val="20"/>
          <w:lang w:val="es-ES_tradnl"/>
        </w:rPr>
        <w:t xml:space="preserve"> sus propios informes en el marco de la supervisión de cumplimiento de la presente Sentencia. </w:t>
      </w:r>
    </w:p>
    <w:p w14:paraId="55B0F836" w14:textId="77777777" w:rsidR="006B03D1" w:rsidRPr="009D5EA7" w:rsidRDefault="006B03D1" w:rsidP="00EF6522">
      <w:pPr>
        <w:autoSpaceDE w:val="0"/>
        <w:autoSpaceDN w:val="0"/>
        <w:adjustRightInd w:val="0"/>
        <w:spacing w:after="0" w:line="240" w:lineRule="auto"/>
        <w:ind w:right="49"/>
        <w:contextualSpacing/>
        <w:jc w:val="both"/>
        <w:rPr>
          <w:rFonts w:ascii="Verdana" w:eastAsia="Calibri" w:hAnsi="Verdana" w:cs="Times New Roman"/>
          <w:b/>
          <w:sz w:val="20"/>
          <w:szCs w:val="20"/>
          <w:lang w:val="es-ES_tradnl"/>
        </w:rPr>
      </w:pPr>
    </w:p>
    <w:p w14:paraId="71AC02A8" w14:textId="37C21A42" w:rsidR="00EF6522" w:rsidRPr="009D5EA7" w:rsidRDefault="00170D6C" w:rsidP="007F398D">
      <w:pPr>
        <w:pStyle w:val="Ttulo2"/>
        <w:numPr>
          <w:ilvl w:val="0"/>
          <w:numId w:val="0"/>
        </w:numPr>
        <w:ind w:firstLine="708"/>
        <w:rPr>
          <w:rFonts w:ascii="Verdana" w:hAnsi="Verdana"/>
          <w:i/>
          <w:sz w:val="20"/>
          <w:lang w:val="es-ES_tradnl"/>
        </w:rPr>
      </w:pPr>
      <w:bookmarkStart w:id="30" w:name="_Toc476251468"/>
      <w:r>
        <w:rPr>
          <w:rFonts w:ascii="Verdana" w:hAnsi="Verdana"/>
          <w:i/>
          <w:sz w:val="20"/>
          <w:lang w:val="es-ES_tradnl"/>
        </w:rPr>
        <w:lastRenderedPageBreak/>
        <w:t>E</w:t>
      </w:r>
      <w:r w:rsidR="007F398D" w:rsidRPr="009D5EA7">
        <w:rPr>
          <w:rFonts w:ascii="Verdana" w:hAnsi="Verdana"/>
          <w:i/>
          <w:sz w:val="20"/>
          <w:lang w:val="es-ES_tradnl"/>
        </w:rPr>
        <w:t>.</w:t>
      </w:r>
      <w:r w:rsidR="007F398D" w:rsidRPr="009D5EA7">
        <w:rPr>
          <w:rFonts w:ascii="Verdana" w:hAnsi="Verdana"/>
          <w:i/>
          <w:sz w:val="20"/>
          <w:lang w:val="es-ES_tradnl"/>
        </w:rPr>
        <w:tab/>
      </w:r>
      <w:r w:rsidR="00EF6522" w:rsidRPr="009D5EA7">
        <w:rPr>
          <w:rFonts w:ascii="Verdana" w:hAnsi="Verdana"/>
          <w:i/>
          <w:sz w:val="20"/>
          <w:lang w:val="es-ES_tradnl"/>
        </w:rPr>
        <w:t>Otras medidas solicitadas</w:t>
      </w:r>
      <w:bookmarkEnd w:id="30"/>
    </w:p>
    <w:p w14:paraId="0E073EAE" w14:textId="77777777" w:rsidR="00222874" w:rsidRPr="009D5EA7" w:rsidRDefault="00222874" w:rsidP="00EF6522">
      <w:pPr>
        <w:spacing w:after="0"/>
        <w:jc w:val="both"/>
        <w:rPr>
          <w:rFonts w:ascii="Verdana" w:eastAsia="Calibri" w:hAnsi="Verdana" w:cs="Times New Roman"/>
          <w:i/>
          <w:sz w:val="20"/>
          <w:szCs w:val="20"/>
          <w:lang w:val="es-ES_tradnl"/>
        </w:rPr>
      </w:pPr>
    </w:p>
    <w:p w14:paraId="00A9827D" w14:textId="20762B07" w:rsidR="00EF6522" w:rsidRPr="009D5EA7" w:rsidRDefault="00332C9F" w:rsidP="00332C9F">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b/>
          <w:sz w:val="20"/>
          <w:szCs w:val="20"/>
          <w:lang w:val="es-ES_tradnl"/>
        </w:rPr>
      </w:pPr>
      <w:r w:rsidRPr="009D5EA7">
        <w:rPr>
          <w:rFonts w:ascii="Verdana" w:eastAsia="Calibri" w:hAnsi="Verdana" w:cs="Times New Roman"/>
          <w:sz w:val="20"/>
          <w:szCs w:val="20"/>
          <w:lang w:val="es-ES_tradnl"/>
        </w:rPr>
        <w:t>La</w:t>
      </w:r>
      <w:r w:rsidR="00EF6522" w:rsidRPr="009D5EA7">
        <w:rPr>
          <w:rFonts w:ascii="Verdana" w:eastAsia="Calibri" w:hAnsi="Verdana" w:cs="Times New Roman"/>
          <w:sz w:val="20"/>
          <w:szCs w:val="20"/>
          <w:lang w:val="es-ES_tradnl"/>
        </w:rPr>
        <w:t>s</w:t>
      </w:r>
      <w:r w:rsidR="00EF6522" w:rsidRPr="009D5EA7">
        <w:rPr>
          <w:rFonts w:ascii="Verdana" w:eastAsia="Calibri" w:hAnsi="Verdana" w:cs="Times New Roman"/>
          <w:b/>
          <w:i/>
          <w:sz w:val="20"/>
          <w:szCs w:val="20"/>
          <w:lang w:val="es-ES_tradnl"/>
        </w:rPr>
        <w:t xml:space="preserve"> </w:t>
      </w:r>
      <w:r w:rsidR="00EF6522" w:rsidRPr="009D5EA7">
        <w:rPr>
          <w:rFonts w:ascii="Verdana" w:eastAsia="Calibri" w:hAnsi="Verdana" w:cs="Times New Roman"/>
          <w:b/>
          <w:sz w:val="20"/>
          <w:szCs w:val="20"/>
          <w:lang w:val="es-ES_tradnl"/>
        </w:rPr>
        <w:t>representantes</w:t>
      </w:r>
      <w:r w:rsidR="00EF6522" w:rsidRPr="009D5EA7">
        <w:rPr>
          <w:rFonts w:ascii="Verdana" w:eastAsia="Calibri" w:hAnsi="Verdana" w:cs="Times New Roman"/>
          <w:sz w:val="20"/>
          <w:szCs w:val="20"/>
          <w:lang w:val="es-ES_tradnl"/>
        </w:rPr>
        <w:t xml:space="preserve"> </w:t>
      </w:r>
      <w:r w:rsidRPr="009D5EA7">
        <w:rPr>
          <w:rFonts w:ascii="Verdana" w:hAnsi="Verdana"/>
          <w:sz w:val="20"/>
          <w:szCs w:val="20"/>
          <w:lang w:val="es-ES_tradnl"/>
        </w:rPr>
        <w:t>solicitaron que se ordene al Esta</w:t>
      </w:r>
      <w:r w:rsidR="00C61837" w:rsidRPr="009D5EA7">
        <w:rPr>
          <w:rFonts w:ascii="Verdana" w:hAnsi="Verdana"/>
          <w:sz w:val="20"/>
          <w:szCs w:val="20"/>
          <w:lang w:val="es-ES_tradnl"/>
        </w:rPr>
        <w:t>d</w:t>
      </w:r>
      <w:r w:rsidRPr="009D5EA7">
        <w:rPr>
          <w:rFonts w:ascii="Verdana" w:hAnsi="Verdana"/>
          <w:sz w:val="20"/>
          <w:szCs w:val="20"/>
          <w:lang w:val="es-ES_tradnl"/>
        </w:rPr>
        <w:t>o garantizar una adecuada atención psicológica a las víctimas</w:t>
      </w:r>
      <w:r w:rsidRPr="009D5EA7">
        <w:rPr>
          <w:rStyle w:val="Refdenotaalpie"/>
          <w:rFonts w:ascii="Verdana" w:hAnsi="Verdana"/>
          <w:sz w:val="20"/>
          <w:szCs w:val="20"/>
          <w:lang w:val="es-ES_tradnl"/>
        </w:rPr>
        <w:footnoteReference w:id="205"/>
      </w:r>
      <w:r w:rsidR="00EF6522" w:rsidRPr="009D5EA7">
        <w:rPr>
          <w:rFonts w:ascii="Verdana" w:eastAsia="Calibri" w:hAnsi="Verdana" w:cs="Times New Roman"/>
          <w:sz w:val="20"/>
          <w:szCs w:val="20"/>
          <w:lang w:val="es-ES_tradnl"/>
        </w:rPr>
        <w:t>.</w:t>
      </w:r>
      <w:r w:rsidR="00EF6522" w:rsidRPr="009D5EA7">
        <w:rPr>
          <w:rFonts w:ascii="Verdana" w:eastAsia="Calibri" w:hAnsi="Verdana" w:cs="Times New Roman"/>
          <w:b/>
          <w:sz w:val="20"/>
          <w:szCs w:val="20"/>
          <w:lang w:val="es-ES_tradnl"/>
        </w:rPr>
        <w:t xml:space="preserve"> </w:t>
      </w:r>
      <w:r w:rsidR="00C61837" w:rsidRPr="009D5EA7">
        <w:rPr>
          <w:rFonts w:ascii="Verdana" w:eastAsia="Calibri" w:hAnsi="Verdana" w:cs="Times New Roman"/>
          <w:sz w:val="20"/>
          <w:szCs w:val="20"/>
          <w:lang w:val="es-ES_tradnl"/>
        </w:rPr>
        <w:t xml:space="preserve">El </w:t>
      </w:r>
      <w:r w:rsidR="00C61837" w:rsidRPr="009D5EA7">
        <w:rPr>
          <w:rFonts w:ascii="Verdana" w:eastAsia="Calibri" w:hAnsi="Verdana" w:cs="Times New Roman"/>
          <w:b/>
          <w:sz w:val="20"/>
          <w:szCs w:val="20"/>
          <w:lang w:val="es-ES_tradnl"/>
        </w:rPr>
        <w:t>Estado</w:t>
      </w:r>
      <w:r w:rsidR="00C61837" w:rsidRPr="009D5EA7">
        <w:rPr>
          <w:rFonts w:ascii="Verdana" w:eastAsia="Calibri" w:hAnsi="Verdana" w:cs="Times New Roman"/>
          <w:sz w:val="20"/>
          <w:szCs w:val="20"/>
          <w:lang w:val="es-ES_tradnl"/>
        </w:rPr>
        <w:t xml:space="preserve"> alegó que no tiene responsabilidad en la afectación psicológica que pudieran haber sufrido las presuntas víctimas, pues garantizó un proceso judicial efectivo, garantizando la seguridad jurídica y la tutela judicial de las partes. </w:t>
      </w:r>
      <w:r w:rsidR="00EF6522" w:rsidRPr="009D5EA7">
        <w:rPr>
          <w:rFonts w:ascii="Verdana" w:hAnsi="Verdana"/>
          <w:sz w:val="20"/>
          <w:szCs w:val="20"/>
          <w:lang w:val="es-ES_tradnl"/>
        </w:rPr>
        <w:t xml:space="preserve">La </w:t>
      </w:r>
      <w:r w:rsidR="00EF6522" w:rsidRPr="009D5EA7">
        <w:rPr>
          <w:rFonts w:ascii="Verdana" w:hAnsi="Verdana"/>
          <w:b/>
          <w:sz w:val="20"/>
          <w:szCs w:val="20"/>
          <w:lang w:val="es-ES_tradnl"/>
        </w:rPr>
        <w:t>Corte</w:t>
      </w:r>
      <w:r w:rsidR="00EF6522" w:rsidRPr="009D5EA7">
        <w:rPr>
          <w:rFonts w:ascii="Verdana" w:hAnsi="Verdana"/>
          <w:sz w:val="20"/>
          <w:szCs w:val="20"/>
          <w:lang w:val="es-ES_tradnl"/>
        </w:rPr>
        <w:t xml:space="preserve"> considera que, dado el tiempo transcurrido, no corresponde en este caso ordenar al Estado que brinde un tratamiento adecuado, pudiendo considerarse ese rubro </w:t>
      </w:r>
      <w:r w:rsidR="00344EAC">
        <w:rPr>
          <w:rFonts w:ascii="Verdana" w:hAnsi="Verdana"/>
          <w:sz w:val="20"/>
          <w:szCs w:val="20"/>
          <w:lang w:val="es-ES_tradnl"/>
        </w:rPr>
        <w:t xml:space="preserve">comprendido </w:t>
      </w:r>
      <w:r w:rsidR="00EF6522" w:rsidRPr="009D5EA7">
        <w:rPr>
          <w:rFonts w:ascii="Verdana" w:hAnsi="Verdana"/>
          <w:sz w:val="20"/>
          <w:szCs w:val="20"/>
          <w:lang w:val="es-ES_tradnl"/>
        </w:rPr>
        <w:t>dentro de las indemnizaciones compensat</w:t>
      </w:r>
      <w:r w:rsidR="00D734E8" w:rsidRPr="009D5EA7">
        <w:rPr>
          <w:rFonts w:ascii="Verdana" w:hAnsi="Verdana"/>
          <w:sz w:val="20"/>
          <w:szCs w:val="20"/>
          <w:lang w:val="es-ES_tradnl"/>
        </w:rPr>
        <w:t>orias disp</w:t>
      </w:r>
      <w:r w:rsidR="00344EAC">
        <w:rPr>
          <w:rFonts w:ascii="Verdana" w:hAnsi="Verdana"/>
          <w:sz w:val="20"/>
          <w:szCs w:val="20"/>
          <w:lang w:val="es-ES_tradnl"/>
        </w:rPr>
        <w:t>uestas a favor de las víctimas</w:t>
      </w:r>
      <w:r w:rsidR="00775824" w:rsidRPr="009D5EA7">
        <w:rPr>
          <w:rStyle w:val="Refdenotaalpie"/>
          <w:rFonts w:ascii="Verdana" w:hAnsi="Verdana"/>
          <w:sz w:val="20"/>
          <w:szCs w:val="20"/>
          <w:lang w:val="es-ES_tradnl"/>
        </w:rPr>
        <w:footnoteReference w:id="206"/>
      </w:r>
      <w:r w:rsidR="00EF6522" w:rsidRPr="009D5EA7">
        <w:rPr>
          <w:rFonts w:ascii="Verdana" w:hAnsi="Verdana"/>
          <w:sz w:val="20"/>
          <w:szCs w:val="20"/>
          <w:lang w:val="es-ES_tradnl"/>
        </w:rPr>
        <w:t xml:space="preserve">.  </w:t>
      </w:r>
    </w:p>
    <w:p w14:paraId="50CFB080" w14:textId="77777777" w:rsidR="00820B9B" w:rsidRPr="009D5EA7" w:rsidRDefault="00820B9B" w:rsidP="00820B9B">
      <w:pPr>
        <w:autoSpaceDE w:val="0"/>
        <w:autoSpaceDN w:val="0"/>
        <w:adjustRightInd w:val="0"/>
        <w:spacing w:after="0" w:line="240" w:lineRule="auto"/>
        <w:ind w:right="49"/>
        <w:contextualSpacing/>
        <w:jc w:val="both"/>
        <w:rPr>
          <w:rFonts w:ascii="Verdana" w:eastAsia="Calibri" w:hAnsi="Verdana" w:cs="Times New Roman"/>
          <w:b/>
          <w:sz w:val="20"/>
          <w:szCs w:val="20"/>
          <w:lang w:val="es-ES_tradnl"/>
        </w:rPr>
      </w:pPr>
    </w:p>
    <w:p w14:paraId="0F05AECA" w14:textId="3EB589E0" w:rsidR="00332C9F" w:rsidRPr="009D5EA7" w:rsidRDefault="00332C9F" w:rsidP="00332C9F">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9D5EA7">
        <w:rPr>
          <w:rFonts w:ascii="Verdana" w:eastAsia="Calibri" w:hAnsi="Verdana" w:cs="Times New Roman"/>
          <w:sz w:val="20"/>
          <w:szCs w:val="20"/>
          <w:lang w:val="es-ES_tradnl"/>
        </w:rPr>
        <w:t xml:space="preserve">En cuanto a otras medidas solicitadas por la </w:t>
      </w:r>
      <w:r w:rsidRPr="009D5EA7">
        <w:rPr>
          <w:rFonts w:ascii="Verdana" w:eastAsia="Calibri" w:hAnsi="Verdana" w:cs="Times New Roman"/>
          <w:b/>
          <w:sz w:val="20"/>
          <w:szCs w:val="20"/>
          <w:lang w:val="es-ES_tradnl"/>
        </w:rPr>
        <w:t>Comisión</w:t>
      </w:r>
      <w:r w:rsidRPr="009D5EA7">
        <w:rPr>
          <w:rStyle w:val="Refdenotaalpie"/>
          <w:rFonts w:ascii="Verdana" w:eastAsia="Calibri" w:hAnsi="Verdana" w:cs="Times New Roman"/>
          <w:sz w:val="20"/>
          <w:szCs w:val="20"/>
          <w:lang w:val="es-ES_tradnl"/>
        </w:rPr>
        <w:footnoteReference w:id="207"/>
      </w:r>
      <w:r w:rsidRPr="009D5EA7">
        <w:rPr>
          <w:rFonts w:ascii="Verdana" w:eastAsia="Calibri" w:hAnsi="Verdana" w:cs="Times New Roman"/>
          <w:sz w:val="20"/>
          <w:szCs w:val="20"/>
          <w:lang w:val="es-ES_tradnl"/>
        </w:rPr>
        <w:t xml:space="preserve">, </w:t>
      </w:r>
      <w:r w:rsidR="00C61837" w:rsidRPr="009D5EA7">
        <w:rPr>
          <w:rFonts w:ascii="Verdana" w:eastAsia="Calibri" w:hAnsi="Verdana" w:cs="Times New Roman"/>
          <w:sz w:val="20"/>
          <w:szCs w:val="20"/>
          <w:lang w:val="es-ES_tradnl"/>
        </w:rPr>
        <w:t xml:space="preserve">el </w:t>
      </w:r>
      <w:r w:rsidR="00C61837" w:rsidRPr="009D5EA7">
        <w:rPr>
          <w:rFonts w:ascii="Verdana" w:eastAsia="Calibri" w:hAnsi="Verdana" w:cs="Times New Roman"/>
          <w:b/>
          <w:sz w:val="20"/>
          <w:szCs w:val="20"/>
          <w:lang w:val="es-ES_tradnl"/>
        </w:rPr>
        <w:t>Estado</w:t>
      </w:r>
      <w:r w:rsidR="00C61837" w:rsidRPr="009D5EA7">
        <w:rPr>
          <w:rFonts w:ascii="Verdana" w:eastAsia="Calibri" w:hAnsi="Verdana" w:cs="Times New Roman"/>
          <w:sz w:val="20"/>
          <w:szCs w:val="20"/>
          <w:lang w:val="es-ES_tradnl"/>
        </w:rPr>
        <w:t xml:space="preserve"> reiteró que la sentencia podría ser una reparación suficiente y que cuenta con abundante normativa para garantizar la labor de protección de derechos humanos y sus defensores. Al respecto, </w:t>
      </w:r>
      <w:r w:rsidRPr="009D5EA7">
        <w:rPr>
          <w:rFonts w:ascii="Verdana" w:eastAsia="Calibri" w:hAnsi="Verdana" w:cs="Times New Roman"/>
          <w:sz w:val="20"/>
          <w:szCs w:val="20"/>
          <w:lang w:val="es-ES_tradnl"/>
        </w:rPr>
        <w:t>la</w:t>
      </w:r>
      <w:r w:rsidRPr="009D5EA7">
        <w:rPr>
          <w:rFonts w:ascii="Verdana" w:eastAsia="Calibri" w:hAnsi="Verdana" w:cs="Times New Roman"/>
          <w:b/>
          <w:sz w:val="20"/>
          <w:szCs w:val="20"/>
          <w:lang w:val="es-ES_tradnl"/>
        </w:rPr>
        <w:t xml:space="preserve"> Corte </w:t>
      </w:r>
      <w:r w:rsidRPr="009D5EA7">
        <w:rPr>
          <w:rFonts w:ascii="Verdana" w:eastAsia="Calibri" w:hAnsi="Verdana" w:cs="Times New Roman"/>
          <w:sz w:val="20"/>
          <w:szCs w:val="20"/>
          <w:lang w:val="es-ES_tradnl"/>
        </w:rPr>
        <w:t xml:space="preserve">hace notar que </w:t>
      </w:r>
      <w:r w:rsidR="00C61837" w:rsidRPr="009D5EA7">
        <w:rPr>
          <w:rFonts w:ascii="Verdana" w:eastAsia="Calibri" w:hAnsi="Verdana" w:cs="Times New Roman"/>
          <w:sz w:val="20"/>
          <w:szCs w:val="20"/>
          <w:lang w:val="es-ES_tradnl"/>
        </w:rPr>
        <w:t xml:space="preserve">la Comisión </w:t>
      </w:r>
      <w:r w:rsidRPr="009D5EA7">
        <w:rPr>
          <w:rFonts w:ascii="Verdana" w:eastAsia="Calibri" w:hAnsi="Verdana" w:cs="Times New Roman"/>
          <w:sz w:val="20"/>
          <w:szCs w:val="20"/>
          <w:lang w:val="es-ES_tradnl"/>
        </w:rPr>
        <w:t xml:space="preserve">no </w:t>
      </w:r>
      <w:r w:rsidRPr="009D5EA7">
        <w:rPr>
          <w:rFonts w:ascii="Verdana" w:hAnsi="Verdana"/>
          <w:sz w:val="20"/>
          <w:szCs w:val="20"/>
          <w:lang w:val="es-ES_tradnl"/>
        </w:rPr>
        <w:t>señaló claramente los medios o medidas procesales o sustantivas que en tal supuesto el Estado tendría que adoptar a efectos de cumplir eventualmente una orden en ese sentido</w:t>
      </w:r>
      <w:r w:rsidRPr="009D5EA7">
        <w:rPr>
          <w:rStyle w:val="Refdenotaalpie"/>
          <w:rFonts w:ascii="Verdana" w:hAnsi="Verdana"/>
          <w:sz w:val="20"/>
          <w:szCs w:val="20"/>
          <w:lang w:val="es-ES_tradnl"/>
        </w:rPr>
        <w:footnoteReference w:id="208"/>
      </w:r>
      <w:r w:rsidRPr="009D5EA7">
        <w:rPr>
          <w:rFonts w:ascii="Verdana" w:hAnsi="Verdana"/>
          <w:sz w:val="20"/>
          <w:szCs w:val="20"/>
          <w:lang w:val="es-ES_tradnl"/>
        </w:rPr>
        <w:t xml:space="preserve">. </w:t>
      </w:r>
    </w:p>
    <w:p w14:paraId="27CDB362" w14:textId="77777777" w:rsidR="00332C9F" w:rsidRPr="009D5EA7" w:rsidRDefault="00332C9F" w:rsidP="00332C9F">
      <w:pPr>
        <w:autoSpaceDE w:val="0"/>
        <w:autoSpaceDN w:val="0"/>
        <w:adjustRightInd w:val="0"/>
        <w:spacing w:after="0" w:line="240" w:lineRule="auto"/>
        <w:ind w:right="49"/>
        <w:contextualSpacing/>
        <w:jc w:val="both"/>
        <w:rPr>
          <w:rFonts w:ascii="Verdana" w:hAnsi="Verdana"/>
          <w:sz w:val="20"/>
          <w:szCs w:val="20"/>
          <w:lang w:val="es-ES_tradnl"/>
        </w:rPr>
      </w:pPr>
    </w:p>
    <w:p w14:paraId="579EB62B" w14:textId="5EB69C6A" w:rsidR="00C61837" w:rsidRPr="009D5EA7" w:rsidRDefault="00332C9F" w:rsidP="00332C9F">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9D5EA7">
        <w:rPr>
          <w:rFonts w:ascii="Verdana" w:hAnsi="Verdana"/>
          <w:sz w:val="20"/>
          <w:szCs w:val="20"/>
          <w:lang w:val="es-ES_tradnl"/>
        </w:rPr>
        <w:t xml:space="preserve">Respecto de otras medidas de satisfacción solicitadas por las </w:t>
      </w:r>
      <w:r w:rsidRPr="009D5EA7">
        <w:rPr>
          <w:rFonts w:ascii="Verdana" w:hAnsi="Verdana"/>
          <w:b/>
          <w:sz w:val="20"/>
          <w:szCs w:val="20"/>
          <w:lang w:val="es-ES_tradnl"/>
        </w:rPr>
        <w:t>representantes</w:t>
      </w:r>
      <w:r w:rsidRPr="009D5EA7">
        <w:rPr>
          <w:rStyle w:val="Refdenotaalpie"/>
          <w:rFonts w:ascii="Verdana" w:hAnsi="Verdana"/>
          <w:sz w:val="20"/>
          <w:szCs w:val="20"/>
          <w:lang w:val="es-ES_tradnl"/>
        </w:rPr>
        <w:footnoteReference w:id="209"/>
      </w:r>
      <w:r w:rsidRPr="009D5EA7">
        <w:rPr>
          <w:rFonts w:ascii="Verdana" w:hAnsi="Verdana"/>
          <w:sz w:val="20"/>
          <w:szCs w:val="20"/>
          <w:lang w:val="es-ES_tradnl"/>
        </w:rPr>
        <w:t>,</w:t>
      </w:r>
      <w:r w:rsidR="00C61837" w:rsidRPr="009D5EA7">
        <w:rPr>
          <w:rFonts w:ascii="Verdana" w:hAnsi="Verdana"/>
          <w:sz w:val="20"/>
          <w:szCs w:val="20"/>
          <w:lang w:val="es-ES_tradnl"/>
        </w:rPr>
        <w:t xml:space="preserve"> l</w:t>
      </w:r>
      <w:r w:rsidRPr="009D5EA7">
        <w:rPr>
          <w:rFonts w:ascii="Verdana" w:hAnsi="Verdana"/>
          <w:sz w:val="20"/>
          <w:szCs w:val="20"/>
          <w:lang w:val="es-ES_tradnl"/>
        </w:rPr>
        <w:t xml:space="preserve">a </w:t>
      </w:r>
      <w:r w:rsidRPr="009D5EA7">
        <w:rPr>
          <w:rFonts w:ascii="Verdana" w:hAnsi="Verdana"/>
          <w:b/>
          <w:sz w:val="20"/>
          <w:szCs w:val="20"/>
          <w:lang w:val="es-ES_tradnl"/>
        </w:rPr>
        <w:t>Corte</w:t>
      </w:r>
      <w:r w:rsidRPr="009D5EA7">
        <w:rPr>
          <w:rFonts w:ascii="Verdana" w:hAnsi="Verdana"/>
          <w:sz w:val="20"/>
          <w:szCs w:val="20"/>
          <w:lang w:val="es-ES_tradnl"/>
        </w:rPr>
        <w:t xml:space="preserve"> estima que la emisión de la presente Sentencia y las reparaciones ordenadas en la misma resultan suficientes y adecuadas para el presente caso, por lo cua</w:t>
      </w:r>
      <w:r w:rsidR="007F398D" w:rsidRPr="009D5EA7">
        <w:rPr>
          <w:rFonts w:ascii="Verdana" w:hAnsi="Verdana"/>
          <w:sz w:val="20"/>
          <w:szCs w:val="20"/>
          <w:lang w:val="es-ES_tradnl"/>
        </w:rPr>
        <w:t xml:space="preserve">l no considera </w:t>
      </w:r>
      <w:r w:rsidR="00D734E8" w:rsidRPr="009D5EA7">
        <w:rPr>
          <w:rFonts w:ascii="Verdana" w:hAnsi="Verdana"/>
          <w:sz w:val="20"/>
          <w:szCs w:val="20"/>
          <w:lang w:val="es-ES_tradnl"/>
        </w:rPr>
        <w:t>pertinente</w:t>
      </w:r>
      <w:r w:rsidR="007F398D" w:rsidRPr="009D5EA7">
        <w:rPr>
          <w:rFonts w:ascii="Verdana" w:hAnsi="Verdana"/>
          <w:sz w:val="20"/>
          <w:szCs w:val="20"/>
          <w:lang w:val="es-ES_tradnl"/>
        </w:rPr>
        <w:t xml:space="preserve"> ordenarlas</w:t>
      </w:r>
      <w:r w:rsidRPr="009D5EA7">
        <w:rPr>
          <w:rFonts w:ascii="Verdana" w:hAnsi="Verdana"/>
          <w:sz w:val="20"/>
          <w:szCs w:val="20"/>
          <w:lang w:val="es-ES_tradnl"/>
        </w:rPr>
        <w:t xml:space="preserve">. </w:t>
      </w:r>
    </w:p>
    <w:p w14:paraId="14511699" w14:textId="77777777" w:rsidR="00C61837" w:rsidRPr="009D5EA7" w:rsidRDefault="00C61837" w:rsidP="00C61837">
      <w:pPr>
        <w:pStyle w:val="Prrafodelista"/>
        <w:rPr>
          <w:rFonts w:ascii="Verdana" w:hAnsi="Verdana"/>
          <w:sz w:val="20"/>
        </w:rPr>
      </w:pPr>
    </w:p>
    <w:p w14:paraId="3E7D54E1" w14:textId="0629181F" w:rsidR="00332C9F" w:rsidRPr="009D5EA7" w:rsidRDefault="00332C9F" w:rsidP="00332C9F">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9D5EA7">
        <w:rPr>
          <w:rFonts w:ascii="Verdana" w:hAnsi="Verdana"/>
          <w:sz w:val="20"/>
          <w:szCs w:val="20"/>
          <w:lang w:val="es-ES_tradnl"/>
        </w:rPr>
        <w:t>En cuanto al resto de las solicitudes</w:t>
      </w:r>
      <w:r w:rsidR="00C61837" w:rsidRPr="009D5EA7">
        <w:rPr>
          <w:rFonts w:ascii="Verdana" w:hAnsi="Verdana"/>
          <w:sz w:val="20"/>
          <w:szCs w:val="20"/>
          <w:lang w:val="es-ES_tradnl"/>
        </w:rPr>
        <w:t xml:space="preserve"> de las </w:t>
      </w:r>
      <w:r w:rsidR="00C61837" w:rsidRPr="009D5EA7">
        <w:rPr>
          <w:rFonts w:ascii="Verdana" w:hAnsi="Verdana"/>
          <w:b/>
          <w:sz w:val="20"/>
          <w:szCs w:val="20"/>
          <w:lang w:val="es-ES_tradnl"/>
        </w:rPr>
        <w:t>representantes</w:t>
      </w:r>
      <w:r w:rsidRPr="009D5EA7">
        <w:rPr>
          <w:rStyle w:val="Refdenotaalpie"/>
          <w:rFonts w:ascii="Verdana" w:hAnsi="Verdana"/>
          <w:sz w:val="20"/>
          <w:szCs w:val="20"/>
          <w:lang w:val="es-ES_tradnl"/>
        </w:rPr>
        <w:footnoteReference w:id="210"/>
      </w:r>
      <w:r w:rsidRPr="009D5EA7">
        <w:rPr>
          <w:rFonts w:ascii="Verdana" w:hAnsi="Verdana"/>
          <w:sz w:val="20"/>
          <w:szCs w:val="20"/>
          <w:lang w:val="es-ES_tradnl"/>
        </w:rPr>
        <w:t xml:space="preserve">, </w:t>
      </w:r>
      <w:r w:rsidR="00C61837" w:rsidRPr="009D5EA7">
        <w:rPr>
          <w:rFonts w:ascii="Verdana" w:hAnsi="Verdana"/>
          <w:sz w:val="20"/>
          <w:szCs w:val="20"/>
          <w:lang w:val="es-ES_tradnl"/>
        </w:rPr>
        <w:t xml:space="preserve">el </w:t>
      </w:r>
      <w:r w:rsidR="00C61837" w:rsidRPr="009D5EA7">
        <w:rPr>
          <w:rFonts w:ascii="Verdana" w:hAnsi="Verdana"/>
          <w:b/>
          <w:sz w:val="20"/>
          <w:szCs w:val="20"/>
          <w:lang w:val="es-ES_tradnl"/>
        </w:rPr>
        <w:t>Estado</w:t>
      </w:r>
      <w:r w:rsidR="00C61837" w:rsidRPr="009D5EA7">
        <w:rPr>
          <w:rFonts w:ascii="Verdana" w:hAnsi="Verdana"/>
          <w:sz w:val="20"/>
          <w:szCs w:val="20"/>
          <w:lang w:val="es-ES_tradnl"/>
        </w:rPr>
        <w:t xml:space="preserve"> alegó </w:t>
      </w:r>
      <w:r w:rsidR="00E64C71">
        <w:rPr>
          <w:rFonts w:ascii="Verdana" w:hAnsi="Verdana"/>
          <w:sz w:val="20"/>
          <w:szCs w:val="20"/>
          <w:lang w:val="es-ES_tradnl"/>
        </w:rPr>
        <w:t xml:space="preserve">que </w:t>
      </w:r>
      <w:r w:rsidR="00C61837" w:rsidRPr="009D5EA7">
        <w:rPr>
          <w:rFonts w:ascii="Verdana" w:hAnsi="Verdana"/>
          <w:sz w:val="20"/>
          <w:szCs w:val="20"/>
          <w:lang w:val="es-ES_tradnl"/>
        </w:rPr>
        <w:t>la normativa procesal penal en Nicaragua fue reformada</w:t>
      </w:r>
      <w:r w:rsidR="00D734E8" w:rsidRPr="009D5EA7">
        <w:rPr>
          <w:rFonts w:ascii="Verdana" w:hAnsi="Verdana"/>
          <w:sz w:val="20"/>
          <w:szCs w:val="20"/>
          <w:lang w:val="es-ES_tradnl"/>
        </w:rPr>
        <w:t>;</w:t>
      </w:r>
      <w:r w:rsidR="00C61837" w:rsidRPr="009D5EA7">
        <w:rPr>
          <w:rFonts w:ascii="Verdana" w:hAnsi="Verdana"/>
          <w:sz w:val="20"/>
          <w:szCs w:val="20"/>
          <w:lang w:val="es-ES_tradnl"/>
        </w:rPr>
        <w:t xml:space="preserve"> que el Ministerio Público cuenta con una </w:t>
      </w:r>
      <w:r w:rsidR="00C61837" w:rsidRPr="009D5EA7">
        <w:rPr>
          <w:rFonts w:ascii="Verdana" w:hAnsi="Verdana"/>
          <w:sz w:val="20"/>
          <w:szCs w:val="20"/>
          <w:lang w:val="es-ES_tradnl"/>
        </w:rPr>
        <w:lastRenderedPageBreak/>
        <w:t>oficina de atención a víctimas</w:t>
      </w:r>
      <w:r w:rsidR="00D734E8" w:rsidRPr="009D5EA7">
        <w:rPr>
          <w:rFonts w:ascii="Verdana" w:hAnsi="Verdana"/>
          <w:sz w:val="20"/>
          <w:szCs w:val="20"/>
          <w:lang w:val="es-ES_tradnl"/>
        </w:rPr>
        <w:t>;</w:t>
      </w:r>
      <w:r w:rsidR="00C61837" w:rsidRPr="009D5EA7">
        <w:rPr>
          <w:rFonts w:ascii="Verdana" w:hAnsi="Verdana"/>
          <w:sz w:val="20"/>
          <w:szCs w:val="20"/>
          <w:lang w:val="es-ES_tradnl"/>
        </w:rPr>
        <w:t xml:space="preserve"> y que tales solicitudes no se vinculan a los hechos del presente caso ni a los asuntos admitidos por la Comisión en su Informe. L</w:t>
      </w:r>
      <w:r w:rsidRPr="009D5EA7">
        <w:rPr>
          <w:rFonts w:ascii="Verdana" w:hAnsi="Verdana"/>
          <w:sz w:val="20"/>
          <w:szCs w:val="20"/>
          <w:lang w:val="es-ES_tradnl"/>
        </w:rPr>
        <w:t xml:space="preserve">a </w:t>
      </w:r>
      <w:r w:rsidRPr="009D5EA7">
        <w:rPr>
          <w:rFonts w:ascii="Verdana" w:hAnsi="Verdana"/>
          <w:b/>
          <w:sz w:val="20"/>
          <w:szCs w:val="20"/>
          <w:lang w:val="es-ES_tradnl"/>
        </w:rPr>
        <w:t>Corte</w:t>
      </w:r>
      <w:r w:rsidRPr="009D5EA7">
        <w:rPr>
          <w:rFonts w:ascii="Verdana" w:hAnsi="Verdana"/>
          <w:sz w:val="20"/>
          <w:szCs w:val="20"/>
          <w:lang w:val="es-ES_tradnl"/>
        </w:rPr>
        <w:t xml:space="preserve"> considera que las representantes</w:t>
      </w:r>
      <w:r w:rsidRPr="009D5EA7">
        <w:rPr>
          <w:rFonts w:ascii="Verdana" w:eastAsia="Calibri" w:hAnsi="Verdana" w:cs="Times New Roman"/>
          <w:sz w:val="20"/>
          <w:szCs w:val="20"/>
          <w:lang w:val="es-ES_tradnl"/>
        </w:rPr>
        <w:t xml:space="preserve"> </w:t>
      </w:r>
      <w:r w:rsidRPr="009D5EA7">
        <w:rPr>
          <w:rFonts w:ascii="Verdana" w:hAnsi="Verdana"/>
          <w:sz w:val="20"/>
          <w:szCs w:val="20"/>
          <w:lang w:val="es-ES_tradnl"/>
        </w:rPr>
        <w:t>no han expuesto claramente un nexo causal entre tales solicitudes y los hechos y objeto del presente caso, las violaciones declaradas o los daños acreditados</w:t>
      </w:r>
      <w:r w:rsidR="00C61837" w:rsidRPr="009D5EA7">
        <w:rPr>
          <w:rFonts w:ascii="Verdana" w:hAnsi="Verdana"/>
          <w:sz w:val="20"/>
          <w:szCs w:val="20"/>
          <w:lang w:val="es-ES_tradnl"/>
        </w:rPr>
        <w:t>, por lo cual no corresponde ordenarlas</w:t>
      </w:r>
      <w:r w:rsidR="007F398D" w:rsidRPr="009D5EA7">
        <w:rPr>
          <w:rStyle w:val="Refdenotaalpie"/>
          <w:rFonts w:ascii="Verdana" w:hAnsi="Verdana"/>
          <w:sz w:val="20"/>
          <w:szCs w:val="20"/>
          <w:lang w:val="es-ES_tradnl"/>
        </w:rPr>
        <w:footnoteReference w:id="211"/>
      </w:r>
      <w:r w:rsidRPr="009D5EA7">
        <w:rPr>
          <w:rFonts w:ascii="Verdana" w:hAnsi="Verdana"/>
          <w:sz w:val="20"/>
          <w:szCs w:val="20"/>
          <w:lang w:val="es-ES_tradnl"/>
        </w:rPr>
        <w:t>.</w:t>
      </w:r>
    </w:p>
    <w:p w14:paraId="5DE2CDB1" w14:textId="77777777" w:rsidR="00A01272" w:rsidRDefault="00A01272" w:rsidP="00EF6522">
      <w:pPr>
        <w:spacing w:after="0"/>
        <w:jc w:val="both"/>
        <w:rPr>
          <w:rFonts w:ascii="Verdana" w:eastAsia="Calibri" w:hAnsi="Verdana" w:cs="Times New Roman"/>
          <w:b/>
          <w:sz w:val="20"/>
          <w:szCs w:val="20"/>
          <w:lang w:val="es-ES_tradnl"/>
        </w:rPr>
      </w:pPr>
    </w:p>
    <w:p w14:paraId="5661F162" w14:textId="77777777" w:rsidR="00AB531C" w:rsidRPr="009D5EA7" w:rsidRDefault="00AB531C" w:rsidP="00EF6522">
      <w:pPr>
        <w:spacing w:after="0"/>
        <w:jc w:val="both"/>
        <w:rPr>
          <w:rFonts w:ascii="Verdana" w:eastAsia="Calibri" w:hAnsi="Verdana" w:cs="Times New Roman"/>
          <w:b/>
          <w:sz w:val="20"/>
          <w:szCs w:val="20"/>
          <w:lang w:val="es-ES_tradnl"/>
        </w:rPr>
      </w:pPr>
    </w:p>
    <w:p w14:paraId="68272D4A" w14:textId="06F2C7EB" w:rsidR="00EF6522" w:rsidRPr="009D5EA7" w:rsidRDefault="00170D6C" w:rsidP="00EF6522">
      <w:pPr>
        <w:pStyle w:val="Ttulo2"/>
        <w:numPr>
          <w:ilvl w:val="0"/>
          <w:numId w:val="0"/>
        </w:numPr>
        <w:ind w:left="1080" w:hanging="360"/>
        <w:rPr>
          <w:rFonts w:ascii="Verdana" w:eastAsia="Calibri" w:hAnsi="Verdana"/>
          <w:i/>
          <w:sz w:val="20"/>
          <w:lang w:val="es-ES_tradnl"/>
        </w:rPr>
      </w:pPr>
      <w:bookmarkStart w:id="31" w:name="_Toc476251469"/>
      <w:r>
        <w:rPr>
          <w:rFonts w:ascii="Verdana" w:hAnsi="Verdana"/>
          <w:i/>
          <w:sz w:val="20"/>
          <w:lang w:val="es-ES_tradnl"/>
        </w:rPr>
        <w:t>F</w:t>
      </w:r>
      <w:r w:rsidR="007F398D" w:rsidRPr="009D5EA7">
        <w:rPr>
          <w:rFonts w:ascii="Verdana" w:hAnsi="Verdana"/>
          <w:i/>
          <w:sz w:val="20"/>
          <w:lang w:val="es-ES_tradnl"/>
        </w:rPr>
        <w:t>.</w:t>
      </w:r>
      <w:r w:rsidR="007F398D" w:rsidRPr="009D5EA7">
        <w:rPr>
          <w:rFonts w:ascii="Verdana" w:hAnsi="Verdana"/>
          <w:i/>
          <w:sz w:val="20"/>
          <w:lang w:val="es-ES_tradnl"/>
        </w:rPr>
        <w:tab/>
        <w:t>Indemnizaciones</w:t>
      </w:r>
      <w:r w:rsidR="00EF6522" w:rsidRPr="009D5EA7">
        <w:rPr>
          <w:rFonts w:ascii="Verdana" w:hAnsi="Verdana"/>
          <w:i/>
          <w:sz w:val="20"/>
          <w:lang w:val="es-ES_tradnl"/>
        </w:rPr>
        <w:t xml:space="preserve"> compensatoria</w:t>
      </w:r>
      <w:r w:rsidR="007F398D" w:rsidRPr="009D5EA7">
        <w:rPr>
          <w:rFonts w:ascii="Verdana" w:hAnsi="Verdana"/>
          <w:i/>
          <w:sz w:val="20"/>
          <w:lang w:val="es-ES_tradnl"/>
        </w:rPr>
        <w:t>s</w:t>
      </w:r>
      <w:bookmarkEnd w:id="31"/>
      <w:r w:rsidR="00EF6522" w:rsidRPr="009D5EA7">
        <w:rPr>
          <w:rFonts w:ascii="Verdana" w:hAnsi="Verdana"/>
          <w:i/>
          <w:sz w:val="20"/>
          <w:lang w:val="es-ES_tradnl"/>
        </w:rPr>
        <w:t xml:space="preserve"> </w:t>
      </w:r>
    </w:p>
    <w:p w14:paraId="1070565B" w14:textId="77777777" w:rsidR="000375C2" w:rsidRPr="009D5EA7" w:rsidRDefault="000375C2" w:rsidP="000375C2">
      <w:pPr>
        <w:spacing w:after="0"/>
        <w:jc w:val="both"/>
        <w:rPr>
          <w:rFonts w:ascii="Verdana" w:eastAsia="Calibri" w:hAnsi="Verdana" w:cs="Times New Roman"/>
          <w:b/>
          <w:i/>
          <w:sz w:val="20"/>
          <w:szCs w:val="20"/>
          <w:lang w:val="es-ES_tradnl"/>
        </w:rPr>
      </w:pPr>
    </w:p>
    <w:p w14:paraId="40ADA611" w14:textId="77777777" w:rsidR="000375C2" w:rsidRPr="009D5EA7" w:rsidRDefault="000375C2" w:rsidP="000375C2">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9D5EA7">
        <w:rPr>
          <w:rFonts w:ascii="Verdana" w:hAnsi="Verdana"/>
          <w:sz w:val="20"/>
          <w:szCs w:val="20"/>
          <w:lang w:val="es-ES_tradnl"/>
        </w:rPr>
        <w:t xml:space="preserve">La </w:t>
      </w:r>
      <w:r w:rsidRPr="009D5EA7">
        <w:rPr>
          <w:rFonts w:ascii="Verdana" w:hAnsi="Verdana"/>
          <w:b/>
          <w:sz w:val="20"/>
          <w:szCs w:val="20"/>
          <w:lang w:val="es-ES_tradnl"/>
        </w:rPr>
        <w:t>Comisión</w:t>
      </w:r>
      <w:r w:rsidRPr="009D5EA7">
        <w:rPr>
          <w:rFonts w:ascii="Verdana" w:hAnsi="Verdana"/>
          <w:sz w:val="20"/>
          <w:szCs w:val="20"/>
          <w:lang w:val="es-ES_tradnl"/>
        </w:rPr>
        <w:t xml:space="preserve"> solicitó a la Corte que disponga una reparación, que incluya tanto el aspecto inmaterial como el material</w:t>
      </w:r>
      <w:r w:rsidRPr="009D5EA7">
        <w:rPr>
          <w:rFonts w:ascii="Verdana" w:eastAsia="Calibri" w:hAnsi="Verdana" w:cs="Times New Roman"/>
          <w:sz w:val="20"/>
          <w:szCs w:val="20"/>
          <w:lang w:val="es-ES_tradnl"/>
        </w:rPr>
        <w:t xml:space="preserve">. </w:t>
      </w:r>
    </w:p>
    <w:p w14:paraId="4E585976" w14:textId="77777777" w:rsidR="00A01272" w:rsidRPr="009D5EA7" w:rsidRDefault="00A01272" w:rsidP="00A01272">
      <w:pPr>
        <w:spacing w:after="0"/>
        <w:jc w:val="both"/>
        <w:rPr>
          <w:rFonts w:ascii="Verdana" w:eastAsia="Calibri" w:hAnsi="Verdana" w:cs="Times New Roman"/>
          <w:b/>
          <w:i/>
          <w:sz w:val="20"/>
          <w:szCs w:val="20"/>
          <w:lang w:val="es-ES_tradnl"/>
        </w:rPr>
      </w:pPr>
    </w:p>
    <w:p w14:paraId="2D103F61" w14:textId="1B5B67F4" w:rsidR="00C61837" w:rsidRPr="009D5EA7" w:rsidRDefault="00170D6C" w:rsidP="00A01272">
      <w:pPr>
        <w:spacing w:after="0"/>
        <w:jc w:val="both"/>
        <w:rPr>
          <w:rFonts w:ascii="Verdana" w:eastAsia="Calibri" w:hAnsi="Verdana" w:cs="Times New Roman"/>
          <w:i/>
          <w:sz w:val="20"/>
          <w:szCs w:val="20"/>
          <w:lang w:val="es-ES_tradnl"/>
        </w:rPr>
      </w:pPr>
      <w:r>
        <w:rPr>
          <w:rFonts w:ascii="Verdana" w:eastAsia="Calibri" w:hAnsi="Verdana" w:cs="Times New Roman"/>
          <w:i/>
          <w:sz w:val="20"/>
          <w:szCs w:val="20"/>
          <w:lang w:val="es-ES_tradnl"/>
        </w:rPr>
        <w:tab/>
      </w:r>
      <w:r>
        <w:rPr>
          <w:rFonts w:ascii="Verdana" w:eastAsia="Calibri" w:hAnsi="Verdana" w:cs="Times New Roman"/>
          <w:i/>
          <w:sz w:val="20"/>
          <w:szCs w:val="20"/>
          <w:lang w:val="es-ES_tradnl"/>
        </w:rPr>
        <w:tab/>
        <w:t>F</w:t>
      </w:r>
      <w:r w:rsidR="00C61837" w:rsidRPr="009D5EA7">
        <w:rPr>
          <w:rFonts w:ascii="Verdana" w:eastAsia="Calibri" w:hAnsi="Verdana" w:cs="Times New Roman"/>
          <w:i/>
          <w:sz w:val="20"/>
          <w:szCs w:val="20"/>
          <w:lang w:val="es-ES_tradnl"/>
        </w:rPr>
        <w:t>.1</w:t>
      </w:r>
      <w:r w:rsidR="00C61837" w:rsidRPr="009D5EA7">
        <w:rPr>
          <w:rFonts w:ascii="Verdana" w:eastAsia="Calibri" w:hAnsi="Verdana" w:cs="Times New Roman"/>
          <w:i/>
          <w:sz w:val="20"/>
          <w:szCs w:val="20"/>
          <w:lang w:val="es-ES_tradnl"/>
        </w:rPr>
        <w:tab/>
        <w:t>Daño material</w:t>
      </w:r>
    </w:p>
    <w:p w14:paraId="193EE713" w14:textId="77777777" w:rsidR="00C61837" w:rsidRPr="009D5EA7" w:rsidRDefault="00C61837" w:rsidP="00C61837">
      <w:pPr>
        <w:autoSpaceDE w:val="0"/>
        <w:autoSpaceDN w:val="0"/>
        <w:adjustRightInd w:val="0"/>
        <w:spacing w:after="0" w:line="240" w:lineRule="auto"/>
        <w:ind w:right="49"/>
        <w:contextualSpacing/>
        <w:jc w:val="both"/>
        <w:rPr>
          <w:rFonts w:ascii="Verdana" w:eastAsia="Calibri" w:hAnsi="Verdana" w:cs="Times New Roman"/>
          <w:sz w:val="20"/>
          <w:szCs w:val="20"/>
          <w:lang w:val="es-ES_tradnl"/>
        </w:rPr>
      </w:pPr>
    </w:p>
    <w:p w14:paraId="2E6CDD55" w14:textId="5A00D6A3" w:rsidR="00A01272" w:rsidRPr="009D5EA7" w:rsidRDefault="00C61837" w:rsidP="00B106A1">
      <w:pPr>
        <w:numPr>
          <w:ilvl w:val="0"/>
          <w:numId w:val="5"/>
        </w:numPr>
        <w:autoSpaceDE w:val="0"/>
        <w:autoSpaceDN w:val="0"/>
        <w:adjustRightInd w:val="0"/>
        <w:spacing w:after="0" w:line="240" w:lineRule="auto"/>
        <w:ind w:left="0" w:right="49" w:firstLine="0"/>
        <w:contextualSpacing/>
        <w:jc w:val="both"/>
        <w:rPr>
          <w:sz w:val="20"/>
          <w:szCs w:val="20"/>
          <w:lang w:val="es-ES_tradnl"/>
        </w:rPr>
      </w:pPr>
      <w:r w:rsidRPr="009D5EA7">
        <w:rPr>
          <w:rFonts w:ascii="Verdana" w:eastAsia="Calibri" w:hAnsi="Verdana" w:cs="Times New Roman"/>
          <w:sz w:val="20"/>
          <w:szCs w:val="20"/>
          <w:lang w:val="es-ES_tradnl"/>
        </w:rPr>
        <w:t xml:space="preserve">Por </w:t>
      </w:r>
      <w:r w:rsidRPr="009D5EA7">
        <w:rPr>
          <w:rFonts w:ascii="Verdana" w:hAnsi="Verdana"/>
          <w:sz w:val="20"/>
          <w:szCs w:val="20"/>
          <w:lang w:val="es-ES_tradnl"/>
        </w:rPr>
        <w:t>concepto</w:t>
      </w:r>
      <w:r w:rsidRPr="009D5EA7">
        <w:rPr>
          <w:rFonts w:ascii="Verdana" w:eastAsia="Calibri" w:hAnsi="Verdana" w:cs="Times New Roman"/>
          <w:sz w:val="20"/>
          <w:szCs w:val="20"/>
          <w:lang w:val="es-ES_tradnl"/>
        </w:rPr>
        <w:t xml:space="preserve"> de daño emergente, l</w:t>
      </w:r>
      <w:r w:rsidR="00A01272" w:rsidRPr="009D5EA7">
        <w:rPr>
          <w:rFonts w:ascii="Verdana" w:eastAsia="Calibri" w:hAnsi="Verdana" w:cs="Times New Roman"/>
          <w:sz w:val="20"/>
          <w:szCs w:val="20"/>
          <w:lang w:val="es-ES_tradnl"/>
        </w:rPr>
        <w:t xml:space="preserve">as </w:t>
      </w:r>
      <w:r w:rsidR="00A01272" w:rsidRPr="009D5EA7">
        <w:rPr>
          <w:rFonts w:ascii="Verdana" w:eastAsia="Calibri" w:hAnsi="Verdana" w:cs="Times New Roman"/>
          <w:b/>
          <w:sz w:val="20"/>
          <w:szCs w:val="20"/>
          <w:lang w:val="es-ES_tradnl"/>
        </w:rPr>
        <w:t>representantes</w:t>
      </w:r>
      <w:r w:rsidR="00A01272" w:rsidRPr="009D5EA7">
        <w:rPr>
          <w:rFonts w:ascii="Verdana" w:eastAsia="Calibri" w:hAnsi="Verdana" w:cs="Times New Roman"/>
          <w:sz w:val="20"/>
          <w:szCs w:val="20"/>
          <w:lang w:val="es-ES_tradnl"/>
        </w:rPr>
        <w:t xml:space="preserve"> solicitaron </w:t>
      </w:r>
      <w:r w:rsidRPr="009D5EA7">
        <w:rPr>
          <w:rFonts w:ascii="Verdana" w:eastAsia="Calibri" w:hAnsi="Verdana" w:cs="Times New Roman"/>
          <w:sz w:val="20"/>
          <w:szCs w:val="20"/>
          <w:lang w:val="es-ES_tradnl"/>
        </w:rPr>
        <w:t>que se ordenara al Estado el pago de una compensación por gastos originados en el cambio de residencia “para asegurar la integridad física de la señora Acosta”, los cuales estimaron en un aproximado de US $ 18.000,00</w:t>
      </w:r>
      <w:r w:rsidRPr="009D5EA7">
        <w:rPr>
          <w:rStyle w:val="Refdenotaalpie"/>
          <w:rFonts w:ascii="Verdana" w:eastAsia="Calibri" w:hAnsi="Verdana" w:cs="Times New Roman"/>
          <w:sz w:val="20"/>
          <w:szCs w:val="20"/>
          <w:lang w:val="es-ES_tradnl"/>
        </w:rPr>
        <w:footnoteReference w:id="212"/>
      </w:r>
      <w:r w:rsidRPr="009D5EA7">
        <w:rPr>
          <w:rFonts w:ascii="Verdana" w:eastAsia="Calibri" w:hAnsi="Verdana" w:cs="Times New Roman"/>
          <w:sz w:val="20"/>
          <w:szCs w:val="20"/>
          <w:lang w:val="es-ES_tradnl"/>
        </w:rPr>
        <w:t>. Además, solicitaron “gastos realizados con el fin de alcanzar justicia”, originados en</w:t>
      </w:r>
      <w:r w:rsidR="00B106A1" w:rsidRPr="009D5EA7">
        <w:rPr>
          <w:rFonts w:ascii="Verdana" w:eastAsia="Calibri" w:hAnsi="Verdana" w:cs="Times New Roman"/>
          <w:sz w:val="20"/>
          <w:szCs w:val="20"/>
          <w:lang w:val="es-ES_tradnl"/>
        </w:rPr>
        <w:t xml:space="preserve"> un lapso de casi catorce años</w:t>
      </w:r>
      <w:r w:rsidR="00B106A1" w:rsidRPr="009D5EA7">
        <w:rPr>
          <w:rFonts w:ascii="Verdana" w:hAnsi="Verdana"/>
          <w:sz w:val="20"/>
          <w:szCs w:val="20"/>
          <w:lang w:val="es-ES_tradnl"/>
        </w:rPr>
        <w:t>, refiriéndose a las gestiones realizadas por la señora Acosta para la atención del caso y a la investigación y presentación de pruebas, realización de entrevistas y preparación de escritos, así como gestiones ante las organizaciones de derechos humanos; la Policía Nacional, los tribunales nacionales y las instancias internacionales</w:t>
      </w:r>
      <w:r w:rsidR="00B106A1" w:rsidRPr="009D5EA7">
        <w:rPr>
          <w:rStyle w:val="Refdenotaalpie"/>
          <w:rFonts w:ascii="Verdana" w:hAnsi="Verdana"/>
          <w:sz w:val="20"/>
          <w:szCs w:val="20"/>
          <w:lang w:val="es-ES_tradnl"/>
        </w:rPr>
        <w:footnoteReference w:id="213"/>
      </w:r>
      <w:r w:rsidR="00B106A1" w:rsidRPr="009D5EA7">
        <w:rPr>
          <w:rFonts w:ascii="Verdana" w:hAnsi="Verdana"/>
          <w:sz w:val="20"/>
          <w:szCs w:val="20"/>
          <w:lang w:val="es-ES_tradnl"/>
        </w:rPr>
        <w:t xml:space="preserve">, así como su defensa en los procesos civiles y penales abiertos en su contra, para lo que también tuvo que contratar al abogado Silvio Adolfo Lacayo Ortiz. </w:t>
      </w:r>
      <w:r w:rsidR="009241AE" w:rsidRPr="009D5EA7">
        <w:rPr>
          <w:rFonts w:ascii="Verdana" w:hAnsi="Verdana"/>
          <w:sz w:val="20"/>
          <w:szCs w:val="20"/>
          <w:lang w:val="es-ES_tradnl"/>
        </w:rPr>
        <w:t>Puesto que</w:t>
      </w:r>
      <w:r w:rsidR="00C165DA" w:rsidRPr="009D5EA7">
        <w:rPr>
          <w:rFonts w:ascii="Verdana" w:eastAsia="Calibri" w:hAnsi="Verdana" w:cs="Times New Roman"/>
          <w:sz w:val="20"/>
          <w:szCs w:val="20"/>
          <w:lang w:val="es-ES_tradnl"/>
        </w:rPr>
        <w:t xml:space="preserve"> no conservan recibos</w:t>
      </w:r>
      <w:r w:rsidRPr="009D5EA7">
        <w:rPr>
          <w:rFonts w:ascii="Verdana" w:eastAsia="Calibri" w:hAnsi="Verdana" w:cs="Times New Roman"/>
          <w:sz w:val="20"/>
          <w:szCs w:val="20"/>
          <w:lang w:val="es-ES_tradnl"/>
        </w:rPr>
        <w:t>, solicita</w:t>
      </w:r>
      <w:r w:rsidR="009241AE" w:rsidRPr="009D5EA7">
        <w:rPr>
          <w:rFonts w:ascii="Verdana" w:eastAsia="Calibri" w:hAnsi="Verdana" w:cs="Times New Roman"/>
          <w:sz w:val="20"/>
          <w:szCs w:val="20"/>
          <w:lang w:val="es-ES_tradnl"/>
        </w:rPr>
        <w:t>ro</w:t>
      </w:r>
      <w:r w:rsidRPr="009D5EA7">
        <w:rPr>
          <w:rFonts w:ascii="Verdana" w:eastAsia="Calibri" w:hAnsi="Verdana" w:cs="Times New Roman"/>
          <w:sz w:val="20"/>
          <w:szCs w:val="20"/>
          <w:lang w:val="es-ES_tradnl"/>
        </w:rPr>
        <w:t xml:space="preserve">n </w:t>
      </w:r>
      <w:r w:rsidR="009241AE" w:rsidRPr="009D5EA7">
        <w:rPr>
          <w:rFonts w:ascii="Verdana" w:eastAsia="Calibri" w:hAnsi="Verdana" w:cs="Times New Roman"/>
          <w:sz w:val="20"/>
          <w:szCs w:val="20"/>
          <w:lang w:val="es-ES_tradnl"/>
        </w:rPr>
        <w:t xml:space="preserve">a </w:t>
      </w:r>
      <w:r w:rsidRPr="009D5EA7">
        <w:rPr>
          <w:rFonts w:ascii="Verdana" w:eastAsia="Calibri" w:hAnsi="Verdana" w:cs="Times New Roman"/>
          <w:sz w:val="20"/>
          <w:szCs w:val="20"/>
          <w:lang w:val="es-ES_tradnl"/>
        </w:rPr>
        <w:t xml:space="preserve">la Corte </w:t>
      </w:r>
      <w:r w:rsidR="009241AE" w:rsidRPr="009D5EA7">
        <w:rPr>
          <w:rFonts w:ascii="Verdana" w:eastAsia="Calibri" w:hAnsi="Verdana" w:cs="Times New Roman"/>
          <w:sz w:val="20"/>
          <w:szCs w:val="20"/>
          <w:lang w:val="es-ES_tradnl"/>
        </w:rPr>
        <w:t xml:space="preserve">que </w:t>
      </w:r>
      <w:r w:rsidRPr="009D5EA7">
        <w:rPr>
          <w:rFonts w:ascii="Verdana" w:eastAsia="Calibri" w:hAnsi="Verdana" w:cs="Times New Roman"/>
          <w:sz w:val="20"/>
          <w:szCs w:val="20"/>
          <w:lang w:val="es-ES_tradnl"/>
        </w:rPr>
        <w:t xml:space="preserve">determine en equidad </w:t>
      </w:r>
      <w:r w:rsidR="00B106A1" w:rsidRPr="009D5EA7">
        <w:rPr>
          <w:rFonts w:ascii="Verdana" w:eastAsia="Calibri" w:hAnsi="Verdana" w:cs="Times New Roman"/>
          <w:sz w:val="20"/>
          <w:szCs w:val="20"/>
          <w:lang w:val="es-ES_tradnl"/>
        </w:rPr>
        <w:t xml:space="preserve">una compensación por </w:t>
      </w:r>
      <w:r w:rsidRPr="009D5EA7">
        <w:rPr>
          <w:rFonts w:ascii="Verdana" w:eastAsia="Calibri" w:hAnsi="Verdana" w:cs="Times New Roman"/>
          <w:sz w:val="20"/>
          <w:szCs w:val="20"/>
          <w:lang w:val="es-ES_tradnl"/>
        </w:rPr>
        <w:t>US $ 14.000</w:t>
      </w:r>
      <w:r w:rsidR="003731F2">
        <w:rPr>
          <w:rFonts w:ascii="Verdana" w:eastAsia="Calibri" w:hAnsi="Verdana" w:cs="Times New Roman"/>
          <w:sz w:val="20"/>
          <w:szCs w:val="20"/>
          <w:lang w:val="es-ES_tradnl"/>
        </w:rPr>
        <w:t xml:space="preserve">,00 (catorce mil dólares) y que se entregue </w:t>
      </w:r>
      <w:r w:rsidRPr="009D5EA7">
        <w:rPr>
          <w:rFonts w:ascii="Verdana" w:eastAsia="Calibri" w:hAnsi="Verdana" w:cs="Times New Roman"/>
          <w:sz w:val="20"/>
          <w:szCs w:val="20"/>
          <w:lang w:val="es-ES_tradnl"/>
        </w:rPr>
        <w:t>a la señora Acosta</w:t>
      </w:r>
      <w:r w:rsidR="00C165DA" w:rsidRPr="009D5EA7">
        <w:rPr>
          <w:rFonts w:ascii="Verdana" w:eastAsia="Calibri" w:hAnsi="Verdana" w:cs="Times New Roman"/>
          <w:sz w:val="20"/>
          <w:szCs w:val="20"/>
          <w:lang w:val="es-ES_tradnl"/>
        </w:rPr>
        <w:t>.</w:t>
      </w:r>
    </w:p>
    <w:p w14:paraId="2173DB13" w14:textId="77777777" w:rsidR="00A01272" w:rsidRPr="009D5EA7" w:rsidRDefault="00A01272" w:rsidP="00A01272">
      <w:pPr>
        <w:autoSpaceDE w:val="0"/>
        <w:autoSpaceDN w:val="0"/>
        <w:adjustRightInd w:val="0"/>
        <w:spacing w:after="0" w:line="240" w:lineRule="auto"/>
        <w:ind w:right="49"/>
        <w:contextualSpacing/>
        <w:jc w:val="both"/>
        <w:rPr>
          <w:rFonts w:ascii="Verdana" w:eastAsia="Calibri" w:hAnsi="Verdana" w:cs="Times New Roman"/>
          <w:sz w:val="20"/>
          <w:szCs w:val="20"/>
          <w:lang w:val="es-ES_tradnl"/>
        </w:rPr>
      </w:pPr>
    </w:p>
    <w:p w14:paraId="6B65E9CC" w14:textId="2346FBF8" w:rsidR="00B106A1" w:rsidRPr="009D5EA7" w:rsidRDefault="00B106A1" w:rsidP="006C07AA">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9D5EA7">
        <w:rPr>
          <w:rFonts w:ascii="Verdana" w:eastAsia="Calibri" w:hAnsi="Verdana" w:cs="Times New Roman"/>
          <w:sz w:val="20"/>
          <w:szCs w:val="20"/>
          <w:lang w:val="es-ES_tradnl"/>
        </w:rPr>
        <w:t>Por otro lado, las representantes alegaron que la señora Acosta pasó dos años y medio sin devengar salario, pues debió defenderse de los juicios incoados en su contra y en razón de su estado de tristeza y desanimo profundo, por lo cual contrajo grandes deudas en tarjetas de crédito sin poder abonar intereses, ya que debía mantenerse a sí misma y proveer recursos económicos a sus dos hijos entonces estudiando en la universidad, lo que causó en ese periodo un lucro cesante de US $ 60.000 (sesenta mil dólares). Asimismo, señalaron que el señor Francisco José García Valle era profesor universitario y atendía varios negocios familiares en Bluefields, que generaban los ingresos para los gastos de manutención de la familia, lo que ascendía a un ingreso mensual aproximado de mil quinientos dólares.</w:t>
      </w:r>
      <w:r w:rsidR="006C07AA" w:rsidRPr="009D5EA7">
        <w:rPr>
          <w:rFonts w:ascii="Verdana" w:eastAsia="Calibri" w:hAnsi="Verdana" w:cs="Times New Roman"/>
          <w:sz w:val="20"/>
          <w:szCs w:val="20"/>
          <w:lang w:val="es-ES_tradnl"/>
        </w:rPr>
        <w:t xml:space="preserve"> Alegaron que</w:t>
      </w:r>
      <w:r w:rsidRPr="009D5EA7">
        <w:rPr>
          <w:rFonts w:ascii="Verdana" w:eastAsia="Calibri" w:hAnsi="Verdana" w:cs="Times New Roman"/>
          <w:sz w:val="20"/>
          <w:szCs w:val="20"/>
          <w:lang w:val="es-ES_tradnl"/>
        </w:rPr>
        <w:t xml:space="preserve"> </w:t>
      </w:r>
      <w:r w:rsidR="006C07AA" w:rsidRPr="009D5EA7">
        <w:rPr>
          <w:rFonts w:ascii="Verdana" w:eastAsia="Calibri" w:hAnsi="Verdana" w:cs="Times New Roman"/>
          <w:sz w:val="20"/>
          <w:szCs w:val="20"/>
          <w:lang w:val="es-ES_tradnl"/>
        </w:rPr>
        <w:t>s</w:t>
      </w:r>
      <w:r w:rsidRPr="009D5EA7">
        <w:rPr>
          <w:rFonts w:ascii="Verdana" w:eastAsia="Calibri" w:hAnsi="Verdana" w:cs="Times New Roman"/>
          <w:sz w:val="20"/>
          <w:szCs w:val="20"/>
          <w:lang w:val="es-ES_tradnl"/>
        </w:rPr>
        <w:t>i</w:t>
      </w:r>
      <w:r w:rsidR="006C07AA" w:rsidRPr="009D5EA7">
        <w:rPr>
          <w:rFonts w:ascii="Verdana" w:eastAsia="Calibri" w:hAnsi="Verdana" w:cs="Times New Roman"/>
          <w:sz w:val="20"/>
          <w:szCs w:val="20"/>
          <w:lang w:val="es-ES_tradnl"/>
        </w:rPr>
        <w:t xml:space="preserve"> el Estado hubiese</w:t>
      </w:r>
      <w:r w:rsidRPr="009D5EA7">
        <w:rPr>
          <w:rFonts w:ascii="Verdana" w:eastAsia="Calibri" w:hAnsi="Verdana" w:cs="Times New Roman"/>
          <w:sz w:val="20"/>
          <w:szCs w:val="20"/>
          <w:lang w:val="es-ES_tradnl"/>
        </w:rPr>
        <w:t xml:space="preserve"> honrado su</w:t>
      </w:r>
      <w:r w:rsidR="006C07AA" w:rsidRPr="009D5EA7">
        <w:rPr>
          <w:rFonts w:ascii="Verdana" w:eastAsia="Calibri" w:hAnsi="Verdana" w:cs="Times New Roman"/>
          <w:sz w:val="20"/>
          <w:szCs w:val="20"/>
          <w:lang w:val="es-ES_tradnl"/>
        </w:rPr>
        <w:t>s obligaciones</w:t>
      </w:r>
      <w:r w:rsidRPr="009D5EA7">
        <w:rPr>
          <w:rFonts w:ascii="Verdana" w:eastAsia="Calibri" w:hAnsi="Verdana" w:cs="Times New Roman"/>
          <w:sz w:val="20"/>
          <w:szCs w:val="20"/>
          <w:lang w:val="es-ES_tradnl"/>
        </w:rPr>
        <w:t xml:space="preserve">, absteniéndose de encubrir a los </w:t>
      </w:r>
      <w:r w:rsidR="006C07AA" w:rsidRPr="009D5EA7">
        <w:rPr>
          <w:rFonts w:ascii="Verdana" w:eastAsia="Calibri" w:hAnsi="Verdana" w:cs="Times New Roman"/>
          <w:sz w:val="20"/>
          <w:szCs w:val="20"/>
          <w:lang w:val="es-ES_tradnl"/>
        </w:rPr>
        <w:t>asesinos del señor García Valle,</w:t>
      </w:r>
      <w:r w:rsidRPr="009D5EA7">
        <w:rPr>
          <w:rFonts w:ascii="Verdana" w:eastAsia="Calibri" w:hAnsi="Verdana" w:cs="Times New Roman"/>
          <w:sz w:val="20"/>
          <w:szCs w:val="20"/>
          <w:lang w:val="es-ES_tradnl"/>
        </w:rPr>
        <w:t xml:space="preserve"> la familia García Acosta </w:t>
      </w:r>
      <w:r w:rsidR="006C07AA" w:rsidRPr="009D5EA7">
        <w:rPr>
          <w:rFonts w:ascii="Verdana" w:eastAsia="Calibri" w:hAnsi="Verdana" w:cs="Times New Roman"/>
          <w:sz w:val="20"/>
          <w:szCs w:val="20"/>
          <w:lang w:val="es-ES_tradnl"/>
        </w:rPr>
        <w:t>hubiese</w:t>
      </w:r>
      <w:r w:rsidRPr="009D5EA7">
        <w:rPr>
          <w:rFonts w:ascii="Verdana" w:eastAsia="Calibri" w:hAnsi="Verdana" w:cs="Times New Roman"/>
          <w:sz w:val="20"/>
          <w:szCs w:val="20"/>
          <w:lang w:val="es-ES_tradnl"/>
        </w:rPr>
        <w:t xml:space="preserve"> obtenido la reparación económica por el lucro cesante y </w:t>
      </w:r>
      <w:r w:rsidR="006C07AA" w:rsidRPr="009D5EA7">
        <w:rPr>
          <w:rFonts w:ascii="Verdana" w:eastAsia="Calibri" w:hAnsi="Verdana" w:cs="Times New Roman"/>
          <w:sz w:val="20"/>
          <w:szCs w:val="20"/>
          <w:lang w:val="es-ES_tradnl"/>
        </w:rPr>
        <w:lastRenderedPageBreak/>
        <w:t>demás daños</w:t>
      </w:r>
      <w:r w:rsidRPr="009D5EA7">
        <w:rPr>
          <w:rFonts w:ascii="Verdana" w:eastAsia="Calibri" w:hAnsi="Verdana" w:cs="Times New Roman"/>
          <w:sz w:val="20"/>
          <w:szCs w:val="20"/>
          <w:lang w:val="es-ES_tradnl"/>
        </w:rPr>
        <w:t xml:space="preserve"> directamente de </w:t>
      </w:r>
      <w:r w:rsidR="006C07AA" w:rsidRPr="009D5EA7">
        <w:rPr>
          <w:rFonts w:ascii="Verdana" w:eastAsia="Calibri" w:hAnsi="Verdana" w:cs="Times New Roman"/>
          <w:sz w:val="20"/>
          <w:szCs w:val="20"/>
          <w:lang w:val="es-ES_tradnl"/>
        </w:rPr>
        <w:t xml:space="preserve">los asesinos. Estimaron que </w:t>
      </w:r>
      <w:r w:rsidRPr="009D5EA7">
        <w:rPr>
          <w:rFonts w:ascii="Verdana" w:eastAsia="Calibri" w:hAnsi="Verdana" w:cs="Times New Roman"/>
          <w:sz w:val="20"/>
          <w:szCs w:val="20"/>
          <w:lang w:val="es-ES_tradnl"/>
        </w:rPr>
        <w:t>la familia Acosta dejó de percibir, en es</w:t>
      </w:r>
      <w:r w:rsidR="006C07AA" w:rsidRPr="009D5EA7">
        <w:rPr>
          <w:rFonts w:ascii="Verdana" w:eastAsia="Calibri" w:hAnsi="Verdana" w:cs="Times New Roman"/>
          <w:sz w:val="20"/>
          <w:szCs w:val="20"/>
          <w:lang w:val="es-ES_tradnl"/>
        </w:rPr>
        <w:t>tos 13 años aproximadamente, US</w:t>
      </w:r>
      <w:r w:rsidRPr="009D5EA7">
        <w:rPr>
          <w:rFonts w:ascii="Verdana" w:eastAsia="Calibri" w:hAnsi="Verdana" w:cs="Times New Roman"/>
          <w:sz w:val="20"/>
          <w:szCs w:val="20"/>
          <w:lang w:val="es-ES_tradnl"/>
        </w:rPr>
        <w:t>$</w:t>
      </w:r>
      <w:r w:rsidR="006C07AA" w:rsidRPr="009D5EA7">
        <w:rPr>
          <w:rFonts w:ascii="Verdana" w:eastAsia="Calibri" w:hAnsi="Verdana" w:cs="Times New Roman"/>
          <w:sz w:val="20"/>
          <w:szCs w:val="20"/>
          <w:lang w:val="es-ES_tradnl"/>
        </w:rPr>
        <w:t xml:space="preserve"> </w:t>
      </w:r>
      <w:r w:rsidRPr="009D5EA7">
        <w:rPr>
          <w:rFonts w:ascii="Verdana" w:eastAsia="Calibri" w:hAnsi="Verdana" w:cs="Times New Roman"/>
          <w:sz w:val="20"/>
          <w:szCs w:val="20"/>
          <w:lang w:val="es-ES_tradnl"/>
        </w:rPr>
        <w:t>234,000.00 (doscientos treinta y cu</w:t>
      </w:r>
      <w:r w:rsidR="006C07AA" w:rsidRPr="009D5EA7">
        <w:rPr>
          <w:rFonts w:ascii="Verdana" w:eastAsia="Calibri" w:hAnsi="Verdana" w:cs="Times New Roman"/>
          <w:sz w:val="20"/>
          <w:szCs w:val="20"/>
          <w:lang w:val="es-ES_tradnl"/>
        </w:rPr>
        <w:t>atro un mil quinientos dólares), pero a</w:t>
      </w:r>
      <w:r w:rsidRPr="009D5EA7">
        <w:rPr>
          <w:rFonts w:ascii="Verdana" w:eastAsia="Calibri" w:hAnsi="Verdana" w:cs="Times New Roman"/>
          <w:sz w:val="20"/>
          <w:szCs w:val="20"/>
          <w:lang w:val="es-ES_tradnl"/>
        </w:rPr>
        <w:t xml:space="preserve">nte la imposibilidad material de presentar documentación para respaldar esta circunstancia, ya que la Policía Nacional ocupó los documentos contables de los negocios durante </w:t>
      </w:r>
      <w:r w:rsidR="006C07AA" w:rsidRPr="009D5EA7">
        <w:rPr>
          <w:rFonts w:ascii="Verdana" w:eastAsia="Calibri" w:hAnsi="Verdana" w:cs="Times New Roman"/>
          <w:sz w:val="20"/>
          <w:szCs w:val="20"/>
          <w:lang w:val="es-ES_tradnl"/>
        </w:rPr>
        <w:t>los</w:t>
      </w:r>
      <w:r w:rsidRPr="009D5EA7">
        <w:rPr>
          <w:rFonts w:ascii="Verdana" w:eastAsia="Calibri" w:hAnsi="Verdana" w:cs="Times New Roman"/>
          <w:sz w:val="20"/>
          <w:szCs w:val="20"/>
          <w:lang w:val="es-ES_tradnl"/>
        </w:rPr>
        <w:t xml:space="preserve"> allanamiento</w:t>
      </w:r>
      <w:r w:rsidR="006C07AA" w:rsidRPr="009D5EA7">
        <w:rPr>
          <w:rFonts w:ascii="Verdana" w:eastAsia="Calibri" w:hAnsi="Verdana" w:cs="Times New Roman"/>
          <w:sz w:val="20"/>
          <w:szCs w:val="20"/>
          <w:lang w:val="es-ES_tradnl"/>
        </w:rPr>
        <w:t>s</w:t>
      </w:r>
      <w:r w:rsidRPr="009D5EA7">
        <w:rPr>
          <w:rFonts w:ascii="Verdana" w:eastAsia="Calibri" w:hAnsi="Verdana" w:cs="Times New Roman"/>
          <w:sz w:val="20"/>
          <w:szCs w:val="20"/>
          <w:lang w:val="es-ES_tradnl"/>
        </w:rPr>
        <w:t xml:space="preserve"> </w:t>
      </w:r>
      <w:r w:rsidR="006C07AA" w:rsidRPr="009D5EA7">
        <w:rPr>
          <w:rFonts w:ascii="Verdana" w:eastAsia="Calibri" w:hAnsi="Verdana" w:cs="Times New Roman"/>
          <w:sz w:val="20"/>
          <w:szCs w:val="20"/>
          <w:lang w:val="es-ES_tradnl"/>
        </w:rPr>
        <w:t>de la vivienda y negocio</w:t>
      </w:r>
      <w:r w:rsidRPr="009D5EA7">
        <w:rPr>
          <w:rFonts w:ascii="Verdana" w:eastAsia="Calibri" w:hAnsi="Verdana" w:cs="Times New Roman"/>
          <w:sz w:val="20"/>
          <w:szCs w:val="20"/>
          <w:lang w:val="es-ES_tradnl"/>
        </w:rPr>
        <w:t>,</w:t>
      </w:r>
      <w:r w:rsidR="006C07AA" w:rsidRPr="009D5EA7">
        <w:rPr>
          <w:rFonts w:ascii="Verdana" w:eastAsia="Calibri" w:hAnsi="Verdana" w:cs="Times New Roman"/>
          <w:sz w:val="20"/>
          <w:szCs w:val="20"/>
          <w:lang w:val="es-ES_tradnl"/>
        </w:rPr>
        <w:t xml:space="preserve"> la</w:t>
      </w:r>
      <w:r w:rsidRPr="009D5EA7">
        <w:rPr>
          <w:rFonts w:ascii="Verdana" w:eastAsia="Calibri" w:hAnsi="Verdana" w:cs="Times New Roman"/>
          <w:sz w:val="20"/>
          <w:szCs w:val="20"/>
          <w:lang w:val="es-ES_tradnl"/>
        </w:rPr>
        <w:t xml:space="preserve">s representantes </w:t>
      </w:r>
      <w:r w:rsidR="006C07AA" w:rsidRPr="009D5EA7">
        <w:rPr>
          <w:rFonts w:ascii="Verdana" w:eastAsia="Calibri" w:hAnsi="Verdana" w:cs="Times New Roman"/>
          <w:sz w:val="20"/>
          <w:szCs w:val="20"/>
          <w:lang w:val="es-ES_tradnl"/>
        </w:rPr>
        <w:t>solicitaron</w:t>
      </w:r>
      <w:r w:rsidRPr="009D5EA7">
        <w:rPr>
          <w:rFonts w:ascii="Verdana" w:eastAsia="Calibri" w:hAnsi="Verdana" w:cs="Times New Roman"/>
          <w:sz w:val="20"/>
          <w:szCs w:val="20"/>
          <w:lang w:val="es-ES_tradnl"/>
        </w:rPr>
        <w:t xml:space="preserve"> que la Corte fije </w:t>
      </w:r>
      <w:r w:rsidR="006C07AA" w:rsidRPr="009D5EA7">
        <w:rPr>
          <w:rFonts w:ascii="Verdana" w:eastAsia="Calibri" w:hAnsi="Verdana" w:cs="Times New Roman"/>
          <w:sz w:val="20"/>
          <w:szCs w:val="20"/>
          <w:lang w:val="es-ES_tradnl"/>
        </w:rPr>
        <w:t xml:space="preserve">una </w:t>
      </w:r>
      <w:r w:rsidRPr="009D5EA7">
        <w:rPr>
          <w:rFonts w:ascii="Verdana" w:eastAsia="Calibri" w:hAnsi="Verdana" w:cs="Times New Roman"/>
          <w:sz w:val="20"/>
          <w:szCs w:val="20"/>
          <w:lang w:val="es-ES_tradnl"/>
        </w:rPr>
        <w:t>indemnización en equidad.</w:t>
      </w:r>
    </w:p>
    <w:p w14:paraId="645145A3" w14:textId="77777777" w:rsidR="00B106A1" w:rsidRPr="009D5EA7" w:rsidRDefault="00B106A1" w:rsidP="00A01272">
      <w:pPr>
        <w:autoSpaceDE w:val="0"/>
        <w:autoSpaceDN w:val="0"/>
        <w:adjustRightInd w:val="0"/>
        <w:spacing w:after="0" w:line="240" w:lineRule="auto"/>
        <w:ind w:right="49"/>
        <w:contextualSpacing/>
        <w:jc w:val="both"/>
        <w:rPr>
          <w:rFonts w:ascii="Verdana" w:eastAsia="Calibri" w:hAnsi="Verdana"/>
          <w:sz w:val="20"/>
          <w:lang w:val="es-ES_tradnl"/>
        </w:rPr>
      </w:pPr>
    </w:p>
    <w:p w14:paraId="073A6760" w14:textId="2B95FFDA" w:rsidR="00873F93" w:rsidRPr="009D5EA7" w:rsidRDefault="00A01272" w:rsidP="00873F93">
      <w:pPr>
        <w:numPr>
          <w:ilvl w:val="0"/>
          <w:numId w:val="5"/>
        </w:numPr>
        <w:shd w:val="clear" w:color="auto" w:fill="FFFFFF"/>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eastAsia="Calibri" w:hAnsi="Verdana"/>
          <w:sz w:val="20"/>
          <w:lang w:val="es-ES_tradnl"/>
        </w:rPr>
        <w:t xml:space="preserve">Al respecto, el </w:t>
      </w:r>
      <w:r w:rsidRPr="009D5EA7">
        <w:rPr>
          <w:rFonts w:ascii="Verdana" w:eastAsia="Calibri" w:hAnsi="Verdana"/>
          <w:b/>
          <w:sz w:val="20"/>
          <w:lang w:val="es-ES_tradnl"/>
        </w:rPr>
        <w:t>Estado</w:t>
      </w:r>
      <w:r w:rsidRPr="009D5EA7">
        <w:rPr>
          <w:rFonts w:ascii="Verdana" w:eastAsia="Calibri" w:hAnsi="Verdana"/>
          <w:b/>
          <w:i/>
          <w:sz w:val="20"/>
          <w:lang w:val="es-ES_tradnl"/>
        </w:rPr>
        <w:t xml:space="preserve"> </w:t>
      </w:r>
      <w:r w:rsidRPr="009D5EA7">
        <w:rPr>
          <w:rFonts w:ascii="Verdana" w:eastAsia="Calibri" w:hAnsi="Verdana"/>
          <w:sz w:val="20"/>
          <w:lang w:val="es-ES_tradnl"/>
        </w:rPr>
        <w:t xml:space="preserve">consideró </w:t>
      </w:r>
      <w:r w:rsidR="00873F93" w:rsidRPr="009D5EA7">
        <w:rPr>
          <w:rFonts w:ascii="Verdana" w:eastAsia="Calibri" w:hAnsi="Verdana"/>
          <w:sz w:val="20"/>
          <w:lang w:val="es-ES_tradnl"/>
        </w:rPr>
        <w:t xml:space="preserve">que el daño material </w:t>
      </w:r>
      <w:r w:rsidR="00873F93" w:rsidRPr="009D5EA7">
        <w:rPr>
          <w:rFonts w:ascii="Verdana" w:hAnsi="Verdana"/>
          <w:sz w:val="20"/>
          <w:szCs w:val="20"/>
          <w:lang w:val="es-ES_tradnl"/>
        </w:rPr>
        <w:t>no ha sido acreditado o sustentado debidamente por las representantes</w:t>
      </w:r>
      <w:r w:rsidR="009241AE" w:rsidRPr="009D5EA7">
        <w:rPr>
          <w:rStyle w:val="Refdenotaalpie"/>
          <w:rFonts w:ascii="Verdana" w:hAnsi="Verdana"/>
          <w:sz w:val="20"/>
          <w:szCs w:val="20"/>
          <w:lang w:val="es-ES_tradnl"/>
        </w:rPr>
        <w:footnoteReference w:id="214"/>
      </w:r>
      <w:r w:rsidR="00873F93" w:rsidRPr="009D5EA7">
        <w:rPr>
          <w:rFonts w:ascii="Verdana" w:hAnsi="Verdana"/>
          <w:sz w:val="20"/>
          <w:szCs w:val="20"/>
          <w:lang w:val="es-ES_tradnl"/>
        </w:rPr>
        <w:t xml:space="preserve">. </w:t>
      </w:r>
    </w:p>
    <w:p w14:paraId="377A9401" w14:textId="77777777" w:rsidR="00A01272" w:rsidRPr="009D5EA7" w:rsidRDefault="00A01272" w:rsidP="00A01272">
      <w:pPr>
        <w:autoSpaceDE w:val="0"/>
        <w:autoSpaceDN w:val="0"/>
        <w:adjustRightInd w:val="0"/>
        <w:spacing w:after="0" w:line="240" w:lineRule="auto"/>
        <w:ind w:right="49"/>
        <w:contextualSpacing/>
        <w:jc w:val="both"/>
        <w:rPr>
          <w:rFonts w:ascii="Verdana" w:eastAsia="Calibri" w:hAnsi="Verdana" w:cs="Times New Roman"/>
          <w:sz w:val="20"/>
          <w:szCs w:val="20"/>
          <w:lang w:val="es-ES_tradnl"/>
        </w:rPr>
      </w:pPr>
    </w:p>
    <w:p w14:paraId="748CB1FE" w14:textId="3C3D2174" w:rsidR="00A01272" w:rsidRPr="009D5EA7" w:rsidRDefault="00A01272" w:rsidP="00A01272">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9D5EA7">
        <w:rPr>
          <w:rFonts w:ascii="Verdana" w:eastAsia="Calibri" w:hAnsi="Verdana" w:cs="Times New Roman"/>
          <w:sz w:val="20"/>
          <w:szCs w:val="20"/>
          <w:lang w:val="es-ES_tradnl"/>
        </w:rPr>
        <w:t xml:space="preserve">La </w:t>
      </w:r>
      <w:r w:rsidRPr="009D5EA7">
        <w:rPr>
          <w:rFonts w:ascii="Verdana" w:eastAsia="Calibri" w:hAnsi="Verdana" w:cs="Times New Roman"/>
          <w:b/>
          <w:sz w:val="20"/>
          <w:szCs w:val="20"/>
          <w:lang w:val="es-ES_tradnl"/>
        </w:rPr>
        <w:t>Corte</w:t>
      </w:r>
      <w:r w:rsidRPr="009D5EA7">
        <w:rPr>
          <w:rFonts w:ascii="Verdana" w:eastAsia="Calibri" w:hAnsi="Verdana" w:cs="Times New Roman"/>
          <w:sz w:val="20"/>
          <w:szCs w:val="20"/>
          <w:lang w:val="es-ES_tradnl"/>
        </w:rPr>
        <w:t xml:space="preserve"> ha desarrollado en su jurisprudencia el concepto de daño material y ha establecido que supone “la pérdida o detrimento de los ingresos de las víctimas, los gastos efectuados con motivo de los hechos y las consecuencias de carácter pecuniario que tengan un nexo causal con los hechos del caso”</w:t>
      </w:r>
      <w:r w:rsidRPr="009D5EA7">
        <w:rPr>
          <w:rFonts w:ascii="Verdana" w:eastAsia="Calibri" w:hAnsi="Verdana" w:cs="Times New Roman"/>
          <w:sz w:val="20"/>
          <w:szCs w:val="20"/>
          <w:vertAlign w:val="superscript"/>
          <w:lang w:val="es-ES_tradnl"/>
        </w:rPr>
        <w:footnoteReference w:id="215"/>
      </w:r>
      <w:r w:rsidRPr="009D5EA7">
        <w:rPr>
          <w:rFonts w:ascii="Verdana" w:eastAsia="Calibri" w:hAnsi="Verdana" w:cs="Times New Roman"/>
          <w:sz w:val="20"/>
          <w:szCs w:val="20"/>
          <w:lang w:val="es-ES_tradnl"/>
        </w:rPr>
        <w:t>, es decir, se ven incluidos, el daño emergente y lucro cesante. En el presente caso, se hará un solo pronunciamiento para fijar indemnización por daño material.</w:t>
      </w:r>
    </w:p>
    <w:p w14:paraId="54954FFD" w14:textId="77777777" w:rsidR="00A01272" w:rsidRPr="009D5EA7" w:rsidRDefault="00A01272" w:rsidP="00A01272">
      <w:pPr>
        <w:autoSpaceDE w:val="0"/>
        <w:autoSpaceDN w:val="0"/>
        <w:adjustRightInd w:val="0"/>
        <w:spacing w:after="0" w:line="240" w:lineRule="auto"/>
        <w:ind w:right="49"/>
        <w:contextualSpacing/>
        <w:jc w:val="both"/>
        <w:rPr>
          <w:rFonts w:ascii="Verdana" w:eastAsia="Calibri" w:hAnsi="Verdana" w:cs="Times New Roman"/>
          <w:sz w:val="20"/>
          <w:szCs w:val="20"/>
          <w:lang w:val="es-ES_tradnl"/>
        </w:rPr>
      </w:pPr>
    </w:p>
    <w:p w14:paraId="7F2A7A58" w14:textId="5C27F5B9" w:rsidR="00A01272" w:rsidRPr="009D5EA7" w:rsidRDefault="00C61837" w:rsidP="00A01272">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9D5EA7">
        <w:rPr>
          <w:rFonts w:ascii="Verdana" w:eastAsia="Calibri" w:hAnsi="Verdana" w:cs="Times New Roman"/>
          <w:sz w:val="20"/>
          <w:szCs w:val="20"/>
          <w:lang w:val="es-ES_tradnl"/>
        </w:rPr>
        <w:t>En cuanto al</w:t>
      </w:r>
      <w:r w:rsidR="009241AE" w:rsidRPr="009D5EA7">
        <w:rPr>
          <w:rFonts w:ascii="Verdana" w:eastAsia="Calibri" w:hAnsi="Verdana" w:cs="Times New Roman"/>
          <w:sz w:val="20"/>
          <w:szCs w:val="20"/>
          <w:lang w:val="es-ES_tradnl"/>
        </w:rPr>
        <w:t xml:space="preserve"> daño emergente, la</w:t>
      </w:r>
      <w:r w:rsidR="00A01272" w:rsidRPr="009D5EA7">
        <w:rPr>
          <w:rFonts w:ascii="Verdana" w:eastAsia="Calibri" w:hAnsi="Verdana" w:cs="Times New Roman"/>
          <w:sz w:val="20"/>
          <w:szCs w:val="20"/>
          <w:lang w:val="es-ES_tradnl"/>
        </w:rPr>
        <w:t xml:space="preserve">s representantes </w:t>
      </w:r>
      <w:r w:rsidR="009241AE" w:rsidRPr="009D5EA7">
        <w:rPr>
          <w:rFonts w:ascii="Verdana" w:eastAsia="Calibri" w:hAnsi="Verdana" w:cs="Times New Roman"/>
          <w:sz w:val="20"/>
          <w:szCs w:val="20"/>
          <w:lang w:val="es-ES_tradnl"/>
        </w:rPr>
        <w:t xml:space="preserve">no presentaron pruebas </w:t>
      </w:r>
      <w:r w:rsidR="00A01272" w:rsidRPr="009D5EA7">
        <w:rPr>
          <w:rFonts w:ascii="Verdana" w:eastAsia="Calibri" w:hAnsi="Verdana" w:cs="Times New Roman"/>
          <w:sz w:val="20"/>
          <w:szCs w:val="20"/>
          <w:lang w:val="es-ES_tradnl"/>
        </w:rPr>
        <w:t>acerca de erogaciones realizadas.</w:t>
      </w:r>
      <w:r w:rsidR="009241AE" w:rsidRPr="009D5EA7">
        <w:rPr>
          <w:rFonts w:ascii="Verdana" w:eastAsia="Calibri" w:hAnsi="Verdana" w:cs="Times New Roman"/>
          <w:sz w:val="20"/>
          <w:szCs w:val="20"/>
          <w:lang w:val="es-ES_tradnl"/>
        </w:rPr>
        <w:t xml:space="preserve"> Sin embargo, es claro que, en razón de la situación de temor y riesgo percibidos, es natural que la señora Acosta afrontara gastos originados en el cambio de residencia, así como las numerosas gestiones </w:t>
      </w:r>
      <w:r w:rsidR="009241AE" w:rsidRPr="009D5EA7">
        <w:rPr>
          <w:rFonts w:ascii="Verdana" w:hAnsi="Verdana"/>
          <w:sz w:val="20"/>
          <w:szCs w:val="20"/>
          <w:lang w:val="es-ES_tradnl"/>
        </w:rPr>
        <w:t>realizadas por ella y su representante legal para la atención del caso ante los tribunales nacionales y las instancias internacionales</w:t>
      </w:r>
      <w:r w:rsidR="001A5A76" w:rsidRPr="009D5EA7">
        <w:rPr>
          <w:rFonts w:ascii="Verdana" w:hAnsi="Verdana"/>
          <w:sz w:val="20"/>
          <w:szCs w:val="20"/>
          <w:lang w:val="es-ES_tradnl"/>
        </w:rPr>
        <w:t xml:space="preserve"> </w:t>
      </w:r>
      <w:r w:rsidR="009241AE" w:rsidRPr="009D5EA7">
        <w:rPr>
          <w:rFonts w:ascii="Verdana" w:eastAsia="Calibri" w:hAnsi="Verdana" w:cs="Times New Roman"/>
          <w:sz w:val="20"/>
          <w:szCs w:val="20"/>
          <w:lang w:val="es-ES_tradnl"/>
        </w:rPr>
        <w:t xml:space="preserve">durante casi </w:t>
      </w:r>
      <w:r w:rsidR="00F166F1" w:rsidRPr="009D5EA7">
        <w:rPr>
          <w:rFonts w:ascii="Verdana" w:eastAsia="Calibri" w:hAnsi="Verdana" w:cs="Times New Roman"/>
          <w:sz w:val="20"/>
          <w:szCs w:val="20"/>
          <w:lang w:val="es-ES_tradnl"/>
        </w:rPr>
        <w:t>14</w:t>
      </w:r>
      <w:r w:rsidR="009241AE" w:rsidRPr="009D5EA7">
        <w:rPr>
          <w:rFonts w:ascii="Verdana" w:eastAsia="Calibri" w:hAnsi="Verdana" w:cs="Times New Roman"/>
          <w:sz w:val="20"/>
          <w:szCs w:val="20"/>
          <w:lang w:val="es-ES_tradnl"/>
        </w:rPr>
        <w:t xml:space="preserve"> años, muchas de las cuales resultaron ser </w:t>
      </w:r>
      <w:r w:rsidR="00F166F1" w:rsidRPr="009D5EA7">
        <w:rPr>
          <w:rFonts w:ascii="Verdana" w:eastAsia="Calibri" w:hAnsi="Verdana" w:cs="Times New Roman"/>
          <w:sz w:val="20"/>
          <w:szCs w:val="20"/>
          <w:lang w:val="es-ES_tradnl"/>
        </w:rPr>
        <w:t>inútiles o</w:t>
      </w:r>
      <w:r w:rsidR="009241AE" w:rsidRPr="009D5EA7">
        <w:rPr>
          <w:rFonts w:ascii="Verdana" w:eastAsia="Calibri" w:hAnsi="Verdana" w:cs="Times New Roman"/>
          <w:sz w:val="20"/>
          <w:szCs w:val="20"/>
          <w:lang w:val="es-ES_tradnl"/>
        </w:rPr>
        <w:t xml:space="preserve"> ineficaces</w:t>
      </w:r>
      <w:r w:rsidR="00241CC3" w:rsidRPr="009D5EA7">
        <w:rPr>
          <w:rFonts w:ascii="Verdana" w:eastAsia="Calibri" w:hAnsi="Verdana" w:cs="Times New Roman"/>
          <w:sz w:val="20"/>
          <w:szCs w:val="20"/>
          <w:lang w:val="es-ES_tradnl"/>
        </w:rPr>
        <w:t xml:space="preserve"> en la búsqueda de justicia por la impunidad parcial en que se encuentran los hechos. En razón de ello, la Corte estima pertinente fijar en equidad una compensación por la cantidad de US$22.000,00 (veintidós mil dólares de los Estados Unidos de América), por concepto de daño emergente, los cuales deberán ser entregados directamente a la señora Acosta.</w:t>
      </w:r>
      <w:r w:rsidR="009241AE" w:rsidRPr="009D5EA7">
        <w:rPr>
          <w:rFonts w:ascii="Verdana" w:hAnsi="Verdana"/>
          <w:sz w:val="20"/>
          <w:szCs w:val="20"/>
          <w:lang w:val="es-ES_tradnl"/>
        </w:rPr>
        <w:t xml:space="preserve"> </w:t>
      </w:r>
    </w:p>
    <w:p w14:paraId="1BA46F37" w14:textId="77777777" w:rsidR="00A01272" w:rsidRPr="009D5EA7" w:rsidRDefault="00A01272" w:rsidP="00A01272">
      <w:pPr>
        <w:autoSpaceDE w:val="0"/>
        <w:autoSpaceDN w:val="0"/>
        <w:adjustRightInd w:val="0"/>
        <w:spacing w:after="0" w:line="240" w:lineRule="auto"/>
        <w:ind w:right="49"/>
        <w:contextualSpacing/>
        <w:jc w:val="both"/>
        <w:rPr>
          <w:rFonts w:ascii="Verdana" w:eastAsia="Calibri" w:hAnsi="Verdana" w:cs="Times New Roman"/>
          <w:sz w:val="20"/>
          <w:szCs w:val="20"/>
          <w:lang w:val="es-ES_tradnl"/>
        </w:rPr>
      </w:pPr>
    </w:p>
    <w:p w14:paraId="0E4B6487" w14:textId="7B6429AA" w:rsidR="00A01272" w:rsidRPr="009D5EA7" w:rsidRDefault="00A01272" w:rsidP="00A01272">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9D5EA7">
        <w:rPr>
          <w:rFonts w:ascii="Verdana" w:eastAsia="Calibri" w:hAnsi="Verdana" w:cs="Times New Roman"/>
          <w:sz w:val="20"/>
          <w:szCs w:val="20"/>
          <w:lang w:val="es-ES_tradnl"/>
        </w:rPr>
        <w:t xml:space="preserve">En relación con la alegada pérdida de ingresos, </w:t>
      </w:r>
      <w:r w:rsidR="00241CC3" w:rsidRPr="009D5EA7">
        <w:rPr>
          <w:rFonts w:ascii="Verdana" w:eastAsia="Calibri" w:hAnsi="Verdana" w:cs="Times New Roman"/>
          <w:sz w:val="20"/>
          <w:szCs w:val="20"/>
          <w:lang w:val="es-ES_tradnl"/>
        </w:rPr>
        <w:t>las</w:t>
      </w:r>
      <w:r w:rsidRPr="009D5EA7">
        <w:rPr>
          <w:rFonts w:ascii="Verdana" w:eastAsia="Calibri" w:hAnsi="Verdana" w:cs="Times New Roman"/>
          <w:sz w:val="20"/>
          <w:szCs w:val="20"/>
          <w:lang w:val="es-ES_tradnl"/>
        </w:rPr>
        <w:t xml:space="preserve"> representantes tampoco aportaron </w:t>
      </w:r>
      <w:r w:rsidRPr="009D5EA7">
        <w:rPr>
          <w:rFonts w:ascii="Verdana" w:hAnsi="Verdana"/>
          <w:sz w:val="20"/>
          <w:szCs w:val="20"/>
          <w:lang w:val="es-ES_tradnl"/>
        </w:rPr>
        <w:t xml:space="preserve">comprobantes para determinar el ingreso </w:t>
      </w:r>
      <w:r w:rsidR="00241CC3" w:rsidRPr="009D5EA7">
        <w:rPr>
          <w:rFonts w:ascii="Verdana" w:hAnsi="Verdana"/>
          <w:sz w:val="20"/>
          <w:szCs w:val="20"/>
          <w:lang w:val="es-ES_tradnl"/>
        </w:rPr>
        <w:t xml:space="preserve">específico </w:t>
      </w:r>
      <w:r w:rsidRPr="009D5EA7">
        <w:rPr>
          <w:rFonts w:ascii="Verdana" w:hAnsi="Verdana"/>
          <w:sz w:val="20"/>
          <w:szCs w:val="20"/>
          <w:lang w:val="es-ES_tradnl"/>
        </w:rPr>
        <w:t xml:space="preserve">que percibía la </w:t>
      </w:r>
      <w:r w:rsidR="00241CC3" w:rsidRPr="009D5EA7">
        <w:rPr>
          <w:rFonts w:ascii="Verdana" w:hAnsi="Verdana"/>
          <w:sz w:val="20"/>
          <w:szCs w:val="20"/>
          <w:lang w:val="es-ES_tradnl"/>
        </w:rPr>
        <w:t xml:space="preserve">señora Acosta </w:t>
      </w:r>
      <w:r w:rsidRPr="009D5EA7">
        <w:rPr>
          <w:rFonts w:ascii="Verdana" w:hAnsi="Verdana"/>
          <w:sz w:val="20"/>
          <w:szCs w:val="20"/>
          <w:lang w:val="es-ES_tradnl"/>
        </w:rPr>
        <w:t xml:space="preserve">por sus </w:t>
      </w:r>
      <w:r w:rsidRPr="009D5EA7">
        <w:rPr>
          <w:rFonts w:ascii="Verdana" w:hAnsi="Verdana"/>
          <w:sz w:val="20"/>
          <w:szCs w:val="20"/>
          <w:lang w:val="es-ES_tradnl"/>
        </w:rPr>
        <w:lastRenderedPageBreak/>
        <w:t>actividades al momento de los hechos</w:t>
      </w:r>
      <w:r w:rsidR="00241CC3" w:rsidRPr="009D5EA7">
        <w:rPr>
          <w:rFonts w:ascii="Verdana" w:hAnsi="Verdana"/>
          <w:sz w:val="20"/>
          <w:szCs w:val="20"/>
          <w:lang w:val="es-ES_tradnl"/>
        </w:rPr>
        <w:t xml:space="preserve"> y con posterioridad</w:t>
      </w:r>
      <w:r w:rsidRPr="009D5EA7">
        <w:rPr>
          <w:rFonts w:ascii="Verdana" w:eastAsia="Calibri" w:hAnsi="Verdana" w:cs="Times New Roman"/>
          <w:sz w:val="20"/>
          <w:szCs w:val="20"/>
          <w:lang w:val="es-ES_tradnl"/>
        </w:rPr>
        <w:t>.</w:t>
      </w:r>
      <w:r w:rsidR="00241CC3" w:rsidRPr="009D5EA7">
        <w:rPr>
          <w:rFonts w:ascii="Verdana" w:eastAsia="Calibri" w:hAnsi="Verdana" w:cs="Times New Roman"/>
          <w:sz w:val="20"/>
          <w:szCs w:val="20"/>
          <w:lang w:val="es-ES_tradnl"/>
        </w:rPr>
        <w:t xml:space="preserve"> No obstante, el Tribunal estima atendible lo señalado en cuanto a que la señora Acosta pasó un período importante sin percibir ingresos, producto tanto de la necesidad de atender el caso como de su estado de ánimo. Por otro lado, en razón de que el señor García Valle no es víctima del caso ante este Tribunal, no corresponde valorar sus ingresos dejados de percibir como un rubro específico de compensación por daño material. En consecuencia, la Corte estima pertinente fijar</w:t>
      </w:r>
      <w:r w:rsidR="00B73F80" w:rsidRPr="009D5EA7">
        <w:rPr>
          <w:rFonts w:ascii="Verdana" w:eastAsia="Calibri" w:hAnsi="Verdana" w:cs="Times New Roman"/>
          <w:sz w:val="20"/>
          <w:szCs w:val="20"/>
          <w:lang w:val="es-ES_tradnl"/>
        </w:rPr>
        <w:t xml:space="preserve"> en equidad la cantidad de US$ 2</w:t>
      </w:r>
      <w:r w:rsidR="00241CC3" w:rsidRPr="009D5EA7">
        <w:rPr>
          <w:rFonts w:ascii="Verdana" w:eastAsia="Calibri" w:hAnsi="Verdana" w:cs="Times New Roman"/>
          <w:sz w:val="20"/>
          <w:szCs w:val="20"/>
          <w:lang w:val="es-ES_tradnl"/>
        </w:rPr>
        <w:t>5.000,00 (</w:t>
      </w:r>
      <w:r w:rsidR="00B73F80" w:rsidRPr="009D5EA7">
        <w:rPr>
          <w:rFonts w:ascii="Verdana" w:eastAsia="Calibri" w:hAnsi="Verdana" w:cs="Times New Roman"/>
          <w:sz w:val="20"/>
          <w:szCs w:val="20"/>
          <w:lang w:val="es-ES_tradnl"/>
        </w:rPr>
        <w:t xml:space="preserve">veinticinco </w:t>
      </w:r>
      <w:r w:rsidR="00241CC3" w:rsidRPr="009D5EA7">
        <w:rPr>
          <w:rFonts w:ascii="Verdana" w:eastAsia="Calibri" w:hAnsi="Verdana" w:cs="Times New Roman"/>
          <w:sz w:val="20"/>
          <w:szCs w:val="20"/>
          <w:lang w:val="es-ES_tradnl"/>
        </w:rPr>
        <w:t>mil dólares de los Estados Unidos de América), por concepto de lucro cesante, los cuales deberán ser entregados directamente a la señora Acosta.</w:t>
      </w:r>
    </w:p>
    <w:p w14:paraId="65FE693E" w14:textId="77777777" w:rsidR="00C61837" w:rsidRPr="009D5EA7" w:rsidRDefault="00C61837" w:rsidP="00C61837">
      <w:pPr>
        <w:autoSpaceDE w:val="0"/>
        <w:autoSpaceDN w:val="0"/>
        <w:adjustRightInd w:val="0"/>
        <w:spacing w:after="0" w:line="240" w:lineRule="auto"/>
        <w:ind w:right="49"/>
        <w:contextualSpacing/>
        <w:jc w:val="both"/>
        <w:rPr>
          <w:rFonts w:ascii="Verdana" w:eastAsia="Calibri" w:hAnsi="Verdana" w:cs="Times New Roman"/>
          <w:sz w:val="20"/>
          <w:szCs w:val="20"/>
          <w:lang w:val="es-ES_tradnl"/>
        </w:rPr>
      </w:pPr>
    </w:p>
    <w:p w14:paraId="6C1868AE" w14:textId="2DB369FA" w:rsidR="00C61837" w:rsidRPr="009D5EA7" w:rsidRDefault="00170D6C" w:rsidP="00C61837">
      <w:pPr>
        <w:autoSpaceDE w:val="0"/>
        <w:autoSpaceDN w:val="0"/>
        <w:adjustRightInd w:val="0"/>
        <w:spacing w:after="0" w:line="240" w:lineRule="auto"/>
        <w:ind w:left="1416" w:right="49"/>
        <w:contextualSpacing/>
        <w:jc w:val="both"/>
        <w:rPr>
          <w:rFonts w:ascii="Verdana" w:eastAsia="Calibri" w:hAnsi="Verdana" w:cs="Times New Roman"/>
          <w:i/>
          <w:sz w:val="20"/>
          <w:szCs w:val="20"/>
          <w:lang w:val="es-ES_tradnl"/>
        </w:rPr>
      </w:pPr>
      <w:r>
        <w:rPr>
          <w:rFonts w:ascii="Verdana" w:eastAsia="Calibri" w:hAnsi="Verdana" w:cs="Times New Roman"/>
          <w:i/>
          <w:sz w:val="20"/>
          <w:szCs w:val="20"/>
          <w:lang w:val="es-ES_tradnl"/>
        </w:rPr>
        <w:t>F</w:t>
      </w:r>
      <w:r w:rsidR="00C61837" w:rsidRPr="009D5EA7">
        <w:rPr>
          <w:rFonts w:ascii="Verdana" w:eastAsia="Calibri" w:hAnsi="Verdana" w:cs="Times New Roman"/>
          <w:i/>
          <w:sz w:val="20"/>
          <w:szCs w:val="20"/>
          <w:lang w:val="es-ES_tradnl"/>
        </w:rPr>
        <w:t>.2</w:t>
      </w:r>
      <w:r w:rsidR="00C61837" w:rsidRPr="009D5EA7">
        <w:rPr>
          <w:rFonts w:ascii="Verdana" w:eastAsia="Calibri" w:hAnsi="Verdana" w:cs="Times New Roman"/>
          <w:i/>
          <w:sz w:val="20"/>
          <w:szCs w:val="20"/>
          <w:lang w:val="es-ES_tradnl"/>
        </w:rPr>
        <w:tab/>
        <w:t>Daño inmaterial</w:t>
      </w:r>
    </w:p>
    <w:p w14:paraId="7F74D065" w14:textId="77777777" w:rsidR="00C61837" w:rsidRPr="009D5EA7" w:rsidRDefault="00C61837" w:rsidP="00C61837">
      <w:pPr>
        <w:autoSpaceDE w:val="0"/>
        <w:autoSpaceDN w:val="0"/>
        <w:adjustRightInd w:val="0"/>
        <w:spacing w:after="0" w:line="240" w:lineRule="auto"/>
        <w:ind w:right="49"/>
        <w:contextualSpacing/>
        <w:jc w:val="both"/>
        <w:rPr>
          <w:rFonts w:ascii="Verdana" w:eastAsia="Calibri" w:hAnsi="Verdana" w:cs="Times New Roman"/>
          <w:sz w:val="20"/>
          <w:szCs w:val="20"/>
          <w:lang w:val="es-ES_tradnl"/>
        </w:rPr>
      </w:pPr>
    </w:p>
    <w:p w14:paraId="6A5D3704" w14:textId="3E35C8CC" w:rsidR="00A01272" w:rsidRPr="009D5EA7" w:rsidRDefault="00A01272" w:rsidP="00C61837">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9D5EA7">
        <w:rPr>
          <w:rFonts w:ascii="Verdana" w:eastAsia="Calibri" w:hAnsi="Verdana" w:cs="Times New Roman"/>
          <w:sz w:val="20"/>
          <w:szCs w:val="20"/>
          <w:lang w:val="es-ES_tradnl"/>
        </w:rPr>
        <w:t>La Corte ha establecido que el daño inmaterial puede comprender tanto los sufrimientos y las aflicciones causados a la víctima directa y a sus allegados, el menoscabo de valores muy significativos para las personas, así como las alteraciones, de carácter no pecuniario, en las condiciones de existe</w:t>
      </w:r>
      <w:r w:rsidR="00294944">
        <w:rPr>
          <w:rFonts w:ascii="Verdana" w:eastAsia="Calibri" w:hAnsi="Verdana" w:cs="Times New Roman"/>
          <w:sz w:val="20"/>
          <w:szCs w:val="20"/>
          <w:lang w:val="es-ES_tradnl"/>
        </w:rPr>
        <w:t>ncia de la víctima o su familia</w:t>
      </w:r>
      <w:r w:rsidRPr="009D5EA7">
        <w:rPr>
          <w:rFonts w:ascii="Verdana" w:eastAsia="Calibri" w:hAnsi="Verdana" w:cs="Times New Roman"/>
          <w:sz w:val="20"/>
          <w:szCs w:val="20"/>
          <w:vertAlign w:val="superscript"/>
          <w:lang w:val="es-ES_tradnl"/>
        </w:rPr>
        <w:footnoteReference w:id="216"/>
      </w:r>
      <w:r w:rsidRPr="009D5EA7">
        <w:rPr>
          <w:rFonts w:ascii="Verdana" w:eastAsia="Calibri" w:hAnsi="Verdana" w:cs="Times New Roman"/>
          <w:sz w:val="20"/>
          <w:szCs w:val="20"/>
          <w:lang w:val="es-ES_tradnl"/>
        </w:rPr>
        <w:t>. Al haberse declarado violaciones de los derechos de las víctimas, es posible determinar la existencia de un daño inmaterial.</w:t>
      </w:r>
    </w:p>
    <w:p w14:paraId="1514872C" w14:textId="77777777" w:rsidR="00A01272" w:rsidRPr="009D5EA7" w:rsidRDefault="00A01272" w:rsidP="00A01272">
      <w:pPr>
        <w:autoSpaceDE w:val="0"/>
        <w:autoSpaceDN w:val="0"/>
        <w:adjustRightInd w:val="0"/>
        <w:spacing w:after="0" w:line="240" w:lineRule="auto"/>
        <w:ind w:right="49"/>
        <w:contextualSpacing/>
        <w:jc w:val="both"/>
        <w:rPr>
          <w:rFonts w:ascii="Verdana" w:eastAsia="Calibri" w:hAnsi="Verdana" w:cs="Times New Roman"/>
          <w:sz w:val="20"/>
          <w:szCs w:val="20"/>
          <w:lang w:val="es-ES_tradnl"/>
        </w:rPr>
      </w:pPr>
    </w:p>
    <w:p w14:paraId="18CFC136" w14:textId="0C01F7BF" w:rsidR="00873F93" w:rsidRPr="009D5EA7" w:rsidRDefault="00C61837" w:rsidP="00873F93">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9D5EA7">
        <w:rPr>
          <w:rFonts w:ascii="Verdana" w:eastAsia="Calibri" w:hAnsi="Verdana" w:cs="Times New Roman"/>
          <w:sz w:val="20"/>
          <w:szCs w:val="20"/>
          <w:lang w:val="es-ES_tradnl"/>
        </w:rPr>
        <w:t xml:space="preserve">Las </w:t>
      </w:r>
      <w:r w:rsidRPr="001F60CD">
        <w:rPr>
          <w:rFonts w:ascii="Verdana" w:eastAsia="Calibri" w:hAnsi="Verdana" w:cs="Times New Roman"/>
          <w:b/>
          <w:sz w:val="20"/>
          <w:szCs w:val="20"/>
          <w:lang w:val="es-ES_tradnl"/>
        </w:rPr>
        <w:t>representantes</w:t>
      </w:r>
      <w:r w:rsidRPr="009D5EA7">
        <w:rPr>
          <w:rFonts w:ascii="Verdana" w:eastAsia="Calibri" w:hAnsi="Verdana" w:cs="Times New Roman"/>
          <w:sz w:val="20"/>
          <w:szCs w:val="20"/>
          <w:lang w:val="es-ES_tradnl"/>
        </w:rPr>
        <w:t xml:space="preserve"> solicitaron a la Corte que determine una indemnización en equidad y de con</w:t>
      </w:r>
      <w:r w:rsidR="00873F93" w:rsidRPr="009D5EA7">
        <w:rPr>
          <w:rFonts w:ascii="Verdana" w:eastAsia="Calibri" w:hAnsi="Verdana" w:cs="Times New Roman"/>
          <w:sz w:val="20"/>
          <w:szCs w:val="20"/>
          <w:lang w:val="es-ES_tradnl"/>
        </w:rPr>
        <w:t xml:space="preserve">formidad con su jurisprudencia. El </w:t>
      </w:r>
      <w:r w:rsidR="00873F93" w:rsidRPr="001F60CD">
        <w:rPr>
          <w:rFonts w:ascii="Verdana" w:eastAsia="Calibri" w:hAnsi="Verdana" w:cs="Times New Roman"/>
          <w:b/>
          <w:sz w:val="20"/>
          <w:szCs w:val="20"/>
          <w:lang w:val="es-ES_tradnl"/>
        </w:rPr>
        <w:t>Estado</w:t>
      </w:r>
      <w:r w:rsidR="00873F93" w:rsidRPr="009D5EA7">
        <w:rPr>
          <w:rFonts w:ascii="Verdana" w:eastAsia="Calibri" w:hAnsi="Verdana" w:cs="Times New Roman"/>
          <w:sz w:val="20"/>
          <w:szCs w:val="20"/>
          <w:lang w:val="es-ES_tradnl"/>
        </w:rPr>
        <w:t xml:space="preserve"> rechazó lo alegado por la Comisión y los representantes, </w:t>
      </w:r>
      <w:r w:rsidR="003731F2">
        <w:rPr>
          <w:rFonts w:ascii="Verdana" w:eastAsia="Calibri" w:hAnsi="Verdana" w:cs="Times New Roman"/>
          <w:sz w:val="20"/>
          <w:szCs w:val="20"/>
          <w:lang w:val="es-ES_tradnl"/>
        </w:rPr>
        <w:t>en cuanto a</w:t>
      </w:r>
      <w:r w:rsidR="00873F93" w:rsidRPr="009D5EA7">
        <w:rPr>
          <w:rFonts w:ascii="Verdana" w:eastAsia="Calibri" w:hAnsi="Verdana" w:cs="Times New Roman"/>
          <w:sz w:val="20"/>
          <w:szCs w:val="20"/>
          <w:lang w:val="es-ES_tradnl"/>
        </w:rPr>
        <w:t xml:space="preserve"> que no existió protección estatal hacia los familiares, pues ya se condenó a los responsables del </w:t>
      </w:r>
      <w:r w:rsidR="006233D1">
        <w:rPr>
          <w:rFonts w:ascii="Verdana" w:hAnsi="Verdana" w:cs="Arial"/>
          <w:sz w:val="20"/>
        </w:rPr>
        <w:t>homicidio</w:t>
      </w:r>
      <w:r w:rsidR="003731F2">
        <w:rPr>
          <w:rFonts w:ascii="Verdana" w:hAnsi="Verdana" w:cs="Arial"/>
          <w:sz w:val="20"/>
        </w:rPr>
        <w:t xml:space="preserve"> y alegó</w:t>
      </w:r>
      <w:r w:rsidR="00873F93" w:rsidRPr="009D5EA7">
        <w:rPr>
          <w:rFonts w:ascii="Verdana" w:eastAsia="Calibri" w:hAnsi="Verdana" w:cs="Times New Roman"/>
          <w:sz w:val="20"/>
          <w:szCs w:val="20"/>
          <w:lang w:val="es-ES_tradnl"/>
        </w:rPr>
        <w:t xml:space="preserve"> que “no se puede desvirtuar el fin mismo de la Corte, con esta clase de pretensiones que únicamente se busca convertirla en una instancia económica, lo cual no se armoniza con el objeto y fin del funcionamiento de la misma”.</w:t>
      </w:r>
    </w:p>
    <w:p w14:paraId="002673EE" w14:textId="77777777" w:rsidR="00873F93" w:rsidRPr="009D5EA7" w:rsidRDefault="00873F93" w:rsidP="00873F93">
      <w:pPr>
        <w:autoSpaceDE w:val="0"/>
        <w:autoSpaceDN w:val="0"/>
        <w:adjustRightInd w:val="0"/>
        <w:spacing w:after="0" w:line="240" w:lineRule="auto"/>
        <w:ind w:right="49"/>
        <w:contextualSpacing/>
        <w:jc w:val="both"/>
        <w:rPr>
          <w:rFonts w:ascii="Verdana" w:eastAsia="Calibri" w:hAnsi="Verdana" w:cs="Times New Roman"/>
          <w:sz w:val="20"/>
          <w:szCs w:val="20"/>
          <w:lang w:val="es-ES_tradnl"/>
        </w:rPr>
      </w:pPr>
    </w:p>
    <w:p w14:paraId="4F9259FB" w14:textId="70015216" w:rsidR="00A01272" w:rsidRPr="009D5EA7" w:rsidRDefault="00A01272" w:rsidP="00A01272">
      <w:pPr>
        <w:numPr>
          <w:ilvl w:val="0"/>
          <w:numId w:val="5"/>
        </w:numPr>
        <w:autoSpaceDE w:val="0"/>
        <w:autoSpaceDN w:val="0"/>
        <w:adjustRightInd w:val="0"/>
        <w:spacing w:after="0" w:line="240" w:lineRule="auto"/>
        <w:ind w:left="0" w:right="49" w:firstLine="0"/>
        <w:contextualSpacing/>
        <w:jc w:val="both"/>
        <w:rPr>
          <w:rFonts w:ascii="Verdana" w:eastAsia="Calibri" w:hAnsi="Verdana" w:cs="Times New Roman"/>
          <w:sz w:val="20"/>
          <w:szCs w:val="20"/>
          <w:lang w:val="es-ES_tradnl"/>
        </w:rPr>
      </w:pPr>
      <w:r w:rsidRPr="009D5EA7">
        <w:rPr>
          <w:rFonts w:ascii="Verdana" w:eastAsia="Calibri" w:hAnsi="Verdana" w:cs="Times New Roman"/>
          <w:sz w:val="20"/>
          <w:szCs w:val="20"/>
          <w:lang w:val="es-ES_tradnl"/>
        </w:rPr>
        <w:t xml:space="preserve">Al fijar la indemnización por daño inmaterial en el presente caso, </w:t>
      </w:r>
      <w:r w:rsidR="00FF4AE4">
        <w:rPr>
          <w:rFonts w:ascii="Verdana" w:eastAsia="Calibri" w:hAnsi="Verdana" w:cs="Times New Roman"/>
          <w:sz w:val="20"/>
          <w:szCs w:val="20"/>
          <w:lang w:val="es-ES_tradnl"/>
        </w:rPr>
        <w:t xml:space="preserve">la </w:t>
      </w:r>
      <w:r w:rsidR="00FF4AE4" w:rsidRPr="00FF4AE4">
        <w:rPr>
          <w:rFonts w:ascii="Verdana" w:eastAsia="Calibri" w:hAnsi="Verdana" w:cs="Times New Roman"/>
          <w:b/>
          <w:sz w:val="20"/>
          <w:szCs w:val="20"/>
          <w:lang w:val="es-ES_tradnl"/>
        </w:rPr>
        <w:t>Corte</w:t>
      </w:r>
      <w:r w:rsidR="00FF4AE4">
        <w:rPr>
          <w:rFonts w:ascii="Verdana" w:eastAsia="Calibri" w:hAnsi="Verdana" w:cs="Times New Roman"/>
          <w:sz w:val="20"/>
          <w:szCs w:val="20"/>
          <w:lang w:val="es-ES_tradnl"/>
        </w:rPr>
        <w:t xml:space="preserve"> considera</w:t>
      </w:r>
      <w:r w:rsidRPr="009D5EA7">
        <w:rPr>
          <w:rFonts w:ascii="Verdana" w:eastAsia="Calibri" w:hAnsi="Verdana" w:cs="Times New Roman"/>
          <w:sz w:val="20"/>
          <w:szCs w:val="20"/>
          <w:lang w:val="es-ES_tradnl"/>
        </w:rPr>
        <w:t xml:space="preserve"> que</w:t>
      </w:r>
      <w:r w:rsidR="00EE7F9F" w:rsidRPr="009D5EA7">
        <w:rPr>
          <w:rFonts w:ascii="Verdana" w:hAnsi="Verdana" w:cs="Calibri"/>
          <w:color w:val="000000"/>
          <w:sz w:val="20"/>
          <w:lang w:val="es-ES_tradnl"/>
        </w:rPr>
        <w:t xml:space="preserve">, como consecuencia de las violaciones de derechos humanos declaradas en esta Sentencia, la señora Acosta ha sufrido particulares afectaciones a su integridad personal, en razón del grave sufrimiento por el </w:t>
      </w:r>
      <w:r w:rsidR="006233D1">
        <w:rPr>
          <w:rFonts w:ascii="Verdana" w:hAnsi="Verdana" w:cs="Arial"/>
          <w:sz w:val="20"/>
        </w:rPr>
        <w:t>homicidio</w:t>
      </w:r>
      <w:r w:rsidR="006233D1" w:rsidRPr="009D5EA7">
        <w:rPr>
          <w:rFonts w:ascii="Verdana" w:hAnsi="Verdana" w:cs="Arial"/>
          <w:sz w:val="20"/>
        </w:rPr>
        <w:t xml:space="preserve"> </w:t>
      </w:r>
      <w:r w:rsidR="00EE7F9F" w:rsidRPr="009D5EA7">
        <w:rPr>
          <w:rFonts w:ascii="Verdana" w:hAnsi="Verdana" w:cs="Calibri"/>
          <w:color w:val="000000"/>
          <w:sz w:val="20"/>
          <w:lang w:val="es-ES_tradnl"/>
        </w:rPr>
        <w:t xml:space="preserve">de su esposo, la falta de investigación adecuada del mismo; la ilegítima imputación dentro del mismo procedimiento penal que se suponía debía investigar y procesar a los responsables; los </w:t>
      </w:r>
      <w:r w:rsidR="00EE7F9F" w:rsidRPr="009D5EA7">
        <w:rPr>
          <w:rFonts w:ascii="Verdana" w:hAnsi="Verdana"/>
          <w:sz w:val="20"/>
          <w:lang w:val="es-ES_tradnl"/>
        </w:rPr>
        <w:t xml:space="preserve">efectos perniciosos, de desacreditación, estigmatización o desprestigio que pudieron generar impactos tanto psicosociales como económicos en la señora Acosta y otros familiares, tal como se desprende de sus declaraciones, </w:t>
      </w:r>
      <w:r w:rsidR="00EE7F9F" w:rsidRPr="009D5EA7">
        <w:rPr>
          <w:rFonts w:ascii="Verdana" w:hAnsi="Verdana" w:cs="Calibri"/>
          <w:color w:val="000000"/>
          <w:sz w:val="20"/>
          <w:lang w:val="es-ES_tradnl"/>
        </w:rPr>
        <w:t>al haber sido objeto de declaraciones por parte de la autoridad judicial que dictó un ilegítimo sobreseimiento definitivo a favor de personas señaladas como autores intelectuales del referido crimen; la frustración frente a la impunidad parcial producto de la falta de protección judicial y garantías judiciales en las instancias del Poder Judicial, así como los efectos que ello le generó en el ejercicio de su actividad de defensa de derechos humanos</w:t>
      </w:r>
      <w:r w:rsidRPr="009D5EA7">
        <w:rPr>
          <w:rFonts w:ascii="Verdana" w:eastAsia="Calibri" w:hAnsi="Verdana" w:cs="Times New Roman"/>
          <w:sz w:val="20"/>
          <w:szCs w:val="20"/>
          <w:lang w:val="es-ES_tradnl"/>
        </w:rPr>
        <w:t>. A su vez, ha sido posible constatar el dolor y el sufrimiento padecido por los familiares a raíz de los hechos del caso, así como el impacto en su economía y alteración en sus condiciones de existencia.</w:t>
      </w:r>
    </w:p>
    <w:p w14:paraId="258F1E80" w14:textId="77777777" w:rsidR="00A17F91" w:rsidRPr="009D5EA7" w:rsidRDefault="00A17F91" w:rsidP="00A01272">
      <w:pPr>
        <w:autoSpaceDE w:val="0"/>
        <w:autoSpaceDN w:val="0"/>
        <w:adjustRightInd w:val="0"/>
        <w:spacing w:after="0" w:line="240" w:lineRule="auto"/>
        <w:ind w:right="49"/>
        <w:contextualSpacing/>
        <w:jc w:val="both"/>
        <w:rPr>
          <w:rFonts w:ascii="Verdana" w:hAnsi="Verdana"/>
          <w:sz w:val="20"/>
          <w:szCs w:val="20"/>
          <w:lang w:val="es-ES_tradnl"/>
        </w:rPr>
      </w:pPr>
    </w:p>
    <w:p w14:paraId="7579E8AC" w14:textId="12E0078F" w:rsidR="008A578C" w:rsidRPr="009D5EA7" w:rsidRDefault="00A01272" w:rsidP="00EF6522">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De conformidad con los criterios desarrollados por la Corte sobre el concepto de daño inmaterial</w:t>
      </w:r>
      <w:r w:rsidRPr="009D5EA7">
        <w:rPr>
          <w:rFonts w:ascii="Verdana" w:hAnsi="Verdana"/>
          <w:sz w:val="20"/>
          <w:szCs w:val="20"/>
          <w:vertAlign w:val="superscript"/>
          <w:lang w:val="es-ES_tradnl"/>
        </w:rPr>
        <w:footnoteReference w:id="217"/>
      </w:r>
      <w:r w:rsidRPr="009D5EA7">
        <w:rPr>
          <w:rFonts w:ascii="Verdana" w:hAnsi="Verdana"/>
          <w:sz w:val="20"/>
          <w:szCs w:val="20"/>
          <w:lang w:val="es-ES_tradnl"/>
        </w:rPr>
        <w:t xml:space="preserve"> y atendiendo a </w:t>
      </w:r>
      <w:r w:rsidRPr="009D5EA7">
        <w:rPr>
          <w:rFonts w:ascii="Verdana" w:hAnsi="Verdana"/>
          <w:sz w:val="20"/>
          <w:szCs w:val="20"/>
          <w:lang w:val="es-ES_tradnl" w:bidi="en-US"/>
        </w:rPr>
        <w:t>las circunstancias del presente caso, el carácter y la gravedad de las violaciones cometidas, así como los sufrimientos ocasionados a las víctimas en su esfera moral y psicológica,</w:t>
      </w:r>
      <w:r w:rsidRPr="009D5EA7">
        <w:rPr>
          <w:rFonts w:ascii="Verdana" w:hAnsi="Verdana"/>
          <w:sz w:val="20"/>
          <w:szCs w:val="20"/>
          <w:lang w:val="es-ES_tradnl"/>
        </w:rPr>
        <w:t xml:space="preserve"> la Corte fija en equidad, las siguientes </w:t>
      </w:r>
      <w:r w:rsidR="00FF4AE4">
        <w:rPr>
          <w:rFonts w:ascii="Verdana" w:hAnsi="Verdana"/>
          <w:sz w:val="20"/>
          <w:szCs w:val="20"/>
          <w:lang w:val="es-ES_tradnl"/>
        </w:rPr>
        <w:t>indemnizaciones</w:t>
      </w:r>
      <w:r w:rsidRPr="009D5EA7">
        <w:rPr>
          <w:rFonts w:ascii="Verdana" w:hAnsi="Verdana"/>
          <w:sz w:val="20"/>
          <w:szCs w:val="20"/>
          <w:lang w:val="es-ES_tradnl"/>
        </w:rPr>
        <w:t xml:space="preserve">: a) de US$ </w:t>
      </w:r>
      <w:r w:rsidR="00EE7F9F" w:rsidRPr="009D5EA7">
        <w:rPr>
          <w:rFonts w:ascii="Verdana" w:hAnsi="Verdana"/>
          <w:sz w:val="20"/>
          <w:szCs w:val="20"/>
          <w:lang w:val="es-ES_tradnl"/>
        </w:rPr>
        <w:t>60</w:t>
      </w:r>
      <w:r w:rsidRPr="009D5EA7">
        <w:rPr>
          <w:rFonts w:ascii="Verdana" w:hAnsi="Verdana"/>
          <w:sz w:val="20"/>
          <w:szCs w:val="20"/>
          <w:lang w:val="es-ES_tradnl"/>
        </w:rPr>
        <w:t>.000,00 (</w:t>
      </w:r>
      <w:r w:rsidR="00A849CF" w:rsidRPr="009D5EA7">
        <w:rPr>
          <w:rFonts w:ascii="Verdana" w:hAnsi="Verdana"/>
          <w:sz w:val="20"/>
          <w:szCs w:val="20"/>
          <w:lang w:val="es-ES_tradnl"/>
        </w:rPr>
        <w:t>sesenta</w:t>
      </w:r>
      <w:r w:rsidR="008C4FEE" w:rsidRPr="009D5EA7">
        <w:rPr>
          <w:rFonts w:ascii="Verdana" w:hAnsi="Verdana"/>
          <w:sz w:val="20"/>
          <w:szCs w:val="20"/>
          <w:lang w:val="es-ES_tradnl"/>
        </w:rPr>
        <w:t xml:space="preserve"> </w:t>
      </w:r>
      <w:r w:rsidRPr="009D5EA7">
        <w:rPr>
          <w:rFonts w:ascii="Verdana" w:hAnsi="Verdana"/>
          <w:sz w:val="20"/>
          <w:szCs w:val="20"/>
          <w:lang w:val="es-ES_tradnl"/>
        </w:rPr>
        <w:t xml:space="preserve">mil dólares de los Estados Unidos de América) por los daños inmateriales sufridos por </w:t>
      </w:r>
      <w:r w:rsidR="008C4FEE" w:rsidRPr="009D5EA7">
        <w:rPr>
          <w:rFonts w:ascii="Verdana" w:hAnsi="Verdana"/>
          <w:sz w:val="20"/>
          <w:szCs w:val="20"/>
          <w:lang w:val="es-ES_tradnl"/>
        </w:rPr>
        <w:t>la señora María Luisa Acosta</w:t>
      </w:r>
      <w:r w:rsidRPr="009D5EA7">
        <w:rPr>
          <w:rFonts w:ascii="Verdana" w:hAnsi="Verdana"/>
          <w:sz w:val="20"/>
          <w:szCs w:val="20"/>
          <w:lang w:val="es-ES_tradnl"/>
        </w:rPr>
        <w:t xml:space="preserve">; b) </w:t>
      </w:r>
      <w:r w:rsidRPr="00344EAC">
        <w:rPr>
          <w:rFonts w:ascii="Verdana" w:hAnsi="Verdana"/>
          <w:sz w:val="20"/>
          <w:szCs w:val="20"/>
          <w:lang w:val="es-ES_tradnl"/>
        </w:rPr>
        <w:t>de US$</w:t>
      </w:r>
      <w:r w:rsidR="00EE7F9F" w:rsidRPr="00344EAC">
        <w:rPr>
          <w:rFonts w:ascii="Verdana" w:hAnsi="Verdana"/>
          <w:sz w:val="20"/>
          <w:szCs w:val="20"/>
          <w:lang w:val="es-ES_tradnl"/>
        </w:rPr>
        <w:t xml:space="preserve"> </w:t>
      </w:r>
      <w:r w:rsidR="00E103B2" w:rsidRPr="00344EAC">
        <w:rPr>
          <w:rFonts w:ascii="Verdana" w:hAnsi="Verdana"/>
          <w:sz w:val="20"/>
          <w:szCs w:val="20"/>
          <w:lang w:val="es-ES_tradnl"/>
        </w:rPr>
        <w:t>20.</w:t>
      </w:r>
      <w:r w:rsidRPr="00344EAC">
        <w:rPr>
          <w:rFonts w:ascii="Verdana" w:hAnsi="Verdana"/>
          <w:sz w:val="20"/>
          <w:szCs w:val="20"/>
          <w:lang w:val="es-ES_tradnl"/>
        </w:rPr>
        <w:t>000,00 (</w:t>
      </w:r>
      <w:r w:rsidR="00E103B2" w:rsidRPr="00344EAC">
        <w:rPr>
          <w:rFonts w:ascii="Verdana" w:hAnsi="Verdana"/>
          <w:sz w:val="20"/>
          <w:szCs w:val="20"/>
          <w:lang w:val="es-ES_tradnl"/>
        </w:rPr>
        <w:t>veinte</w:t>
      </w:r>
      <w:r w:rsidRPr="009D5EA7">
        <w:rPr>
          <w:rFonts w:ascii="Verdana" w:hAnsi="Verdana"/>
          <w:sz w:val="20"/>
          <w:szCs w:val="20"/>
          <w:lang w:val="es-ES_tradnl"/>
        </w:rPr>
        <w:t xml:space="preserve"> mil dólares de los Estados Unidos de América) por los daños inmateriales sufridos por </w:t>
      </w:r>
      <w:r w:rsidR="00A849CF" w:rsidRPr="009D5EA7">
        <w:rPr>
          <w:rFonts w:ascii="Verdana" w:hAnsi="Verdana"/>
          <w:sz w:val="20"/>
          <w:szCs w:val="20"/>
          <w:lang w:val="es-ES_tradnl"/>
        </w:rPr>
        <w:t xml:space="preserve">el señor </w:t>
      </w:r>
      <w:r w:rsidR="00E103B2">
        <w:rPr>
          <w:rFonts w:ascii="Verdana" w:hAnsi="Verdana" w:cs="Arial"/>
          <w:sz w:val="20"/>
          <w:lang w:val="es-ES_tradnl"/>
        </w:rPr>
        <w:t xml:space="preserve">Rodolfo García Solari, por </w:t>
      </w:r>
      <w:r w:rsidR="00A849CF" w:rsidRPr="009D5EA7">
        <w:rPr>
          <w:rFonts w:ascii="Verdana" w:hAnsi="Verdana"/>
          <w:sz w:val="20"/>
          <w:szCs w:val="20"/>
          <w:lang w:val="es-ES_tradnl"/>
        </w:rPr>
        <w:t xml:space="preserve">la señora </w:t>
      </w:r>
      <w:r w:rsidR="00A849CF" w:rsidRPr="009D5EA7">
        <w:rPr>
          <w:rFonts w:ascii="Verdana" w:hAnsi="Verdana" w:cs="Arial"/>
          <w:sz w:val="20"/>
          <w:lang w:val="es-ES_tradnl"/>
        </w:rPr>
        <w:t xml:space="preserve">María Leonor Valle Estrada (conocida como Leonor del Carmen Valle de </w:t>
      </w:r>
      <w:r w:rsidR="00A849CF" w:rsidRPr="009D5EA7">
        <w:rPr>
          <w:rFonts w:ascii="Verdana" w:hAnsi="Verdana" w:cs="Arial"/>
          <w:sz w:val="20"/>
          <w:lang w:val="es-ES_tradnl"/>
        </w:rPr>
        <w:lastRenderedPageBreak/>
        <w:t xml:space="preserve">García), </w:t>
      </w:r>
      <w:r w:rsidRPr="009D5EA7">
        <w:rPr>
          <w:rFonts w:ascii="Verdana" w:hAnsi="Verdana"/>
          <w:sz w:val="20"/>
          <w:szCs w:val="20"/>
          <w:lang w:val="es-ES_tradnl"/>
        </w:rPr>
        <w:t>por</w:t>
      </w:r>
      <w:r w:rsidR="00E103B2">
        <w:rPr>
          <w:rFonts w:ascii="Verdana" w:hAnsi="Verdana"/>
          <w:sz w:val="20"/>
          <w:szCs w:val="20"/>
          <w:lang w:val="es-ES_tradnl"/>
        </w:rPr>
        <w:t xml:space="preserve"> la señora</w:t>
      </w:r>
      <w:r w:rsidR="008C4FEE" w:rsidRPr="009D5EA7">
        <w:rPr>
          <w:rFonts w:ascii="Verdana" w:hAnsi="Verdana"/>
          <w:sz w:val="20"/>
          <w:szCs w:val="20"/>
          <w:lang w:val="es-ES_tradnl"/>
        </w:rPr>
        <w:t xml:space="preserve"> </w:t>
      </w:r>
      <w:r w:rsidR="00A849CF" w:rsidRPr="009D5EA7">
        <w:rPr>
          <w:rFonts w:ascii="Verdana" w:hAnsi="Verdana" w:cs="Arial"/>
          <w:sz w:val="20"/>
          <w:lang w:val="es-ES_tradnl"/>
        </w:rPr>
        <w:t xml:space="preserve">Ana María Vergara Acosta y </w:t>
      </w:r>
      <w:r w:rsidR="00E103B2">
        <w:rPr>
          <w:rFonts w:ascii="Verdana" w:hAnsi="Verdana" w:cs="Arial"/>
          <w:sz w:val="20"/>
          <w:lang w:val="es-ES_tradnl"/>
        </w:rPr>
        <w:t xml:space="preserve">por el señor </w:t>
      </w:r>
      <w:r w:rsidR="00A849CF" w:rsidRPr="009D5EA7">
        <w:rPr>
          <w:rFonts w:ascii="Verdana" w:hAnsi="Verdana" w:cs="Arial"/>
          <w:sz w:val="20"/>
          <w:lang w:val="es-ES_tradnl"/>
        </w:rPr>
        <w:t>Álvaro Arístides Vergara Acosta</w:t>
      </w:r>
      <w:r w:rsidRPr="009D5EA7">
        <w:rPr>
          <w:rFonts w:ascii="Verdana" w:eastAsia="Calibri" w:hAnsi="Verdana" w:cs="Helvetica"/>
          <w:sz w:val="20"/>
          <w:szCs w:val="20"/>
          <w:lang w:val="es-ES_tradnl" w:bidi="en-US"/>
        </w:rPr>
        <w:t>, para cada un</w:t>
      </w:r>
      <w:r w:rsidR="008C4FEE" w:rsidRPr="009D5EA7">
        <w:rPr>
          <w:rFonts w:ascii="Verdana" w:eastAsia="Calibri" w:hAnsi="Verdana" w:cs="Helvetica"/>
          <w:sz w:val="20"/>
          <w:szCs w:val="20"/>
          <w:lang w:val="es-ES_tradnl" w:bidi="en-US"/>
        </w:rPr>
        <w:t xml:space="preserve">o de ellos. </w:t>
      </w:r>
      <w:r w:rsidR="008C4FEE" w:rsidRPr="009D5EA7">
        <w:rPr>
          <w:rFonts w:ascii="Verdana" w:hAnsi="Verdana"/>
          <w:sz w:val="20"/>
          <w:szCs w:val="20"/>
          <w:lang w:val="es-ES_tradnl"/>
        </w:rPr>
        <w:t>Estas indemnizaciones deberán ser</w:t>
      </w:r>
      <w:r w:rsidR="00FF4AE4">
        <w:rPr>
          <w:rFonts w:ascii="Verdana" w:hAnsi="Verdana"/>
          <w:sz w:val="20"/>
          <w:szCs w:val="20"/>
          <w:lang w:val="es-ES_tradnl"/>
        </w:rPr>
        <w:t xml:space="preserve"> entregados a cada uno de ellos</w:t>
      </w:r>
      <w:r w:rsidR="008C4FEE" w:rsidRPr="009D5EA7">
        <w:rPr>
          <w:rFonts w:ascii="Verdana" w:hAnsi="Verdana"/>
          <w:sz w:val="20"/>
          <w:szCs w:val="20"/>
          <w:lang w:val="es-ES_tradnl"/>
        </w:rPr>
        <w:t xml:space="preserve"> </w:t>
      </w:r>
      <w:r w:rsidR="004E3009">
        <w:rPr>
          <w:rFonts w:ascii="Verdana" w:hAnsi="Verdana"/>
          <w:sz w:val="20"/>
          <w:szCs w:val="20"/>
          <w:lang w:val="es-ES_tradnl"/>
        </w:rPr>
        <w:t xml:space="preserve">y el monto indicado a favor del señor Rodolfo García Solari deberá ser entregado a la señora </w:t>
      </w:r>
      <w:r w:rsidR="004E3009" w:rsidRPr="009D5EA7">
        <w:rPr>
          <w:rFonts w:ascii="Verdana" w:hAnsi="Verdana" w:cs="Arial"/>
          <w:sz w:val="20"/>
          <w:lang w:val="es-ES_tradnl"/>
        </w:rPr>
        <w:t>María Leonor Valle Estrada (conocida como Leonor del Carmen Valle de García)</w:t>
      </w:r>
      <w:r w:rsidR="004E3009">
        <w:rPr>
          <w:rFonts w:ascii="Verdana" w:hAnsi="Verdana" w:cs="Arial"/>
          <w:sz w:val="20"/>
          <w:lang w:val="es-ES_tradnl"/>
        </w:rPr>
        <w:t xml:space="preserve">, </w:t>
      </w:r>
      <w:r w:rsidR="008C4FEE" w:rsidRPr="009D5EA7">
        <w:rPr>
          <w:rFonts w:ascii="Verdana" w:hAnsi="Verdana"/>
          <w:sz w:val="20"/>
          <w:szCs w:val="20"/>
          <w:lang w:val="es-ES_tradnl"/>
        </w:rPr>
        <w:t xml:space="preserve">según los términos dispuestos en </w:t>
      </w:r>
      <w:r w:rsidR="003731F2">
        <w:rPr>
          <w:rFonts w:ascii="Verdana" w:hAnsi="Verdana"/>
          <w:sz w:val="20"/>
          <w:szCs w:val="20"/>
          <w:lang w:val="es-ES_tradnl"/>
        </w:rPr>
        <w:t>los</w:t>
      </w:r>
      <w:r w:rsidR="008C4FEE" w:rsidRPr="009D5EA7">
        <w:rPr>
          <w:rFonts w:ascii="Verdana" w:hAnsi="Verdana"/>
          <w:sz w:val="20"/>
          <w:szCs w:val="20"/>
          <w:lang w:val="es-ES_tradnl"/>
        </w:rPr>
        <w:t xml:space="preserve"> párrafo</w:t>
      </w:r>
      <w:r w:rsidR="003731F2">
        <w:rPr>
          <w:rFonts w:ascii="Verdana" w:hAnsi="Verdana"/>
          <w:sz w:val="20"/>
          <w:szCs w:val="20"/>
          <w:lang w:val="es-ES_tradnl"/>
        </w:rPr>
        <w:t>s</w:t>
      </w:r>
      <w:r w:rsidR="008C4FEE" w:rsidRPr="009D5EA7">
        <w:rPr>
          <w:rFonts w:ascii="Verdana" w:hAnsi="Verdana"/>
          <w:sz w:val="20"/>
          <w:szCs w:val="20"/>
          <w:lang w:val="es-ES_tradnl"/>
        </w:rPr>
        <w:t xml:space="preserve"> </w:t>
      </w:r>
      <w:r w:rsidR="00344EAC">
        <w:rPr>
          <w:rFonts w:ascii="Verdana" w:hAnsi="Verdana"/>
          <w:sz w:val="20"/>
          <w:szCs w:val="20"/>
          <w:lang w:val="es-ES_tradnl"/>
        </w:rPr>
        <w:t>246</w:t>
      </w:r>
      <w:r w:rsidR="008C4FEE" w:rsidRPr="009D5EA7">
        <w:rPr>
          <w:rFonts w:ascii="Verdana" w:hAnsi="Verdana"/>
          <w:sz w:val="20"/>
          <w:szCs w:val="20"/>
          <w:lang w:val="es-ES_tradnl"/>
        </w:rPr>
        <w:t xml:space="preserve"> </w:t>
      </w:r>
      <w:r w:rsidR="003731F2">
        <w:rPr>
          <w:rFonts w:ascii="Verdana" w:hAnsi="Verdana"/>
          <w:sz w:val="20"/>
          <w:szCs w:val="20"/>
          <w:lang w:val="es-ES_tradnl"/>
        </w:rPr>
        <w:t xml:space="preserve">a 250 </w:t>
      </w:r>
      <w:r w:rsidR="008C4FEE" w:rsidRPr="009D5EA7">
        <w:rPr>
          <w:rFonts w:ascii="Verdana" w:hAnsi="Verdana"/>
          <w:sz w:val="20"/>
          <w:szCs w:val="20"/>
          <w:lang w:val="es-ES_tradnl"/>
        </w:rPr>
        <w:t>de esta Sentencia</w:t>
      </w:r>
      <w:r w:rsidR="00A849CF" w:rsidRPr="009D5EA7">
        <w:rPr>
          <w:rFonts w:ascii="Verdana" w:hAnsi="Verdana"/>
          <w:sz w:val="20"/>
          <w:szCs w:val="20"/>
          <w:lang w:val="es-ES_tradnl"/>
        </w:rPr>
        <w:t>.</w:t>
      </w:r>
    </w:p>
    <w:p w14:paraId="06761948" w14:textId="77777777" w:rsidR="00AB531C" w:rsidRPr="009D5EA7" w:rsidRDefault="00AB531C" w:rsidP="00EF6522">
      <w:pPr>
        <w:spacing w:after="0"/>
        <w:jc w:val="both"/>
        <w:rPr>
          <w:rFonts w:ascii="Verdana" w:eastAsia="Calibri" w:hAnsi="Verdana" w:cs="Times New Roman"/>
          <w:b/>
          <w:sz w:val="20"/>
          <w:szCs w:val="20"/>
          <w:lang w:val="es-ES_tradnl"/>
        </w:rPr>
      </w:pPr>
    </w:p>
    <w:p w14:paraId="232DD0A3" w14:textId="36E79A16" w:rsidR="00EF6522" w:rsidRPr="009D5EA7" w:rsidRDefault="00170D6C" w:rsidP="00EF6522">
      <w:pPr>
        <w:pStyle w:val="Ttulo2"/>
        <w:numPr>
          <w:ilvl w:val="0"/>
          <w:numId w:val="0"/>
        </w:numPr>
        <w:ind w:left="1080" w:hanging="360"/>
        <w:rPr>
          <w:rFonts w:ascii="Verdana" w:eastAsia="Calibri" w:hAnsi="Verdana"/>
          <w:i/>
          <w:sz w:val="20"/>
          <w:lang w:val="es-ES_tradnl"/>
        </w:rPr>
      </w:pPr>
      <w:bookmarkStart w:id="32" w:name="_Toc476251470"/>
      <w:r>
        <w:rPr>
          <w:rFonts w:ascii="Verdana" w:hAnsi="Verdana"/>
          <w:i/>
          <w:sz w:val="20"/>
          <w:lang w:val="es-ES_tradnl"/>
        </w:rPr>
        <w:t>G</w:t>
      </w:r>
      <w:r w:rsidR="00EF6522" w:rsidRPr="009D5EA7">
        <w:rPr>
          <w:rFonts w:ascii="Verdana" w:hAnsi="Verdana"/>
          <w:i/>
          <w:sz w:val="20"/>
          <w:lang w:val="es-ES_tradnl"/>
        </w:rPr>
        <w:t>.</w:t>
      </w:r>
      <w:r w:rsidR="00EF6522" w:rsidRPr="009D5EA7">
        <w:rPr>
          <w:rFonts w:ascii="Verdana" w:hAnsi="Verdana"/>
          <w:i/>
          <w:sz w:val="20"/>
          <w:lang w:val="es-ES_tradnl"/>
        </w:rPr>
        <w:tab/>
        <w:t>Costas y gastos</w:t>
      </w:r>
      <w:bookmarkEnd w:id="32"/>
      <w:r w:rsidR="00EF6522" w:rsidRPr="009D5EA7">
        <w:rPr>
          <w:rFonts w:ascii="Verdana" w:hAnsi="Verdana"/>
          <w:i/>
          <w:sz w:val="20"/>
          <w:lang w:val="es-ES_tradnl"/>
        </w:rPr>
        <w:t xml:space="preserve"> </w:t>
      </w:r>
    </w:p>
    <w:p w14:paraId="2FA9CEE3" w14:textId="77777777" w:rsidR="00EF6522" w:rsidRPr="009D5EA7" w:rsidRDefault="00EF6522" w:rsidP="000F52A7">
      <w:pPr>
        <w:autoSpaceDE w:val="0"/>
        <w:autoSpaceDN w:val="0"/>
        <w:adjustRightInd w:val="0"/>
        <w:spacing w:after="0" w:line="240" w:lineRule="auto"/>
        <w:ind w:right="49"/>
        <w:contextualSpacing/>
        <w:jc w:val="both"/>
        <w:rPr>
          <w:rFonts w:ascii="Verdana" w:hAnsi="Verdana"/>
          <w:sz w:val="20"/>
          <w:szCs w:val="20"/>
          <w:lang w:val="es-ES_tradnl" w:bidi="x-none"/>
        </w:rPr>
      </w:pPr>
    </w:p>
    <w:p w14:paraId="2072B3DB" w14:textId="69E179FC" w:rsidR="00EF6522" w:rsidRPr="009D5EA7" w:rsidRDefault="000F52A7" w:rsidP="000F52A7">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bidi="x-none"/>
        </w:rPr>
      </w:pPr>
      <w:r w:rsidRPr="009D5EA7">
        <w:rPr>
          <w:rFonts w:ascii="Verdana" w:hAnsi="Verdana"/>
          <w:sz w:val="20"/>
          <w:szCs w:val="20"/>
          <w:lang w:val="es-ES_tradnl" w:bidi="x-none"/>
        </w:rPr>
        <w:t xml:space="preserve">Las </w:t>
      </w:r>
      <w:r w:rsidRPr="001F60CD">
        <w:rPr>
          <w:rFonts w:ascii="Verdana" w:hAnsi="Verdana"/>
          <w:b/>
          <w:sz w:val="20"/>
          <w:szCs w:val="20"/>
          <w:lang w:val="es-ES_tradnl" w:bidi="x-none"/>
        </w:rPr>
        <w:t>representantes</w:t>
      </w:r>
      <w:r w:rsidRPr="009D5EA7">
        <w:rPr>
          <w:rFonts w:ascii="Verdana" w:hAnsi="Verdana"/>
          <w:sz w:val="20"/>
          <w:szCs w:val="20"/>
          <w:lang w:val="es-ES_tradnl" w:bidi="x-none"/>
        </w:rPr>
        <w:t xml:space="preserve"> señalaron que las organizaciones que han actuado </w:t>
      </w:r>
      <w:r w:rsidR="00A47E49">
        <w:rPr>
          <w:rFonts w:ascii="Verdana" w:hAnsi="Verdana"/>
          <w:sz w:val="20"/>
          <w:szCs w:val="20"/>
          <w:lang w:val="es-ES_tradnl" w:bidi="x-none"/>
        </w:rPr>
        <w:t>en representación</w:t>
      </w:r>
      <w:r w:rsidRPr="009D5EA7">
        <w:rPr>
          <w:rFonts w:ascii="Verdana" w:hAnsi="Verdana"/>
          <w:sz w:val="20"/>
          <w:szCs w:val="20"/>
          <w:lang w:val="es-ES_tradnl" w:bidi="x-none"/>
        </w:rPr>
        <w:t xml:space="preserve"> de las presuntas víctimas </w:t>
      </w:r>
      <w:r w:rsidR="00B73F80" w:rsidRPr="009D5EA7">
        <w:rPr>
          <w:rFonts w:ascii="Verdana" w:hAnsi="Verdana"/>
          <w:sz w:val="20"/>
          <w:szCs w:val="20"/>
          <w:lang w:val="es-ES_tradnl" w:bidi="x-none"/>
        </w:rPr>
        <w:t xml:space="preserve">han incurrido en gastos relacionados con </w:t>
      </w:r>
      <w:r w:rsidRPr="009D5EA7">
        <w:rPr>
          <w:rFonts w:ascii="Verdana" w:hAnsi="Verdana"/>
          <w:sz w:val="20"/>
          <w:szCs w:val="20"/>
          <w:lang w:val="es-ES_tradnl" w:bidi="x-none"/>
        </w:rPr>
        <w:t>el proceso internacional ante la Comisión y ante la Corte</w:t>
      </w:r>
      <w:r w:rsidRPr="009D5EA7">
        <w:rPr>
          <w:rStyle w:val="Refdenotaalpie"/>
          <w:rFonts w:ascii="Verdana" w:hAnsi="Verdana"/>
          <w:sz w:val="20"/>
          <w:szCs w:val="20"/>
          <w:lang w:val="es-ES_tradnl" w:bidi="x-none"/>
        </w:rPr>
        <w:footnoteReference w:id="218"/>
      </w:r>
      <w:r w:rsidR="00A47E49">
        <w:rPr>
          <w:rFonts w:ascii="Verdana" w:hAnsi="Verdana"/>
          <w:sz w:val="20"/>
          <w:szCs w:val="20"/>
          <w:lang w:val="es-ES_tradnl" w:bidi="x-none"/>
        </w:rPr>
        <w:t>, pero</w:t>
      </w:r>
      <w:r w:rsidRPr="009D5EA7">
        <w:rPr>
          <w:rFonts w:ascii="Verdana" w:hAnsi="Verdana"/>
          <w:sz w:val="20"/>
          <w:szCs w:val="20"/>
          <w:lang w:val="es-ES_tradnl" w:bidi="x-none"/>
        </w:rPr>
        <w:t xml:space="preserve">, debido a que no cuentan con recibos referentes a </w:t>
      </w:r>
      <w:r w:rsidR="003731F2">
        <w:rPr>
          <w:rFonts w:ascii="Verdana" w:hAnsi="Verdana"/>
          <w:sz w:val="20"/>
          <w:szCs w:val="20"/>
          <w:lang w:val="es-ES_tradnl" w:bidi="x-none"/>
        </w:rPr>
        <w:t>tales</w:t>
      </w:r>
      <w:r w:rsidRPr="009D5EA7">
        <w:rPr>
          <w:rFonts w:ascii="Verdana" w:hAnsi="Verdana"/>
          <w:sz w:val="20"/>
          <w:szCs w:val="20"/>
          <w:lang w:val="es-ES_tradnl" w:bidi="x-none"/>
        </w:rPr>
        <w:t xml:space="preserve"> actividades, solicitaron a la Corte que fije la indemnización en equidad para cada una de las organizaciones.</w:t>
      </w:r>
      <w:r w:rsidR="00A47E49">
        <w:rPr>
          <w:rFonts w:ascii="Verdana" w:hAnsi="Verdana"/>
          <w:sz w:val="20"/>
          <w:szCs w:val="20"/>
          <w:lang w:val="es-ES_tradnl" w:bidi="x-none"/>
        </w:rPr>
        <w:t xml:space="preserve"> El </w:t>
      </w:r>
      <w:r w:rsidR="00A47E49" w:rsidRPr="00A47E49">
        <w:rPr>
          <w:rFonts w:ascii="Verdana" w:hAnsi="Verdana"/>
          <w:b/>
          <w:sz w:val="20"/>
          <w:szCs w:val="20"/>
          <w:lang w:val="es-ES_tradnl" w:bidi="x-none"/>
        </w:rPr>
        <w:t>Estado</w:t>
      </w:r>
      <w:r w:rsidR="00A47E49">
        <w:rPr>
          <w:rFonts w:ascii="Verdana" w:hAnsi="Verdana"/>
          <w:sz w:val="20"/>
          <w:szCs w:val="20"/>
          <w:lang w:val="es-ES_tradnl" w:bidi="x-none"/>
        </w:rPr>
        <w:t xml:space="preserve"> solicitó no dar cabida a lo anterior, puesto que las organizaciones representantes se dedican a este tipo de actividades, por lo que no les es desconocido que la nominación de gastos debe estar sustentada con documentos.</w:t>
      </w:r>
    </w:p>
    <w:p w14:paraId="6B6AA6C8" w14:textId="77777777" w:rsidR="00EF6522" w:rsidRPr="009D5EA7" w:rsidRDefault="00EF6522" w:rsidP="00EF6522">
      <w:pPr>
        <w:autoSpaceDE w:val="0"/>
        <w:autoSpaceDN w:val="0"/>
        <w:adjustRightInd w:val="0"/>
        <w:spacing w:after="0" w:line="240" w:lineRule="auto"/>
        <w:ind w:right="49"/>
        <w:contextualSpacing/>
        <w:jc w:val="both"/>
        <w:rPr>
          <w:rFonts w:ascii="Verdana" w:eastAsia="Calibri" w:hAnsi="Verdana" w:cs="Verdana Bold"/>
          <w:bCs/>
          <w:sz w:val="20"/>
          <w:szCs w:val="20"/>
          <w:lang w:val="es-ES_tradnl"/>
        </w:rPr>
      </w:pPr>
    </w:p>
    <w:p w14:paraId="758D38C5" w14:textId="37A93CB7"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eastAsia="Calibri" w:hAnsi="Verdana" w:cs="Verdana Bold"/>
          <w:bCs/>
          <w:sz w:val="20"/>
          <w:szCs w:val="20"/>
          <w:lang w:val="es-ES_tradnl"/>
        </w:rPr>
      </w:pPr>
      <w:r w:rsidRPr="009D5EA7">
        <w:rPr>
          <w:rFonts w:ascii="Verdana" w:hAnsi="Verdana"/>
          <w:sz w:val="20"/>
          <w:szCs w:val="20"/>
          <w:lang w:val="es-ES_tradnl"/>
        </w:rPr>
        <w:t xml:space="preserve">La </w:t>
      </w:r>
      <w:r w:rsidRPr="001F60CD">
        <w:rPr>
          <w:rFonts w:ascii="Verdana" w:hAnsi="Verdana"/>
          <w:b/>
          <w:sz w:val="20"/>
          <w:szCs w:val="20"/>
          <w:lang w:val="es-ES_tradnl"/>
        </w:rPr>
        <w:t>Corte</w:t>
      </w:r>
      <w:r w:rsidRPr="009D5EA7">
        <w:rPr>
          <w:rFonts w:ascii="Verdana" w:hAnsi="Verdana"/>
          <w:sz w:val="20"/>
          <w:szCs w:val="20"/>
          <w:lang w:val="es-ES_tradnl"/>
        </w:rPr>
        <w:t xml:space="preserve"> reitera que, conforme a su jurisprudencia, las costas y gastos hacen parte del concepto de reparación, toda vez que las actividades desplegadas por las víctimas con el fin de obtener justicia, tanto a nivel nacional como internacional. </w:t>
      </w:r>
      <w:r w:rsidRPr="009D5EA7">
        <w:rPr>
          <w:rFonts w:ascii="Verdana" w:hAnsi="Verdana"/>
          <w:sz w:val="20"/>
          <w:lang w:val="es-ES_tradnl"/>
        </w:rPr>
        <w:t xml:space="preserve">En cuanto a su reembolso, corresponde al Tribunal apreciar prudentemente su alcance, el cual comprende los gastos generados ante las autoridades de la jurisdicción interna, así como los generados en el curso del proceso ante este Tribunal,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9D5EA7">
        <w:rPr>
          <w:rFonts w:ascii="Verdana" w:hAnsi="Verdana"/>
          <w:i/>
          <w:sz w:val="20"/>
          <w:lang w:val="es-ES_tradnl"/>
        </w:rPr>
        <w:t>quantum</w:t>
      </w:r>
      <w:r w:rsidRPr="009D5EA7">
        <w:rPr>
          <w:rFonts w:ascii="Verdana" w:hAnsi="Verdana"/>
          <w:sz w:val="20"/>
          <w:lang w:val="es-ES_tradnl"/>
        </w:rPr>
        <w:t xml:space="preserve"> sea razonable</w:t>
      </w:r>
      <w:r w:rsidRPr="009D5EA7">
        <w:rPr>
          <w:rFonts w:ascii="Verdana" w:eastAsia="Verdana" w:hAnsi="Verdana" w:cs="Verdana"/>
          <w:spacing w:val="11"/>
          <w:sz w:val="20"/>
          <w:szCs w:val="20"/>
          <w:vertAlign w:val="superscript"/>
          <w:lang w:val="es-ES_tradnl"/>
        </w:rPr>
        <w:footnoteReference w:id="219"/>
      </w:r>
      <w:r w:rsidRPr="009D5EA7">
        <w:rPr>
          <w:rFonts w:ascii="Verdana" w:hAnsi="Verdana"/>
          <w:sz w:val="20"/>
          <w:szCs w:val="20"/>
          <w:lang w:val="es-ES_tradnl"/>
        </w:rPr>
        <w:t xml:space="preserve">. </w:t>
      </w:r>
    </w:p>
    <w:p w14:paraId="45C7CFFB" w14:textId="77777777" w:rsidR="00EF6522" w:rsidRPr="009D5EA7" w:rsidRDefault="00EF6522" w:rsidP="00EF6522">
      <w:pPr>
        <w:autoSpaceDE w:val="0"/>
        <w:autoSpaceDN w:val="0"/>
        <w:adjustRightInd w:val="0"/>
        <w:spacing w:after="0" w:line="240" w:lineRule="auto"/>
        <w:ind w:right="49"/>
        <w:contextualSpacing/>
        <w:jc w:val="both"/>
        <w:rPr>
          <w:rFonts w:ascii="Verdana" w:hAnsi="Verdana"/>
          <w:sz w:val="20"/>
          <w:szCs w:val="20"/>
          <w:lang w:val="es-ES_tradnl"/>
        </w:rPr>
      </w:pPr>
    </w:p>
    <w:p w14:paraId="1D82B81D" w14:textId="7413AAED"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eastAsia="Calibri" w:hAnsi="Verdana" w:cs="Verdana Bold"/>
          <w:bCs/>
          <w:sz w:val="20"/>
          <w:szCs w:val="20"/>
          <w:lang w:val="es-ES_tradnl"/>
        </w:rPr>
      </w:pPr>
      <w:r w:rsidRPr="009D5EA7">
        <w:rPr>
          <w:rFonts w:ascii="Verdana" w:hAnsi="Verdana"/>
          <w:sz w:val="20"/>
          <w:szCs w:val="20"/>
          <w:lang w:val="es-ES_tradnl"/>
        </w:rPr>
        <w:t xml:space="preserve">En el presente caso, </w:t>
      </w:r>
      <w:r w:rsidRPr="00344EAC">
        <w:rPr>
          <w:rFonts w:ascii="Verdana" w:hAnsi="Verdana"/>
          <w:sz w:val="20"/>
          <w:szCs w:val="20"/>
          <w:lang w:val="es-ES_tradnl"/>
        </w:rPr>
        <w:t>la Corte fija e</w:t>
      </w:r>
      <w:r w:rsidR="00E103B2" w:rsidRPr="00344EAC">
        <w:rPr>
          <w:rFonts w:ascii="Verdana" w:hAnsi="Verdana"/>
          <w:sz w:val="20"/>
          <w:szCs w:val="20"/>
          <w:lang w:val="es-ES_tradnl"/>
        </w:rPr>
        <w:t>n equidad la cantidad de USD $ 2</w:t>
      </w:r>
      <w:r w:rsidR="000F52A7" w:rsidRPr="00344EAC">
        <w:rPr>
          <w:rFonts w:ascii="Verdana" w:hAnsi="Verdana"/>
          <w:sz w:val="20"/>
          <w:szCs w:val="20"/>
          <w:lang w:val="es-ES_tradnl"/>
        </w:rPr>
        <w:t>0</w:t>
      </w:r>
      <w:r w:rsidRPr="00344EAC">
        <w:rPr>
          <w:rFonts w:ascii="Verdana" w:hAnsi="Verdana"/>
          <w:sz w:val="20"/>
          <w:szCs w:val="20"/>
          <w:lang w:val="es-ES_tradnl"/>
        </w:rPr>
        <w:t>.000,00 (</w:t>
      </w:r>
      <w:r w:rsidR="00E103B2" w:rsidRPr="00344EAC">
        <w:rPr>
          <w:rFonts w:ascii="Verdana" w:hAnsi="Verdana"/>
          <w:sz w:val="20"/>
          <w:szCs w:val="20"/>
          <w:lang w:val="es-ES_tradnl"/>
        </w:rPr>
        <w:t>veinte</w:t>
      </w:r>
      <w:r w:rsidRPr="00344EAC">
        <w:rPr>
          <w:rFonts w:ascii="Verdana" w:hAnsi="Verdana"/>
          <w:sz w:val="20"/>
          <w:szCs w:val="20"/>
          <w:lang w:val="es-ES_tradnl"/>
        </w:rPr>
        <w:t xml:space="preserve"> mil dólares de los Estados Unidos de América) </w:t>
      </w:r>
      <w:r w:rsidR="00E103B2" w:rsidRPr="00344EAC">
        <w:rPr>
          <w:rFonts w:ascii="Verdana" w:hAnsi="Verdana"/>
          <w:sz w:val="20"/>
          <w:szCs w:val="20"/>
          <w:lang w:val="es-ES_tradnl"/>
        </w:rPr>
        <w:t xml:space="preserve">a favor del </w:t>
      </w:r>
      <w:r w:rsidR="00E103B2" w:rsidRPr="00344EAC">
        <w:rPr>
          <w:rFonts w:ascii="Verdana" w:hAnsi="Verdana"/>
          <w:sz w:val="20"/>
          <w:szCs w:val="20"/>
          <w:lang w:val="es-ES_tradnl" w:bidi="x-none"/>
        </w:rPr>
        <w:t xml:space="preserve">CALPI, así como de </w:t>
      </w:r>
      <w:r w:rsidR="00E103B2" w:rsidRPr="00344EAC">
        <w:rPr>
          <w:rFonts w:ascii="Verdana" w:hAnsi="Verdana"/>
          <w:sz w:val="20"/>
          <w:szCs w:val="20"/>
          <w:lang w:val="es-ES_tradnl"/>
        </w:rPr>
        <w:t>USD $ 15.000,00 (quince mil dólares de los Estados Unidos de América) a favor de</w:t>
      </w:r>
      <w:r w:rsidR="00E103B2" w:rsidRPr="00344EAC">
        <w:rPr>
          <w:rFonts w:ascii="Verdana" w:hAnsi="Verdana"/>
          <w:sz w:val="20"/>
          <w:szCs w:val="20"/>
          <w:lang w:val="es-ES_tradnl" w:bidi="x-none"/>
        </w:rPr>
        <w:t xml:space="preserve"> CEJUDHCAN y CENIDH,</w:t>
      </w:r>
      <w:r w:rsidR="000F52A7" w:rsidRPr="009D5EA7">
        <w:rPr>
          <w:rFonts w:ascii="Verdana" w:hAnsi="Verdana"/>
          <w:sz w:val="20"/>
          <w:szCs w:val="20"/>
          <w:lang w:val="es-ES_tradnl"/>
        </w:rPr>
        <w:t xml:space="preserve"> para cada una de </w:t>
      </w:r>
      <w:r w:rsidR="00E103B2">
        <w:rPr>
          <w:rFonts w:ascii="Verdana" w:hAnsi="Verdana"/>
          <w:sz w:val="20"/>
          <w:szCs w:val="20"/>
          <w:lang w:val="es-ES_tradnl"/>
        </w:rPr>
        <w:t>estas</w:t>
      </w:r>
      <w:r w:rsidR="005C6B1A">
        <w:rPr>
          <w:rFonts w:ascii="Verdana" w:hAnsi="Verdana"/>
          <w:sz w:val="20"/>
          <w:szCs w:val="20"/>
          <w:lang w:val="es-ES_tradnl"/>
        </w:rPr>
        <w:t xml:space="preserve"> organizaciones, </w:t>
      </w:r>
      <w:r w:rsidR="00E103B2" w:rsidRPr="009D5EA7">
        <w:rPr>
          <w:rFonts w:ascii="Verdana" w:hAnsi="Verdana"/>
          <w:sz w:val="20"/>
          <w:szCs w:val="20"/>
          <w:lang w:val="es-ES_tradnl"/>
        </w:rPr>
        <w:t>por concepto de costas y gastos</w:t>
      </w:r>
      <w:r w:rsidR="005C6B1A">
        <w:rPr>
          <w:rFonts w:ascii="Verdana" w:hAnsi="Verdana"/>
          <w:sz w:val="20"/>
          <w:szCs w:val="20"/>
          <w:lang w:val="es-ES_tradnl"/>
        </w:rPr>
        <w:t>.</w:t>
      </w:r>
    </w:p>
    <w:p w14:paraId="444A7102" w14:textId="77777777" w:rsidR="00F0365A" w:rsidRPr="009D5EA7" w:rsidRDefault="00F0365A" w:rsidP="00EF6522">
      <w:pPr>
        <w:spacing w:after="0"/>
        <w:jc w:val="both"/>
        <w:rPr>
          <w:rFonts w:cs="Verdana"/>
          <w:b/>
          <w:i/>
          <w:szCs w:val="20"/>
          <w:lang w:val="es-ES_tradnl"/>
        </w:rPr>
      </w:pPr>
    </w:p>
    <w:p w14:paraId="6D223D07" w14:textId="69CF19F0" w:rsidR="00EF6522" w:rsidRPr="009D5EA7" w:rsidRDefault="00170D6C" w:rsidP="00EF6522">
      <w:pPr>
        <w:pStyle w:val="Ttulo2"/>
        <w:numPr>
          <w:ilvl w:val="0"/>
          <w:numId w:val="0"/>
        </w:numPr>
        <w:ind w:left="1080" w:hanging="360"/>
        <w:rPr>
          <w:rFonts w:ascii="Verdana" w:hAnsi="Verdana"/>
          <w:i/>
          <w:sz w:val="20"/>
          <w:lang w:val="es-ES_tradnl"/>
        </w:rPr>
      </w:pPr>
      <w:bookmarkStart w:id="33" w:name="__RefHeading___Toc11862_2005225395"/>
      <w:bookmarkStart w:id="34" w:name="_Toc375560986"/>
      <w:bookmarkStart w:id="35" w:name="_Toc442987396"/>
      <w:bookmarkStart w:id="36" w:name="_Toc476251471"/>
      <w:bookmarkEnd w:id="33"/>
      <w:bookmarkEnd w:id="34"/>
      <w:r>
        <w:rPr>
          <w:rFonts w:ascii="Verdana" w:hAnsi="Verdana"/>
          <w:i/>
          <w:sz w:val="20"/>
          <w:lang w:val="es-ES_tradnl"/>
        </w:rPr>
        <w:t>H</w:t>
      </w:r>
      <w:r w:rsidR="00EF6522" w:rsidRPr="009D5EA7">
        <w:rPr>
          <w:rFonts w:ascii="Verdana" w:hAnsi="Verdana"/>
          <w:i/>
          <w:sz w:val="20"/>
          <w:lang w:val="es-ES_tradnl"/>
        </w:rPr>
        <w:t>.</w:t>
      </w:r>
      <w:r w:rsidR="00EF6522" w:rsidRPr="009D5EA7">
        <w:rPr>
          <w:rFonts w:ascii="Verdana" w:hAnsi="Verdana"/>
          <w:i/>
          <w:sz w:val="20"/>
          <w:lang w:val="es-ES_tradnl"/>
        </w:rPr>
        <w:tab/>
        <w:t>Reintegro de los gastos al Fondo de Asistencia Legal de Víctimas</w:t>
      </w:r>
      <w:bookmarkEnd w:id="35"/>
      <w:bookmarkEnd w:id="36"/>
    </w:p>
    <w:p w14:paraId="558C23D6" w14:textId="77777777" w:rsidR="00EF6522" w:rsidRPr="009D5EA7" w:rsidRDefault="00EF6522" w:rsidP="00EF6522">
      <w:pPr>
        <w:autoSpaceDE w:val="0"/>
        <w:autoSpaceDN w:val="0"/>
        <w:adjustRightInd w:val="0"/>
        <w:spacing w:after="0" w:line="240" w:lineRule="auto"/>
        <w:ind w:right="49"/>
        <w:contextualSpacing/>
        <w:jc w:val="both"/>
        <w:rPr>
          <w:rFonts w:cs="Verdana"/>
          <w:szCs w:val="20"/>
          <w:lang w:val="es-ES_tradnl"/>
        </w:rPr>
      </w:pPr>
    </w:p>
    <w:p w14:paraId="7C47B0F7" w14:textId="08AA4B18"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 xml:space="preserve">En este caso, el Presidente aprobó la asistencia económica necesaria para cubrir determinados gastos de </w:t>
      </w:r>
      <w:r w:rsidR="005E0CA0" w:rsidRPr="009D5EA7">
        <w:rPr>
          <w:rFonts w:ascii="Verdana" w:hAnsi="Verdana"/>
          <w:sz w:val="20"/>
          <w:szCs w:val="20"/>
          <w:lang w:val="es-ES_tradnl"/>
        </w:rPr>
        <w:t xml:space="preserve">las presuntas víctimas </w:t>
      </w:r>
      <w:r w:rsidRPr="009D5EA7">
        <w:rPr>
          <w:rFonts w:ascii="Verdana" w:hAnsi="Verdana"/>
          <w:sz w:val="20"/>
          <w:szCs w:val="20"/>
          <w:lang w:val="es-ES_tradnl"/>
        </w:rPr>
        <w:t xml:space="preserve">con cargo al Fondo de Asistencia Legal de </w:t>
      </w:r>
      <w:r w:rsidRPr="009D5EA7">
        <w:rPr>
          <w:rFonts w:ascii="Verdana" w:hAnsi="Verdana"/>
          <w:sz w:val="20"/>
          <w:szCs w:val="20"/>
          <w:lang w:val="es-ES_tradnl"/>
        </w:rPr>
        <w:lastRenderedPageBreak/>
        <w:t>Víctimas, en los términos del Reglamento del Fondo (</w:t>
      </w:r>
      <w:r w:rsidRPr="009D5EA7">
        <w:rPr>
          <w:rFonts w:ascii="Verdana" w:hAnsi="Verdana"/>
          <w:i/>
          <w:sz w:val="20"/>
          <w:szCs w:val="20"/>
          <w:lang w:val="es-ES_tradnl"/>
        </w:rPr>
        <w:t xml:space="preserve">supra </w:t>
      </w:r>
      <w:r w:rsidR="005E0CA0" w:rsidRPr="009D5EA7">
        <w:rPr>
          <w:rFonts w:ascii="Verdana" w:hAnsi="Verdana"/>
          <w:sz w:val="20"/>
          <w:szCs w:val="20"/>
          <w:lang w:val="es-ES_tradnl"/>
        </w:rPr>
        <w:t>párr</w:t>
      </w:r>
      <w:r w:rsidR="00344EAC">
        <w:rPr>
          <w:rFonts w:ascii="Verdana" w:hAnsi="Verdana"/>
          <w:sz w:val="20"/>
          <w:szCs w:val="20"/>
          <w:lang w:val="es-ES_tradnl"/>
        </w:rPr>
        <w:t>s. 9 y 10</w:t>
      </w:r>
      <w:r w:rsidRPr="009D5EA7">
        <w:rPr>
          <w:rFonts w:ascii="Verdana" w:hAnsi="Verdana"/>
          <w:sz w:val="20"/>
          <w:szCs w:val="20"/>
          <w:lang w:val="es-ES_tradnl"/>
        </w:rPr>
        <w:t>). El informe de tales gastos fue oportunamente remitido al Estado, el cual tuvo la oportunidad de presentar sus observaciones</w:t>
      </w:r>
      <w:r w:rsidR="00B577A1" w:rsidRPr="009D5EA7">
        <w:rPr>
          <w:rStyle w:val="Refdenotaalpie"/>
          <w:rFonts w:ascii="Verdana" w:hAnsi="Verdana"/>
          <w:sz w:val="20"/>
          <w:szCs w:val="20"/>
          <w:lang w:val="es-ES_tradnl"/>
        </w:rPr>
        <w:footnoteReference w:id="220"/>
      </w:r>
      <w:r w:rsidRPr="009D5EA7">
        <w:rPr>
          <w:rFonts w:ascii="Verdana" w:hAnsi="Verdana"/>
          <w:sz w:val="20"/>
          <w:szCs w:val="20"/>
          <w:lang w:val="es-ES_tradnl"/>
        </w:rPr>
        <w:t>.</w:t>
      </w:r>
    </w:p>
    <w:p w14:paraId="655CE6F8" w14:textId="77777777" w:rsidR="00EF6522" w:rsidRPr="009D5EA7" w:rsidRDefault="00EF6522" w:rsidP="00EF6522">
      <w:pPr>
        <w:autoSpaceDE w:val="0"/>
        <w:autoSpaceDN w:val="0"/>
        <w:adjustRightInd w:val="0"/>
        <w:spacing w:after="0" w:line="240" w:lineRule="auto"/>
        <w:ind w:right="49"/>
        <w:contextualSpacing/>
        <w:jc w:val="both"/>
        <w:rPr>
          <w:rFonts w:ascii="Verdana" w:hAnsi="Verdana"/>
          <w:sz w:val="20"/>
          <w:szCs w:val="20"/>
          <w:lang w:val="es-ES_tradnl"/>
        </w:rPr>
      </w:pPr>
    </w:p>
    <w:p w14:paraId="2899B17C" w14:textId="47CA02E3" w:rsidR="005443F3" w:rsidRPr="009D5EA7" w:rsidRDefault="00F47F51" w:rsidP="00EF6522">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Se hace notar que</w:t>
      </w:r>
      <w:r w:rsidR="00EF6522" w:rsidRPr="009D5EA7">
        <w:rPr>
          <w:rFonts w:ascii="Verdana" w:hAnsi="Verdana"/>
          <w:sz w:val="20"/>
          <w:szCs w:val="20"/>
          <w:lang w:val="es-ES_tradnl"/>
        </w:rPr>
        <w:t>, si bien fueron aprobados otros gastos</w:t>
      </w:r>
      <w:r w:rsidRPr="009D5EA7">
        <w:rPr>
          <w:rFonts w:ascii="Verdana" w:hAnsi="Verdana"/>
          <w:sz w:val="20"/>
          <w:szCs w:val="20"/>
          <w:lang w:val="es-ES_tradnl"/>
        </w:rPr>
        <w:t xml:space="preserve"> en la primera Resolución del Presidente</w:t>
      </w:r>
      <w:r w:rsidR="00EF6522" w:rsidRPr="009D5EA7">
        <w:rPr>
          <w:rFonts w:ascii="Verdana" w:hAnsi="Verdana"/>
          <w:sz w:val="20"/>
          <w:szCs w:val="20"/>
          <w:lang w:val="es-ES_tradnl"/>
        </w:rPr>
        <w:t xml:space="preserve">, los únicos que han sido efectivamente cubiertos en aplicación del Fondo, fueron los relativos a la comparecencia en audiencia de </w:t>
      </w:r>
      <w:r w:rsidRPr="009D5EA7">
        <w:rPr>
          <w:rFonts w:ascii="Verdana" w:hAnsi="Verdana"/>
          <w:sz w:val="20"/>
          <w:szCs w:val="20"/>
          <w:lang w:val="es-ES_tradnl"/>
        </w:rPr>
        <w:t>la señora Acosta y de la perita Samayoa</w:t>
      </w:r>
      <w:r w:rsidR="00EF6522" w:rsidRPr="009D5EA7">
        <w:rPr>
          <w:rFonts w:ascii="Verdana" w:hAnsi="Verdana"/>
          <w:sz w:val="20"/>
          <w:szCs w:val="20"/>
          <w:lang w:val="es-ES_tradnl"/>
        </w:rPr>
        <w:t>, que han sido asumidos por el Fondo directamente (el costo de los boletos de avión) o mediante la entrega de un monto específico para efectos de alojamiento, alimentación y otros gastos terminales o incidentales</w:t>
      </w:r>
      <w:r w:rsidR="00EF6522" w:rsidRPr="009D5EA7">
        <w:rPr>
          <w:rFonts w:ascii="Verdana" w:hAnsi="Verdana"/>
          <w:color w:val="1F497D"/>
          <w:sz w:val="20"/>
          <w:szCs w:val="20"/>
          <w:lang w:val="es-ES_tradnl"/>
        </w:rPr>
        <w:t xml:space="preserve">, </w:t>
      </w:r>
      <w:r w:rsidR="00EF6522" w:rsidRPr="009D5EA7">
        <w:rPr>
          <w:rFonts w:ascii="Verdana" w:hAnsi="Verdana"/>
          <w:sz w:val="20"/>
          <w:szCs w:val="20"/>
          <w:lang w:val="es-ES_tradnl"/>
        </w:rPr>
        <w:t>determinado con base en la tabla de viáticos de la OEA aplicable a la ciudad de</w:t>
      </w:r>
      <w:r w:rsidRPr="009D5EA7">
        <w:rPr>
          <w:rFonts w:ascii="Verdana" w:hAnsi="Verdana"/>
          <w:sz w:val="20"/>
          <w:szCs w:val="20"/>
          <w:lang w:val="es-ES_tradnl"/>
        </w:rPr>
        <w:t xml:space="preserve"> Quito</w:t>
      </w:r>
      <w:r w:rsidR="00EF6522" w:rsidRPr="009D5EA7">
        <w:rPr>
          <w:rFonts w:ascii="Verdana" w:hAnsi="Verdana"/>
          <w:sz w:val="20"/>
          <w:szCs w:val="20"/>
          <w:lang w:val="es-ES_tradnl"/>
        </w:rPr>
        <w:t xml:space="preserve">. </w:t>
      </w:r>
      <w:r w:rsidR="005443F3" w:rsidRPr="009D5EA7">
        <w:rPr>
          <w:rFonts w:ascii="Verdana" w:hAnsi="Verdana"/>
          <w:sz w:val="20"/>
          <w:szCs w:val="20"/>
          <w:lang w:val="es-ES_tradnl"/>
        </w:rPr>
        <w:t xml:space="preserve">La tabla de viáticos lo que permite es entregar un dinero a la persona para que diariamente pueda pagar alojamiento, alimentación y otros gastos incidentales, lo que hace innecesario que tal persona deba presentar facturas o soportes de gastos, puesto que dicha tabla de viáticos de la OEA, que se fundamenta en estudios hechos por ONU sobre el costo de vida en diferentes países, permite entregar el dinero teniendo la certeza de que será el monto justo y adecuado para su mantenimiento durante un viaje oficial. Así, el documento de soporte del gasto para el Fondo de Víctimas, según las normas contables y financieras aprobadas por la Corte, es el recibo de dinero firmado por la persona beneficiaria. La Corte no requiere ningún otro tipo de documento de soporte de gastos por las razones señaladas. </w:t>
      </w:r>
      <w:r w:rsidR="005443F3" w:rsidRPr="00344EAC">
        <w:rPr>
          <w:rFonts w:ascii="Verdana" w:hAnsi="Verdana"/>
          <w:sz w:val="20"/>
          <w:szCs w:val="20"/>
          <w:lang w:val="es-ES_tradnl"/>
        </w:rPr>
        <w:t xml:space="preserve">Además, los sellos o firmas del área contable de la Corte no son requisitos esenciales del informe referido y, en todo caso, </w:t>
      </w:r>
      <w:r w:rsidR="009513FF" w:rsidRPr="00344EAC">
        <w:rPr>
          <w:rFonts w:ascii="Verdana" w:hAnsi="Verdana"/>
          <w:sz w:val="20"/>
          <w:szCs w:val="20"/>
          <w:lang w:val="es-ES_tradnl"/>
        </w:rPr>
        <w:t xml:space="preserve">los recibos son documentación oficial del Tribunal y no cabe emitir el sello de “pagado” precisamente </w:t>
      </w:r>
      <w:r w:rsidR="00344EAC">
        <w:rPr>
          <w:rFonts w:ascii="Verdana" w:hAnsi="Verdana"/>
          <w:sz w:val="20"/>
          <w:szCs w:val="20"/>
          <w:lang w:val="es-ES_tradnl"/>
        </w:rPr>
        <w:t>en virtud de</w:t>
      </w:r>
      <w:r w:rsidR="009513FF" w:rsidRPr="00344EAC">
        <w:rPr>
          <w:rFonts w:ascii="Verdana" w:hAnsi="Verdana"/>
          <w:sz w:val="20"/>
          <w:szCs w:val="20"/>
          <w:lang w:val="es-ES_tradnl"/>
        </w:rPr>
        <w:t xml:space="preserve"> las normas de funcionamiento del Fondo, cuyos gastos, de ser procedente</w:t>
      </w:r>
      <w:r w:rsidR="00344EAC">
        <w:rPr>
          <w:rFonts w:ascii="Verdana" w:hAnsi="Verdana"/>
          <w:sz w:val="20"/>
          <w:szCs w:val="20"/>
          <w:lang w:val="es-ES_tradnl"/>
        </w:rPr>
        <w:t>s</w:t>
      </w:r>
      <w:r w:rsidR="009513FF" w:rsidRPr="00344EAC">
        <w:rPr>
          <w:rFonts w:ascii="Verdana" w:hAnsi="Verdana"/>
          <w:sz w:val="20"/>
          <w:szCs w:val="20"/>
          <w:lang w:val="es-ES_tradnl"/>
        </w:rPr>
        <w:t>, corresponde a los Estados reintegrar.</w:t>
      </w:r>
    </w:p>
    <w:p w14:paraId="06FEE860" w14:textId="77777777" w:rsidR="005443F3" w:rsidRPr="009D5EA7" w:rsidRDefault="005443F3" w:rsidP="005443F3">
      <w:pPr>
        <w:pStyle w:val="Prrafodelista"/>
        <w:rPr>
          <w:rFonts w:ascii="Verdana" w:hAnsi="Verdana"/>
          <w:sz w:val="20"/>
        </w:rPr>
      </w:pPr>
    </w:p>
    <w:p w14:paraId="3815A005" w14:textId="39171471"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 xml:space="preserve">En consecuencia, en aplicación del artículo 5 del Reglamento del Fondo, la Corte ordena al Estado el reintegro a dicho Fondo de la cantidad de US$ </w:t>
      </w:r>
      <w:r w:rsidR="00796024" w:rsidRPr="009D5EA7">
        <w:rPr>
          <w:rFonts w:ascii="Verdana" w:hAnsi="Verdana"/>
          <w:sz w:val="20"/>
          <w:szCs w:val="20"/>
          <w:lang w:val="es-ES_tradnl"/>
        </w:rPr>
        <w:t>2.72</w:t>
      </w:r>
      <w:r w:rsidR="006C07AA" w:rsidRPr="009D5EA7">
        <w:rPr>
          <w:rFonts w:ascii="Verdana" w:hAnsi="Verdana"/>
          <w:sz w:val="20"/>
          <w:szCs w:val="20"/>
          <w:lang w:val="es-ES_tradnl"/>
        </w:rPr>
        <w:t>2</w:t>
      </w:r>
      <w:r w:rsidR="00796024" w:rsidRPr="009D5EA7">
        <w:rPr>
          <w:rFonts w:ascii="Verdana" w:hAnsi="Verdana"/>
          <w:sz w:val="20"/>
          <w:szCs w:val="20"/>
          <w:lang w:val="es-ES_tradnl"/>
        </w:rPr>
        <w:t>,</w:t>
      </w:r>
      <w:r w:rsidR="006C07AA" w:rsidRPr="009D5EA7">
        <w:rPr>
          <w:rFonts w:ascii="Verdana" w:hAnsi="Verdana"/>
          <w:sz w:val="20"/>
          <w:szCs w:val="20"/>
          <w:lang w:val="es-ES_tradnl"/>
        </w:rPr>
        <w:t>99</w:t>
      </w:r>
      <w:r w:rsidR="00796024" w:rsidRPr="009D5EA7">
        <w:rPr>
          <w:rFonts w:ascii="Verdana" w:hAnsi="Verdana"/>
          <w:sz w:val="20"/>
          <w:szCs w:val="20"/>
          <w:lang w:val="es-ES_tradnl"/>
        </w:rPr>
        <w:t xml:space="preserve"> </w:t>
      </w:r>
      <w:r w:rsidRPr="009D5EA7">
        <w:rPr>
          <w:rFonts w:ascii="Verdana" w:hAnsi="Verdana"/>
          <w:sz w:val="20"/>
          <w:szCs w:val="20"/>
          <w:lang w:val="es-ES_tradnl"/>
        </w:rPr>
        <w:t>(</w:t>
      </w:r>
      <w:r w:rsidR="00796024" w:rsidRPr="009D5EA7">
        <w:rPr>
          <w:rFonts w:ascii="Verdana" w:hAnsi="Verdana"/>
          <w:sz w:val="20"/>
          <w:szCs w:val="20"/>
          <w:lang w:val="es-ES_tradnl"/>
        </w:rPr>
        <w:t>dos</w:t>
      </w:r>
      <w:r w:rsidRPr="009D5EA7">
        <w:rPr>
          <w:rFonts w:ascii="Verdana" w:hAnsi="Verdana"/>
          <w:sz w:val="20"/>
          <w:szCs w:val="20"/>
          <w:lang w:val="es-ES_tradnl"/>
        </w:rPr>
        <w:t xml:space="preserve"> mil </w:t>
      </w:r>
      <w:r w:rsidR="00B52245" w:rsidRPr="009D5EA7">
        <w:rPr>
          <w:rFonts w:ascii="Verdana" w:hAnsi="Verdana"/>
          <w:sz w:val="20"/>
          <w:szCs w:val="20"/>
          <w:lang w:val="es-ES_tradnl"/>
        </w:rPr>
        <w:t>setecientos</w:t>
      </w:r>
      <w:r w:rsidR="00796024" w:rsidRPr="009D5EA7">
        <w:rPr>
          <w:rFonts w:ascii="Verdana" w:hAnsi="Verdana"/>
          <w:sz w:val="20"/>
          <w:szCs w:val="20"/>
          <w:lang w:val="es-ES_tradnl"/>
        </w:rPr>
        <w:t xml:space="preserve"> </w:t>
      </w:r>
      <w:r w:rsidR="00B52245" w:rsidRPr="009D5EA7">
        <w:rPr>
          <w:rFonts w:ascii="Verdana" w:hAnsi="Verdana"/>
          <w:sz w:val="20"/>
          <w:szCs w:val="20"/>
          <w:lang w:val="es-ES_tradnl"/>
        </w:rPr>
        <w:t>veintidós</w:t>
      </w:r>
      <w:r w:rsidRPr="009D5EA7">
        <w:rPr>
          <w:rFonts w:ascii="Verdana" w:hAnsi="Verdana"/>
          <w:sz w:val="20"/>
          <w:szCs w:val="20"/>
          <w:lang w:val="es-ES_tradnl"/>
        </w:rPr>
        <w:t xml:space="preserve"> dólares de los Estados Unidos de América</w:t>
      </w:r>
      <w:r w:rsidR="006C07AA" w:rsidRPr="009D5EA7">
        <w:rPr>
          <w:rFonts w:ascii="Verdana" w:hAnsi="Verdana"/>
          <w:sz w:val="20"/>
          <w:szCs w:val="20"/>
          <w:lang w:val="es-ES_tradnl"/>
        </w:rPr>
        <w:t xml:space="preserve"> con noventa y nueve centavos</w:t>
      </w:r>
      <w:r w:rsidRPr="009D5EA7">
        <w:rPr>
          <w:rFonts w:ascii="Verdana" w:hAnsi="Verdana"/>
          <w:sz w:val="20"/>
          <w:szCs w:val="20"/>
          <w:lang w:val="es-ES_tradnl"/>
        </w:rPr>
        <w:t xml:space="preserve">) por concepto de los gastos </w:t>
      </w:r>
      <w:r w:rsidR="00796024" w:rsidRPr="009D5EA7">
        <w:rPr>
          <w:rFonts w:ascii="Verdana" w:hAnsi="Verdana"/>
          <w:sz w:val="20"/>
          <w:szCs w:val="20"/>
          <w:lang w:val="es-ES_tradnl"/>
        </w:rPr>
        <w:t xml:space="preserve">pagados en aplicación del Fondo en </w:t>
      </w:r>
      <w:r w:rsidRPr="009D5EA7">
        <w:rPr>
          <w:rFonts w:ascii="Verdana" w:hAnsi="Verdana"/>
          <w:sz w:val="20"/>
          <w:szCs w:val="20"/>
          <w:lang w:val="es-ES_tradnl"/>
        </w:rPr>
        <w:t>el presente caso. Dicha cantidad deberá ser reintegrada a la Corte Interamericana en el plazo de seis meses, contados a partir de la notificación del presente Fallo.</w:t>
      </w:r>
    </w:p>
    <w:p w14:paraId="0A66E67F" w14:textId="77777777" w:rsidR="003F7C31" w:rsidRPr="009D5EA7" w:rsidRDefault="003F7C31" w:rsidP="00A01272">
      <w:pPr>
        <w:autoSpaceDE w:val="0"/>
        <w:autoSpaceDN w:val="0"/>
        <w:adjustRightInd w:val="0"/>
        <w:spacing w:after="0" w:line="240" w:lineRule="auto"/>
        <w:ind w:right="49"/>
        <w:contextualSpacing/>
        <w:jc w:val="both"/>
        <w:rPr>
          <w:rFonts w:ascii="Verdana" w:hAnsi="Verdana"/>
          <w:sz w:val="20"/>
          <w:szCs w:val="20"/>
          <w:lang w:val="es-ES_tradnl"/>
        </w:rPr>
      </w:pPr>
    </w:p>
    <w:p w14:paraId="1325C531" w14:textId="15A28FCB" w:rsidR="00EF6522" w:rsidRPr="009D5EA7" w:rsidRDefault="00170D6C" w:rsidP="00A01272">
      <w:pPr>
        <w:autoSpaceDE w:val="0"/>
        <w:autoSpaceDN w:val="0"/>
        <w:adjustRightInd w:val="0"/>
        <w:spacing w:after="0" w:line="240" w:lineRule="auto"/>
        <w:ind w:right="49" w:firstLine="708"/>
        <w:contextualSpacing/>
        <w:jc w:val="both"/>
        <w:rPr>
          <w:rFonts w:ascii="Verdana" w:hAnsi="Verdana"/>
          <w:b/>
          <w:i/>
          <w:sz w:val="20"/>
          <w:szCs w:val="20"/>
          <w:lang w:val="es-ES_tradnl"/>
        </w:rPr>
      </w:pPr>
      <w:bookmarkStart w:id="37" w:name="__RefHeading___Toc11864_2005225395"/>
      <w:bookmarkStart w:id="38" w:name="_Toc304195621"/>
      <w:bookmarkStart w:id="39" w:name="_Toc442987397"/>
      <w:bookmarkEnd w:id="37"/>
      <w:bookmarkEnd w:id="38"/>
      <w:r>
        <w:rPr>
          <w:rFonts w:ascii="Verdana" w:hAnsi="Verdana"/>
          <w:b/>
          <w:i/>
          <w:sz w:val="20"/>
          <w:szCs w:val="20"/>
          <w:lang w:val="es-ES_tradnl"/>
        </w:rPr>
        <w:t>I</w:t>
      </w:r>
      <w:r w:rsidR="00EF6522" w:rsidRPr="009D5EA7">
        <w:rPr>
          <w:rFonts w:ascii="Verdana" w:hAnsi="Verdana"/>
          <w:b/>
          <w:i/>
          <w:sz w:val="20"/>
          <w:szCs w:val="20"/>
          <w:lang w:val="es-ES_tradnl"/>
        </w:rPr>
        <w:t>.</w:t>
      </w:r>
      <w:r w:rsidR="00EF6522" w:rsidRPr="009D5EA7">
        <w:rPr>
          <w:rFonts w:ascii="Verdana" w:hAnsi="Verdana"/>
          <w:b/>
          <w:i/>
          <w:sz w:val="20"/>
          <w:szCs w:val="20"/>
          <w:lang w:val="es-ES_tradnl"/>
        </w:rPr>
        <w:tab/>
        <w:t>Modalidad de cumplimiento de los pagos ordenados</w:t>
      </w:r>
      <w:bookmarkEnd w:id="39"/>
    </w:p>
    <w:p w14:paraId="2B0AB5AE" w14:textId="77777777" w:rsidR="00EF6522" w:rsidRPr="009D5EA7" w:rsidRDefault="00EF6522" w:rsidP="00A01272">
      <w:pPr>
        <w:autoSpaceDE w:val="0"/>
        <w:autoSpaceDN w:val="0"/>
        <w:adjustRightInd w:val="0"/>
        <w:spacing w:after="0" w:line="240" w:lineRule="auto"/>
        <w:ind w:right="49"/>
        <w:contextualSpacing/>
        <w:jc w:val="both"/>
        <w:rPr>
          <w:rFonts w:ascii="Verdana" w:hAnsi="Verdana"/>
          <w:sz w:val="20"/>
          <w:szCs w:val="20"/>
          <w:lang w:val="es-ES_tradnl"/>
        </w:rPr>
      </w:pPr>
    </w:p>
    <w:p w14:paraId="54E8959F" w14:textId="77777777"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El Estado deberá efectuar el pago de las indemnizaciones por concepto de daño material e inmaterial y el reintegro de costas y gastos establecidos en la presente Sentencia directamente a las personas indicadas en la misma dentro del plazo de un año, contado a partir de la notificación de la presente Sentencia, sin perjuicio de que pueda adelantar el pago completo en un plazo menor, en los términos de los siguientes párrafos.</w:t>
      </w:r>
    </w:p>
    <w:p w14:paraId="79C0E48D" w14:textId="77777777" w:rsidR="00EF6522" w:rsidRPr="009D5EA7" w:rsidRDefault="00EF6522" w:rsidP="00EF6522">
      <w:pPr>
        <w:autoSpaceDE w:val="0"/>
        <w:autoSpaceDN w:val="0"/>
        <w:adjustRightInd w:val="0"/>
        <w:spacing w:after="0" w:line="240" w:lineRule="auto"/>
        <w:ind w:right="49"/>
        <w:contextualSpacing/>
        <w:jc w:val="both"/>
        <w:rPr>
          <w:rFonts w:ascii="Verdana" w:hAnsi="Verdana"/>
          <w:sz w:val="20"/>
          <w:szCs w:val="20"/>
          <w:lang w:val="es-ES_tradnl"/>
        </w:rPr>
      </w:pPr>
    </w:p>
    <w:p w14:paraId="780CF5B9" w14:textId="77777777"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 xml:space="preserve">Las cantidades asignadas como indemnizaciones y como reintegro de costas y gastos deberán ser entregadas conforme a lo establecido en esta Sentencia, sin reducciones derivadas de eventuales cargas fiscales. </w:t>
      </w:r>
    </w:p>
    <w:p w14:paraId="243BA7D4" w14:textId="77777777" w:rsidR="00EF6522" w:rsidRPr="009D5EA7" w:rsidRDefault="00EF6522" w:rsidP="00EF6522">
      <w:pPr>
        <w:autoSpaceDE w:val="0"/>
        <w:autoSpaceDN w:val="0"/>
        <w:adjustRightInd w:val="0"/>
        <w:spacing w:after="0" w:line="240" w:lineRule="auto"/>
        <w:ind w:right="49"/>
        <w:contextualSpacing/>
        <w:jc w:val="both"/>
        <w:rPr>
          <w:rFonts w:ascii="Verdana" w:hAnsi="Verdana"/>
          <w:sz w:val="20"/>
          <w:szCs w:val="20"/>
          <w:lang w:val="es-ES_tradnl"/>
        </w:rPr>
      </w:pPr>
    </w:p>
    <w:p w14:paraId="1FA23FF7" w14:textId="39C3B1B9"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 xml:space="preserve">El Estado debe cumplir sus obligaciones monetarias mediante el pago en dólares de los Estados Unidos de América o su equivalente </w:t>
      </w:r>
      <w:r w:rsidR="009F08DC" w:rsidRPr="009F08DC">
        <w:rPr>
          <w:rFonts w:ascii="Verdana" w:hAnsi="Verdana"/>
          <w:sz w:val="20"/>
          <w:szCs w:val="20"/>
          <w:lang w:val="es-ES_tradnl"/>
        </w:rPr>
        <w:t xml:space="preserve">en moneda nacional, utilizando para el cálculo </w:t>
      </w:r>
      <w:r w:rsidR="009F08DC" w:rsidRPr="009F08DC">
        <w:rPr>
          <w:rFonts w:ascii="Verdana" w:hAnsi="Verdana"/>
          <w:sz w:val="20"/>
          <w:szCs w:val="20"/>
          <w:lang w:val="es-ES_tradnl"/>
        </w:rPr>
        <w:lastRenderedPageBreak/>
        <w:t>respectivo el tipo de cambio que se encuentre vigente en la bolsa de Nueva York, Estados Unidos de América, el día anterior al pago</w:t>
      </w:r>
      <w:r w:rsidRPr="009D5EA7">
        <w:rPr>
          <w:rFonts w:ascii="Verdana" w:hAnsi="Verdana"/>
          <w:sz w:val="20"/>
          <w:szCs w:val="20"/>
          <w:lang w:val="es-ES_tradnl"/>
        </w:rPr>
        <w:t>.</w:t>
      </w:r>
    </w:p>
    <w:p w14:paraId="2E7CB94E" w14:textId="77777777" w:rsidR="00EF6522" w:rsidRPr="009D5EA7" w:rsidRDefault="00EF6522" w:rsidP="00EF6522">
      <w:pPr>
        <w:autoSpaceDE w:val="0"/>
        <w:autoSpaceDN w:val="0"/>
        <w:adjustRightInd w:val="0"/>
        <w:spacing w:after="0" w:line="240" w:lineRule="auto"/>
        <w:ind w:right="49"/>
        <w:contextualSpacing/>
        <w:jc w:val="both"/>
        <w:rPr>
          <w:rFonts w:ascii="Verdana" w:hAnsi="Verdana"/>
          <w:sz w:val="20"/>
          <w:szCs w:val="20"/>
          <w:lang w:val="es-ES_tradnl"/>
        </w:rPr>
      </w:pPr>
    </w:p>
    <w:p w14:paraId="01DD9F42" w14:textId="3684E404"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 xml:space="preserve">En caso de que el Estado incurriera en mora, deberá pagar un interés sobre la cantidad adeudada correspondiente al interés bancario moratorio en </w:t>
      </w:r>
      <w:r w:rsidR="00796024" w:rsidRPr="009D5EA7">
        <w:rPr>
          <w:rFonts w:ascii="Verdana" w:hAnsi="Verdana"/>
          <w:sz w:val="20"/>
          <w:szCs w:val="20"/>
          <w:lang w:val="es-ES_tradnl"/>
        </w:rPr>
        <w:t>Nicaragua</w:t>
      </w:r>
      <w:r w:rsidRPr="009D5EA7">
        <w:rPr>
          <w:rFonts w:ascii="Verdana" w:hAnsi="Verdana"/>
          <w:sz w:val="20"/>
          <w:szCs w:val="20"/>
          <w:lang w:val="es-ES_tradnl"/>
        </w:rPr>
        <w:t>.</w:t>
      </w:r>
    </w:p>
    <w:p w14:paraId="4DF6C01A" w14:textId="77777777" w:rsidR="00EF6522" w:rsidRPr="009D5EA7" w:rsidRDefault="00EF6522" w:rsidP="00EF6522">
      <w:pPr>
        <w:autoSpaceDE w:val="0"/>
        <w:autoSpaceDN w:val="0"/>
        <w:adjustRightInd w:val="0"/>
        <w:spacing w:after="0" w:line="240" w:lineRule="auto"/>
        <w:ind w:right="49"/>
        <w:contextualSpacing/>
        <w:jc w:val="both"/>
        <w:rPr>
          <w:rFonts w:ascii="Verdana" w:hAnsi="Verdana"/>
          <w:sz w:val="20"/>
          <w:szCs w:val="20"/>
          <w:lang w:val="es-ES_tradnl"/>
        </w:rPr>
      </w:pPr>
    </w:p>
    <w:p w14:paraId="4281B4F9" w14:textId="77777777" w:rsidR="00F0365A" w:rsidRPr="009D5EA7" w:rsidRDefault="00F0365A" w:rsidP="00F0365A">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En caso de que los beneficiarios hayan fallecido o fallezcan antes de que les sea entregada la indemnización respectiva, ésta se efectuará directamente a sus derechohabientes, conforme al derecho interno aplicable.</w:t>
      </w:r>
    </w:p>
    <w:p w14:paraId="05088B4E" w14:textId="77777777" w:rsidR="00F0365A" w:rsidRDefault="00F0365A" w:rsidP="00F0365A">
      <w:pPr>
        <w:autoSpaceDE w:val="0"/>
        <w:autoSpaceDN w:val="0"/>
        <w:adjustRightInd w:val="0"/>
        <w:spacing w:after="0" w:line="240" w:lineRule="auto"/>
        <w:ind w:right="49"/>
        <w:contextualSpacing/>
        <w:jc w:val="both"/>
        <w:rPr>
          <w:rFonts w:ascii="Verdana" w:hAnsi="Verdana"/>
          <w:sz w:val="20"/>
          <w:szCs w:val="20"/>
          <w:lang w:val="es-ES_tradnl"/>
        </w:rPr>
      </w:pPr>
    </w:p>
    <w:p w14:paraId="0E34928B" w14:textId="3B1943A9"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 xml:space="preserve">Si por causas atribuibles a los beneficiarios del referido reintegro de costas y gastos a sus derechohabientes no fuese posible el pago de la cantidad determinada dentro del plazo indicado, el Estado consignará dicho monto a su favor en una cuenta o certificado de depósito en una institución </w:t>
      </w:r>
      <w:r w:rsidR="00336DDD">
        <w:rPr>
          <w:rFonts w:ascii="Verdana" w:hAnsi="Verdana"/>
          <w:sz w:val="20"/>
          <w:szCs w:val="20"/>
          <w:lang w:val="es-ES_tradnl"/>
        </w:rPr>
        <w:t>nicaragüense</w:t>
      </w:r>
      <w:r w:rsidRPr="009D5EA7">
        <w:rPr>
          <w:rFonts w:ascii="Verdana" w:hAnsi="Verdana"/>
          <w:sz w:val="20"/>
          <w:szCs w:val="20"/>
          <w:lang w:val="es-ES_tradnl"/>
        </w:rPr>
        <w:t xml:space="preserve"> solvente, en dólares estadounidenses, y en las condiciones financieras más favorables que permitan la legislación y la práctica bancaria. Si al cabo de diez años el monto asignado no ha sido reclamado, las cantidades serán devueltas al Estado con los intereses devengados.</w:t>
      </w:r>
    </w:p>
    <w:p w14:paraId="2431C4B0" w14:textId="77777777" w:rsidR="003F7C31" w:rsidRPr="009D5EA7" w:rsidRDefault="003F7C31" w:rsidP="004C7892">
      <w:pPr>
        <w:autoSpaceDE w:val="0"/>
        <w:autoSpaceDN w:val="0"/>
        <w:adjustRightInd w:val="0"/>
        <w:spacing w:after="0" w:line="240" w:lineRule="auto"/>
        <w:ind w:right="49"/>
        <w:contextualSpacing/>
        <w:jc w:val="both"/>
        <w:rPr>
          <w:i/>
          <w:szCs w:val="20"/>
          <w:lang w:val="es-ES_tradnl"/>
        </w:rPr>
      </w:pPr>
    </w:p>
    <w:p w14:paraId="456C4423" w14:textId="4965180B" w:rsidR="00EF6522" w:rsidRPr="009D5EA7" w:rsidRDefault="00EF6522" w:rsidP="00EF6522">
      <w:pPr>
        <w:pStyle w:val="Ttulo1"/>
        <w:jc w:val="center"/>
        <w:rPr>
          <w:rFonts w:ascii="Verdana" w:hAnsi="Verdana"/>
          <w:sz w:val="20"/>
          <w:szCs w:val="20"/>
          <w:lang w:val="es-ES_tradnl"/>
        </w:rPr>
      </w:pPr>
      <w:bookmarkStart w:id="40" w:name="__RefHeading___Toc11866_2005225395"/>
      <w:bookmarkStart w:id="41" w:name="_Toc442987398"/>
      <w:bookmarkStart w:id="42" w:name="_Toc476251472"/>
      <w:bookmarkEnd w:id="40"/>
      <w:r w:rsidRPr="009D5EA7">
        <w:rPr>
          <w:rFonts w:ascii="Verdana" w:hAnsi="Verdana"/>
          <w:sz w:val="20"/>
          <w:szCs w:val="20"/>
          <w:lang w:val="es-ES_tradnl"/>
        </w:rPr>
        <w:t>X</w:t>
      </w:r>
      <w:r w:rsidRPr="009D5EA7">
        <w:rPr>
          <w:rFonts w:ascii="Verdana" w:hAnsi="Verdana"/>
          <w:sz w:val="20"/>
          <w:szCs w:val="20"/>
          <w:lang w:val="es-ES_tradnl"/>
        </w:rPr>
        <w:br/>
        <w:t>PUNTOS RESOLUTIVOS</w:t>
      </w:r>
      <w:bookmarkEnd w:id="41"/>
      <w:bookmarkEnd w:id="42"/>
    </w:p>
    <w:p w14:paraId="657ECE20" w14:textId="77777777" w:rsidR="00EF6522" w:rsidRPr="009D5EA7" w:rsidRDefault="00EF6522" w:rsidP="004C7892">
      <w:pPr>
        <w:autoSpaceDE w:val="0"/>
        <w:autoSpaceDN w:val="0"/>
        <w:adjustRightInd w:val="0"/>
        <w:spacing w:after="0" w:line="240" w:lineRule="auto"/>
        <w:ind w:right="49"/>
        <w:contextualSpacing/>
        <w:jc w:val="both"/>
        <w:rPr>
          <w:lang w:val="es-ES_tradnl"/>
        </w:rPr>
      </w:pPr>
    </w:p>
    <w:p w14:paraId="4CB6928B" w14:textId="77777777" w:rsidR="00EF6522" w:rsidRPr="009D5EA7" w:rsidRDefault="00EF6522" w:rsidP="00EF6522">
      <w:pPr>
        <w:numPr>
          <w:ilvl w:val="0"/>
          <w:numId w:val="5"/>
        </w:numPr>
        <w:autoSpaceDE w:val="0"/>
        <w:autoSpaceDN w:val="0"/>
        <w:adjustRightInd w:val="0"/>
        <w:spacing w:after="0" w:line="240" w:lineRule="auto"/>
        <w:ind w:left="0" w:right="49" w:firstLine="0"/>
        <w:contextualSpacing/>
        <w:jc w:val="both"/>
        <w:rPr>
          <w:rFonts w:ascii="Verdana" w:hAnsi="Verdana"/>
          <w:sz w:val="20"/>
          <w:szCs w:val="20"/>
          <w:lang w:val="es-ES_tradnl"/>
        </w:rPr>
      </w:pPr>
      <w:r w:rsidRPr="009D5EA7">
        <w:rPr>
          <w:rFonts w:ascii="Verdana" w:hAnsi="Verdana"/>
          <w:sz w:val="20"/>
          <w:szCs w:val="20"/>
          <w:lang w:val="es-ES_tradnl"/>
        </w:rPr>
        <w:t>Por tanto,</w:t>
      </w:r>
    </w:p>
    <w:p w14:paraId="33753204" w14:textId="77777777" w:rsidR="00350DB1" w:rsidRPr="009D5EA7" w:rsidRDefault="00350DB1" w:rsidP="00EF6522">
      <w:pPr>
        <w:spacing w:after="0" w:line="240" w:lineRule="auto"/>
        <w:jc w:val="both"/>
        <w:rPr>
          <w:rFonts w:ascii="Verdana" w:hAnsi="Verdana"/>
          <w:b/>
          <w:smallCaps/>
          <w:sz w:val="20"/>
          <w:szCs w:val="20"/>
          <w:lang w:val="es-ES_tradnl"/>
        </w:rPr>
      </w:pPr>
    </w:p>
    <w:p w14:paraId="35181B61" w14:textId="77777777" w:rsidR="00EF6522" w:rsidRPr="009D5EA7" w:rsidRDefault="00EF6522" w:rsidP="00EF6522">
      <w:pPr>
        <w:spacing w:after="0" w:line="240" w:lineRule="auto"/>
        <w:jc w:val="both"/>
        <w:rPr>
          <w:rFonts w:ascii="Verdana" w:hAnsi="Verdana"/>
          <w:b/>
          <w:smallCaps/>
          <w:sz w:val="20"/>
          <w:szCs w:val="20"/>
          <w:lang w:val="es-ES_tradnl"/>
        </w:rPr>
      </w:pPr>
      <w:r w:rsidRPr="009D5EA7">
        <w:rPr>
          <w:rFonts w:ascii="Verdana" w:hAnsi="Verdana"/>
          <w:b/>
          <w:smallCaps/>
          <w:sz w:val="20"/>
          <w:szCs w:val="20"/>
          <w:lang w:val="es-ES_tradnl"/>
        </w:rPr>
        <w:t>LA CORTE</w:t>
      </w:r>
    </w:p>
    <w:p w14:paraId="27858684" w14:textId="77777777" w:rsidR="00B32435" w:rsidRPr="009D5EA7" w:rsidRDefault="00B32435" w:rsidP="00EF6522">
      <w:pPr>
        <w:spacing w:after="0" w:line="240" w:lineRule="auto"/>
        <w:jc w:val="both"/>
        <w:rPr>
          <w:rFonts w:ascii="Verdana" w:hAnsi="Verdana"/>
          <w:b/>
          <w:smallCaps/>
          <w:sz w:val="20"/>
          <w:szCs w:val="20"/>
          <w:lang w:val="es-ES_tradnl"/>
        </w:rPr>
      </w:pPr>
      <w:bookmarkStart w:id="43" w:name="_Toc368399874"/>
    </w:p>
    <w:p w14:paraId="20E29820" w14:textId="77777777" w:rsidR="00B32435" w:rsidRPr="009D5EA7" w:rsidRDefault="00B32435" w:rsidP="00B32435">
      <w:pPr>
        <w:pStyle w:val="Default"/>
        <w:jc w:val="both"/>
        <w:rPr>
          <w:rFonts w:ascii="Verdana" w:hAnsi="Verdana"/>
          <w:spacing w:val="-2"/>
          <w:sz w:val="20"/>
          <w:szCs w:val="20"/>
          <w:lang w:val="es-ES_tradnl"/>
        </w:rPr>
      </w:pPr>
      <w:r w:rsidRPr="009D5EA7">
        <w:rPr>
          <w:rFonts w:ascii="Verdana" w:hAnsi="Verdana"/>
          <w:b/>
          <w:bCs/>
          <w:spacing w:val="-2"/>
          <w:sz w:val="20"/>
          <w:szCs w:val="20"/>
          <w:lang w:val="es-ES_tradnl"/>
        </w:rPr>
        <w:t xml:space="preserve">DECIDE, </w:t>
      </w:r>
    </w:p>
    <w:p w14:paraId="2FF2C39D" w14:textId="77777777" w:rsidR="00B32435" w:rsidRPr="009D5EA7" w:rsidRDefault="00B32435" w:rsidP="00B32435">
      <w:pPr>
        <w:pStyle w:val="Default"/>
        <w:jc w:val="both"/>
        <w:rPr>
          <w:rFonts w:ascii="Verdana" w:hAnsi="Verdana"/>
          <w:spacing w:val="-2"/>
          <w:sz w:val="16"/>
          <w:szCs w:val="20"/>
          <w:lang w:val="es-ES_tradnl"/>
        </w:rPr>
      </w:pPr>
    </w:p>
    <w:p w14:paraId="0F473C86" w14:textId="3AA8DE51" w:rsidR="00B32435" w:rsidRPr="009D5EA7" w:rsidRDefault="009D758D" w:rsidP="00B32435">
      <w:pPr>
        <w:pStyle w:val="Default"/>
        <w:jc w:val="both"/>
        <w:rPr>
          <w:rFonts w:ascii="Verdana" w:hAnsi="Verdana"/>
          <w:spacing w:val="-2"/>
          <w:sz w:val="20"/>
          <w:szCs w:val="20"/>
          <w:lang w:val="es-ES_tradnl"/>
        </w:rPr>
      </w:pPr>
      <w:r>
        <w:rPr>
          <w:rFonts w:ascii="Verdana" w:hAnsi="Verdana"/>
          <w:spacing w:val="-2"/>
          <w:sz w:val="20"/>
          <w:szCs w:val="20"/>
          <w:lang w:val="es-ES_tradnl"/>
        </w:rPr>
        <w:t>p</w:t>
      </w:r>
      <w:r w:rsidR="00B32435" w:rsidRPr="009D5EA7">
        <w:rPr>
          <w:rFonts w:ascii="Verdana" w:hAnsi="Verdana"/>
          <w:spacing w:val="-2"/>
          <w:sz w:val="20"/>
          <w:szCs w:val="20"/>
          <w:lang w:val="es-ES_tradnl"/>
        </w:rPr>
        <w:t xml:space="preserve">or </w:t>
      </w:r>
      <w:r w:rsidR="006060C0">
        <w:rPr>
          <w:rFonts w:ascii="Verdana" w:hAnsi="Verdana"/>
          <w:spacing w:val="-2"/>
          <w:sz w:val="20"/>
          <w:szCs w:val="20"/>
          <w:lang w:val="es-ES_tradnl"/>
        </w:rPr>
        <w:t>unanimidad,</w:t>
      </w:r>
      <w:r w:rsidR="00B32435" w:rsidRPr="009D5EA7">
        <w:rPr>
          <w:rFonts w:ascii="Verdana" w:hAnsi="Verdana"/>
          <w:spacing w:val="-2"/>
          <w:sz w:val="20"/>
          <w:szCs w:val="20"/>
          <w:lang w:val="es-ES_tradnl"/>
        </w:rPr>
        <w:t xml:space="preserve"> </w:t>
      </w:r>
    </w:p>
    <w:p w14:paraId="3AE99607" w14:textId="77777777" w:rsidR="00B32435" w:rsidRPr="009D5EA7" w:rsidRDefault="00B32435" w:rsidP="00B32435">
      <w:pPr>
        <w:pStyle w:val="Default"/>
        <w:spacing w:before="40" w:after="40"/>
        <w:jc w:val="both"/>
        <w:rPr>
          <w:rFonts w:ascii="Verdana" w:hAnsi="Verdana"/>
          <w:spacing w:val="-2"/>
          <w:sz w:val="20"/>
          <w:szCs w:val="20"/>
          <w:lang w:val="es-ES_tradnl"/>
        </w:rPr>
      </w:pPr>
    </w:p>
    <w:p w14:paraId="2E2D70F9" w14:textId="5EE7302C" w:rsidR="00B32435" w:rsidRPr="009D5EA7" w:rsidRDefault="00B32435" w:rsidP="00B32435">
      <w:pPr>
        <w:pStyle w:val="Default"/>
        <w:numPr>
          <w:ilvl w:val="0"/>
          <w:numId w:val="31"/>
        </w:numPr>
        <w:spacing w:before="40" w:after="40"/>
        <w:ind w:left="0" w:firstLine="0"/>
        <w:jc w:val="both"/>
        <w:rPr>
          <w:rFonts w:ascii="Verdana" w:hAnsi="Verdana"/>
          <w:spacing w:val="-2"/>
          <w:sz w:val="20"/>
          <w:szCs w:val="20"/>
          <w:lang w:val="es-ES_tradnl"/>
        </w:rPr>
      </w:pPr>
      <w:r w:rsidRPr="009D5EA7">
        <w:rPr>
          <w:rFonts w:ascii="Verdana" w:hAnsi="Verdana"/>
          <w:spacing w:val="-2"/>
          <w:sz w:val="20"/>
          <w:szCs w:val="20"/>
          <w:lang w:val="es-ES_tradnl"/>
        </w:rPr>
        <w:t>Desestimar las excepciones preliminares interpuestas por el Estado, en</w:t>
      </w:r>
      <w:r w:rsidR="00344EAC">
        <w:rPr>
          <w:rFonts w:ascii="Verdana" w:hAnsi="Verdana"/>
          <w:spacing w:val="-2"/>
          <w:sz w:val="20"/>
          <w:szCs w:val="20"/>
          <w:lang w:val="es-ES_tradnl"/>
        </w:rPr>
        <w:t xml:space="preserve"> los términos de los párrafos 18 y 19</w:t>
      </w:r>
      <w:r w:rsidRPr="009D5EA7">
        <w:rPr>
          <w:rFonts w:ascii="Verdana" w:hAnsi="Verdana"/>
          <w:spacing w:val="-2"/>
          <w:sz w:val="20"/>
          <w:szCs w:val="20"/>
          <w:lang w:val="es-ES_tradnl"/>
        </w:rPr>
        <w:t xml:space="preserve"> de esta Sentencia.</w:t>
      </w:r>
    </w:p>
    <w:p w14:paraId="49333A15" w14:textId="77777777" w:rsidR="00350DB1" w:rsidRPr="009D5EA7" w:rsidRDefault="00350DB1" w:rsidP="00EF6522">
      <w:pPr>
        <w:spacing w:after="0" w:line="240" w:lineRule="auto"/>
        <w:jc w:val="both"/>
        <w:rPr>
          <w:rFonts w:ascii="Verdana" w:hAnsi="Verdana"/>
          <w:b/>
          <w:smallCaps/>
          <w:sz w:val="20"/>
          <w:szCs w:val="20"/>
          <w:lang w:val="es-ES_tradnl"/>
        </w:rPr>
      </w:pPr>
    </w:p>
    <w:p w14:paraId="7BBFF696" w14:textId="77777777" w:rsidR="00EF6522" w:rsidRPr="009D5EA7" w:rsidRDefault="00EF6522" w:rsidP="00EF6522">
      <w:pPr>
        <w:spacing w:after="0" w:line="240" w:lineRule="auto"/>
        <w:jc w:val="both"/>
        <w:rPr>
          <w:rFonts w:ascii="Verdana" w:hAnsi="Verdana"/>
          <w:sz w:val="20"/>
          <w:szCs w:val="20"/>
          <w:lang w:val="es-ES_tradnl"/>
        </w:rPr>
      </w:pPr>
      <w:r w:rsidRPr="009D5EA7">
        <w:rPr>
          <w:rFonts w:ascii="Verdana" w:hAnsi="Verdana"/>
          <w:b/>
          <w:smallCaps/>
          <w:sz w:val="20"/>
          <w:szCs w:val="20"/>
          <w:lang w:val="es-ES_tradnl"/>
        </w:rPr>
        <w:t>DECLARA</w:t>
      </w:r>
      <w:bookmarkEnd w:id="43"/>
      <w:r w:rsidRPr="009D5EA7">
        <w:rPr>
          <w:rFonts w:ascii="Verdana" w:hAnsi="Verdana"/>
          <w:b/>
          <w:sz w:val="20"/>
          <w:szCs w:val="20"/>
          <w:lang w:val="es-ES_tradnl"/>
        </w:rPr>
        <w:t>,</w:t>
      </w:r>
    </w:p>
    <w:p w14:paraId="7EE9D3D3" w14:textId="77777777" w:rsidR="00350DB1" w:rsidRPr="009D5EA7" w:rsidRDefault="00350DB1" w:rsidP="00EF6522">
      <w:pPr>
        <w:spacing w:after="0" w:line="240" w:lineRule="auto"/>
        <w:ind w:right="11"/>
        <w:jc w:val="both"/>
        <w:rPr>
          <w:rFonts w:ascii="Verdana" w:hAnsi="Verdana"/>
          <w:sz w:val="20"/>
          <w:szCs w:val="20"/>
          <w:lang w:val="es-ES_tradnl"/>
        </w:rPr>
      </w:pPr>
    </w:p>
    <w:p w14:paraId="0DF4A85C" w14:textId="1DFE159C" w:rsidR="00EF6522" w:rsidRPr="009D5EA7" w:rsidRDefault="00EF6522" w:rsidP="00EF6522">
      <w:pPr>
        <w:spacing w:after="0" w:line="240" w:lineRule="auto"/>
        <w:ind w:right="11"/>
        <w:jc w:val="both"/>
        <w:rPr>
          <w:rFonts w:ascii="Verdana" w:hAnsi="Verdana"/>
          <w:sz w:val="20"/>
          <w:szCs w:val="20"/>
          <w:lang w:val="es-ES_tradnl"/>
        </w:rPr>
      </w:pPr>
      <w:r w:rsidRPr="009D5EA7">
        <w:rPr>
          <w:rFonts w:ascii="Verdana" w:hAnsi="Verdana"/>
          <w:sz w:val="20"/>
          <w:szCs w:val="20"/>
          <w:lang w:val="es-ES_tradnl"/>
        </w:rPr>
        <w:t xml:space="preserve">por </w:t>
      </w:r>
      <w:r w:rsidR="001523DA">
        <w:rPr>
          <w:rFonts w:ascii="Verdana" w:hAnsi="Verdana"/>
          <w:spacing w:val="-2"/>
          <w:sz w:val="20"/>
          <w:szCs w:val="20"/>
          <w:lang w:val="es-ES_tradnl"/>
        </w:rPr>
        <w:t>unanimidad</w:t>
      </w:r>
      <w:r w:rsidR="001523DA">
        <w:rPr>
          <w:rFonts w:ascii="Verdana" w:hAnsi="Verdana"/>
          <w:sz w:val="20"/>
          <w:szCs w:val="20"/>
          <w:lang w:val="es-ES_tradnl"/>
        </w:rPr>
        <w:t xml:space="preserve">, </w:t>
      </w:r>
      <w:r w:rsidRPr="009D5EA7">
        <w:rPr>
          <w:rFonts w:ascii="Verdana" w:hAnsi="Verdana"/>
          <w:sz w:val="20"/>
          <w:szCs w:val="20"/>
          <w:lang w:val="es-ES_tradnl"/>
        </w:rPr>
        <w:t xml:space="preserve">que: </w:t>
      </w:r>
    </w:p>
    <w:p w14:paraId="2BB3176A" w14:textId="77777777" w:rsidR="00350DB1" w:rsidRPr="009D5EA7" w:rsidRDefault="00350DB1" w:rsidP="00EF6522">
      <w:pPr>
        <w:spacing w:after="0" w:line="240" w:lineRule="auto"/>
        <w:jc w:val="both"/>
        <w:rPr>
          <w:rFonts w:ascii="Verdana" w:hAnsi="Verdana"/>
          <w:sz w:val="20"/>
          <w:szCs w:val="20"/>
          <w:lang w:val="es-ES_tradnl"/>
        </w:rPr>
      </w:pPr>
    </w:p>
    <w:p w14:paraId="6602E45C" w14:textId="0E982C14" w:rsidR="00EF6522" w:rsidRPr="009D5EA7" w:rsidRDefault="00B32435" w:rsidP="00EF6522">
      <w:pPr>
        <w:spacing w:after="0" w:line="240" w:lineRule="auto"/>
        <w:contextualSpacing/>
        <w:jc w:val="both"/>
        <w:rPr>
          <w:rFonts w:ascii="Verdana" w:hAnsi="Verdana"/>
          <w:spacing w:val="-2"/>
          <w:sz w:val="20"/>
          <w:szCs w:val="20"/>
          <w:lang w:val="es-ES_tradnl"/>
        </w:rPr>
      </w:pPr>
      <w:r w:rsidRPr="009D5EA7">
        <w:rPr>
          <w:rFonts w:ascii="Verdana" w:eastAsia="Calibri" w:hAnsi="Verdana"/>
          <w:spacing w:val="-2"/>
          <w:sz w:val="20"/>
          <w:szCs w:val="20"/>
          <w:lang w:val="es-ES_tradnl"/>
        </w:rPr>
        <w:t>2</w:t>
      </w:r>
      <w:r w:rsidR="00EF6522" w:rsidRPr="009D5EA7">
        <w:rPr>
          <w:rFonts w:ascii="Verdana" w:eastAsia="Calibri" w:hAnsi="Verdana"/>
          <w:spacing w:val="-2"/>
          <w:sz w:val="20"/>
          <w:szCs w:val="20"/>
          <w:lang w:val="es-ES_tradnl"/>
        </w:rPr>
        <w:t>.</w:t>
      </w:r>
      <w:r w:rsidR="00EF6522" w:rsidRPr="009D5EA7">
        <w:rPr>
          <w:rFonts w:ascii="Verdana" w:eastAsia="Calibri" w:hAnsi="Verdana"/>
          <w:spacing w:val="-2"/>
          <w:sz w:val="20"/>
          <w:szCs w:val="20"/>
          <w:lang w:val="es-ES_tradnl"/>
        </w:rPr>
        <w:tab/>
        <w:t>E</w:t>
      </w:r>
      <w:r w:rsidR="00EF6522" w:rsidRPr="009D5EA7">
        <w:rPr>
          <w:rFonts w:ascii="Verdana" w:hAnsi="Verdana"/>
          <w:spacing w:val="-2"/>
          <w:sz w:val="20"/>
          <w:szCs w:val="20"/>
          <w:lang w:val="es-ES_tradnl"/>
        </w:rPr>
        <w:t>l Estado es responsable por la</w:t>
      </w:r>
      <w:r w:rsidR="00500B34" w:rsidRPr="009D5EA7">
        <w:rPr>
          <w:rFonts w:ascii="Verdana" w:hAnsi="Verdana"/>
          <w:spacing w:val="-2"/>
          <w:sz w:val="20"/>
          <w:szCs w:val="20"/>
          <w:lang w:val="es-ES_tradnl"/>
        </w:rPr>
        <w:t xml:space="preserve"> violación de</w:t>
      </w:r>
      <w:r w:rsidR="00EF6522" w:rsidRPr="009D5EA7">
        <w:rPr>
          <w:rFonts w:ascii="Verdana" w:hAnsi="Verdana"/>
          <w:spacing w:val="-2"/>
          <w:sz w:val="20"/>
          <w:szCs w:val="20"/>
          <w:lang w:val="es-ES_tradnl"/>
        </w:rPr>
        <w:t xml:space="preserve"> </w:t>
      </w:r>
      <w:r w:rsidR="00500B34" w:rsidRPr="009D5EA7">
        <w:rPr>
          <w:rFonts w:ascii="Verdana" w:hAnsi="Verdana" w:cs="Verdana"/>
          <w:sz w:val="20"/>
          <w:lang w:val="es-ES_tradnl" w:bidi="en-US"/>
        </w:rPr>
        <w:t xml:space="preserve">los derechos </w:t>
      </w:r>
      <w:r w:rsidR="007F190F" w:rsidRPr="00344EAC">
        <w:rPr>
          <w:rFonts w:ascii="Verdana" w:hAnsi="Verdana" w:cs="Verdana"/>
          <w:sz w:val="20"/>
          <w:lang w:val="es-ES_tradnl" w:bidi="en-US"/>
        </w:rPr>
        <w:t xml:space="preserve">de acceso a la justicia, </w:t>
      </w:r>
      <w:r w:rsidR="001636A2" w:rsidRPr="00344EAC">
        <w:rPr>
          <w:rFonts w:ascii="Verdana" w:hAnsi="Verdana" w:cs="Verdana"/>
          <w:sz w:val="20"/>
          <w:lang w:val="es-ES_tradnl" w:bidi="en-US"/>
        </w:rPr>
        <w:t>a la verdad,</w:t>
      </w:r>
      <w:r w:rsidR="001636A2" w:rsidRPr="009D5EA7">
        <w:rPr>
          <w:rFonts w:ascii="Verdana" w:hAnsi="Verdana" w:cs="Verdana"/>
          <w:sz w:val="20"/>
          <w:lang w:val="es-ES_tradnl" w:bidi="en-US"/>
        </w:rPr>
        <w:t xml:space="preserve"> </w:t>
      </w:r>
      <w:r w:rsidR="00500B34" w:rsidRPr="009D5EA7">
        <w:rPr>
          <w:rFonts w:ascii="Verdana" w:hAnsi="Verdana" w:cs="Verdana"/>
          <w:sz w:val="20"/>
          <w:lang w:val="es-ES_tradnl" w:bidi="en-US"/>
        </w:rPr>
        <w:t xml:space="preserve">a las garantías judiciales y protección judicial, en los términos de los artículos 8.1 y 25 de la Convención Americana, en relación con el artículo 1.1 de la misma, en perjuicio de </w:t>
      </w:r>
      <w:r w:rsidR="00500B34" w:rsidRPr="009D5EA7">
        <w:rPr>
          <w:rFonts w:ascii="Verdana" w:hAnsi="Verdana" w:cs="Arial"/>
          <w:sz w:val="20"/>
          <w:lang w:val="es-ES_tradnl"/>
        </w:rPr>
        <w:t>María Luisa Acosta Castellón, Ana María Vergara Acosta, Álvaro Arístides Vergara Acosta, María Leonor Valle Estrada (conocida como Leonor del Carmen Valle de García) y Rodolfo García Solari</w:t>
      </w:r>
      <w:r w:rsidR="00EF6522" w:rsidRPr="009D5EA7">
        <w:rPr>
          <w:rFonts w:ascii="Verdana" w:hAnsi="Verdana"/>
          <w:spacing w:val="-2"/>
          <w:sz w:val="20"/>
          <w:szCs w:val="20"/>
          <w:lang w:val="es-ES_tradnl"/>
        </w:rPr>
        <w:t xml:space="preserve">, en los términos de los párrafos </w:t>
      </w:r>
      <w:r w:rsidR="00344EAC">
        <w:rPr>
          <w:rFonts w:ascii="Verdana" w:hAnsi="Verdana"/>
          <w:spacing w:val="-2"/>
          <w:sz w:val="20"/>
          <w:szCs w:val="20"/>
          <w:lang w:val="es-ES_tradnl"/>
        </w:rPr>
        <w:t>131 a 1</w:t>
      </w:r>
      <w:r w:rsidR="005F65FD">
        <w:rPr>
          <w:rFonts w:ascii="Verdana" w:hAnsi="Verdana"/>
          <w:spacing w:val="-2"/>
          <w:sz w:val="20"/>
          <w:szCs w:val="20"/>
          <w:lang w:val="es-ES_tradnl"/>
        </w:rPr>
        <w:t xml:space="preserve">46, 148 a 169, 181 y 182 </w:t>
      </w:r>
      <w:r w:rsidR="00EF6522" w:rsidRPr="009D5EA7">
        <w:rPr>
          <w:rFonts w:ascii="Verdana" w:hAnsi="Verdana"/>
          <w:spacing w:val="-2"/>
          <w:sz w:val="20"/>
          <w:szCs w:val="20"/>
          <w:lang w:val="es-ES_tradnl"/>
        </w:rPr>
        <w:t>de esta Sentencia.</w:t>
      </w:r>
    </w:p>
    <w:p w14:paraId="239DF16F" w14:textId="77777777" w:rsidR="00350DB1" w:rsidRPr="009D5EA7" w:rsidRDefault="00350DB1" w:rsidP="00EF6522">
      <w:pPr>
        <w:spacing w:after="0" w:line="240" w:lineRule="auto"/>
        <w:contextualSpacing/>
        <w:jc w:val="both"/>
        <w:rPr>
          <w:rFonts w:ascii="Verdana" w:hAnsi="Verdana"/>
          <w:spacing w:val="-2"/>
          <w:sz w:val="20"/>
          <w:szCs w:val="20"/>
          <w:lang w:val="es-ES_tradnl"/>
        </w:rPr>
      </w:pPr>
    </w:p>
    <w:p w14:paraId="2A6F7D15" w14:textId="6B0363B6" w:rsidR="00EF6522" w:rsidRPr="009D5EA7" w:rsidRDefault="00B32435" w:rsidP="00EF6522">
      <w:pPr>
        <w:spacing w:after="0" w:line="240" w:lineRule="auto"/>
        <w:contextualSpacing/>
        <w:jc w:val="both"/>
        <w:rPr>
          <w:rFonts w:ascii="Verdana" w:hAnsi="Verdana"/>
          <w:b/>
          <w:spacing w:val="-2"/>
          <w:sz w:val="20"/>
          <w:szCs w:val="20"/>
          <w:lang w:val="es-ES_tradnl"/>
        </w:rPr>
      </w:pPr>
      <w:r w:rsidRPr="009D5EA7">
        <w:rPr>
          <w:rFonts w:ascii="Verdana" w:eastAsia="Calibri" w:hAnsi="Verdana"/>
          <w:spacing w:val="-2"/>
          <w:sz w:val="20"/>
          <w:szCs w:val="20"/>
          <w:lang w:val="es-ES_tradnl"/>
        </w:rPr>
        <w:t>3</w:t>
      </w:r>
      <w:r w:rsidR="00EF6522" w:rsidRPr="009D5EA7">
        <w:rPr>
          <w:rFonts w:ascii="Verdana" w:eastAsia="Calibri" w:hAnsi="Verdana"/>
          <w:spacing w:val="-2"/>
          <w:sz w:val="20"/>
          <w:szCs w:val="20"/>
          <w:lang w:val="es-ES_tradnl"/>
        </w:rPr>
        <w:t>.</w:t>
      </w:r>
      <w:r w:rsidR="00EF6522" w:rsidRPr="009D5EA7">
        <w:rPr>
          <w:rFonts w:ascii="Verdana" w:eastAsia="Calibri" w:hAnsi="Verdana"/>
          <w:spacing w:val="-2"/>
          <w:sz w:val="20"/>
          <w:szCs w:val="20"/>
          <w:lang w:val="es-ES_tradnl"/>
        </w:rPr>
        <w:tab/>
      </w:r>
      <w:r w:rsidR="00500B34" w:rsidRPr="009D5EA7">
        <w:rPr>
          <w:rFonts w:ascii="Verdana" w:eastAsia="Calibri" w:hAnsi="Verdana"/>
          <w:spacing w:val="-2"/>
          <w:sz w:val="20"/>
          <w:szCs w:val="20"/>
          <w:lang w:val="es-ES_tradnl"/>
        </w:rPr>
        <w:t>E</w:t>
      </w:r>
      <w:r w:rsidR="00500B34" w:rsidRPr="009D5EA7">
        <w:rPr>
          <w:rFonts w:ascii="Verdana" w:hAnsi="Verdana"/>
          <w:spacing w:val="-2"/>
          <w:sz w:val="20"/>
          <w:szCs w:val="20"/>
          <w:lang w:val="es-ES_tradnl"/>
        </w:rPr>
        <w:t xml:space="preserve">l Estado es responsable por la violación de </w:t>
      </w:r>
      <w:r w:rsidR="00500B34" w:rsidRPr="009D5EA7">
        <w:rPr>
          <w:rFonts w:ascii="Verdana" w:hAnsi="Verdana" w:cs="Verdana"/>
          <w:sz w:val="20"/>
          <w:lang w:val="es-ES_tradnl" w:bidi="en-US"/>
        </w:rPr>
        <w:t xml:space="preserve">los derechos a la integridad psíquica y moral, de acceso a la justicia, de defensa, a la presunción de inocencia, a ser oída por </w:t>
      </w:r>
      <w:r w:rsidR="00950FB2" w:rsidRPr="009D5EA7">
        <w:rPr>
          <w:rFonts w:ascii="Verdana" w:hAnsi="Verdana" w:cs="Verdana"/>
          <w:sz w:val="20"/>
          <w:lang w:val="es-ES_tradnl" w:bidi="en-US"/>
        </w:rPr>
        <w:t>jueces</w:t>
      </w:r>
      <w:r w:rsidR="00500B34" w:rsidRPr="009D5EA7">
        <w:rPr>
          <w:rFonts w:ascii="Verdana" w:hAnsi="Verdana" w:cs="Verdana"/>
          <w:sz w:val="20"/>
          <w:lang w:val="es-ES_tradnl" w:bidi="en-US"/>
        </w:rPr>
        <w:t xml:space="preserve"> imparcial</w:t>
      </w:r>
      <w:r w:rsidR="00950FB2" w:rsidRPr="009D5EA7">
        <w:rPr>
          <w:rFonts w:ascii="Verdana" w:hAnsi="Verdana" w:cs="Verdana"/>
          <w:sz w:val="20"/>
          <w:lang w:val="es-ES_tradnl" w:bidi="en-US"/>
        </w:rPr>
        <w:t>es</w:t>
      </w:r>
      <w:r w:rsidR="00F7250D">
        <w:rPr>
          <w:rFonts w:ascii="Verdana" w:hAnsi="Verdana" w:cs="Verdana"/>
          <w:sz w:val="20"/>
          <w:lang w:val="es-ES_tradnl" w:bidi="en-US"/>
        </w:rPr>
        <w:t xml:space="preserve"> y</w:t>
      </w:r>
      <w:r w:rsidR="00500B34" w:rsidRPr="009D5EA7">
        <w:rPr>
          <w:rFonts w:ascii="Verdana" w:hAnsi="Verdana" w:cs="Verdana"/>
          <w:sz w:val="20"/>
          <w:lang w:val="es-ES_tradnl" w:bidi="en-US"/>
        </w:rPr>
        <w:t xml:space="preserve"> a las garantías judiciales, en los términos de los artículos 5.1, 8.1</w:t>
      </w:r>
      <w:r w:rsidR="00F7250D">
        <w:rPr>
          <w:rFonts w:ascii="Verdana" w:hAnsi="Verdana" w:cs="Verdana"/>
          <w:sz w:val="20"/>
          <w:lang w:val="es-ES_tradnl" w:bidi="en-US"/>
        </w:rPr>
        <w:t xml:space="preserve"> y</w:t>
      </w:r>
      <w:r w:rsidR="00500B34" w:rsidRPr="009D5EA7">
        <w:rPr>
          <w:rFonts w:ascii="Verdana" w:hAnsi="Verdana" w:cs="Verdana"/>
          <w:sz w:val="20"/>
          <w:lang w:val="es-ES_tradnl" w:bidi="en-US"/>
        </w:rPr>
        <w:t xml:space="preserve"> 8.2 de la Convención Americana, en relación con el artículo 1.1 de la misma, en perjuicio de </w:t>
      </w:r>
      <w:r w:rsidR="00500B34" w:rsidRPr="009D5EA7">
        <w:rPr>
          <w:rFonts w:ascii="Verdana" w:hAnsi="Verdana" w:cs="Arial"/>
          <w:sz w:val="20"/>
          <w:lang w:val="es-ES_tradnl"/>
        </w:rPr>
        <w:t>María Luisa Acosta Castellón</w:t>
      </w:r>
      <w:r w:rsidR="00500B34" w:rsidRPr="009D5EA7">
        <w:rPr>
          <w:rFonts w:ascii="Verdana" w:hAnsi="Verdana"/>
          <w:spacing w:val="-2"/>
          <w:sz w:val="20"/>
          <w:szCs w:val="20"/>
          <w:lang w:val="es-ES_tradnl"/>
        </w:rPr>
        <w:t>, e</w:t>
      </w:r>
      <w:r w:rsidR="005F65FD">
        <w:rPr>
          <w:rFonts w:ascii="Verdana" w:hAnsi="Verdana"/>
          <w:spacing w:val="-2"/>
          <w:sz w:val="20"/>
          <w:szCs w:val="20"/>
          <w:lang w:val="es-ES_tradnl"/>
        </w:rPr>
        <w:t>n los términos de los párrafos 170 a 175, 186 a 191</w:t>
      </w:r>
      <w:r w:rsidR="00F7250D">
        <w:rPr>
          <w:rFonts w:ascii="Verdana" w:hAnsi="Verdana"/>
          <w:spacing w:val="-2"/>
          <w:sz w:val="20"/>
          <w:szCs w:val="20"/>
          <w:lang w:val="es-ES_tradnl"/>
        </w:rPr>
        <w:t xml:space="preserve"> y 200</w:t>
      </w:r>
      <w:r w:rsidR="00500B34" w:rsidRPr="009D5EA7">
        <w:rPr>
          <w:rFonts w:ascii="Verdana" w:hAnsi="Verdana"/>
          <w:spacing w:val="-2"/>
          <w:sz w:val="20"/>
          <w:szCs w:val="20"/>
          <w:lang w:val="es-ES_tradnl"/>
        </w:rPr>
        <w:t xml:space="preserve"> de esta Sentencia.</w:t>
      </w:r>
    </w:p>
    <w:p w14:paraId="4814DA31" w14:textId="77777777" w:rsidR="00350DB1" w:rsidRPr="009D5EA7" w:rsidRDefault="00350DB1" w:rsidP="00EF6522">
      <w:pPr>
        <w:spacing w:after="0" w:line="240" w:lineRule="auto"/>
        <w:contextualSpacing/>
        <w:jc w:val="both"/>
        <w:rPr>
          <w:rFonts w:ascii="Verdana" w:eastAsia="Calibri" w:hAnsi="Verdana" w:cs="Helvetica"/>
          <w:sz w:val="20"/>
          <w:szCs w:val="20"/>
          <w:lang w:val="es-ES_tradnl" w:bidi="en-US"/>
        </w:rPr>
      </w:pPr>
    </w:p>
    <w:p w14:paraId="0CC9C931" w14:textId="36FAF308" w:rsidR="00950FB2" w:rsidRPr="00F7250D" w:rsidRDefault="00B32435" w:rsidP="00950FB2">
      <w:pPr>
        <w:spacing w:after="0" w:line="240" w:lineRule="auto"/>
        <w:contextualSpacing/>
        <w:jc w:val="both"/>
        <w:rPr>
          <w:rFonts w:ascii="Verdana" w:hAnsi="Verdana"/>
          <w:spacing w:val="-2"/>
          <w:sz w:val="20"/>
          <w:szCs w:val="20"/>
          <w:lang w:val="es-ES_tradnl"/>
        </w:rPr>
      </w:pPr>
      <w:r w:rsidRPr="00F7250D">
        <w:rPr>
          <w:rFonts w:ascii="Verdana" w:eastAsia="Calibri" w:hAnsi="Verdana" w:cs="Helvetica"/>
          <w:sz w:val="20"/>
          <w:szCs w:val="20"/>
          <w:lang w:val="es-ES_tradnl" w:bidi="en-US"/>
        </w:rPr>
        <w:t>4</w:t>
      </w:r>
      <w:r w:rsidR="00EF6522" w:rsidRPr="00F7250D">
        <w:rPr>
          <w:rFonts w:ascii="Verdana" w:eastAsia="Calibri" w:hAnsi="Verdana" w:cs="Helvetica"/>
          <w:sz w:val="20"/>
          <w:szCs w:val="20"/>
          <w:lang w:val="es-ES_tradnl" w:bidi="en-US"/>
        </w:rPr>
        <w:t>.</w:t>
      </w:r>
      <w:r w:rsidR="00EF6522" w:rsidRPr="00F7250D">
        <w:rPr>
          <w:rFonts w:ascii="Verdana" w:eastAsia="Calibri" w:hAnsi="Verdana" w:cs="Helvetica"/>
          <w:sz w:val="20"/>
          <w:szCs w:val="20"/>
          <w:lang w:val="es-ES_tradnl" w:bidi="en-US"/>
        </w:rPr>
        <w:tab/>
      </w:r>
      <w:r w:rsidR="00950FB2" w:rsidRPr="00F7250D">
        <w:rPr>
          <w:rFonts w:ascii="Verdana" w:hAnsi="Verdana"/>
          <w:spacing w:val="-2"/>
          <w:sz w:val="20"/>
          <w:szCs w:val="20"/>
          <w:lang w:val="es-ES_tradnl"/>
        </w:rPr>
        <w:t>El Estado no es responsable por la alegada violación del derecho a ser oído</w:t>
      </w:r>
      <w:r w:rsidR="005F65FD" w:rsidRPr="00F7250D">
        <w:rPr>
          <w:rFonts w:ascii="Verdana" w:hAnsi="Verdana"/>
          <w:spacing w:val="-2"/>
          <w:sz w:val="20"/>
          <w:szCs w:val="20"/>
          <w:lang w:val="es-ES_tradnl"/>
        </w:rPr>
        <w:t>, específicamente</w:t>
      </w:r>
      <w:r w:rsidR="00950FB2" w:rsidRPr="00F7250D">
        <w:rPr>
          <w:rFonts w:ascii="Verdana" w:hAnsi="Verdana"/>
          <w:spacing w:val="-2"/>
          <w:sz w:val="20"/>
          <w:szCs w:val="20"/>
          <w:lang w:val="es-ES_tradnl"/>
        </w:rPr>
        <w:t xml:space="preserve"> </w:t>
      </w:r>
      <w:r w:rsidR="005F65FD" w:rsidRPr="00F7250D">
        <w:rPr>
          <w:rFonts w:ascii="Verdana" w:hAnsi="Verdana"/>
          <w:spacing w:val="-2"/>
          <w:sz w:val="20"/>
          <w:szCs w:val="20"/>
          <w:lang w:val="es-ES_tradnl"/>
        </w:rPr>
        <w:t xml:space="preserve">en un plazo razonable y </w:t>
      </w:r>
      <w:r w:rsidR="00950FB2" w:rsidRPr="00F7250D">
        <w:rPr>
          <w:rFonts w:ascii="Verdana" w:hAnsi="Verdana"/>
          <w:spacing w:val="-2"/>
          <w:sz w:val="20"/>
          <w:szCs w:val="20"/>
          <w:lang w:val="es-ES_tradnl"/>
        </w:rPr>
        <w:t xml:space="preserve">por jueces independientes, reconocido en el artículo 8.1 </w:t>
      </w:r>
      <w:r w:rsidR="00950FB2" w:rsidRPr="00F7250D">
        <w:rPr>
          <w:rFonts w:ascii="Verdana" w:hAnsi="Verdana"/>
          <w:spacing w:val="-2"/>
          <w:sz w:val="20"/>
          <w:szCs w:val="20"/>
          <w:lang w:val="es-ES_tradnl"/>
        </w:rPr>
        <w:lastRenderedPageBreak/>
        <w:t>de la Convención, por las razo</w:t>
      </w:r>
      <w:r w:rsidR="005F65FD" w:rsidRPr="00F7250D">
        <w:rPr>
          <w:rFonts w:ascii="Verdana" w:hAnsi="Verdana"/>
          <w:spacing w:val="-2"/>
          <w:sz w:val="20"/>
          <w:szCs w:val="20"/>
          <w:lang w:val="es-ES_tradnl"/>
        </w:rPr>
        <w:t>nes señaladas en los párrafos</w:t>
      </w:r>
      <w:r w:rsidR="00D93B58">
        <w:rPr>
          <w:rFonts w:ascii="Verdana" w:hAnsi="Verdana"/>
          <w:spacing w:val="-2"/>
          <w:sz w:val="20"/>
          <w:szCs w:val="20"/>
          <w:lang w:val="es-ES_tradnl"/>
        </w:rPr>
        <w:t xml:space="preserve"> </w:t>
      </w:r>
      <w:r w:rsidR="005F65FD" w:rsidRPr="00F7250D">
        <w:rPr>
          <w:rFonts w:ascii="Verdana" w:hAnsi="Verdana"/>
          <w:spacing w:val="-2"/>
          <w:sz w:val="20"/>
          <w:szCs w:val="20"/>
          <w:lang w:val="es-ES_tradnl"/>
        </w:rPr>
        <w:t>176 a 180</w:t>
      </w:r>
      <w:r w:rsidR="00F7250D" w:rsidRPr="00F7250D">
        <w:rPr>
          <w:rFonts w:ascii="Verdana" w:hAnsi="Verdana"/>
          <w:spacing w:val="-2"/>
          <w:sz w:val="20"/>
          <w:szCs w:val="20"/>
          <w:lang w:val="es-ES_tradnl"/>
        </w:rPr>
        <w:t xml:space="preserve"> y 192 a 196</w:t>
      </w:r>
      <w:r w:rsidR="00950FB2" w:rsidRPr="00F7250D">
        <w:rPr>
          <w:rFonts w:ascii="Verdana" w:hAnsi="Verdana"/>
          <w:spacing w:val="-2"/>
          <w:sz w:val="20"/>
          <w:szCs w:val="20"/>
          <w:lang w:val="es-ES_tradnl"/>
        </w:rPr>
        <w:t xml:space="preserve"> de esta Sentencia.</w:t>
      </w:r>
    </w:p>
    <w:p w14:paraId="468901A6" w14:textId="77777777" w:rsidR="00950FB2" w:rsidRPr="009D5EA7" w:rsidRDefault="00950FB2" w:rsidP="00EF6522">
      <w:pPr>
        <w:spacing w:after="0" w:line="240" w:lineRule="auto"/>
        <w:jc w:val="both"/>
        <w:rPr>
          <w:rFonts w:ascii="Verdana" w:hAnsi="Verdana"/>
          <w:b/>
          <w:sz w:val="20"/>
          <w:szCs w:val="20"/>
          <w:lang w:val="es-ES_tradnl"/>
        </w:rPr>
      </w:pPr>
    </w:p>
    <w:p w14:paraId="12F13ECC" w14:textId="237A4DE6" w:rsidR="00950FB2" w:rsidRPr="00F7250D" w:rsidRDefault="001506FD" w:rsidP="00950FB2">
      <w:pPr>
        <w:spacing w:after="0" w:line="240" w:lineRule="auto"/>
        <w:contextualSpacing/>
        <w:jc w:val="both"/>
        <w:rPr>
          <w:rFonts w:ascii="Verdana" w:hAnsi="Verdana"/>
          <w:spacing w:val="-2"/>
          <w:sz w:val="20"/>
          <w:szCs w:val="20"/>
          <w:lang w:val="es-ES_tradnl"/>
        </w:rPr>
      </w:pPr>
      <w:r w:rsidRPr="00F7250D">
        <w:rPr>
          <w:rFonts w:ascii="Verdana" w:eastAsia="Calibri" w:hAnsi="Verdana" w:cs="Helvetica"/>
          <w:sz w:val="20"/>
          <w:szCs w:val="20"/>
          <w:lang w:val="es-ES_tradnl" w:bidi="en-US"/>
        </w:rPr>
        <w:t>5</w:t>
      </w:r>
      <w:r w:rsidR="00950FB2" w:rsidRPr="00F7250D">
        <w:rPr>
          <w:rFonts w:ascii="Verdana" w:eastAsia="Calibri" w:hAnsi="Verdana" w:cs="Helvetica"/>
          <w:sz w:val="20"/>
          <w:szCs w:val="20"/>
          <w:lang w:val="es-ES_tradnl" w:bidi="en-US"/>
        </w:rPr>
        <w:t>.</w:t>
      </w:r>
      <w:r w:rsidR="00950FB2" w:rsidRPr="00F7250D">
        <w:rPr>
          <w:rFonts w:ascii="Verdana" w:eastAsia="Calibri" w:hAnsi="Verdana" w:cs="Helvetica"/>
          <w:sz w:val="20"/>
          <w:szCs w:val="20"/>
          <w:lang w:val="es-ES_tradnl" w:bidi="en-US"/>
        </w:rPr>
        <w:tab/>
      </w:r>
      <w:r w:rsidR="00950FB2" w:rsidRPr="00F7250D">
        <w:rPr>
          <w:rFonts w:ascii="Verdana" w:hAnsi="Verdana"/>
          <w:spacing w:val="-2"/>
          <w:sz w:val="20"/>
          <w:szCs w:val="20"/>
          <w:lang w:val="es-ES_tradnl"/>
        </w:rPr>
        <w:t xml:space="preserve">El Estado no es responsable por la alegada violación de los derechos a la honra y dignidad, reconocidos en el artículo </w:t>
      </w:r>
      <w:r w:rsidR="00950FB2" w:rsidRPr="00F7250D">
        <w:rPr>
          <w:rFonts w:ascii="Verdana" w:hAnsi="Verdana"/>
          <w:sz w:val="20"/>
          <w:lang w:val="es-ES_tradnl"/>
        </w:rPr>
        <w:t xml:space="preserve">11 </w:t>
      </w:r>
      <w:r w:rsidR="00950FB2" w:rsidRPr="00F7250D">
        <w:rPr>
          <w:rFonts w:ascii="Verdana" w:hAnsi="Verdana"/>
          <w:spacing w:val="-2"/>
          <w:sz w:val="20"/>
          <w:szCs w:val="20"/>
          <w:lang w:val="es-ES_tradnl"/>
        </w:rPr>
        <w:t xml:space="preserve">de la Convención, por las razones señaladas en </w:t>
      </w:r>
      <w:r w:rsidR="00F7250D" w:rsidRPr="00F7250D">
        <w:rPr>
          <w:rFonts w:ascii="Verdana" w:hAnsi="Verdana"/>
          <w:spacing w:val="-2"/>
          <w:sz w:val="20"/>
          <w:szCs w:val="20"/>
          <w:lang w:val="es-ES_tradnl"/>
        </w:rPr>
        <w:t>el párrafo 205</w:t>
      </w:r>
      <w:r w:rsidR="00950FB2" w:rsidRPr="00F7250D">
        <w:rPr>
          <w:rFonts w:ascii="Verdana" w:hAnsi="Verdana"/>
          <w:spacing w:val="-2"/>
          <w:sz w:val="20"/>
          <w:szCs w:val="20"/>
          <w:lang w:val="es-ES_tradnl"/>
        </w:rPr>
        <w:t xml:space="preserve"> de esta Sentencia.</w:t>
      </w:r>
    </w:p>
    <w:p w14:paraId="14E65B2A" w14:textId="77777777" w:rsidR="001506FD" w:rsidRDefault="001506FD" w:rsidP="00EF6522">
      <w:pPr>
        <w:spacing w:after="0" w:line="240" w:lineRule="auto"/>
        <w:jc w:val="both"/>
        <w:rPr>
          <w:rFonts w:ascii="Verdana" w:hAnsi="Verdana"/>
          <w:b/>
          <w:spacing w:val="-2"/>
          <w:sz w:val="20"/>
          <w:szCs w:val="20"/>
          <w:lang w:val="es-ES_tradnl"/>
        </w:rPr>
      </w:pPr>
    </w:p>
    <w:p w14:paraId="51BC5C92" w14:textId="18BFA389" w:rsidR="00950FB2" w:rsidRPr="00F7250D" w:rsidRDefault="001506FD" w:rsidP="00EF6522">
      <w:pPr>
        <w:spacing w:after="0" w:line="240" w:lineRule="auto"/>
        <w:jc w:val="both"/>
        <w:rPr>
          <w:rFonts w:ascii="Verdana" w:hAnsi="Verdana"/>
          <w:spacing w:val="-2"/>
          <w:sz w:val="20"/>
          <w:szCs w:val="20"/>
          <w:lang w:val="es-ES_tradnl"/>
        </w:rPr>
      </w:pPr>
      <w:r w:rsidRPr="00F7250D">
        <w:rPr>
          <w:rFonts w:ascii="Verdana" w:hAnsi="Verdana"/>
          <w:spacing w:val="-2"/>
          <w:sz w:val="20"/>
          <w:szCs w:val="20"/>
          <w:lang w:val="es-ES_tradnl"/>
        </w:rPr>
        <w:t>6.</w:t>
      </w:r>
      <w:r w:rsidRPr="00F7250D">
        <w:rPr>
          <w:rFonts w:ascii="Verdana" w:hAnsi="Verdana"/>
          <w:spacing w:val="-2"/>
          <w:sz w:val="20"/>
          <w:szCs w:val="20"/>
          <w:lang w:val="es-ES_tradnl"/>
        </w:rPr>
        <w:tab/>
        <w:t xml:space="preserve">El Estado no es responsable por la alegada violación del derecho a la integridad personal, reconocido en el artículo 5.1 de la Convención, por las razones señaladas en </w:t>
      </w:r>
      <w:r w:rsidR="00F7250D">
        <w:rPr>
          <w:rFonts w:ascii="Verdana" w:hAnsi="Verdana"/>
          <w:spacing w:val="-2"/>
          <w:sz w:val="20"/>
          <w:szCs w:val="20"/>
          <w:lang w:val="es-ES_tradnl"/>
        </w:rPr>
        <w:t>el párrafo</w:t>
      </w:r>
      <w:r w:rsidRPr="00F7250D">
        <w:rPr>
          <w:rFonts w:ascii="Verdana" w:hAnsi="Verdana"/>
          <w:spacing w:val="-2"/>
          <w:sz w:val="20"/>
          <w:szCs w:val="20"/>
          <w:lang w:val="es-ES_tradnl"/>
        </w:rPr>
        <w:t xml:space="preserve"> </w:t>
      </w:r>
      <w:r w:rsidR="00F7250D" w:rsidRPr="00F7250D">
        <w:rPr>
          <w:rFonts w:ascii="Verdana" w:hAnsi="Verdana"/>
          <w:spacing w:val="-2"/>
          <w:sz w:val="20"/>
          <w:szCs w:val="20"/>
          <w:lang w:val="es-ES_tradnl"/>
        </w:rPr>
        <w:t>201</w:t>
      </w:r>
      <w:r w:rsidRPr="00F7250D">
        <w:rPr>
          <w:rFonts w:ascii="Verdana" w:hAnsi="Verdana"/>
          <w:spacing w:val="-2"/>
          <w:sz w:val="20"/>
          <w:szCs w:val="20"/>
          <w:lang w:val="es-ES_tradnl"/>
        </w:rPr>
        <w:t xml:space="preserve"> de esta Sentencia.</w:t>
      </w:r>
    </w:p>
    <w:p w14:paraId="5696C4B7" w14:textId="77777777" w:rsidR="00343DB5" w:rsidRPr="009D5EA7" w:rsidRDefault="00343DB5" w:rsidP="00EF6522">
      <w:pPr>
        <w:spacing w:after="0" w:line="240" w:lineRule="auto"/>
        <w:jc w:val="both"/>
        <w:rPr>
          <w:rFonts w:ascii="Verdana" w:hAnsi="Verdana"/>
          <w:b/>
          <w:sz w:val="20"/>
          <w:szCs w:val="20"/>
          <w:lang w:val="es-ES_tradnl"/>
        </w:rPr>
      </w:pPr>
    </w:p>
    <w:p w14:paraId="1D0F27E9" w14:textId="59A3B81F" w:rsidR="00950FB2" w:rsidRPr="00F7250D" w:rsidRDefault="00950FB2" w:rsidP="00950FB2">
      <w:pPr>
        <w:spacing w:after="0" w:line="240" w:lineRule="auto"/>
        <w:contextualSpacing/>
        <w:jc w:val="both"/>
        <w:rPr>
          <w:rFonts w:ascii="Verdana" w:hAnsi="Verdana"/>
          <w:spacing w:val="-2"/>
          <w:sz w:val="20"/>
          <w:szCs w:val="20"/>
          <w:lang w:val="es-ES_tradnl"/>
        </w:rPr>
      </w:pPr>
      <w:r w:rsidRPr="00F7250D">
        <w:rPr>
          <w:rFonts w:ascii="Verdana" w:eastAsia="Calibri" w:hAnsi="Verdana" w:cs="Helvetica"/>
          <w:sz w:val="20"/>
          <w:szCs w:val="20"/>
          <w:lang w:val="es-ES_tradnl" w:bidi="en-US"/>
        </w:rPr>
        <w:t>7.</w:t>
      </w:r>
      <w:r w:rsidRPr="00F7250D">
        <w:rPr>
          <w:rFonts w:ascii="Verdana" w:eastAsia="Calibri" w:hAnsi="Verdana" w:cs="Helvetica"/>
          <w:sz w:val="20"/>
          <w:szCs w:val="20"/>
          <w:lang w:val="es-ES_tradnl" w:bidi="en-US"/>
        </w:rPr>
        <w:tab/>
      </w:r>
      <w:r w:rsidRPr="00F7250D">
        <w:rPr>
          <w:rFonts w:ascii="Verdana" w:hAnsi="Verdana"/>
          <w:spacing w:val="-2"/>
          <w:sz w:val="20"/>
          <w:szCs w:val="20"/>
          <w:lang w:val="es-ES_tradnl"/>
        </w:rPr>
        <w:t xml:space="preserve">El Estado no es responsable por la alegada violación de </w:t>
      </w:r>
      <w:r w:rsidR="00BB1F4B" w:rsidRPr="00F7250D">
        <w:rPr>
          <w:rFonts w:ascii="Verdana" w:hAnsi="Verdana"/>
          <w:spacing w:val="-2"/>
          <w:sz w:val="20"/>
          <w:szCs w:val="20"/>
          <w:lang w:val="es-ES_tradnl"/>
        </w:rPr>
        <w:t xml:space="preserve">la libertad de pensamiento y expresión, </w:t>
      </w:r>
      <w:r w:rsidR="00F7250D">
        <w:rPr>
          <w:rFonts w:ascii="Verdana" w:hAnsi="Verdana"/>
          <w:spacing w:val="-2"/>
          <w:sz w:val="20"/>
          <w:szCs w:val="20"/>
          <w:lang w:val="es-ES_tradnl"/>
        </w:rPr>
        <w:t xml:space="preserve">derecho </w:t>
      </w:r>
      <w:r w:rsidR="00BB1F4B" w:rsidRPr="00F7250D">
        <w:rPr>
          <w:rFonts w:ascii="Verdana" w:hAnsi="Verdana"/>
          <w:spacing w:val="-2"/>
          <w:sz w:val="20"/>
          <w:szCs w:val="20"/>
          <w:lang w:val="es-ES_tradnl"/>
        </w:rPr>
        <w:t xml:space="preserve">de reunión, </w:t>
      </w:r>
      <w:r w:rsidR="00F7250D">
        <w:rPr>
          <w:rFonts w:ascii="Verdana" w:hAnsi="Verdana"/>
          <w:spacing w:val="-2"/>
          <w:sz w:val="20"/>
          <w:szCs w:val="20"/>
          <w:lang w:val="es-ES_tradnl"/>
        </w:rPr>
        <w:t xml:space="preserve">libertad </w:t>
      </w:r>
      <w:r w:rsidR="00BB1F4B" w:rsidRPr="00F7250D">
        <w:rPr>
          <w:rFonts w:ascii="Verdana" w:hAnsi="Verdana"/>
          <w:spacing w:val="-2"/>
          <w:sz w:val="20"/>
          <w:szCs w:val="20"/>
          <w:lang w:val="es-ES_tradnl"/>
        </w:rPr>
        <w:t xml:space="preserve">de asociación, derechos políticos y a la protección judicial, </w:t>
      </w:r>
      <w:r w:rsidRPr="00F7250D">
        <w:rPr>
          <w:rFonts w:ascii="Verdana" w:hAnsi="Verdana"/>
          <w:spacing w:val="-2"/>
          <w:sz w:val="20"/>
          <w:szCs w:val="20"/>
          <w:lang w:val="es-ES_tradnl"/>
        </w:rPr>
        <w:t xml:space="preserve">reconocidos en los artículos </w:t>
      </w:r>
      <w:r w:rsidRPr="00F7250D">
        <w:rPr>
          <w:rFonts w:ascii="Verdana" w:hAnsi="Verdana"/>
          <w:sz w:val="20"/>
          <w:lang w:val="es-ES_tradnl"/>
        </w:rPr>
        <w:t>13.1, 15, 16.1, 23.1 y</w:t>
      </w:r>
      <w:r w:rsidRPr="00F7250D">
        <w:rPr>
          <w:rFonts w:ascii="Verdana" w:hAnsi="Verdana"/>
          <w:spacing w:val="-2"/>
          <w:sz w:val="20"/>
          <w:szCs w:val="20"/>
          <w:lang w:val="es-ES_tradnl"/>
        </w:rPr>
        <w:t xml:space="preserve"> 25</w:t>
      </w:r>
      <w:r w:rsidRPr="00F7250D">
        <w:rPr>
          <w:rFonts w:ascii="Verdana" w:hAnsi="Verdana"/>
          <w:sz w:val="20"/>
          <w:szCs w:val="20"/>
          <w:lang w:val="es-ES_tradnl" w:eastAsia="es-ES"/>
        </w:rPr>
        <w:t xml:space="preserve"> </w:t>
      </w:r>
      <w:r w:rsidRPr="00F7250D">
        <w:rPr>
          <w:rFonts w:ascii="Verdana" w:hAnsi="Verdana"/>
          <w:spacing w:val="-2"/>
          <w:sz w:val="20"/>
          <w:szCs w:val="20"/>
          <w:lang w:val="es-ES_tradnl"/>
        </w:rPr>
        <w:t xml:space="preserve">de la Convención, por las razones señaladas en los párrafos </w:t>
      </w:r>
      <w:r w:rsidR="00F7250D">
        <w:rPr>
          <w:rFonts w:ascii="Verdana" w:hAnsi="Verdana"/>
          <w:spacing w:val="-2"/>
          <w:sz w:val="20"/>
          <w:szCs w:val="20"/>
          <w:lang w:val="es-ES_tradnl"/>
        </w:rPr>
        <w:t>206 a 208</w:t>
      </w:r>
      <w:r w:rsidRPr="00F7250D">
        <w:rPr>
          <w:rFonts w:ascii="Verdana" w:hAnsi="Verdana"/>
          <w:spacing w:val="-2"/>
          <w:sz w:val="20"/>
          <w:szCs w:val="20"/>
          <w:lang w:val="es-ES_tradnl"/>
        </w:rPr>
        <w:t xml:space="preserve"> de esta Sentencia.</w:t>
      </w:r>
    </w:p>
    <w:p w14:paraId="1EB2E697" w14:textId="77777777" w:rsidR="00350DB1" w:rsidRPr="009D5EA7" w:rsidRDefault="00350DB1" w:rsidP="00EF6522">
      <w:pPr>
        <w:spacing w:after="0" w:line="240" w:lineRule="auto"/>
        <w:jc w:val="both"/>
        <w:rPr>
          <w:rFonts w:ascii="Verdana" w:hAnsi="Verdana"/>
          <w:sz w:val="20"/>
          <w:szCs w:val="20"/>
          <w:lang w:val="es-ES_tradnl"/>
        </w:rPr>
      </w:pPr>
    </w:p>
    <w:p w14:paraId="63474871" w14:textId="7B65A1B0" w:rsidR="00EF6522" w:rsidRPr="009D5EA7" w:rsidRDefault="00EF6522" w:rsidP="00EF6522">
      <w:pPr>
        <w:spacing w:after="0" w:line="240" w:lineRule="auto"/>
        <w:jc w:val="both"/>
        <w:rPr>
          <w:rFonts w:ascii="Verdana" w:hAnsi="Verdana"/>
          <w:sz w:val="20"/>
          <w:szCs w:val="20"/>
          <w:lang w:val="es-ES_tradnl"/>
        </w:rPr>
      </w:pPr>
      <w:r w:rsidRPr="009D5EA7">
        <w:rPr>
          <w:rFonts w:ascii="Verdana" w:hAnsi="Verdana"/>
          <w:b/>
          <w:sz w:val="20"/>
          <w:szCs w:val="20"/>
          <w:lang w:val="es-ES_tradnl"/>
        </w:rPr>
        <w:t xml:space="preserve">Y </w:t>
      </w:r>
      <w:r w:rsidRPr="009D5EA7">
        <w:rPr>
          <w:rFonts w:ascii="Verdana" w:hAnsi="Verdana"/>
          <w:b/>
          <w:smallCaps/>
          <w:sz w:val="20"/>
          <w:szCs w:val="20"/>
          <w:lang w:val="es-ES_tradnl"/>
        </w:rPr>
        <w:t>DISPONE</w:t>
      </w:r>
      <w:r w:rsidR="009D758D">
        <w:rPr>
          <w:rFonts w:ascii="Verdana" w:hAnsi="Verdana"/>
          <w:b/>
          <w:smallCaps/>
          <w:sz w:val="20"/>
          <w:szCs w:val="20"/>
          <w:lang w:val="es-ES_tradnl"/>
        </w:rPr>
        <w:t>,</w:t>
      </w:r>
    </w:p>
    <w:p w14:paraId="3133EE6D" w14:textId="77777777" w:rsidR="00EF6522" w:rsidRPr="009D5EA7" w:rsidRDefault="00EF6522" w:rsidP="00EF6522">
      <w:pPr>
        <w:spacing w:after="0" w:line="240" w:lineRule="auto"/>
        <w:ind w:right="11"/>
        <w:jc w:val="both"/>
        <w:rPr>
          <w:rFonts w:ascii="Verdana" w:hAnsi="Verdana"/>
          <w:sz w:val="20"/>
          <w:szCs w:val="20"/>
          <w:lang w:val="es-ES_tradnl"/>
        </w:rPr>
      </w:pPr>
    </w:p>
    <w:p w14:paraId="50E07161" w14:textId="5A2041A2" w:rsidR="00EF6522" w:rsidRPr="009D5EA7" w:rsidRDefault="009D758D" w:rsidP="00B577A1">
      <w:pPr>
        <w:spacing w:after="0" w:line="240" w:lineRule="auto"/>
        <w:ind w:right="11"/>
        <w:jc w:val="both"/>
        <w:rPr>
          <w:rFonts w:ascii="Verdana" w:hAnsi="Verdana"/>
          <w:sz w:val="20"/>
          <w:szCs w:val="20"/>
          <w:lang w:val="es-ES_tradnl"/>
        </w:rPr>
      </w:pPr>
      <w:r>
        <w:rPr>
          <w:rFonts w:ascii="Verdana" w:hAnsi="Verdana"/>
          <w:sz w:val="20"/>
          <w:szCs w:val="20"/>
          <w:lang w:val="es-ES_tradnl"/>
        </w:rPr>
        <w:t>p</w:t>
      </w:r>
      <w:r w:rsidR="00EF6522" w:rsidRPr="009D5EA7">
        <w:rPr>
          <w:rFonts w:ascii="Verdana" w:hAnsi="Verdana"/>
          <w:sz w:val="20"/>
          <w:szCs w:val="20"/>
          <w:lang w:val="es-ES_tradnl"/>
        </w:rPr>
        <w:t xml:space="preserve">or </w:t>
      </w:r>
      <w:r w:rsidR="001523DA">
        <w:rPr>
          <w:rFonts w:ascii="Verdana" w:hAnsi="Verdana"/>
          <w:spacing w:val="-2"/>
          <w:sz w:val="20"/>
          <w:szCs w:val="20"/>
          <w:lang w:val="es-ES_tradnl"/>
        </w:rPr>
        <w:t>unanimidad</w:t>
      </w:r>
      <w:r w:rsidR="001523DA">
        <w:rPr>
          <w:rFonts w:ascii="Verdana" w:hAnsi="Verdana"/>
          <w:sz w:val="20"/>
          <w:szCs w:val="20"/>
          <w:lang w:val="es-ES_tradnl"/>
        </w:rPr>
        <w:t xml:space="preserve">, </w:t>
      </w:r>
      <w:r w:rsidR="00EF6522" w:rsidRPr="009D5EA7">
        <w:rPr>
          <w:rFonts w:ascii="Verdana" w:hAnsi="Verdana"/>
          <w:sz w:val="20"/>
          <w:szCs w:val="20"/>
          <w:lang w:val="es-ES_tradnl"/>
        </w:rPr>
        <w:t xml:space="preserve">que: </w:t>
      </w:r>
    </w:p>
    <w:p w14:paraId="21F546BB" w14:textId="77777777" w:rsidR="00350DB1" w:rsidRPr="009D5EA7" w:rsidRDefault="00350DB1" w:rsidP="00EF6522">
      <w:pPr>
        <w:spacing w:after="0" w:line="240" w:lineRule="auto"/>
        <w:jc w:val="both"/>
        <w:rPr>
          <w:rFonts w:ascii="Verdana" w:hAnsi="Verdana"/>
          <w:sz w:val="20"/>
          <w:szCs w:val="20"/>
          <w:lang w:val="es-ES_tradnl"/>
        </w:rPr>
      </w:pPr>
    </w:p>
    <w:p w14:paraId="0AA1DB2E" w14:textId="6A3000E2" w:rsidR="00EF6522" w:rsidRPr="009D5EA7" w:rsidRDefault="00950FB2" w:rsidP="00EF6522">
      <w:pPr>
        <w:spacing w:after="0" w:line="240" w:lineRule="auto"/>
        <w:contextualSpacing/>
        <w:jc w:val="both"/>
        <w:rPr>
          <w:rFonts w:ascii="Verdana" w:hAnsi="Verdana"/>
          <w:sz w:val="20"/>
          <w:szCs w:val="20"/>
          <w:lang w:val="es-ES_tradnl"/>
        </w:rPr>
      </w:pPr>
      <w:r w:rsidRPr="009D5EA7">
        <w:rPr>
          <w:rFonts w:ascii="Verdana" w:hAnsi="Verdana"/>
          <w:sz w:val="20"/>
          <w:szCs w:val="20"/>
          <w:lang w:val="es-ES_tradnl"/>
        </w:rPr>
        <w:t>8</w:t>
      </w:r>
      <w:r w:rsidR="00EF6522" w:rsidRPr="009D5EA7">
        <w:rPr>
          <w:rFonts w:ascii="Verdana" w:hAnsi="Verdana"/>
          <w:sz w:val="20"/>
          <w:szCs w:val="20"/>
          <w:lang w:val="es-ES_tradnl"/>
        </w:rPr>
        <w:t xml:space="preserve">. </w:t>
      </w:r>
      <w:r w:rsidR="00EF6522" w:rsidRPr="009D5EA7">
        <w:rPr>
          <w:rFonts w:ascii="Verdana" w:hAnsi="Verdana"/>
          <w:sz w:val="20"/>
          <w:szCs w:val="20"/>
          <w:lang w:val="es-ES_tradnl"/>
        </w:rPr>
        <w:tab/>
        <w:t xml:space="preserve">Esta Sentencia constituye </w:t>
      </w:r>
      <w:r w:rsidR="00EF6522" w:rsidRPr="009D5EA7">
        <w:rPr>
          <w:rFonts w:ascii="Verdana" w:hAnsi="Verdana"/>
          <w:i/>
          <w:sz w:val="20"/>
          <w:szCs w:val="20"/>
          <w:lang w:val="es-ES_tradnl"/>
        </w:rPr>
        <w:t>per se</w:t>
      </w:r>
      <w:r w:rsidR="00EF6522" w:rsidRPr="009D5EA7">
        <w:rPr>
          <w:rFonts w:ascii="Verdana" w:hAnsi="Verdana"/>
          <w:sz w:val="20"/>
          <w:szCs w:val="20"/>
          <w:lang w:val="es-ES_tradnl"/>
        </w:rPr>
        <w:t xml:space="preserve"> una forma de reparación. </w:t>
      </w:r>
    </w:p>
    <w:p w14:paraId="4457674D" w14:textId="4F0231A7" w:rsidR="00EF6522" w:rsidRPr="009D5EA7" w:rsidRDefault="00EF6522" w:rsidP="00EF6522">
      <w:pPr>
        <w:spacing w:after="0" w:line="240" w:lineRule="auto"/>
        <w:contextualSpacing/>
        <w:jc w:val="both"/>
        <w:rPr>
          <w:rStyle w:val="apple-style-span"/>
          <w:rFonts w:ascii="Verdana" w:eastAsia="MS Mincho" w:hAnsi="Verdana"/>
          <w:sz w:val="20"/>
          <w:szCs w:val="20"/>
          <w:lang w:val="es-ES_tradnl"/>
        </w:rPr>
      </w:pPr>
    </w:p>
    <w:p w14:paraId="588C00CD" w14:textId="23747919" w:rsidR="00950FB2" w:rsidRPr="00F7250D" w:rsidRDefault="00950FB2" w:rsidP="00EF6522">
      <w:pPr>
        <w:spacing w:after="0" w:line="240" w:lineRule="auto"/>
        <w:contextualSpacing/>
        <w:jc w:val="both"/>
        <w:rPr>
          <w:rStyle w:val="apple-style-span"/>
          <w:rFonts w:ascii="Verdana" w:eastAsia="MS Mincho" w:hAnsi="Verdana"/>
          <w:sz w:val="20"/>
          <w:szCs w:val="20"/>
          <w:lang w:val="es-ES_tradnl"/>
        </w:rPr>
      </w:pPr>
      <w:r w:rsidRPr="00F7250D">
        <w:rPr>
          <w:rStyle w:val="apple-style-span"/>
          <w:rFonts w:ascii="Verdana" w:eastAsia="MS Mincho" w:hAnsi="Verdana"/>
          <w:sz w:val="20"/>
          <w:szCs w:val="20"/>
          <w:lang w:val="es-ES_tradnl"/>
        </w:rPr>
        <w:t>9.</w:t>
      </w:r>
      <w:r w:rsidRPr="00F7250D">
        <w:rPr>
          <w:rStyle w:val="apple-style-span"/>
          <w:rFonts w:ascii="Verdana" w:eastAsia="MS Mincho" w:hAnsi="Verdana"/>
          <w:sz w:val="20"/>
          <w:szCs w:val="20"/>
          <w:lang w:val="es-ES_tradnl"/>
        </w:rPr>
        <w:tab/>
        <w:t xml:space="preserve">El Estado debe adoptar </w:t>
      </w:r>
      <w:r w:rsidR="00E103B2" w:rsidRPr="00F7250D">
        <w:rPr>
          <w:rFonts w:ascii="Verdana" w:hAnsi="Verdana"/>
          <w:sz w:val="20"/>
          <w:szCs w:val="20"/>
          <w:lang w:val="es-ES_tradnl"/>
        </w:rPr>
        <w:t>las medidas necesarias para que el</w:t>
      </w:r>
      <w:r w:rsidR="00F7250D" w:rsidRPr="00F7250D">
        <w:rPr>
          <w:rFonts w:ascii="Verdana" w:hAnsi="Verdana"/>
          <w:sz w:val="20"/>
          <w:szCs w:val="20"/>
          <w:lang w:val="es-ES_tradnl"/>
        </w:rPr>
        <w:t xml:space="preserve"> hecho</w:t>
      </w:r>
      <w:r w:rsidR="00E103B2" w:rsidRPr="00F7250D">
        <w:rPr>
          <w:rFonts w:ascii="Verdana" w:hAnsi="Verdana"/>
          <w:sz w:val="20"/>
          <w:szCs w:val="20"/>
          <w:lang w:val="es-ES_tradnl"/>
        </w:rPr>
        <w:t xml:space="preserve"> no quede en impunidad y se restituyan adecuadamente los derechos de acceso a la justicia y a la verdad de las víctimas</w:t>
      </w:r>
      <w:r w:rsidR="00D93B58">
        <w:rPr>
          <w:rStyle w:val="apple-style-span"/>
          <w:rFonts w:ascii="Verdana" w:eastAsia="MS Mincho" w:hAnsi="Verdana"/>
          <w:sz w:val="20"/>
          <w:szCs w:val="20"/>
          <w:lang w:val="es-ES_tradnl"/>
        </w:rPr>
        <w:t>, en los términos de los</w:t>
      </w:r>
      <w:r w:rsidR="00F7250D" w:rsidRPr="00F7250D">
        <w:rPr>
          <w:rStyle w:val="apple-style-span"/>
          <w:rFonts w:ascii="Verdana" w:eastAsia="MS Mincho" w:hAnsi="Verdana"/>
          <w:sz w:val="20"/>
          <w:szCs w:val="20"/>
          <w:lang w:val="es-ES_tradnl"/>
        </w:rPr>
        <w:t xml:space="preserve"> párrafo</w:t>
      </w:r>
      <w:r w:rsidR="00D93B58">
        <w:rPr>
          <w:rStyle w:val="apple-style-span"/>
          <w:rFonts w:ascii="Verdana" w:eastAsia="MS Mincho" w:hAnsi="Verdana"/>
          <w:sz w:val="20"/>
          <w:szCs w:val="20"/>
          <w:lang w:val="es-ES_tradnl"/>
        </w:rPr>
        <w:t>s 214 a</w:t>
      </w:r>
      <w:r w:rsidR="00F7250D" w:rsidRPr="00F7250D">
        <w:rPr>
          <w:rStyle w:val="apple-style-span"/>
          <w:rFonts w:ascii="Verdana" w:eastAsia="MS Mincho" w:hAnsi="Verdana"/>
          <w:sz w:val="20"/>
          <w:szCs w:val="20"/>
          <w:lang w:val="es-ES_tradnl"/>
        </w:rPr>
        <w:t xml:space="preserve"> 216 </w:t>
      </w:r>
      <w:r w:rsidRPr="00F7250D">
        <w:rPr>
          <w:rStyle w:val="apple-style-span"/>
          <w:rFonts w:ascii="Verdana" w:eastAsia="MS Mincho" w:hAnsi="Verdana"/>
          <w:sz w:val="20"/>
          <w:szCs w:val="20"/>
          <w:lang w:val="es-ES_tradnl"/>
        </w:rPr>
        <w:t xml:space="preserve">de esta Sentencia. </w:t>
      </w:r>
    </w:p>
    <w:p w14:paraId="207085B1" w14:textId="77777777" w:rsidR="00950FB2" w:rsidRDefault="00950FB2" w:rsidP="00EF6522">
      <w:pPr>
        <w:spacing w:after="0" w:line="240" w:lineRule="auto"/>
        <w:contextualSpacing/>
        <w:jc w:val="both"/>
        <w:rPr>
          <w:rStyle w:val="apple-style-span"/>
          <w:rFonts w:ascii="Verdana" w:eastAsia="MS Mincho" w:hAnsi="Verdana"/>
          <w:sz w:val="20"/>
          <w:szCs w:val="20"/>
          <w:lang w:val="es-ES_tradnl"/>
        </w:rPr>
      </w:pPr>
    </w:p>
    <w:p w14:paraId="6822C897" w14:textId="370C8649" w:rsidR="00EF6522" w:rsidRPr="009D5EA7" w:rsidRDefault="00950FB2" w:rsidP="00EF6522">
      <w:pPr>
        <w:spacing w:after="0" w:line="240" w:lineRule="auto"/>
        <w:contextualSpacing/>
        <w:jc w:val="both"/>
        <w:rPr>
          <w:lang w:val="es-ES_tradnl"/>
        </w:rPr>
      </w:pPr>
      <w:r w:rsidRPr="009D5EA7">
        <w:rPr>
          <w:rStyle w:val="apple-style-span"/>
          <w:rFonts w:ascii="Verdana" w:eastAsia="MS Mincho" w:hAnsi="Verdana"/>
          <w:sz w:val="20"/>
          <w:szCs w:val="20"/>
          <w:lang w:val="es-ES_tradnl"/>
        </w:rPr>
        <w:t>10</w:t>
      </w:r>
      <w:r w:rsidR="00EF6522" w:rsidRPr="009D5EA7">
        <w:rPr>
          <w:rStyle w:val="apple-style-span"/>
          <w:rFonts w:ascii="Verdana" w:eastAsia="MS Mincho" w:hAnsi="Verdana"/>
          <w:sz w:val="20"/>
          <w:szCs w:val="20"/>
          <w:lang w:val="es-ES_tradnl"/>
        </w:rPr>
        <w:t>.</w:t>
      </w:r>
      <w:r w:rsidR="00EF6522" w:rsidRPr="009D5EA7">
        <w:rPr>
          <w:rStyle w:val="apple-style-span"/>
          <w:rFonts w:ascii="Verdana" w:eastAsia="MS Mincho" w:hAnsi="Verdana"/>
          <w:sz w:val="20"/>
          <w:szCs w:val="20"/>
          <w:lang w:val="es-ES_tradnl"/>
        </w:rPr>
        <w:tab/>
        <w:t xml:space="preserve">El Estado </w:t>
      </w:r>
      <w:r w:rsidR="00EF6522" w:rsidRPr="009D5EA7">
        <w:rPr>
          <w:rFonts w:ascii="Verdana" w:hAnsi="Verdana"/>
          <w:sz w:val="20"/>
          <w:szCs w:val="20"/>
          <w:lang w:val="es-ES_tradnl"/>
        </w:rPr>
        <w:t>debe</w:t>
      </w:r>
      <w:r w:rsidR="00EF6522" w:rsidRPr="009D5EA7">
        <w:rPr>
          <w:rStyle w:val="apple-style-span"/>
          <w:rFonts w:ascii="Verdana" w:eastAsia="MS Mincho" w:hAnsi="Verdana"/>
          <w:sz w:val="20"/>
          <w:szCs w:val="20"/>
          <w:lang w:val="es-ES_tradnl"/>
        </w:rPr>
        <w:t xml:space="preserve"> realizar las publicaciones que se indican en el párrafo </w:t>
      </w:r>
      <w:r w:rsidR="00F7250D">
        <w:rPr>
          <w:rStyle w:val="apple-style-span"/>
          <w:rFonts w:ascii="Verdana" w:eastAsia="MS Mincho" w:hAnsi="Verdana"/>
          <w:sz w:val="20"/>
          <w:szCs w:val="20"/>
          <w:lang w:val="es-ES_tradnl"/>
        </w:rPr>
        <w:t>218</w:t>
      </w:r>
      <w:r w:rsidR="00EF6522" w:rsidRPr="009D5EA7">
        <w:rPr>
          <w:rStyle w:val="apple-style-span"/>
          <w:rFonts w:ascii="Verdana" w:eastAsia="MS Mincho" w:hAnsi="Verdana"/>
          <w:sz w:val="20"/>
          <w:szCs w:val="20"/>
          <w:lang w:val="es-ES_tradnl"/>
        </w:rPr>
        <w:t xml:space="preserve"> del presente Fallo, </w:t>
      </w:r>
      <w:r w:rsidR="00EF6522" w:rsidRPr="009D5EA7">
        <w:rPr>
          <w:rFonts w:ascii="Verdana" w:hAnsi="Verdana"/>
          <w:sz w:val="20"/>
          <w:szCs w:val="20"/>
          <w:lang w:val="es-ES_tradnl"/>
        </w:rPr>
        <w:t>dentro del plazo de un año contado desde la notificación de la presente Sentencia.</w:t>
      </w:r>
      <w:r w:rsidR="00EF6522" w:rsidRPr="009D5EA7">
        <w:rPr>
          <w:rStyle w:val="apple-style-span"/>
          <w:rFonts w:ascii="Verdana" w:eastAsia="MS Mincho" w:hAnsi="Verdana"/>
          <w:sz w:val="20"/>
          <w:szCs w:val="20"/>
          <w:lang w:val="es-ES_tradnl"/>
        </w:rPr>
        <w:t xml:space="preserve"> </w:t>
      </w:r>
    </w:p>
    <w:p w14:paraId="46FD67B0" w14:textId="77777777" w:rsidR="00500B34" w:rsidRPr="009D5EA7" w:rsidRDefault="00500B34" w:rsidP="00EF6522">
      <w:pPr>
        <w:spacing w:after="0" w:line="240" w:lineRule="auto"/>
        <w:contextualSpacing/>
        <w:jc w:val="both"/>
        <w:rPr>
          <w:rFonts w:ascii="Verdana" w:hAnsi="Verdana" w:cs="Verdana"/>
          <w:sz w:val="20"/>
          <w:szCs w:val="20"/>
          <w:lang w:val="es-ES_tradnl"/>
        </w:rPr>
      </w:pPr>
    </w:p>
    <w:p w14:paraId="5635B9C5" w14:textId="1DE2FE60" w:rsidR="00500B34" w:rsidRPr="009D5EA7" w:rsidRDefault="00950FB2" w:rsidP="00500B34">
      <w:pPr>
        <w:spacing w:after="0" w:line="240" w:lineRule="auto"/>
        <w:contextualSpacing/>
        <w:jc w:val="both"/>
        <w:rPr>
          <w:rFonts w:ascii="Verdana" w:hAnsi="Verdana"/>
          <w:sz w:val="20"/>
          <w:szCs w:val="20"/>
          <w:lang w:val="es-ES_tradnl"/>
        </w:rPr>
      </w:pPr>
      <w:r w:rsidRPr="009D5EA7">
        <w:rPr>
          <w:rFonts w:ascii="Verdana" w:hAnsi="Verdana"/>
          <w:sz w:val="20"/>
          <w:szCs w:val="20"/>
          <w:lang w:val="es-ES_tradnl"/>
        </w:rPr>
        <w:t>11</w:t>
      </w:r>
      <w:r w:rsidR="00500B34" w:rsidRPr="009D5EA7">
        <w:rPr>
          <w:rFonts w:ascii="Verdana" w:hAnsi="Verdana"/>
          <w:sz w:val="20"/>
          <w:szCs w:val="20"/>
          <w:lang w:val="es-ES_tradnl"/>
        </w:rPr>
        <w:t>.</w:t>
      </w:r>
      <w:r w:rsidR="00500B34" w:rsidRPr="009D5EA7">
        <w:rPr>
          <w:rFonts w:ascii="Verdana" w:hAnsi="Verdana"/>
          <w:sz w:val="20"/>
          <w:szCs w:val="20"/>
          <w:lang w:val="es-ES_tradnl"/>
        </w:rPr>
        <w:tab/>
        <w:t>El Estado debe elaborar mecanismos de protección y protocolos de investigación para casos de situaciones de riesgo, amenazas y agresiones de defensoras y defensores de derechos humanos, en los términos de</w:t>
      </w:r>
      <w:r w:rsidR="00D93B58">
        <w:rPr>
          <w:rFonts w:ascii="Verdana" w:hAnsi="Verdana"/>
          <w:sz w:val="20"/>
          <w:szCs w:val="20"/>
          <w:lang w:val="es-ES_tradnl"/>
        </w:rPr>
        <w:t xml:space="preserve"> los</w:t>
      </w:r>
      <w:r w:rsidR="00500B34" w:rsidRPr="009D5EA7">
        <w:rPr>
          <w:rFonts w:ascii="Verdana" w:hAnsi="Verdana"/>
          <w:sz w:val="20"/>
          <w:szCs w:val="20"/>
          <w:lang w:val="es-ES_tradnl"/>
        </w:rPr>
        <w:t xml:space="preserve"> </w:t>
      </w:r>
      <w:r w:rsidR="00F7250D">
        <w:rPr>
          <w:rFonts w:ascii="Verdana" w:hAnsi="Verdana"/>
          <w:sz w:val="20"/>
          <w:szCs w:val="20"/>
          <w:lang w:val="es-ES_tradnl"/>
        </w:rPr>
        <w:t>párrafo</w:t>
      </w:r>
      <w:r w:rsidR="00D93B58">
        <w:rPr>
          <w:rFonts w:ascii="Verdana" w:hAnsi="Verdana"/>
          <w:sz w:val="20"/>
          <w:szCs w:val="20"/>
          <w:lang w:val="es-ES_tradnl"/>
        </w:rPr>
        <w:t>s</w:t>
      </w:r>
      <w:r w:rsidR="00500B34" w:rsidRPr="009D5EA7">
        <w:rPr>
          <w:rFonts w:ascii="Verdana" w:hAnsi="Verdana"/>
          <w:sz w:val="20"/>
          <w:szCs w:val="20"/>
          <w:lang w:val="es-ES_tradnl"/>
        </w:rPr>
        <w:t xml:space="preserve"> </w:t>
      </w:r>
      <w:r w:rsidR="00F7250D">
        <w:rPr>
          <w:rFonts w:ascii="Verdana" w:hAnsi="Verdana"/>
          <w:sz w:val="20"/>
          <w:szCs w:val="20"/>
          <w:lang w:val="es-ES_tradnl"/>
        </w:rPr>
        <w:t>223</w:t>
      </w:r>
      <w:r w:rsidR="00500B34" w:rsidRPr="009D5EA7">
        <w:rPr>
          <w:rFonts w:ascii="Verdana" w:hAnsi="Verdana"/>
          <w:sz w:val="20"/>
          <w:szCs w:val="20"/>
          <w:lang w:val="es-ES_tradnl"/>
        </w:rPr>
        <w:t xml:space="preserve"> </w:t>
      </w:r>
      <w:r w:rsidR="00D93B58">
        <w:rPr>
          <w:rFonts w:ascii="Verdana" w:hAnsi="Verdana"/>
          <w:sz w:val="20"/>
          <w:szCs w:val="20"/>
          <w:lang w:val="es-ES_tradnl"/>
        </w:rPr>
        <w:t xml:space="preserve">y 224 </w:t>
      </w:r>
      <w:r w:rsidR="00500B34" w:rsidRPr="009D5EA7">
        <w:rPr>
          <w:rFonts w:ascii="Verdana" w:hAnsi="Verdana"/>
          <w:sz w:val="20"/>
          <w:szCs w:val="20"/>
          <w:lang w:val="es-ES_tradnl"/>
        </w:rPr>
        <w:t>del presente Fallo</w:t>
      </w:r>
      <w:r w:rsidR="001523DA">
        <w:rPr>
          <w:rFonts w:ascii="Verdana" w:hAnsi="Verdana"/>
          <w:sz w:val="20"/>
          <w:szCs w:val="20"/>
          <w:lang w:val="es-ES_tradnl"/>
        </w:rPr>
        <w:t>.</w:t>
      </w:r>
      <w:r w:rsidR="00500B34" w:rsidRPr="009D5EA7">
        <w:rPr>
          <w:rFonts w:ascii="Verdana" w:hAnsi="Verdana"/>
          <w:sz w:val="20"/>
          <w:szCs w:val="20"/>
          <w:lang w:val="es-ES_tradnl"/>
        </w:rPr>
        <w:t xml:space="preserve">  </w:t>
      </w:r>
    </w:p>
    <w:p w14:paraId="68342942" w14:textId="77777777" w:rsidR="00EF6522" w:rsidRPr="009D5EA7" w:rsidRDefault="00EF6522" w:rsidP="00EF6522">
      <w:pPr>
        <w:spacing w:after="0" w:line="240" w:lineRule="auto"/>
        <w:contextualSpacing/>
        <w:jc w:val="both"/>
        <w:rPr>
          <w:rFonts w:ascii="Verdana" w:hAnsi="Verdana"/>
          <w:sz w:val="20"/>
          <w:szCs w:val="20"/>
          <w:lang w:val="es-ES_tradnl"/>
        </w:rPr>
      </w:pPr>
    </w:p>
    <w:p w14:paraId="341FC4D6" w14:textId="0892D342" w:rsidR="00EF6522" w:rsidRPr="009D5EA7" w:rsidRDefault="006060C0" w:rsidP="00EF6522">
      <w:pPr>
        <w:spacing w:after="0" w:line="240" w:lineRule="auto"/>
        <w:contextualSpacing/>
        <w:jc w:val="both"/>
        <w:rPr>
          <w:rFonts w:ascii="Verdana" w:hAnsi="Verdana"/>
          <w:sz w:val="20"/>
          <w:szCs w:val="20"/>
          <w:lang w:val="es-ES_tradnl"/>
        </w:rPr>
      </w:pPr>
      <w:r>
        <w:rPr>
          <w:rFonts w:ascii="Verdana" w:hAnsi="Verdana" w:cs="Verdana"/>
          <w:sz w:val="20"/>
          <w:szCs w:val="20"/>
          <w:lang w:val="es-ES_tradnl"/>
        </w:rPr>
        <w:t>12</w:t>
      </w:r>
      <w:r w:rsidR="00EF6522" w:rsidRPr="009D5EA7">
        <w:rPr>
          <w:rFonts w:ascii="Verdana" w:hAnsi="Verdana" w:cs="Verdana"/>
          <w:sz w:val="20"/>
          <w:szCs w:val="20"/>
          <w:lang w:val="es-ES_tradnl"/>
        </w:rPr>
        <w:t>.</w:t>
      </w:r>
      <w:r w:rsidR="00EF6522" w:rsidRPr="009D5EA7">
        <w:rPr>
          <w:rFonts w:ascii="Verdana" w:hAnsi="Verdana" w:cs="Verdana"/>
          <w:sz w:val="20"/>
          <w:szCs w:val="20"/>
          <w:lang w:val="es-ES_tradnl"/>
        </w:rPr>
        <w:tab/>
        <w:t xml:space="preserve">El Estado </w:t>
      </w:r>
      <w:r w:rsidR="00EF6522" w:rsidRPr="009D5EA7">
        <w:rPr>
          <w:rFonts w:ascii="Verdana" w:hAnsi="Verdana"/>
          <w:sz w:val="20"/>
          <w:szCs w:val="20"/>
          <w:lang w:val="es-ES_tradnl"/>
        </w:rPr>
        <w:t>debe</w:t>
      </w:r>
      <w:r w:rsidR="00EF6522" w:rsidRPr="009D5EA7">
        <w:rPr>
          <w:rFonts w:ascii="Verdana" w:hAnsi="Verdana" w:cs="Verdana"/>
          <w:sz w:val="20"/>
          <w:szCs w:val="20"/>
          <w:lang w:val="es-ES_tradnl"/>
        </w:rPr>
        <w:t xml:space="preserve"> pagar las cantidades fijadas en los párrafos </w:t>
      </w:r>
      <w:r w:rsidR="00F7250D">
        <w:rPr>
          <w:rFonts w:ascii="Verdana" w:hAnsi="Verdana" w:cs="Verdana"/>
          <w:sz w:val="20"/>
          <w:szCs w:val="20"/>
          <w:lang w:val="es-ES_tradnl"/>
        </w:rPr>
        <w:t>234, 235, 239, 242 y 245</w:t>
      </w:r>
      <w:r w:rsidR="00EF6522" w:rsidRPr="009D5EA7">
        <w:rPr>
          <w:rFonts w:ascii="Verdana" w:hAnsi="Verdana" w:cs="Verdana"/>
          <w:sz w:val="20"/>
          <w:szCs w:val="20"/>
          <w:lang w:val="es-ES_tradnl"/>
        </w:rPr>
        <w:t xml:space="preserve"> de la presente Sentencia por concepto de indemnizaciones </w:t>
      </w:r>
      <w:r w:rsidR="00EF6522" w:rsidRPr="009D5EA7">
        <w:rPr>
          <w:rFonts w:ascii="Verdana" w:hAnsi="Verdana"/>
          <w:sz w:val="20"/>
          <w:szCs w:val="20"/>
          <w:lang w:val="es-ES_tradnl"/>
        </w:rPr>
        <w:t>por daños materiales e inmateriales</w:t>
      </w:r>
      <w:r w:rsidR="00EF6522" w:rsidRPr="009D5EA7">
        <w:rPr>
          <w:rFonts w:ascii="Verdana" w:hAnsi="Verdana" w:cs="Verdana"/>
          <w:sz w:val="20"/>
          <w:szCs w:val="20"/>
          <w:lang w:val="es-ES_tradnl"/>
        </w:rPr>
        <w:t xml:space="preserve"> y por el reintegro de costas y gastos y al Fondo de Asistencia Legal</w:t>
      </w:r>
      <w:r w:rsidR="00EF6522" w:rsidRPr="009D5EA7">
        <w:rPr>
          <w:rFonts w:ascii="Verdana" w:hAnsi="Verdana"/>
          <w:sz w:val="20"/>
          <w:szCs w:val="20"/>
          <w:lang w:val="es-ES_tradnl"/>
        </w:rPr>
        <w:t>,</w:t>
      </w:r>
      <w:r w:rsidR="00EF6522" w:rsidRPr="009D5EA7">
        <w:rPr>
          <w:rFonts w:ascii="Verdana" w:hAnsi="Verdana" w:cs="Verdana"/>
          <w:sz w:val="20"/>
          <w:szCs w:val="20"/>
          <w:lang w:val="es-ES_tradnl"/>
        </w:rPr>
        <w:t xml:space="preserve"> en los tér</w:t>
      </w:r>
      <w:r w:rsidR="00D93B58">
        <w:rPr>
          <w:rFonts w:ascii="Verdana" w:hAnsi="Verdana" w:cs="Verdana"/>
          <w:sz w:val="20"/>
          <w:szCs w:val="20"/>
          <w:lang w:val="es-ES_tradnl"/>
        </w:rPr>
        <w:t>minos de los referidos párrafos</w:t>
      </w:r>
      <w:r w:rsidR="00EF6522" w:rsidRPr="009D5EA7">
        <w:rPr>
          <w:rFonts w:ascii="Verdana" w:hAnsi="Verdana" w:cs="Verdana"/>
          <w:sz w:val="20"/>
          <w:szCs w:val="20"/>
          <w:lang w:val="es-ES_tradnl"/>
        </w:rPr>
        <w:t xml:space="preserve"> y de los párrafos </w:t>
      </w:r>
      <w:r w:rsidR="00F7250D">
        <w:rPr>
          <w:rFonts w:ascii="Verdana" w:hAnsi="Verdana" w:cs="Verdana"/>
          <w:sz w:val="20"/>
          <w:szCs w:val="20"/>
          <w:lang w:val="es-ES_tradnl"/>
        </w:rPr>
        <w:t>246 a 251</w:t>
      </w:r>
      <w:r w:rsidR="00EF6522" w:rsidRPr="009D5EA7">
        <w:rPr>
          <w:rFonts w:ascii="Verdana" w:hAnsi="Verdana" w:cs="Verdana"/>
          <w:sz w:val="20"/>
          <w:szCs w:val="20"/>
          <w:lang w:val="es-ES_tradnl"/>
        </w:rPr>
        <w:t xml:space="preserve"> del presente Fallo.  </w:t>
      </w:r>
    </w:p>
    <w:p w14:paraId="3DAE7A55" w14:textId="77777777" w:rsidR="00EF6522" w:rsidRPr="009D5EA7" w:rsidRDefault="00EF6522" w:rsidP="00EF6522">
      <w:pPr>
        <w:spacing w:after="0" w:line="240" w:lineRule="auto"/>
        <w:contextualSpacing/>
        <w:jc w:val="both"/>
        <w:rPr>
          <w:rFonts w:ascii="Verdana" w:hAnsi="Verdana"/>
          <w:sz w:val="20"/>
          <w:szCs w:val="20"/>
          <w:lang w:val="es-ES_tradnl"/>
        </w:rPr>
      </w:pPr>
    </w:p>
    <w:p w14:paraId="6997EDBC" w14:textId="3ADFF129" w:rsidR="00EF6522" w:rsidRPr="009D5EA7" w:rsidRDefault="006060C0" w:rsidP="00EF6522">
      <w:pPr>
        <w:spacing w:after="0" w:line="240" w:lineRule="auto"/>
        <w:contextualSpacing/>
        <w:jc w:val="both"/>
        <w:rPr>
          <w:rFonts w:ascii="Verdana" w:hAnsi="Verdana"/>
          <w:sz w:val="20"/>
          <w:szCs w:val="20"/>
          <w:lang w:val="es-ES_tradnl"/>
        </w:rPr>
      </w:pPr>
      <w:r>
        <w:rPr>
          <w:rFonts w:ascii="Verdana" w:hAnsi="Verdana"/>
          <w:sz w:val="20"/>
          <w:szCs w:val="20"/>
          <w:lang w:val="es-ES_tradnl"/>
        </w:rPr>
        <w:t>13</w:t>
      </w:r>
      <w:r w:rsidR="00EF6522" w:rsidRPr="009D5EA7">
        <w:rPr>
          <w:rFonts w:ascii="Verdana" w:hAnsi="Verdana"/>
          <w:sz w:val="20"/>
          <w:szCs w:val="20"/>
          <w:lang w:val="es-ES_tradnl"/>
        </w:rPr>
        <w:t>.</w:t>
      </w:r>
      <w:r w:rsidR="00EF6522" w:rsidRPr="009D5EA7">
        <w:rPr>
          <w:rFonts w:ascii="Verdana" w:hAnsi="Verdana"/>
          <w:sz w:val="20"/>
          <w:szCs w:val="20"/>
          <w:lang w:val="es-ES_tradnl"/>
        </w:rPr>
        <w:tab/>
        <w:t xml:space="preserve">El Estado debe </w:t>
      </w:r>
      <w:r w:rsidR="00EF6522" w:rsidRPr="009D5EA7">
        <w:rPr>
          <w:rFonts w:ascii="Verdana" w:hAnsi="Verdana" w:cs="Verdana"/>
          <w:sz w:val="20"/>
          <w:szCs w:val="20"/>
          <w:lang w:val="es-ES_tradnl"/>
        </w:rPr>
        <w:t>rendir</w:t>
      </w:r>
      <w:r w:rsidR="00EF6522" w:rsidRPr="009D5EA7">
        <w:rPr>
          <w:rFonts w:ascii="Verdana" w:hAnsi="Verdana"/>
          <w:sz w:val="20"/>
          <w:szCs w:val="20"/>
          <w:lang w:val="es-ES_tradnl"/>
        </w:rPr>
        <w:t xml:space="preserve"> al Tribunal un informe sobre las medidas adoptadas para cumplir con </w:t>
      </w:r>
      <w:r w:rsidR="00EF6522" w:rsidRPr="009D5EA7">
        <w:rPr>
          <w:rFonts w:ascii="Verdana" w:hAnsi="Verdana" w:cs="Verdana"/>
          <w:sz w:val="20"/>
          <w:szCs w:val="20"/>
          <w:lang w:val="es-ES_tradnl"/>
        </w:rPr>
        <w:t>la presente Sentencia</w:t>
      </w:r>
      <w:r w:rsidR="00EF6522" w:rsidRPr="009D5EA7">
        <w:rPr>
          <w:rFonts w:ascii="Verdana" w:hAnsi="Verdana"/>
          <w:sz w:val="20"/>
          <w:szCs w:val="20"/>
          <w:lang w:val="es-ES_tradnl"/>
        </w:rPr>
        <w:t>,</w:t>
      </w:r>
      <w:r w:rsidR="00EF6522" w:rsidRPr="009D5EA7">
        <w:rPr>
          <w:rFonts w:ascii="Verdana" w:hAnsi="Verdana" w:cs="Verdana"/>
          <w:sz w:val="20"/>
          <w:szCs w:val="20"/>
          <w:lang w:val="es-ES_tradnl"/>
        </w:rPr>
        <w:t xml:space="preserve"> dentro del plazo de un año contado a partir de la notificación de </w:t>
      </w:r>
      <w:r w:rsidR="00EF6522" w:rsidRPr="009D5EA7">
        <w:rPr>
          <w:rFonts w:ascii="Verdana" w:hAnsi="Verdana"/>
          <w:sz w:val="20"/>
          <w:szCs w:val="20"/>
          <w:lang w:val="es-ES_tradnl"/>
        </w:rPr>
        <w:t xml:space="preserve">la misma, y además debe presentar un informe, en el plazo de seis meses </w:t>
      </w:r>
      <w:r w:rsidR="00EF6522" w:rsidRPr="009D5EA7">
        <w:rPr>
          <w:rFonts w:ascii="Verdana" w:hAnsi="Verdana" w:cs="Verdana"/>
          <w:sz w:val="20"/>
          <w:szCs w:val="20"/>
          <w:lang w:val="es-ES_tradnl"/>
        </w:rPr>
        <w:t xml:space="preserve">contado a partir de la notificación de </w:t>
      </w:r>
      <w:r w:rsidR="00EF6522" w:rsidRPr="009D5EA7">
        <w:rPr>
          <w:rFonts w:ascii="Verdana" w:hAnsi="Verdana"/>
          <w:sz w:val="20"/>
          <w:szCs w:val="20"/>
          <w:lang w:val="es-ES_tradnl"/>
        </w:rPr>
        <w:t>la misma, en el cual indique –para cada una de las medidas de reparación ordenadas– cuáles son los órganos, instituciones o autoridades estatales encargadas o responsables de implementarlas, que incluya un cronograma de trabajo para su cumplimiento total.</w:t>
      </w:r>
    </w:p>
    <w:p w14:paraId="7A9FD404" w14:textId="77777777" w:rsidR="00EF6522" w:rsidRPr="009D5EA7" w:rsidRDefault="00EF6522" w:rsidP="00EF6522">
      <w:pPr>
        <w:spacing w:after="0" w:line="240" w:lineRule="auto"/>
        <w:contextualSpacing/>
        <w:jc w:val="both"/>
        <w:rPr>
          <w:rFonts w:ascii="Verdana" w:hAnsi="Verdana"/>
          <w:sz w:val="20"/>
          <w:szCs w:val="20"/>
          <w:lang w:val="es-ES_tradnl"/>
        </w:rPr>
      </w:pPr>
    </w:p>
    <w:p w14:paraId="609584C7" w14:textId="34D16BB3" w:rsidR="00EF6522" w:rsidRPr="009D5EA7" w:rsidRDefault="00500B34" w:rsidP="00EF6522">
      <w:pPr>
        <w:spacing w:after="0" w:line="240" w:lineRule="auto"/>
        <w:contextualSpacing/>
        <w:jc w:val="both"/>
        <w:rPr>
          <w:rFonts w:ascii="Verdana" w:hAnsi="Verdana"/>
          <w:sz w:val="20"/>
          <w:szCs w:val="20"/>
          <w:lang w:val="es-ES_tradnl"/>
        </w:rPr>
      </w:pPr>
      <w:r w:rsidRPr="009D5EA7">
        <w:rPr>
          <w:rFonts w:ascii="Verdana" w:hAnsi="Verdana"/>
          <w:sz w:val="20"/>
          <w:szCs w:val="20"/>
          <w:lang w:val="es-ES_tradnl"/>
        </w:rPr>
        <w:t>1</w:t>
      </w:r>
      <w:r w:rsidR="006060C0">
        <w:rPr>
          <w:rFonts w:ascii="Verdana" w:hAnsi="Verdana"/>
          <w:sz w:val="20"/>
          <w:szCs w:val="20"/>
          <w:lang w:val="es-ES_tradnl"/>
        </w:rPr>
        <w:t>4</w:t>
      </w:r>
      <w:r w:rsidR="00EF6522" w:rsidRPr="009D5EA7">
        <w:rPr>
          <w:rFonts w:ascii="Verdana" w:hAnsi="Verdana"/>
          <w:sz w:val="20"/>
          <w:szCs w:val="20"/>
          <w:lang w:val="es-ES_tradnl"/>
        </w:rPr>
        <w:t>.</w:t>
      </w:r>
      <w:r w:rsidR="00EF6522" w:rsidRPr="009D5EA7">
        <w:rPr>
          <w:rFonts w:ascii="Verdana" w:hAnsi="Verdana"/>
          <w:sz w:val="20"/>
          <w:szCs w:val="20"/>
          <w:lang w:val="es-ES_tradnl"/>
        </w:rPr>
        <w:tab/>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2F407D26" w14:textId="77777777" w:rsidR="00F7250D" w:rsidRDefault="00F7250D" w:rsidP="00E77625">
      <w:pPr>
        <w:spacing w:after="0" w:line="240" w:lineRule="auto"/>
        <w:jc w:val="both"/>
        <w:rPr>
          <w:rFonts w:ascii="Verdana" w:hAnsi="Verdana"/>
          <w:sz w:val="20"/>
          <w:szCs w:val="20"/>
          <w:lang w:val="es-ES_tradnl"/>
        </w:rPr>
      </w:pPr>
    </w:p>
    <w:p w14:paraId="30C981A1" w14:textId="77777777" w:rsidR="005D0458" w:rsidRPr="009D5EA7" w:rsidRDefault="005D0458" w:rsidP="00E77625">
      <w:pPr>
        <w:spacing w:after="0" w:line="240" w:lineRule="auto"/>
        <w:jc w:val="both"/>
        <w:rPr>
          <w:rFonts w:ascii="Verdana" w:hAnsi="Verdana"/>
          <w:sz w:val="20"/>
          <w:szCs w:val="20"/>
          <w:lang w:val="es-ES_tradnl"/>
        </w:rPr>
      </w:pPr>
    </w:p>
    <w:p w14:paraId="3D7ECDBD" w14:textId="77777777" w:rsidR="005D0458" w:rsidRDefault="00EF6522" w:rsidP="005D0458">
      <w:pPr>
        <w:spacing w:after="0" w:line="240" w:lineRule="auto"/>
        <w:jc w:val="both"/>
        <w:rPr>
          <w:rFonts w:ascii="Verdana" w:hAnsi="Verdana"/>
          <w:sz w:val="20"/>
          <w:szCs w:val="20"/>
          <w:lang w:val="es-ES_tradnl"/>
        </w:rPr>
      </w:pPr>
      <w:r w:rsidRPr="009D5EA7">
        <w:rPr>
          <w:rFonts w:ascii="Verdana" w:hAnsi="Verdana"/>
          <w:sz w:val="20"/>
          <w:szCs w:val="20"/>
          <w:lang w:val="es-ES_tradnl"/>
        </w:rPr>
        <w:t xml:space="preserve">Redactada en español en </w:t>
      </w:r>
      <w:r w:rsidR="006060C0">
        <w:rPr>
          <w:rFonts w:ascii="Verdana" w:hAnsi="Verdana"/>
          <w:sz w:val="20"/>
          <w:szCs w:val="20"/>
          <w:lang w:val="es-ES_tradnl"/>
        </w:rPr>
        <w:t>Ciudad de Guatemala, Guatemala</w:t>
      </w:r>
      <w:r w:rsidRPr="009D5EA7">
        <w:rPr>
          <w:rFonts w:ascii="Verdana" w:hAnsi="Verdana"/>
          <w:sz w:val="20"/>
          <w:szCs w:val="20"/>
          <w:lang w:val="es-ES_tradnl"/>
        </w:rPr>
        <w:t xml:space="preserve">, </w:t>
      </w:r>
      <w:r w:rsidRPr="006060C0">
        <w:rPr>
          <w:rFonts w:ascii="Verdana" w:hAnsi="Verdana"/>
          <w:sz w:val="20"/>
          <w:szCs w:val="20"/>
          <w:lang w:val="es-ES_tradnl"/>
        </w:rPr>
        <w:t xml:space="preserve">el </w:t>
      </w:r>
      <w:r w:rsidR="0029139A" w:rsidRPr="006060C0">
        <w:rPr>
          <w:rFonts w:ascii="Verdana" w:hAnsi="Verdana"/>
          <w:sz w:val="20"/>
          <w:szCs w:val="20"/>
          <w:lang w:val="es-ES_tradnl"/>
        </w:rPr>
        <w:t>2</w:t>
      </w:r>
      <w:r w:rsidR="006060C0">
        <w:rPr>
          <w:rFonts w:ascii="Verdana" w:hAnsi="Verdana"/>
          <w:sz w:val="20"/>
          <w:szCs w:val="20"/>
          <w:lang w:val="es-ES_tradnl"/>
        </w:rPr>
        <w:t>5</w:t>
      </w:r>
      <w:r w:rsidR="0029139A" w:rsidRPr="006060C0">
        <w:rPr>
          <w:rFonts w:ascii="Verdana" w:hAnsi="Verdana"/>
          <w:sz w:val="20"/>
          <w:szCs w:val="20"/>
          <w:lang w:val="es-ES_tradnl"/>
        </w:rPr>
        <w:t xml:space="preserve"> de marzo</w:t>
      </w:r>
      <w:r w:rsidR="0029139A" w:rsidRPr="009D5EA7">
        <w:rPr>
          <w:rFonts w:ascii="Verdana" w:hAnsi="Verdana"/>
          <w:sz w:val="20"/>
          <w:szCs w:val="20"/>
          <w:lang w:val="es-ES_tradnl"/>
        </w:rPr>
        <w:t xml:space="preserve"> de 2017</w:t>
      </w:r>
      <w:r w:rsidRPr="009D5EA7">
        <w:rPr>
          <w:rFonts w:ascii="Verdana" w:hAnsi="Verdana"/>
          <w:sz w:val="20"/>
          <w:szCs w:val="20"/>
          <w:lang w:val="es-ES_tradnl"/>
        </w:rPr>
        <w:t>.</w:t>
      </w:r>
    </w:p>
    <w:p w14:paraId="16DC3155" w14:textId="44A793BE" w:rsidR="001F60CD" w:rsidRDefault="001F60CD" w:rsidP="005D0458">
      <w:pPr>
        <w:spacing w:after="0" w:line="240" w:lineRule="auto"/>
        <w:jc w:val="both"/>
        <w:rPr>
          <w:rFonts w:ascii="Verdana" w:hAnsi="Verdana"/>
          <w:sz w:val="20"/>
          <w:szCs w:val="20"/>
          <w:lang w:val="es-ES_tradnl"/>
        </w:rPr>
      </w:pPr>
      <w:r>
        <w:rPr>
          <w:rFonts w:ascii="Verdana" w:hAnsi="Verdana"/>
          <w:sz w:val="20"/>
          <w:szCs w:val="20"/>
          <w:lang w:val="es-ES_tradnl"/>
        </w:rPr>
        <w:br w:type="page"/>
      </w:r>
    </w:p>
    <w:p w14:paraId="545941A6" w14:textId="77777777" w:rsidR="00950FB2" w:rsidRPr="009D5EA7" w:rsidRDefault="00950FB2" w:rsidP="00E77625">
      <w:pPr>
        <w:spacing w:after="0" w:line="240" w:lineRule="auto"/>
        <w:jc w:val="both"/>
        <w:rPr>
          <w:rFonts w:ascii="Verdana" w:hAnsi="Verdana"/>
          <w:sz w:val="20"/>
          <w:szCs w:val="20"/>
          <w:lang w:val="es-ES_tradnl"/>
        </w:rPr>
      </w:pPr>
    </w:p>
    <w:p w14:paraId="266071B1" w14:textId="09F586D4" w:rsidR="009B2AC4" w:rsidRPr="009D5EA7" w:rsidRDefault="009B2AC4" w:rsidP="009B2AC4">
      <w:pPr>
        <w:spacing w:after="0" w:line="240" w:lineRule="auto"/>
        <w:jc w:val="both"/>
        <w:rPr>
          <w:rFonts w:ascii="Verdana" w:eastAsia="Times" w:hAnsi="Verdana"/>
          <w:sz w:val="20"/>
          <w:szCs w:val="20"/>
          <w:lang w:val="es-ES_tradnl"/>
        </w:rPr>
      </w:pPr>
      <w:r w:rsidRPr="009D5EA7">
        <w:rPr>
          <w:rFonts w:ascii="Verdana" w:eastAsia="Times" w:hAnsi="Verdana"/>
          <w:sz w:val="20"/>
          <w:szCs w:val="20"/>
          <w:lang w:val="es-ES_tradnl"/>
        </w:rPr>
        <w:t>Sentencia de la Corte Interamericana de Derechos Humanos.  Caso Acosta y otros vs. Nicaragua. Excepciones preliminares, Fondo, Reparaciones y Costas.</w:t>
      </w:r>
    </w:p>
    <w:p w14:paraId="5CF64E45" w14:textId="77777777" w:rsidR="009B2AC4" w:rsidRPr="009D5EA7" w:rsidRDefault="009B2AC4" w:rsidP="009B2AC4">
      <w:pPr>
        <w:spacing w:after="0" w:line="240" w:lineRule="auto"/>
        <w:jc w:val="both"/>
        <w:rPr>
          <w:rFonts w:ascii="Verdana" w:eastAsia="Times" w:hAnsi="Verdana"/>
          <w:sz w:val="20"/>
          <w:szCs w:val="20"/>
          <w:lang w:val="es-ES_tradnl"/>
        </w:rPr>
      </w:pPr>
    </w:p>
    <w:p w14:paraId="70258508" w14:textId="77777777" w:rsidR="009B2AC4" w:rsidRPr="009D5EA7" w:rsidRDefault="009B2AC4" w:rsidP="009B2AC4">
      <w:pPr>
        <w:spacing w:after="0" w:line="240" w:lineRule="auto"/>
        <w:jc w:val="both"/>
        <w:rPr>
          <w:rFonts w:ascii="Verdana" w:eastAsia="Times" w:hAnsi="Verdana"/>
          <w:sz w:val="20"/>
          <w:szCs w:val="20"/>
          <w:lang w:val="es-ES_tradnl"/>
        </w:rPr>
      </w:pPr>
    </w:p>
    <w:p w14:paraId="6A6D672F" w14:textId="77777777" w:rsidR="009B2AC4" w:rsidRPr="009D5EA7" w:rsidRDefault="009B2AC4" w:rsidP="009B2AC4">
      <w:pPr>
        <w:spacing w:after="0" w:line="240" w:lineRule="auto"/>
        <w:jc w:val="both"/>
        <w:rPr>
          <w:rFonts w:ascii="Verdana" w:hAnsi="Verdana"/>
          <w:sz w:val="20"/>
          <w:szCs w:val="20"/>
          <w:lang w:val="es-ES_tradnl"/>
        </w:rPr>
      </w:pPr>
    </w:p>
    <w:p w14:paraId="021C69D8" w14:textId="77777777" w:rsidR="009B2AC4" w:rsidRPr="009D5EA7" w:rsidRDefault="009B2AC4" w:rsidP="009B2AC4">
      <w:pPr>
        <w:spacing w:after="0" w:line="240" w:lineRule="auto"/>
        <w:jc w:val="both"/>
        <w:rPr>
          <w:rFonts w:ascii="Verdana" w:hAnsi="Verdana"/>
          <w:sz w:val="20"/>
          <w:szCs w:val="20"/>
          <w:lang w:val="es-ES_tradnl"/>
        </w:rPr>
      </w:pPr>
    </w:p>
    <w:p w14:paraId="171528F0" w14:textId="77777777" w:rsidR="009B2AC4" w:rsidRPr="009D5EA7" w:rsidRDefault="009B2AC4" w:rsidP="009B2AC4">
      <w:pPr>
        <w:spacing w:after="0" w:line="240" w:lineRule="auto"/>
        <w:jc w:val="both"/>
        <w:rPr>
          <w:rFonts w:ascii="Verdana" w:hAnsi="Verdana"/>
          <w:sz w:val="20"/>
          <w:szCs w:val="20"/>
          <w:lang w:val="es-ES_tradnl"/>
        </w:rPr>
      </w:pPr>
    </w:p>
    <w:p w14:paraId="21D02BC6" w14:textId="77777777" w:rsidR="009B2AC4" w:rsidRPr="009D5EA7" w:rsidRDefault="009B2AC4" w:rsidP="009B2AC4">
      <w:pPr>
        <w:spacing w:after="0" w:line="240" w:lineRule="auto"/>
        <w:jc w:val="center"/>
        <w:rPr>
          <w:rFonts w:ascii="Verdana" w:hAnsi="Verdana"/>
          <w:sz w:val="20"/>
          <w:szCs w:val="20"/>
          <w:lang w:val="es-ES_tradnl"/>
        </w:rPr>
      </w:pPr>
      <w:r w:rsidRPr="009D5EA7">
        <w:rPr>
          <w:rFonts w:ascii="Verdana" w:hAnsi="Verdana"/>
          <w:sz w:val="20"/>
          <w:szCs w:val="20"/>
          <w:lang w:val="es-ES_tradnl"/>
        </w:rPr>
        <w:t>Roberto F. Caldas</w:t>
      </w:r>
    </w:p>
    <w:p w14:paraId="4A2C1855" w14:textId="77777777" w:rsidR="009B2AC4" w:rsidRPr="009D5EA7" w:rsidRDefault="009B2AC4" w:rsidP="009B2AC4">
      <w:pPr>
        <w:spacing w:after="0" w:line="240" w:lineRule="auto"/>
        <w:jc w:val="center"/>
        <w:rPr>
          <w:rFonts w:ascii="Verdana" w:hAnsi="Verdana"/>
          <w:sz w:val="20"/>
          <w:szCs w:val="20"/>
          <w:lang w:val="es-ES_tradnl"/>
        </w:rPr>
      </w:pPr>
      <w:r w:rsidRPr="009D5EA7">
        <w:rPr>
          <w:rFonts w:ascii="Verdana" w:hAnsi="Verdana"/>
          <w:sz w:val="20"/>
          <w:szCs w:val="20"/>
          <w:lang w:val="es-ES_tradnl"/>
        </w:rPr>
        <w:t>Presidente</w:t>
      </w:r>
    </w:p>
    <w:p w14:paraId="18AE40B6" w14:textId="77777777" w:rsidR="009B2AC4" w:rsidRPr="009D5EA7" w:rsidRDefault="009B2AC4" w:rsidP="009B2AC4">
      <w:pPr>
        <w:spacing w:after="0" w:line="240" w:lineRule="auto"/>
        <w:jc w:val="both"/>
        <w:rPr>
          <w:rFonts w:ascii="Verdana" w:hAnsi="Verdana"/>
          <w:sz w:val="20"/>
          <w:szCs w:val="20"/>
          <w:lang w:val="es-ES_tradnl"/>
        </w:rPr>
      </w:pPr>
    </w:p>
    <w:p w14:paraId="6FF532B2" w14:textId="77777777" w:rsidR="009B2AC4" w:rsidRPr="009D5EA7" w:rsidRDefault="009B2AC4" w:rsidP="009B2AC4">
      <w:pPr>
        <w:spacing w:after="0" w:line="240" w:lineRule="auto"/>
        <w:jc w:val="both"/>
        <w:rPr>
          <w:rFonts w:ascii="Verdana" w:hAnsi="Verdana"/>
          <w:sz w:val="20"/>
          <w:szCs w:val="20"/>
          <w:lang w:val="es-ES_tradnl"/>
        </w:rPr>
      </w:pPr>
    </w:p>
    <w:p w14:paraId="2CA6D9CA" w14:textId="77777777" w:rsidR="009B2AC4" w:rsidRPr="009D5EA7" w:rsidRDefault="009B2AC4" w:rsidP="009B2AC4">
      <w:pPr>
        <w:spacing w:after="0" w:line="240" w:lineRule="auto"/>
        <w:jc w:val="both"/>
        <w:rPr>
          <w:rFonts w:ascii="Verdana" w:hAnsi="Verdana"/>
          <w:sz w:val="20"/>
          <w:szCs w:val="20"/>
          <w:lang w:val="es-ES_tradnl"/>
        </w:rPr>
      </w:pPr>
    </w:p>
    <w:p w14:paraId="17FDEF6E" w14:textId="77777777" w:rsidR="009B2AC4" w:rsidRPr="009D5EA7" w:rsidRDefault="009B2AC4" w:rsidP="009B2AC4">
      <w:pPr>
        <w:spacing w:after="0" w:line="240" w:lineRule="auto"/>
        <w:jc w:val="both"/>
        <w:rPr>
          <w:rFonts w:ascii="Verdana" w:hAnsi="Verdana"/>
          <w:sz w:val="20"/>
          <w:szCs w:val="20"/>
          <w:lang w:val="es-ES_tradnl"/>
        </w:rPr>
      </w:pPr>
    </w:p>
    <w:p w14:paraId="03D708A9" w14:textId="77777777" w:rsidR="009B2AC4" w:rsidRPr="009D5EA7" w:rsidRDefault="009B2AC4" w:rsidP="009B2AC4">
      <w:pPr>
        <w:spacing w:after="0" w:line="240" w:lineRule="auto"/>
        <w:jc w:val="both"/>
        <w:rPr>
          <w:rFonts w:ascii="Verdana" w:hAnsi="Verdana"/>
          <w:sz w:val="20"/>
          <w:szCs w:val="20"/>
          <w:lang w:val="es-ES_tradnl"/>
        </w:rPr>
      </w:pPr>
    </w:p>
    <w:p w14:paraId="6B73E99F" w14:textId="77777777" w:rsidR="009B2AC4" w:rsidRPr="009D5EA7" w:rsidRDefault="009B2AC4" w:rsidP="009B2AC4">
      <w:pPr>
        <w:spacing w:after="0" w:line="240" w:lineRule="auto"/>
        <w:jc w:val="both"/>
        <w:rPr>
          <w:rFonts w:ascii="Verdana" w:hAnsi="Verdana"/>
          <w:sz w:val="20"/>
          <w:szCs w:val="20"/>
          <w:lang w:val="es-ES_tradnl"/>
        </w:rPr>
      </w:pPr>
      <w:r w:rsidRPr="009D5EA7">
        <w:rPr>
          <w:rFonts w:ascii="Verdana" w:hAnsi="Verdana"/>
          <w:sz w:val="20"/>
          <w:szCs w:val="20"/>
          <w:lang w:val="es-ES_tradnl"/>
        </w:rPr>
        <w:t>Eduardo Ferrer Mac-Gregor Poisot</w:t>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t xml:space="preserve">     Eduardo Vio Grossi </w:t>
      </w:r>
    </w:p>
    <w:p w14:paraId="58D67BBC" w14:textId="77777777" w:rsidR="009B2AC4" w:rsidRPr="009D5EA7" w:rsidRDefault="009B2AC4" w:rsidP="009B2AC4">
      <w:pPr>
        <w:spacing w:after="0" w:line="240" w:lineRule="auto"/>
        <w:jc w:val="both"/>
        <w:rPr>
          <w:rFonts w:ascii="Verdana" w:hAnsi="Verdana"/>
          <w:sz w:val="20"/>
          <w:szCs w:val="20"/>
          <w:lang w:val="es-ES_tradnl"/>
        </w:rPr>
      </w:pPr>
    </w:p>
    <w:p w14:paraId="3755C89E" w14:textId="77777777" w:rsidR="009B2AC4" w:rsidRPr="009D5EA7" w:rsidRDefault="009B2AC4" w:rsidP="009B2AC4">
      <w:pPr>
        <w:spacing w:after="0" w:line="240" w:lineRule="auto"/>
        <w:jc w:val="both"/>
        <w:rPr>
          <w:rFonts w:ascii="Verdana" w:hAnsi="Verdana"/>
          <w:sz w:val="20"/>
          <w:szCs w:val="20"/>
          <w:lang w:val="es-ES_tradnl"/>
        </w:rPr>
      </w:pPr>
    </w:p>
    <w:p w14:paraId="70FE2FC2" w14:textId="77777777" w:rsidR="009B2AC4" w:rsidRPr="009D5EA7" w:rsidRDefault="009B2AC4" w:rsidP="009B2AC4">
      <w:pPr>
        <w:spacing w:after="0" w:line="240" w:lineRule="auto"/>
        <w:jc w:val="both"/>
        <w:rPr>
          <w:rFonts w:ascii="Verdana" w:hAnsi="Verdana"/>
          <w:sz w:val="20"/>
          <w:szCs w:val="20"/>
          <w:lang w:val="es-ES_tradnl"/>
        </w:rPr>
      </w:pPr>
    </w:p>
    <w:p w14:paraId="627B27ED" w14:textId="77777777" w:rsidR="009B2AC4" w:rsidRPr="009D5EA7" w:rsidRDefault="009B2AC4" w:rsidP="009B2AC4">
      <w:pPr>
        <w:spacing w:after="0" w:line="240" w:lineRule="auto"/>
        <w:jc w:val="both"/>
        <w:rPr>
          <w:rFonts w:ascii="Verdana" w:hAnsi="Verdana"/>
          <w:sz w:val="20"/>
          <w:szCs w:val="20"/>
          <w:lang w:val="es-ES_tradnl"/>
        </w:rPr>
      </w:pPr>
    </w:p>
    <w:p w14:paraId="29B79214" w14:textId="77777777" w:rsidR="009B2AC4" w:rsidRPr="009D5EA7" w:rsidRDefault="009B2AC4" w:rsidP="009B2AC4">
      <w:pPr>
        <w:spacing w:after="0" w:line="240" w:lineRule="auto"/>
        <w:jc w:val="both"/>
        <w:rPr>
          <w:rFonts w:ascii="Verdana" w:hAnsi="Verdana"/>
          <w:sz w:val="20"/>
          <w:szCs w:val="20"/>
          <w:lang w:val="es-ES_tradnl"/>
        </w:rPr>
      </w:pPr>
    </w:p>
    <w:p w14:paraId="026BE116" w14:textId="77777777" w:rsidR="009B2AC4" w:rsidRPr="009D5EA7" w:rsidRDefault="009B2AC4" w:rsidP="009B2AC4">
      <w:pPr>
        <w:spacing w:after="0" w:line="240" w:lineRule="auto"/>
        <w:jc w:val="both"/>
        <w:rPr>
          <w:rFonts w:ascii="Verdana" w:hAnsi="Verdana"/>
          <w:sz w:val="20"/>
          <w:szCs w:val="20"/>
          <w:lang w:val="es-ES_tradnl"/>
        </w:rPr>
      </w:pPr>
      <w:r w:rsidRPr="009D5EA7">
        <w:rPr>
          <w:rFonts w:ascii="Verdana" w:hAnsi="Verdana"/>
          <w:sz w:val="20"/>
          <w:szCs w:val="20"/>
          <w:lang w:val="es-ES_tradnl"/>
        </w:rPr>
        <w:t>Humberto A. Sierra Porto</w:t>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t xml:space="preserve"> Elizabeth Odio Benito</w:t>
      </w:r>
    </w:p>
    <w:p w14:paraId="7FA6B7F8" w14:textId="77777777" w:rsidR="009B2AC4" w:rsidRPr="009D5EA7" w:rsidRDefault="009B2AC4" w:rsidP="009B2AC4">
      <w:pPr>
        <w:spacing w:after="0" w:line="240" w:lineRule="auto"/>
        <w:jc w:val="both"/>
        <w:rPr>
          <w:rFonts w:ascii="Verdana" w:hAnsi="Verdana"/>
          <w:sz w:val="20"/>
          <w:szCs w:val="20"/>
          <w:lang w:val="es-ES_tradnl"/>
        </w:rPr>
      </w:pPr>
    </w:p>
    <w:p w14:paraId="39ECA107" w14:textId="77777777" w:rsidR="009B2AC4" w:rsidRPr="009D5EA7" w:rsidRDefault="009B2AC4" w:rsidP="009B2AC4">
      <w:pPr>
        <w:spacing w:after="0" w:line="240" w:lineRule="auto"/>
        <w:jc w:val="both"/>
        <w:rPr>
          <w:rFonts w:ascii="Verdana" w:hAnsi="Verdana"/>
          <w:sz w:val="20"/>
          <w:szCs w:val="20"/>
          <w:lang w:val="es-ES_tradnl"/>
        </w:rPr>
      </w:pPr>
    </w:p>
    <w:p w14:paraId="45EA64BB" w14:textId="77777777" w:rsidR="009B2AC4" w:rsidRPr="009D5EA7" w:rsidRDefault="009B2AC4" w:rsidP="009B2AC4">
      <w:pPr>
        <w:spacing w:after="0" w:line="240" w:lineRule="auto"/>
        <w:jc w:val="both"/>
        <w:rPr>
          <w:rFonts w:ascii="Verdana" w:hAnsi="Verdana"/>
          <w:sz w:val="20"/>
          <w:szCs w:val="20"/>
          <w:lang w:val="es-ES_tradnl"/>
        </w:rPr>
      </w:pPr>
    </w:p>
    <w:p w14:paraId="4C2735F2" w14:textId="77777777" w:rsidR="009B2AC4" w:rsidRPr="009D5EA7" w:rsidRDefault="009B2AC4" w:rsidP="009B2AC4">
      <w:pPr>
        <w:spacing w:after="0" w:line="240" w:lineRule="auto"/>
        <w:jc w:val="both"/>
        <w:rPr>
          <w:rFonts w:ascii="Verdana" w:hAnsi="Verdana"/>
          <w:sz w:val="20"/>
          <w:szCs w:val="20"/>
          <w:lang w:val="es-ES_tradnl"/>
        </w:rPr>
      </w:pPr>
    </w:p>
    <w:p w14:paraId="174D60DB" w14:textId="77777777" w:rsidR="009B2AC4" w:rsidRPr="009D5EA7" w:rsidRDefault="009B2AC4" w:rsidP="009B2AC4">
      <w:pPr>
        <w:spacing w:after="0" w:line="240" w:lineRule="auto"/>
        <w:jc w:val="both"/>
        <w:rPr>
          <w:rFonts w:ascii="Verdana" w:hAnsi="Verdana"/>
          <w:sz w:val="20"/>
          <w:szCs w:val="20"/>
          <w:lang w:val="es-ES_tradnl"/>
        </w:rPr>
      </w:pPr>
    </w:p>
    <w:p w14:paraId="0E89602B" w14:textId="77777777" w:rsidR="009B2AC4" w:rsidRPr="009D5EA7" w:rsidRDefault="009B2AC4" w:rsidP="009B2AC4">
      <w:pPr>
        <w:spacing w:after="0" w:line="240" w:lineRule="auto"/>
        <w:jc w:val="both"/>
        <w:rPr>
          <w:rFonts w:ascii="Verdana" w:hAnsi="Verdana"/>
          <w:sz w:val="20"/>
          <w:szCs w:val="20"/>
          <w:lang w:val="es-ES_tradnl"/>
        </w:rPr>
      </w:pPr>
      <w:r w:rsidRPr="009D5EA7">
        <w:rPr>
          <w:rFonts w:ascii="Verdana" w:hAnsi="Verdana"/>
          <w:sz w:val="20"/>
          <w:szCs w:val="20"/>
          <w:lang w:val="es-ES_tradnl"/>
        </w:rPr>
        <w:t>Eugenio Raúl Zaffaroni</w:t>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r>
      <w:r w:rsidRPr="009D5EA7">
        <w:rPr>
          <w:rFonts w:ascii="Verdana" w:hAnsi="Verdana"/>
          <w:sz w:val="20"/>
          <w:szCs w:val="20"/>
          <w:lang w:val="es-ES_tradnl"/>
        </w:rPr>
        <w:tab/>
        <w:t xml:space="preserve">      L. Patricio Pazmiño Freire</w:t>
      </w:r>
    </w:p>
    <w:p w14:paraId="473B0459" w14:textId="77777777" w:rsidR="009B2AC4" w:rsidRPr="009D5EA7" w:rsidRDefault="009B2AC4" w:rsidP="009B2AC4">
      <w:pPr>
        <w:spacing w:after="0" w:line="240" w:lineRule="auto"/>
        <w:jc w:val="both"/>
        <w:rPr>
          <w:rFonts w:ascii="Verdana" w:hAnsi="Verdana"/>
          <w:sz w:val="20"/>
          <w:szCs w:val="20"/>
          <w:lang w:val="es-ES_tradnl"/>
        </w:rPr>
      </w:pPr>
    </w:p>
    <w:p w14:paraId="3E22A30C" w14:textId="77777777" w:rsidR="009B2AC4" w:rsidRPr="009D5EA7" w:rsidRDefault="009B2AC4" w:rsidP="009B2AC4">
      <w:pPr>
        <w:spacing w:after="0" w:line="240" w:lineRule="auto"/>
        <w:jc w:val="both"/>
        <w:rPr>
          <w:rFonts w:ascii="Verdana" w:hAnsi="Verdana"/>
          <w:sz w:val="20"/>
          <w:szCs w:val="20"/>
          <w:lang w:val="es-ES_tradnl"/>
        </w:rPr>
      </w:pPr>
    </w:p>
    <w:p w14:paraId="51D5DF98" w14:textId="77777777" w:rsidR="009B2AC4" w:rsidRPr="009D5EA7" w:rsidRDefault="009B2AC4" w:rsidP="009B2AC4">
      <w:pPr>
        <w:spacing w:after="0" w:line="240" w:lineRule="auto"/>
        <w:jc w:val="both"/>
        <w:rPr>
          <w:rFonts w:ascii="Verdana" w:hAnsi="Verdana"/>
          <w:sz w:val="20"/>
          <w:szCs w:val="20"/>
          <w:lang w:val="es-ES_tradnl"/>
        </w:rPr>
      </w:pPr>
    </w:p>
    <w:p w14:paraId="1D0E8E98" w14:textId="77777777" w:rsidR="00950FB2" w:rsidRPr="009D5EA7" w:rsidRDefault="00950FB2" w:rsidP="009B2AC4">
      <w:pPr>
        <w:spacing w:after="0" w:line="240" w:lineRule="auto"/>
        <w:jc w:val="both"/>
        <w:rPr>
          <w:rFonts w:ascii="Verdana" w:hAnsi="Verdana"/>
          <w:sz w:val="20"/>
          <w:szCs w:val="20"/>
          <w:lang w:val="es-ES_tradnl"/>
        </w:rPr>
      </w:pPr>
    </w:p>
    <w:p w14:paraId="14EFBB10" w14:textId="77777777" w:rsidR="009B2AC4" w:rsidRPr="009D5EA7" w:rsidRDefault="009B2AC4" w:rsidP="009B2AC4">
      <w:pPr>
        <w:spacing w:after="0" w:line="240" w:lineRule="auto"/>
        <w:jc w:val="both"/>
        <w:rPr>
          <w:rFonts w:ascii="Verdana" w:hAnsi="Verdana"/>
          <w:sz w:val="20"/>
          <w:szCs w:val="20"/>
          <w:lang w:val="es-ES_tradnl"/>
        </w:rPr>
      </w:pPr>
    </w:p>
    <w:p w14:paraId="4BE81D6B" w14:textId="77777777" w:rsidR="009B2AC4" w:rsidRPr="009D5EA7" w:rsidRDefault="009B2AC4" w:rsidP="009B2AC4">
      <w:pPr>
        <w:spacing w:after="0" w:line="240" w:lineRule="auto"/>
        <w:jc w:val="center"/>
        <w:rPr>
          <w:rFonts w:ascii="Verdana" w:hAnsi="Verdana"/>
          <w:sz w:val="20"/>
          <w:szCs w:val="20"/>
          <w:lang w:val="es-ES_tradnl"/>
        </w:rPr>
      </w:pPr>
      <w:r w:rsidRPr="009D5EA7">
        <w:rPr>
          <w:rFonts w:ascii="Verdana" w:hAnsi="Verdana"/>
          <w:sz w:val="20"/>
          <w:szCs w:val="20"/>
          <w:lang w:val="es-ES_tradnl"/>
        </w:rPr>
        <w:t>Pablo Saavedra Alessandri</w:t>
      </w:r>
    </w:p>
    <w:p w14:paraId="22BD6C16" w14:textId="77777777" w:rsidR="009B2AC4" w:rsidRPr="009D5EA7" w:rsidRDefault="009B2AC4" w:rsidP="009B2AC4">
      <w:pPr>
        <w:spacing w:after="0" w:line="240" w:lineRule="auto"/>
        <w:jc w:val="center"/>
        <w:rPr>
          <w:rFonts w:ascii="Verdana" w:hAnsi="Verdana"/>
          <w:sz w:val="20"/>
          <w:szCs w:val="20"/>
          <w:lang w:val="es-ES_tradnl"/>
        </w:rPr>
      </w:pPr>
      <w:r w:rsidRPr="009D5EA7">
        <w:rPr>
          <w:rFonts w:ascii="Verdana" w:hAnsi="Verdana"/>
          <w:sz w:val="20"/>
          <w:szCs w:val="20"/>
          <w:lang w:val="es-ES_tradnl"/>
        </w:rPr>
        <w:t>Secretario</w:t>
      </w:r>
    </w:p>
    <w:p w14:paraId="57E85624" w14:textId="77777777" w:rsidR="009B2AC4" w:rsidRPr="009D5EA7" w:rsidRDefault="009B2AC4" w:rsidP="009B2AC4">
      <w:pPr>
        <w:spacing w:after="0" w:line="240" w:lineRule="auto"/>
        <w:jc w:val="both"/>
        <w:rPr>
          <w:rFonts w:ascii="Verdana" w:hAnsi="Verdana"/>
          <w:sz w:val="20"/>
          <w:szCs w:val="20"/>
          <w:lang w:val="es-ES_tradnl"/>
        </w:rPr>
      </w:pPr>
    </w:p>
    <w:p w14:paraId="073D8E3B" w14:textId="77777777" w:rsidR="009B2AC4" w:rsidRPr="009D5EA7" w:rsidRDefault="009B2AC4" w:rsidP="009B2AC4">
      <w:pPr>
        <w:pStyle w:val="Textonotapie"/>
        <w:jc w:val="both"/>
        <w:rPr>
          <w:rFonts w:ascii="Verdana" w:hAnsi="Verdana"/>
          <w:lang w:val="es-ES_tradnl"/>
        </w:rPr>
      </w:pPr>
    </w:p>
    <w:p w14:paraId="5F86172B" w14:textId="77777777" w:rsidR="009B2AC4" w:rsidRPr="009D5EA7" w:rsidRDefault="009B2AC4" w:rsidP="009B2AC4">
      <w:pPr>
        <w:pStyle w:val="Textonotapie"/>
        <w:jc w:val="both"/>
        <w:rPr>
          <w:rFonts w:ascii="Verdana" w:hAnsi="Verdana"/>
          <w:lang w:val="es-ES_tradnl"/>
        </w:rPr>
      </w:pPr>
    </w:p>
    <w:p w14:paraId="3633AD21" w14:textId="77777777" w:rsidR="009B2AC4" w:rsidRPr="009D5EA7" w:rsidRDefault="009B2AC4" w:rsidP="009B2AC4">
      <w:pPr>
        <w:pStyle w:val="Textonotapie"/>
        <w:jc w:val="both"/>
        <w:rPr>
          <w:rFonts w:ascii="Verdana" w:hAnsi="Verdana"/>
          <w:lang w:val="es-ES_tradnl"/>
        </w:rPr>
      </w:pPr>
    </w:p>
    <w:p w14:paraId="7785A307" w14:textId="77777777" w:rsidR="009B2AC4" w:rsidRPr="009D5EA7" w:rsidRDefault="009B2AC4" w:rsidP="009B2AC4">
      <w:pPr>
        <w:spacing w:after="0" w:line="240" w:lineRule="auto"/>
        <w:jc w:val="both"/>
        <w:rPr>
          <w:rFonts w:ascii="Verdana" w:hAnsi="Verdana"/>
          <w:sz w:val="20"/>
          <w:szCs w:val="20"/>
          <w:lang w:val="es-ES_tradnl"/>
        </w:rPr>
      </w:pPr>
      <w:r w:rsidRPr="009D5EA7">
        <w:rPr>
          <w:rFonts w:ascii="Verdana" w:hAnsi="Verdana"/>
          <w:sz w:val="20"/>
          <w:szCs w:val="20"/>
          <w:lang w:val="es-ES_tradnl"/>
        </w:rPr>
        <w:t>Comuníquese y ejecútese,</w:t>
      </w:r>
    </w:p>
    <w:p w14:paraId="5CCC2DCA" w14:textId="77777777" w:rsidR="009B2AC4" w:rsidRPr="009D5EA7" w:rsidRDefault="009B2AC4" w:rsidP="009B2AC4">
      <w:pPr>
        <w:spacing w:after="0" w:line="240" w:lineRule="auto"/>
        <w:jc w:val="both"/>
        <w:rPr>
          <w:rFonts w:ascii="Verdana" w:hAnsi="Verdana"/>
          <w:sz w:val="20"/>
          <w:szCs w:val="20"/>
          <w:lang w:val="es-ES_tradnl"/>
        </w:rPr>
      </w:pPr>
    </w:p>
    <w:p w14:paraId="20058E1A" w14:textId="77777777" w:rsidR="009B2AC4" w:rsidRPr="009D5EA7" w:rsidRDefault="009B2AC4" w:rsidP="009B2AC4">
      <w:pPr>
        <w:spacing w:after="0" w:line="240" w:lineRule="auto"/>
        <w:jc w:val="both"/>
        <w:rPr>
          <w:rFonts w:ascii="Verdana" w:hAnsi="Verdana"/>
          <w:sz w:val="20"/>
          <w:szCs w:val="20"/>
          <w:lang w:val="es-ES_tradnl"/>
        </w:rPr>
      </w:pPr>
    </w:p>
    <w:p w14:paraId="10294E9E" w14:textId="77777777" w:rsidR="009B2AC4" w:rsidRPr="009D5EA7" w:rsidRDefault="009B2AC4" w:rsidP="009B2AC4">
      <w:pPr>
        <w:spacing w:after="0" w:line="240" w:lineRule="auto"/>
        <w:ind w:left="6372" w:firstLine="708"/>
        <w:jc w:val="both"/>
        <w:rPr>
          <w:rFonts w:ascii="Verdana" w:hAnsi="Verdana"/>
          <w:sz w:val="20"/>
          <w:szCs w:val="20"/>
          <w:lang w:val="es-ES_tradnl"/>
        </w:rPr>
      </w:pPr>
      <w:r w:rsidRPr="009D5EA7">
        <w:rPr>
          <w:rFonts w:ascii="Verdana" w:hAnsi="Verdana"/>
          <w:sz w:val="20"/>
          <w:szCs w:val="20"/>
          <w:lang w:val="es-ES_tradnl"/>
        </w:rPr>
        <w:t>Roberto F. Caldas</w:t>
      </w:r>
    </w:p>
    <w:p w14:paraId="1BB9CEB4" w14:textId="77777777" w:rsidR="009B2AC4" w:rsidRPr="009D5EA7" w:rsidRDefault="009B2AC4" w:rsidP="009B2AC4">
      <w:pPr>
        <w:spacing w:after="0" w:line="240" w:lineRule="auto"/>
        <w:ind w:left="5760" w:firstLine="720"/>
        <w:jc w:val="both"/>
        <w:rPr>
          <w:rFonts w:ascii="Verdana" w:hAnsi="Verdana"/>
          <w:sz w:val="20"/>
          <w:szCs w:val="20"/>
          <w:lang w:val="es-ES_tradnl"/>
        </w:rPr>
      </w:pPr>
      <w:r w:rsidRPr="009D5EA7">
        <w:rPr>
          <w:rFonts w:ascii="Verdana" w:hAnsi="Verdana"/>
          <w:sz w:val="20"/>
          <w:szCs w:val="20"/>
          <w:lang w:val="es-ES_tradnl"/>
        </w:rPr>
        <w:t xml:space="preserve">           Presidente</w:t>
      </w:r>
    </w:p>
    <w:p w14:paraId="423B97EC" w14:textId="77777777" w:rsidR="009B2AC4" w:rsidRPr="009D5EA7" w:rsidRDefault="009B2AC4" w:rsidP="009B2AC4">
      <w:pPr>
        <w:spacing w:after="0" w:line="240" w:lineRule="auto"/>
        <w:ind w:left="5040" w:firstLine="720"/>
        <w:jc w:val="both"/>
        <w:rPr>
          <w:rFonts w:ascii="Verdana" w:hAnsi="Verdana"/>
          <w:sz w:val="20"/>
          <w:szCs w:val="20"/>
          <w:lang w:val="es-ES_tradnl"/>
        </w:rPr>
      </w:pPr>
    </w:p>
    <w:p w14:paraId="03400BFC" w14:textId="77777777" w:rsidR="009B2AC4" w:rsidRPr="009D5EA7" w:rsidRDefault="009B2AC4" w:rsidP="009B2AC4">
      <w:pPr>
        <w:spacing w:after="0" w:line="240" w:lineRule="auto"/>
        <w:jc w:val="both"/>
        <w:rPr>
          <w:rFonts w:ascii="Verdana" w:hAnsi="Verdana"/>
          <w:sz w:val="20"/>
          <w:szCs w:val="20"/>
          <w:lang w:val="es-ES_tradnl"/>
        </w:rPr>
      </w:pPr>
    </w:p>
    <w:p w14:paraId="4B186E74" w14:textId="77777777" w:rsidR="009B2AC4" w:rsidRPr="009D5EA7" w:rsidRDefault="009B2AC4" w:rsidP="009B2AC4">
      <w:pPr>
        <w:spacing w:after="0" w:line="240" w:lineRule="auto"/>
        <w:jc w:val="both"/>
        <w:rPr>
          <w:rFonts w:ascii="Verdana" w:hAnsi="Verdana"/>
          <w:sz w:val="20"/>
          <w:szCs w:val="20"/>
          <w:lang w:val="es-ES_tradnl"/>
        </w:rPr>
      </w:pPr>
    </w:p>
    <w:p w14:paraId="035242EB" w14:textId="77777777" w:rsidR="009B2AC4" w:rsidRPr="009D5EA7" w:rsidRDefault="009B2AC4" w:rsidP="009B2AC4">
      <w:pPr>
        <w:spacing w:after="0" w:line="240" w:lineRule="auto"/>
        <w:jc w:val="both"/>
        <w:rPr>
          <w:rFonts w:ascii="Verdana" w:hAnsi="Verdana"/>
          <w:sz w:val="20"/>
          <w:szCs w:val="20"/>
          <w:lang w:val="es-ES_tradnl"/>
        </w:rPr>
      </w:pPr>
      <w:r w:rsidRPr="009D5EA7">
        <w:rPr>
          <w:rFonts w:ascii="Verdana" w:hAnsi="Verdana"/>
          <w:sz w:val="20"/>
          <w:szCs w:val="20"/>
          <w:lang w:val="es-ES_tradnl"/>
        </w:rPr>
        <w:t>Pablo Saavedra Alessandri</w:t>
      </w:r>
    </w:p>
    <w:p w14:paraId="05DDF5A2" w14:textId="77777777" w:rsidR="009B2AC4" w:rsidRPr="009D5EA7" w:rsidRDefault="009B2AC4" w:rsidP="009B2AC4">
      <w:pPr>
        <w:spacing w:after="0" w:line="240" w:lineRule="auto"/>
        <w:jc w:val="both"/>
        <w:rPr>
          <w:rFonts w:ascii="Verdana" w:hAnsi="Verdana"/>
          <w:sz w:val="20"/>
          <w:szCs w:val="20"/>
          <w:lang w:val="es-ES_tradnl"/>
        </w:rPr>
      </w:pPr>
      <w:r w:rsidRPr="009D5EA7">
        <w:rPr>
          <w:rFonts w:ascii="Verdana" w:hAnsi="Verdana"/>
          <w:sz w:val="20"/>
          <w:szCs w:val="20"/>
          <w:lang w:val="es-ES_tradnl"/>
        </w:rPr>
        <w:tab/>
        <w:t>Secretario</w:t>
      </w:r>
    </w:p>
    <w:p w14:paraId="2738B7DF" w14:textId="77777777" w:rsidR="00B32435" w:rsidRPr="009D5EA7" w:rsidRDefault="00B32435" w:rsidP="00E77625">
      <w:pPr>
        <w:spacing w:after="0" w:line="240" w:lineRule="auto"/>
        <w:jc w:val="both"/>
        <w:rPr>
          <w:rFonts w:ascii="Verdana" w:eastAsia="Times" w:hAnsi="Verdana"/>
          <w:sz w:val="20"/>
          <w:szCs w:val="20"/>
          <w:lang w:val="es-ES_tradnl"/>
        </w:rPr>
      </w:pPr>
    </w:p>
    <w:sectPr w:rsidR="00B32435" w:rsidRPr="009D5EA7" w:rsidSect="00595D10">
      <w:footerReference w:type="default" r:id="rId18"/>
      <w:pgSz w:w="12240" w:h="15840"/>
      <w:pgMar w:top="1417" w:right="118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CEF1E" w14:textId="77777777" w:rsidR="006E1FF4" w:rsidRDefault="006E1FF4" w:rsidP="0041191E">
      <w:pPr>
        <w:spacing w:after="0" w:line="240" w:lineRule="auto"/>
      </w:pPr>
      <w:r>
        <w:separator/>
      </w:r>
    </w:p>
  </w:endnote>
  <w:endnote w:type="continuationSeparator" w:id="0">
    <w:p w14:paraId="0974660D" w14:textId="77777777" w:rsidR="006E1FF4" w:rsidRDefault="006E1FF4" w:rsidP="0041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Bold">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Batang">
    <w:altName w:val="바탕"/>
    <w:panose1 w:val="02030600000101010101"/>
    <w:charset w:val="81"/>
    <w:family w:val="auto"/>
    <w:notTrueType/>
    <w:pitch w:val="fixed"/>
    <w:sig w:usb0="00000001" w:usb1="09060000" w:usb2="00000010" w:usb3="00000000" w:csb0="00080000" w:csb1="00000000"/>
  </w:font>
  <w:font w:name="Palatino-Italic">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95412"/>
      <w:docPartObj>
        <w:docPartGallery w:val="Page Numbers (Bottom of Page)"/>
        <w:docPartUnique/>
      </w:docPartObj>
    </w:sdtPr>
    <w:sdtEndPr>
      <w:rPr>
        <w:noProof/>
      </w:rPr>
    </w:sdtEndPr>
    <w:sdtContent>
      <w:p w14:paraId="11058B72" w14:textId="77777777" w:rsidR="00D93B58" w:rsidRDefault="00D93B58">
        <w:pPr>
          <w:pStyle w:val="Piedepgina"/>
          <w:jc w:val="center"/>
        </w:pPr>
      </w:p>
      <w:p w14:paraId="316E2D3E" w14:textId="52AD57D3" w:rsidR="00D93B58" w:rsidRDefault="00D93B58" w:rsidP="006B1B94">
        <w:pPr>
          <w:pStyle w:val="Piedepgina"/>
          <w:jc w:val="center"/>
        </w:pPr>
        <w:r>
          <w:fldChar w:fldCharType="begin"/>
        </w:r>
        <w:r>
          <w:instrText xml:space="preserve"> PAGE   \* MERGEFORMAT </w:instrText>
        </w:r>
        <w:r>
          <w:fldChar w:fldCharType="separate"/>
        </w:r>
        <w:r w:rsidR="003D4F6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DB615" w14:textId="77777777" w:rsidR="006E1FF4" w:rsidRDefault="006E1FF4" w:rsidP="0041191E">
      <w:pPr>
        <w:spacing w:after="0" w:line="240" w:lineRule="auto"/>
      </w:pPr>
      <w:r>
        <w:separator/>
      </w:r>
    </w:p>
  </w:footnote>
  <w:footnote w:type="continuationSeparator" w:id="0">
    <w:p w14:paraId="492FA331" w14:textId="77777777" w:rsidR="006E1FF4" w:rsidRDefault="006E1FF4" w:rsidP="0041191E">
      <w:pPr>
        <w:spacing w:after="0" w:line="240" w:lineRule="auto"/>
      </w:pPr>
      <w:r>
        <w:continuationSeparator/>
      </w:r>
    </w:p>
  </w:footnote>
  <w:footnote w:id="1">
    <w:p w14:paraId="0B997BB8" w14:textId="416DB97A" w:rsidR="00D93B58" w:rsidRPr="001F0A42" w:rsidRDefault="00D93B58" w:rsidP="00C10D2F">
      <w:pPr>
        <w:tabs>
          <w:tab w:val="left" w:pos="567"/>
        </w:tabs>
        <w:spacing w:before="120" w:after="120" w:line="240" w:lineRule="auto"/>
        <w:ind w:right="148"/>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Pr>
          <w:rFonts w:ascii="Verdana" w:hAnsi="Verdana"/>
          <w:i/>
          <w:iCs/>
          <w:spacing w:val="-12"/>
          <w:sz w:val="16"/>
          <w:szCs w:val="16"/>
        </w:rPr>
        <w:t xml:space="preserve">Cfr. </w:t>
      </w:r>
      <w:r w:rsidRPr="001F0A42">
        <w:rPr>
          <w:rFonts w:ascii="Verdana" w:eastAsia="Times New Roman" w:hAnsi="Verdana" w:cs="Times New Roman"/>
          <w:spacing w:val="-12"/>
          <w:sz w:val="16"/>
          <w:szCs w:val="16"/>
          <w:lang w:val="es-MX"/>
        </w:rPr>
        <w:t xml:space="preserve">CIDH, Informe No. 148/10, Petición 830-07, Admisibilidad, María Luisa Acosta y otros, Nicaragua, 1 de noviembre de 2010. </w:t>
      </w:r>
      <w:r w:rsidRPr="001F0A42">
        <w:rPr>
          <w:rFonts w:ascii="Verdana" w:hAnsi="Verdana"/>
          <w:spacing w:val="-12"/>
          <w:sz w:val="16"/>
          <w:szCs w:val="16"/>
          <w:lang w:val="es-MX"/>
        </w:rPr>
        <w:t xml:space="preserve">Disponible en: </w:t>
      </w:r>
      <w:hyperlink r:id="rId1" w:history="1">
        <w:r w:rsidRPr="001F0A42">
          <w:rPr>
            <w:rStyle w:val="Hipervnculo"/>
            <w:rFonts w:ascii="Verdana" w:hAnsi="Verdana"/>
            <w:spacing w:val="-12"/>
            <w:sz w:val="16"/>
            <w:szCs w:val="16"/>
            <w:lang w:val="es-MX"/>
          </w:rPr>
          <w:t>http://www.cidh.oas.org/annualrep/2010sp/indice2010.htm</w:t>
        </w:r>
      </w:hyperlink>
      <w:r w:rsidRPr="001F0A42">
        <w:rPr>
          <w:rFonts w:ascii="Verdana" w:eastAsia="Times New Roman" w:hAnsi="Verdana" w:cs="Times New Roman"/>
          <w:spacing w:val="-12"/>
          <w:sz w:val="16"/>
          <w:szCs w:val="16"/>
          <w:lang w:val="es-MX"/>
        </w:rPr>
        <w:t xml:space="preserve"> En este informe, la Comisión declaró el caso admisible en cuanto a las alegadas violaciones de los derechos reconocidos en los artículos 5, 8 y 25 en relación con el artículo 1.1 de la Convención Americana. </w:t>
      </w:r>
    </w:p>
  </w:footnote>
  <w:footnote w:id="2">
    <w:p w14:paraId="37263323" w14:textId="7417C3AF"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t>La Comisión designó a la Comisionada Tracy Robinson y al entonces Secretario Ejecutivo Emilio Álvarez Icaza L. como sus delegados, y a las señoras Elizabeth Abi-Mershed, Secretaria Ejecutiva Adjunta, Silvia Serrano Guzmán y Sofía Galván, abogadas de la Secretaría, como sus asesoras.</w:t>
      </w:r>
    </w:p>
  </w:footnote>
  <w:footnote w:id="3">
    <w:p w14:paraId="6234CBFE" w14:textId="157A58CA" w:rsidR="00D93B58" w:rsidRPr="001F0A42" w:rsidRDefault="00D93B58" w:rsidP="00C10D2F">
      <w:pPr>
        <w:autoSpaceDE w:val="0"/>
        <w:autoSpaceDN w:val="0"/>
        <w:adjustRightInd w:val="0"/>
        <w:spacing w:before="120" w:after="120" w:line="240" w:lineRule="auto"/>
        <w:jc w:val="both"/>
        <w:rPr>
          <w:rFonts w:ascii="Verdana" w:eastAsia="Times New Roman" w:hAnsi="Verdana" w:cs="Times New Roman"/>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eastAsia="Times New Roman" w:hAnsi="Verdana" w:cs="Times New Roman"/>
          <w:spacing w:val="-12"/>
          <w:sz w:val="16"/>
          <w:szCs w:val="16"/>
          <w:lang w:val="es-MX"/>
        </w:rPr>
        <w:tab/>
      </w:r>
      <w:r>
        <w:rPr>
          <w:rFonts w:ascii="Verdana" w:eastAsia="Times New Roman" w:hAnsi="Verdana" w:cs="Times New Roman"/>
          <w:spacing w:val="-12"/>
          <w:sz w:val="16"/>
          <w:szCs w:val="16"/>
          <w:lang w:val="es-MX"/>
        </w:rPr>
        <w:t>Las</w:t>
      </w:r>
      <w:r w:rsidRPr="001F0A42">
        <w:rPr>
          <w:rFonts w:ascii="Verdana" w:eastAsia="Times New Roman" w:hAnsi="Verdana" w:cs="Times New Roman"/>
          <w:spacing w:val="-12"/>
          <w:sz w:val="16"/>
          <w:szCs w:val="16"/>
          <w:lang w:val="es-MX"/>
        </w:rPr>
        <w:t xml:space="preserve"> representantes de las presuntas víctimas son: la propia señora María Luisa Acosta Castellón, quien actúa en su propia causa y por el Centro de Asistencia Legal a Pueblos Indígenas (CALPI), la señora Lottie Cunningham, por parte del Centro por la Justicia y Derechos Humanos de la Costa Atlántica de Nicaragua (CEJUDHCAN) y la señora Vilma Núñez de Escorcia,  por </w:t>
      </w:r>
      <w:r w:rsidRPr="001F0A42">
        <w:rPr>
          <w:rFonts w:ascii="Verdana" w:hAnsi="Verdana"/>
          <w:spacing w:val="-12"/>
          <w:sz w:val="16"/>
          <w:szCs w:val="16"/>
          <w:lang w:val="es-MX"/>
        </w:rPr>
        <w:t>el Centro Nicaragü</w:t>
      </w:r>
      <w:r w:rsidRPr="001F0A42">
        <w:rPr>
          <w:rFonts w:ascii="Arial" w:hAnsi="Arial" w:cs="Arial"/>
          <w:spacing w:val="-12"/>
          <w:sz w:val="16"/>
          <w:szCs w:val="16"/>
          <w:lang w:val="es-MX"/>
        </w:rPr>
        <w:t>e</w:t>
      </w:r>
      <w:r w:rsidRPr="001F0A42">
        <w:rPr>
          <w:rFonts w:ascii="Verdana" w:hAnsi="Verdana"/>
          <w:spacing w:val="-12"/>
          <w:sz w:val="16"/>
          <w:szCs w:val="16"/>
          <w:lang w:val="es-MX"/>
        </w:rPr>
        <w:t>nse de Derechos Humanos (CENIDH)</w:t>
      </w:r>
      <w:r>
        <w:rPr>
          <w:rFonts w:ascii="Verdana" w:hAnsi="Verdana"/>
          <w:spacing w:val="-12"/>
          <w:sz w:val="16"/>
          <w:szCs w:val="16"/>
          <w:lang w:val="es-MX"/>
        </w:rPr>
        <w:t xml:space="preserve"> </w:t>
      </w:r>
      <w:r w:rsidRPr="001F0A42">
        <w:rPr>
          <w:rFonts w:ascii="Verdana" w:hAnsi="Verdana"/>
          <w:spacing w:val="-12"/>
          <w:sz w:val="16"/>
          <w:szCs w:val="16"/>
          <w:lang w:val="es-MX"/>
        </w:rPr>
        <w:t>. El 2 y 4 de septiembre de 2015</w:t>
      </w:r>
      <w:r>
        <w:rPr>
          <w:rFonts w:ascii="Verdana" w:hAnsi="Verdana"/>
          <w:spacing w:val="-12"/>
          <w:sz w:val="16"/>
          <w:szCs w:val="16"/>
          <w:lang w:val="es-MX"/>
        </w:rPr>
        <w:t>,</w:t>
      </w:r>
      <w:r w:rsidRPr="001F0A42">
        <w:rPr>
          <w:rFonts w:ascii="Verdana" w:hAnsi="Verdana"/>
          <w:spacing w:val="-12"/>
          <w:sz w:val="16"/>
          <w:szCs w:val="16"/>
          <w:lang w:val="es-MX"/>
        </w:rPr>
        <w:t xml:space="preserve"> dichas organizaciones y personas remitieron a la Corte los poderes otorgados por la señora Acosta y </w:t>
      </w:r>
      <w:r w:rsidRPr="001F0A42">
        <w:rPr>
          <w:rFonts w:ascii="Verdana" w:eastAsia="Times New Roman" w:hAnsi="Verdana" w:cs="Times New Roman"/>
          <w:spacing w:val="-12"/>
          <w:sz w:val="16"/>
          <w:szCs w:val="16"/>
          <w:lang w:val="es-MX"/>
        </w:rPr>
        <w:t xml:space="preserve">por Álvaro Arístides Vergara Acosta, María Leonor Valle Estrada (conocida como Leonor del Carmen Valle de García) y Ana Maria Vergara Acosta. Asimismo, informaron que el señor Rodolfo García Solari, padre de Francisco José García Valle y presunta víctima, </w:t>
      </w:r>
      <w:r>
        <w:rPr>
          <w:rFonts w:ascii="Verdana" w:eastAsia="Times New Roman" w:hAnsi="Verdana" w:cs="Times New Roman"/>
          <w:spacing w:val="-12"/>
          <w:sz w:val="16"/>
          <w:szCs w:val="16"/>
          <w:lang w:val="es-MX"/>
        </w:rPr>
        <w:t>había fallecido</w:t>
      </w:r>
      <w:r w:rsidRPr="001F0A42">
        <w:rPr>
          <w:rFonts w:ascii="Verdana" w:eastAsia="Times New Roman" w:hAnsi="Verdana" w:cs="Times New Roman"/>
          <w:spacing w:val="-12"/>
          <w:sz w:val="16"/>
          <w:szCs w:val="16"/>
          <w:lang w:val="es-MX"/>
        </w:rPr>
        <w:t xml:space="preserve"> en noviembre de 2008.</w:t>
      </w:r>
    </w:p>
  </w:footnote>
  <w:footnote w:id="4">
    <w:p w14:paraId="07B1AB4F" w14:textId="6159712C"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t xml:space="preserve">El 2 de diciembre de 2015 el Estado acreditó al señor César Augusto Guevara Rodríguez y a la señora María Elsa Frixione Ocón como Agentes y al señor Carlos Rafael Arrieta Chávez como Agente Alterno para el presente caso. </w:t>
      </w:r>
    </w:p>
  </w:footnote>
  <w:footnote w:id="5">
    <w:p w14:paraId="2D35532F" w14:textId="6F9B6272"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i/>
          <w:spacing w:val="-12"/>
          <w:sz w:val="16"/>
          <w:szCs w:val="16"/>
          <w:lang w:val="es-MX"/>
        </w:rPr>
        <w:t xml:space="preserve">Cfr. Caso Acosta y otros vs. Nicaragua. </w:t>
      </w:r>
      <w:r w:rsidRPr="001F0A42">
        <w:rPr>
          <w:rFonts w:ascii="Verdana" w:hAnsi="Verdana"/>
          <w:spacing w:val="-12"/>
          <w:sz w:val="16"/>
          <w:szCs w:val="16"/>
          <w:lang w:val="es-MX"/>
        </w:rPr>
        <w:t xml:space="preserve">Resolución del Presidente de la Corte de 16 de junio de 2016. Disponible en:  </w:t>
      </w:r>
      <w:hyperlink r:id="rId2" w:history="1">
        <w:r w:rsidRPr="001F0A42">
          <w:rPr>
            <w:rStyle w:val="Hipervnculo"/>
            <w:rFonts w:ascii="Verdana" w:hAnsi="Verdana"/>
            <w:spacing w:val="-12"/>
            <w:sz w:val="16"/>
            <w:szCs w:val="16"/>
            <w:lang w:val="es-MX"/>
          </w:rPr>
          <w:t>http://www.corteidh.or.cr/docs/asuntos/acosta_fv_16.pdf</w:t>
        </w:r>
      </w:hyperlink>
      <w:r w:rsidRPr="001F0A42">
        <w:rPr>
          <w:rFonts w:ascii="Verdana" w:hAnsi="Verdana"/>
          <w:spacing w:val="-12"/>
          <w:sz w:val="16"/>
          <w:szCs w:val="16"/>
          <w:lang w:val="es-MX"/>
        </w:rPr>
        <w:t xml:space="preserve"> </w:t>
      </w:r>
    </w:p>
  </w:footnote>
  <w:footnote w:id="6">
    <w:p w14:paraId="46059A44" w14:textId="3F578A5D"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i/>
          <w:spacing w:val="-12"/>
          <w:sz w:val="16"/>
          <w:szCs w:val="16"/>
          <w:lang w:val="es-MX"/>
        </w:rPr>
        <w:t xml:space="preserve">Cfr. Caso Acosta y otros vs. Nicaragua. </w:t>
      </w:r>
      <w:r w:rsidRPr="001F0A42">
        <w:rPr>
          <w:rFonts w:ascii="Verdana" w:hAnsi="Verdana"/>
          <w:spacing w:val="-12"/>
          <w:sz w:val="16"/>
          <w:szCs w:val="16"/>
          <w:lang w:val="es-MX"/>
        </w:rPr>
        <w:t xml:space="preserve">Resolución del Presidente de la Corte de 2 de septiembre de 2016. Disponible en: </w:t>
      </w:r>
      <w:hyperlink r:id="rId3" w:history="1">
        <w:r w:rsidRPr="001F0A42">
          <w:rPr>
            <w:rStyle w:val="Hipervnculo"/>
            <w:rFonts w:ascii="Verdana" w:hAnsi="Verdana"/>
            <w:spacing w:val="-12"/>
            <w:sz w:val="16"/>
            <w:szCs w:val="16"/>
            <w:lang w:val="es-MX"/>
          </w:rPr>
          <w:t>http://www.corteidh.or.cr/docs/asuntos/acosta_02_09_16.pdf</w:t>
        </w:r>
      </w:hyperlink>
    </w:p>
  </w:footnote>
  <w:footnote w:id="7">
    <w:p w14:paraId="12A97E78" w14:textId="7FA3F450" w:rsidR="00D93B58" w:rsidRPr="001F0A42" w:rsidRDefault="00D93B58" w:rsidP="00C10D2F">
      <w:pPr>
        <w:pStyle w:val="Textonotapie"/>
        <w:spacing w:before="120" w:after="120"/>
        <w:jc w:val="both"/>
        <w:rPr>
          <w:rFonts w:ascii="Verdana" w:hAnsi="Verdana"/>
          <w:i/>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t xml:space="preserve">El 12 de septiembre de 2016 la Comisión informó que el perito Michel Forst no podría asistir a la audiencia, por lo cual solicitó que </w:t>
      </w:r>
      <w:r>
        <w:rPr>
          <w:rFonts w:ascii="Verdana" w:hAnsi="Verdana"/>
          <w:spacing w:val="-12"/>
          <w:sz w:val="16"/>
          <w:szCs w:val="16"/>
          <w:lang w:val="es-MX"/>
        </w:rPr>
        <w:t xml:space="preserve">su dictamen fuese </w:t>
      </w:r>
      <w:r w:rsidRPr="001F0A42">
        <w:rPr>
          <w:rFonts w:ascii="Verdana" w:hAnsi="Verdana"/>
          <w:spacing w:val="-12"/>
          <w:sz w:val="16"/>
          <w:szCs w:val="16"/>
          <w:lang w:val="es-MX"/>
        </w:rPr>
        <w:t>recibido mediante afidávit y que l</w:t>
      </w:r>
      <w:r>
        <w:rPr>
          <w:rFonts w:ascii="Verdana" w:hAnsi="Verdana"/>
          <w:spacing w:val="-12"/>
          <w:sz w:val="16"/>
          <w:szCs w:val="16"/>
          <w:lang w:val="es-MX"/>
        </w:rPr>
        <w:t>a perita Ángela Buitrago declarara</w:t>
      </w:r>
      <w:r w:rsidRPr="001F0A42">
        <w:rPr>
          <w:rFonts w:ascii="Verdana" w:hAnsi="Verdana"/>
          <w:spacing w:val="-12"/>
          <w:sz w:val="16"/>
          <w:szCs w:val="16"/>
          <w:lang w:val="es-MX"/>
        </w:rPr>
        <w:t xml:space="preserve"> en audiencia. </w:t>
      </w:r>
      <w:r>
        <w:rPr>
          <w:rFonts w:ascii="Verdana" w:hAnsi="Verdana"/>
          <w:spacing w:val="-12"/>
          <w:sz w:val="16"/>
          <w:szCs w:val="16"/>
          <w:lang w:val="es-MX"/>
        </w:rPr>
        <w:t xml:space="preserve">El </w:t>
      </w:r>
      <w:r w:rsidRPr="001F0A42">
        <w:rPr>
          <w:rFonts w:ascii="Verdana" w:hAnsi="Verdana"/>
          <w:spacing w:val="-12"/>
          <w:sz w:val="16"/>
          <w:szCs w:val="16"/>
          <w:lang w:val="es-MX"/>
        </w:rPr>
        <w:t xml:space="preserve">14 de septiembre de 2016 se informó que el Presidente de la Corte había autorizado la presentación del peritaje mediante afidávit y rechazado la otra solicitud de la Comisión. </w:t>
      </w:r>
    </w:p>
  </w:footnote>
  <w:footnote w:id="8">
    <w:p w14:paraId="71F28565" w14:textId="1D71DD25"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i/>
          <w:spacing w:val="-12"/>
          <w:sz w:val="16"/>
          <w:szCs w:val="16"/>
          <w:lang w:val="es-MX"/>
        </w:rPr>
        <w:t>Cfr. Caso Acosta y otros vs. Nicaragua</w:t>
      </w:r>
      <w:r w:rsidRPr="001F0A42">
        <w:rPr>
          <w:rFonts w:ascii="Verdana" w:hAnsi="Verdana"/>
          <w:spacing w:val="-12"/>
          <w:sz w:val="16"/>
          <w:szCs w:val="16"/>
          <w:lang w:val="es-MX"/>
        </w:rPr>
        <w:t xml:space="preserve">. Resolución del Presidente de la Corte de 16 de junio de 2016. Disponible en:  </w:t>
      </w:r>
      <w:hyperlink r:id="rId4" w:history="1">
        <w:r w:rsidRPr="001F0A42">
          <w:rPr>
            <w:rStyle w:val="Hipervnculo"/>
            <w:rFonts w:ascii="Verdana" w:hAnsi="Verdana"/>
            <w:spacing w:val="-12"/>
            <w:sz w:val="16"/>
            <w:szCs w:val="16"/>
            <w:lang w:val="es-MX"/>
          </w:rPr>
          <w:t>http://www.corteidh.or.cr/docs/asuntos/acosta_28_09_16.pdf</w:t>
        </w:r>
      </w:hyperlink>
      <w:r w:rsidRPr="001F0A42">
        <w:rPr>
          <w:rFonts w:ascii="Verdana" w:hAnsi="Verdana"/>
          <w:spacing w:val="-12"/>
          <w:sz w:val="16"/>
          <w:szCs w:val="16"/>
          <w:lang w:val="es-MX"/>
        </w:rPr>
        <w:t xml:space="preserve"> </w:t>
      </w:r>
    </w:p>
  </w:footnote>
  <w:footnote w:id="9">
    <w:p w14:paraId="5FFBEEC1" w14:textId="6D7589EB" w:rsidR="00D93B58" w:rsidRPr="001F0A42" w:rsidRDefault="00D93B58" w:rsidP="00C10D2F">
      <w:pPr>
        <w:spacing w:before="120" w:after="120" w:line="240" w:lineRule="auto"/>
        <w:ind w:right="44"/>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t>A esta audiencia comparecieron: a) por la Comisión: el señor José de Jesús Orozco Henríquez, Comisionado, la señora</w:t>
      </w:r>
      <w:r w:rsidRPr="001F0A42">
        <w:rPr>
          <w:rFonts w:ascii="Verdana" w:hAnsi="Verdana"/>
          <w:spacing w:val="-12"/>
          <w:sz w:val="16"/>
          <w:szCs w:val="16"/>
          <w:lang w:val="es-MX" w:eastAsia="es-ES"/>
        </w:rPr>
        <w:t xml:space="preserve"> Silvia Serrano Guzmán y el señor Jorge H. Mesa Flórez,</w:t>
      </w:r>
      <w:r w:rsidRPr="001F0A42">
        <w:rPr>
          <w:rFonts w:ascii="Verdana" w:hAnsi="Verdana"/>
          <w:spacing w:val="-12"/>
          <w:sz w:val="16"/>
          <w:szCs w:val="16"/>
          <w:lang w:val="es-MX"/>
        </w:rPr>
        <w:t xml:space="preserve"> asesores; b) por el Estado: el señor Cesar Augusto Guevara Rodriguez, la señora Maria Elsa Frixione Ocón, Agentes, y el señor Carlos Rafael Arrieta Chavez, Agente Alterno; y c) por los representantes de las presuntas víctimas: la señora Maria Luisa Acosta, presunta víctima y coordinadora del Centro de Asistencia Legal a Pueblos Indígenas (CALPI), y las señoras Wendy Valeska Flores Acevedo, por el Centro Nicaragüense de Derechos Humanos (CENIDH) y Juana Bilbano Webster, por el Centro por la Justicia y los Derechos Humanos de la Costa Atlántica de Nicaragua (CEJUDHCAN). </w:t>
      </w:r>
      <w:r w:rsidRPr="001F0A42">
        <w:rPr>
          <w:rFonts w:ascii="Verdana" w:hAnsi="Verdana" w:cs="Arial"/>
          <w:spacing w:val="-12"/>
          <w:sz w:val="16"/>
          <w:szCs w:val="16"/>
          <w:lang w:val="es-MX"/>
        </w:rPr>
        <w:t xml:space="preserve">Video disponible en: </w:t>
      </w:r>
      <w:hyperlink r:id="rId5" w:history="1">
        <w:r w:rsidRPr="001F0A42">
          <w:rPr>
            <w:rStyle w:val="Hipervnculo"/>
            <w:rFonts w:ascii="Verdana" w:hAnsi="Verdana" w:cs="Arial"/>
            <w:spacing w:val="-12"/>
            <w:sz w:val="16"/>
            <w:szCs w:val="16"/>
            <w:lang w:val="es-MX"/>
          </w:rPr>
          <w:t>https://vimeo.com/186445710</w:t>
        </w:r>
      </w:hyperlink>
    </w:p>
  </w:footnote>
  <w:footnote w:id="10">
    <w:p w14:paraId="08911782" w14:textId="4BA68B28"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i/>
          <w:spacing w:val="-12"/>
          <w:sz w:val="16"/>
          <w:szCs w:val="16"/>
          <w:lang w:val="es-MX"/>
        </w:rPr>
        <w:t xml:space="preserve">Cfr. Caso Acosta y otros vs. Nicaragua. </w:t>
      </w:r>
      <w:r w:rsidRPr="001F0A42">
        <w:rPr>
          <w:rFonts w:ascii="Verdana" w:hAnsi="Verdana"/>
          <w:spacing w:val="-12"/>
          <w:sz w:val="16"/>
          <w:szCs w:val="16"/>
          <w:lang w:val="es-MX"/>
        </w:rPr>
        <w:t xml:space="preserve">Resolución de la Corte de 20 de octubre de 2016. Disponible en: </w:t>
      </w:r>
      <w:hyperlink r:id="rId6" w:history="1">
        <w:r w:rsidRPr="001F0A42">
          <w:rPr>
            <w:rStyle w:val="Hipervnculo"/>
            <w:rFonts w:ascii="Verdana" w:hAnsi="Verdana"/>
            <w:spacing w:val="-12"/>
            <w:sz w:val="16"/>
            <w:szCs w:val="16"/>
            <w:lang w:val="es-MX"/>
          </w:rPr>
          <w:t>http://www.corteidh.or.cr/docs/asuntos/acosta_20_10_16.pdf</w:t>
        </w:r>
      </w:hyperlink>
      <w:r w:rsidRPr="001F0A42">
        <w:rPr>
          <w:rFonts w:ascii="Verdana" w:hAnsi="Verdana"/>
          <w:spacing w:val="-12"/>
          <w:sz w:val="16"/>
          <w:szCs w:val="16"/>
          <w:lang w:val="es-MX"/>
        </w:rPr>
        <w:t xml:space="preserve"> </w:t>
      </w:r>
    </w:p>
  </w:footnote>
  <w:footnote w:id="11">
    <w:p w14:paraId="625836E3" w14:textId="367692F5"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spacing w:val="-12"/>
          <w:sz w:val="16"/>
          <w:szCs w:val="16"/>
          <w:lang w:val="es-MX"/>
        </w:rPr>
        <w:t xml:space="preserve">En sus alegatos finales, el Estado presentó una serie de observaciones  sobre los </w:t>
      </w:r>
      <w:r w:rsidRPr="001F0A42">
        <w:rPr>
          <w:rFonts w:ascii="Verdana" w:hAnsi="Verdana"/>
          <w:i/>
          <w:spacing w:val="-12"/>
          <w:sz w:val="16"/>
          <w:szCs w:val="16"/>
          <w:lang w:val="es-MX"/>
        </w:rPr>
        <w:t>amici curiae</w:t>
      </w:r>
      <w:r w:rsidRPr="001F0A42">
        <w:rPr>
          <w:rFonts w:ascii="Verdana" w:hAnsi="Verdana"/>
          <w:spacing w:val="-12"/>
          <w:sz w:val="16"/>
          <w:szCs w:val="16"/>
          <w:lang w:val="es-MX"/>
        </w:rPr>
        <w:t xml:space="preserve"> y manifestó que tales escritos pretenden introducir temas que no son objeto del conocimiento de la Corte en este caso y no aportan para conocer el contexto en que sucedieron los hechos, en violación de su derecho de defensa, por lo cual el Tribunal debe desestimarlos. La Corte hace notar que, de acuerdo con el artículo 2.3 del Reglamento, quien presenta un </w:t>
      </w:r>
      <w:r w:rsidRPr="001F0A42">
        <w:rPr>
          <w:rFonts w:ascii="Verdana" w:hAnsi="Verdana"/>
          <w:i/>
          <w:spacing w:val="-12"/>
          <w:sz w:val="16"/>
          <w:szCs w:val="16"/>
          <w:lang w:val="es-MX"/>
        </w:rPr>
        <w:t>amicus curiae</w:t>
      </w:r>
      <w:r w:rsidRPr="001F0A42">
        <w:rPr>
          <w:rFonts w:ascii="Verdana" w:hAnsi="Verdana"/>
          <w:spacing w:val="-12"/>
          <w:sz w:val="16"/>
          <w:szCs w:val="16"/>
          <w:lang w:val="es-MX"/>
        </w:rPr>
        <w:t xml:space="preserve"> es una persona o institución “ajena al litigio y proceso que se sigue en la Corte”, es decir, no es una parte procesal, a efectos de ofrecer “razonamientos en torno a los hechos contenidos en el sometimiento del caso o formular consideraciones jurídicas sobre la materia del proceso”. Puesto que no corresponde al Tribunal pronunciarse sobre la corrección o no de tales escritos o sobre solicitudes o peticiones contenidas en los mismos, las observaciones del Estado no afectan la admisibilidad de los </w:t>
      </w:r>
      <w:r w:rsidRPr="001F0A42">
        <w:rPr>
          <w:rFonts w:ascii="Verdana" w:hAnsi="Verdana"/>
          <w:i/>
          <w:spacing w:val="-12"/>
          <w:sz w:val="16"/>
          <w:szCs w:val="16"/>
          <w:lang w:val="es-MX"/>
        </w:rPr>
        <w:t>amici curiae</w:t>
      </w:r>
      <w:r w:rsidRPr="001F0A42">
        <w:rPr>
          <w:rFonts w:ascii="Verdana" w:hAnsi="Verdana"/>
          <w:spacing w:val="-12"/>
          <w:sz w:val="16"/>
          <w:szCs w:val="16"/>
          <w:lang w:val="es-MX"/>
        </w:rPr>
        <w:t xml:space="preserve">, sin perjuicio de la eventual relevancia de tales observaciones al valorar la información aportada en los mismos. </w:t>
      </w:r>
      <w:r w:rsidRPr="00305795">
        <w:rPr>
          <w:rFonts w:ascii="Verdana" w:eastAsiaTheme="minorHAnsi" w:hAnsi="Verdana" w:cstheme="minorBidi"/>
          <w:spacing w:val="-12"/>
          <w:sz w:val="16"/>
          <w:szCs w:val="16"/>
          <w:lang w:val="es-MX"/>
        </w:rPr>
        <w:t xml:space="preserve">Cfr. </w:t>
      </w:r>
      <w:r w:rsidRPr="00305795">
        <w:rPr>
          <w:rFonts w:ascii="Verdana" w:eastAsiaTheme="minorHAnsi" w:hAnsi="Verdana" w:cstheme="minorBidi"/>
          <w:i/>
          <w:spacing w:val="-12"/>
          <w:sz w:val="16"/>
          <w:szCs w:val="16"/>
          <w:lang w:val="es-MX"/>
        </w:rPr>
        <w:t>Caso de Personas Dominicanas y Haitianas Expulsadas vs. República Dominicana</w:t>
      </w:r>
      <w:r>
        <w:rPr>
          <w:rFonts w:ascii="Verdana" w:eastAsiaTheme="minorHAnsi" w:hAnsi="Verdana" w:cstheme="minorBidi"/>
          <w:spacing w:val="-12"/>
          <w:sz w:val="16"/>
          <w:szCs w:val="16"/>
          <w:lang w:val="es-MX"/>
        </w:rPr>
        <w:t xml:space="preserve">. </w:t>
      </w:r>
      <w:r w:rsidRPr="00305795">
        <w:rPr>
          <w:rFonts w:ascii="Verdana" w:eastAsiaTheme="minorHAnsi" w:hAnsi="Verdana" w:cstheme="minorBidi"/>
          <w:i/>
          <w:spacing w:val="-12"/>
          <w:sz w:val="16"/>
          <w:szCs w:val="16"/>
          <w:lang w:val="es-MX"/>
        </w:rPr>
        <w:t>Excepciones Preliminares, Fondo, Reparaciones y Costas.</w:t>
      </w:r>
      <w:r w:rsidRPr="00305795">
        <w:rPr>
          <w:rFonts w:ascii="Verdana" w:eastAsiaTheme="minorHAnsi" w:hAnsi="Verdana" w:cstheme="minorBidi"/>
          <w:spacing w:val="-12"/>
          <w:sz w:val="16"/>
          <w:szCs w:val="16"/>
          <w:lang w:val="es-MX"/>
        </w:rPr>
        <w:t xml:space="preserve"> Sentencia de 28 de agosto de 2014. Serie C No. 282, párr. 15; </w:t>
      </w:r>
      <w:r w:rsidRPr="00305795">
        <w:rPr>
          <w:rFonts w:ascii="Verdana" w:eastAsiaTheme="minorHAnsi" w:hAnsi="Verdana" w:cstheme="minorBidi"/>
          <w:i/>
          <w:spacing w:val="-12"/>
          <w:sz w:val="16"/>
          <w:szCs w:val="16"/>
          <w:lang w:val="es-MX"/>
        </w:rPr>
        <w:t>Caso Pollo Rivera y otros vs. Perú. Fondo, Reparaciones y Costas</w:t>
      </w:r>
      <w:r w:rsidRPr="00305795">
        <w:rPr>
          <w:rFonts w:ascii="Verdana" w:eastAsiaTheme="minorHAnsi" w:hAnsi="Verdana" w:cstheme="minorBidi"/>
          <w:spacing w:val="-12"/>
          <w:sz w:val="16"/>
          <w:szCs w:val="16"/>
          <w:lang w:val="es-MX"/>
        </w:rPr>
        <w:t>. Sentencia de 21 de octubre de 2016. Serie C No. 319, párr. 9.</w:t>
      </w:r>
    </w:p>
  </w:footnote>
  <w:footnote w:id="12">
    <w:p w14:paraId="271F7098" w14:textId="71BE48F7"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spacing w:val="-12"/>
          <w:sz w:val="16"/>
          <w:szCs w:val="16"/>
          <w:lang w:val="es-MX"/>
        </w:rPr>
        <w:t>El Estado se refirió a los hechos presentados como “contexto” en el ESAP: i) la supuesta problemática de la tenencia de la tierra de la Costa Caribe y los casos específicos señalados,; ii) la supuesta falta de certeza jurídica en el proceso de titulación de tierras de los pueblos indígenas y afro-descendientes de la cuenca de Laguna de Perla y del pueblo Rama Kriol; iii) la supuesta impunidad y los defensores de los derechos al ambiente y tierras indígenas en Nicaragua; iv) la supuesta situación de las personas defensoras de Derechos Humanos en Nicaragua; v) los supuestos casos de invisibilización, estigmatización y criminalización; y vi) las críticas generales que se le hacen al Poder Judicial en Nicaragua.</w:t>
      </w:r>
    </w:p>
  </w:footnote>
  <w:footnote w:id="13">
    <w:p w14:paraId="7C2F2F56" w14:textId="02896150" w:rsidR="00D93B58" w:rsidRPr="001F0A42" w:rsidRDefault="00D93B58" w:rsidP="00C10D2F">
      <w:pPr>
        <w:spacing w:before="120" w:after="120" w:line="240" w:lineRule="auto"/>
        <w:jc w:val="both"/>
        <w:rPr>
          <w:rFonts w:ascii="Verdana" w:hAnsi="Verdana"/>
          <w:spacing w:val="-12"/>
          <w:sz w:val="16"/>
          <w:szCs w:val="16"/>
          <w:lang w:val="es-MX"/>
        </w:rPr>
      </w:pPr>
      <w:r w:rsidRPr="001F0A42">
        <w:rPr>
          <w:rFonts w:ascii="Verdana" w:hAnsi="Verdana"/>
          <w:spacing w:val="-12"/>
          <w:sz w:val="16"/>
          <w:szCs w:val="16"/>
          <w:vertAlign w:val="superscript"/>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i/>
          <w:spacing w:val="-12"/>
          <w:sz w:val="16"/>
          <w:szCs w:val="16"/>
          <w:lang w:val="es-MX"/>
        </w:rPr>
        <w:t xml:space="preserve">Cfr. Caso Las Palmeras Vs. Colombia. Excepciones Preliminares. </w:t>
      </w:r>
      <w:r w:rsidRPr="001F0A42">
        <w:rPr>
          <w:rFonts w:ascii="Verdana" w:hAnsi="Verdana"/>
          <w:spacing w:val="-12"/>
          <w:sz w:val="16"/>
          <w:szCs w:val="16"/>
          <w:lang w:val="es-MX"/>
        </w:rPr>
        <w:t xml:space="preserve">Sentencia de 4 de febrero de 2000. Serie C No. 67, párr. 34, y </w:t>
      </w:r>
      <w:r w:rsidRPr="00B168DE">
        <w:rPr>
          <w:rFonts w:ascii="Verdana" w:hAnsi="Verdana"/>
          <w:i/>
          <w:spacing w:val="-12"/>
          <w:sz w:val="16"/>
          <w:szCs w:val="16"/>
        </w:rPr>
        <w:t xml:space="preserve">Caso </w:t>
      </w:r>
      <w:r>
        <w:rPr>
          <w:rFonts w:ascii="Verdana" w:hAnsi="Verdana"/>
          <w:i/>
          <w:spacing w:val="-12"/>
          <w:sz w:val="16"/>
          <w:szCs w:val="16"/>
        </w:rPr>
        <w:t>Valencia Hinojosa vs. Ecuador.</w:t>
      </w:r>
      <w:r w:rsidRPr="00C66E0D">
        <w:rPr>
          <w:rFonts w:ascii="Verdana" w:hAnsi="Verdana"/>
          <w:i/>
          <w:iCs/>
          <w:spacing w:val="-12"/>
          <w:sz w:val="16"/>
          <w:szCs w:val="16"/>
          <w:lang w:val="es-GT" w:eastAsia="es-ES_tradnl"/>
        </w:rPr>
        <w:t xml:space="preserve"> </w:t>
      </w:r>
      <w:r>
        <w:rPr>
          <w:rFonts w:ascii="Verdana" w:hAnsi="Verdana"/>
          <w:i/>
          <w:iCs/>
          <w:spacing w:val="-12"/>
          <w:sz w:val="16"/>
          <w:szCs w:val="16"/>
          <w:lang w:val="es-GT" w:eastAsia="es-ES_tradnl"/>
        </w:rPr>
        <w:t xml:space="preserve">Excepciones Preliminares, Fondo, Reparaciones y Costas. </w:t>
      </w:r>
      <w:r>
        <w:rPr>
          <w:rFonts w:ascii="Verdana" w:hAnsi="Verdana"/>
          <w:spacing w:val="-12"/>
          <w:sz w:val="16"/>
          <w:szCs w:val="16"/>
          <w:lang w:val="es-GT" w:eastAsia="es-ES_tradnl"/>
        </w:rPr>
        <w:t>Sentencia de 1 de septiembre de 2015. Serie C No. 298</w:t>
      </w:r>
      <w:r>
        <w:rPr>
          <w:rFonts w:ascii="Verdana" w:hAnsi="Verdana"/>
          <w:i/>
          <w:spacing w:val="-12"/>
          <w:sz w:val="16"/>
          <w:szCs w:val="16"/>
        </w:rPr>
        <w:t xml:space="preserve">, </w:t>
      </w:r>
      <w:r>
        <w:rPr>
          <w:rFonts w:ascii="Verdana" w:hAnsi="Verdana"/>
          <w:spacing w:val="-12"/>
          <w:sz w:val="16"/>
          <w:szCs w:val="16"/>
        </w:rPr>
        <w:t>párr. 16</w:t>
      </w:r>
      <w:r>
        <w:rPr>
          <w:rFonts w:ascii="Verdana" w:hAnsi="Verdana"/>
          <w:spacing w:val="-12"/>
          <w:sz w:val="16"/>
          <w:szCs w:val="16"/>
          <w:lang w:val="es-MX"/>
        </w:rPr>
        <w:t>.</w:t>
      </w:r>
    </w:p>
  </w:footnote>
  <w:footnote w:id="14">
    <w:p w14:paraId="333E21DB" w14:textId="774E800F" w:rsidR="00D93B58" w:rsidRPr="001F0A42" w:rsidRDefault="00D93B58" w:rsidP="00C10D2F">
      <w:pPr>
        <w:spacing w:before="120" w:after="120" w:line="240" w:lineRule="auto"/>
        <w:jc w:val="both"/>
        <w:rPr>
          <w:rFonts w:ascii="Verdana" w:hAnsi="Verdana"/>
          <w:spacing w:val="-12"/>
          <w:sz w:val="16"/>
          <w:szCs w:val="16"/>
          <w:lang w:val="es-MX"/>
        </w:rPr>
      </w:pPr>
      <w:r w:rsidRPr="001F0A42">
        <w:rPr>
          <w:rFonts w:ascii="Verdana" w:hAnsi="Verdana"/>
          <w:spacing w:val="-12"/>
          <w:sz w:val="16"/>
          <w:szCs w:val="16"/>
          <w:vertAlign w:val="superscript"/>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i/>
          <w:spacing w:val="-12"/>
          <w:sz w:val="16"/>
          <w:szCs w:val="16"/>
          <w:lang w:val="es-MX"/>
        </w:rPr>
        <w:t xml:space="preserve">Cfr. Caso Castañeda Gutman Vs. México. Excepciones Preliminares, Fondo, Reparaciones y Costas. </w:t>
      </w:r>
      <w:r w:rsidRPr="001F0A42">
        <w:rPr>
          <w:rFonts w:ascii="Verdana" w:hAnsi="Verdana"/>
          <w:spacing w:val="-12"/>
          <w:sz w:val="16"/>
          <w:szCs w:val="16"/>
          <w:lang w:val="es-MX"/>
        </w:rPr>
        <w:t xml:space="preserve">Sentencia de 6 de agosto de </w:t>
      </w:r>
      <w:r>
        <w:rPr>
          <w:rFonts w:ascii="Verdana" w:hAnsi="Verdana"/>
          <w:spacing w:val="-12"/>
          <w:sz w:val="16"/>
          <w:szCs w:val="16"/>
          <w:lang w:val="es-MX"/>
        </w:rPr>
        <w:t>2008. Serie C No. 184, párr. 39;</w:t>
      </w:r>
      <w:r w:rsidRPr="001F0A42">
        <w:rPr>
          <w:rFonts w:ascii="Verdana" w:hAnsi="Verdana"/>
          <w:spacing w:val="-12"/>
          <w:sz w:val="16"/>
          <w:szCs w:val="16"/>
          <w:lang w:val="es-MX"/>
        </w:rPr>
        <w:t xml:space="preserve"> y </w:t>
      </w:r>
      <w:r w:rsidRPr="007E16F7">
        <w:rPr>
          <w:rFonts w:ascii="Verdana" w:hAnsi="Verdana"/>
          <w:i/>
          <w:spacing w:val="-12"/>
          <w:sz w:val="16"/>
          <w:szCs w:val="16"/>
          <w:lang w:val="es-MX"/>
        </w:rPr>
        <w:t>Caso Miembros de la Aldea Chichupac y comunidades vecinas del Municipio de Rabinal Vs. Guatemala. Excepciones Preliminares, Fondo, Reparaciones y Costas</w:t>
      </w:r>
      <w:r w:rsidRPr="007E16F7">
        <w:rPr>
          <w:rFonts w:ascii="Verdana" w:hAnsi="Verdana"/>
          <w:spacing w:val="-12"/>
          <w:sz w:val="16"/>
          <w:szCs w:val="16"/>
          <w:lang w:val="es-MX"/>
        </w:rPr>
        <w:t>. Sentencia de 30 de noviembre</w:t>
      </w:r>
      <w:r>
        <w:rPr>
          <w:rFonts w:ascii="Verdana" w:hAnsi="Verdana"/>
          <w:spacing w:val="-12"/>
          <w:sz w:val="16"/>
          <w:szCs w:val="16"/>
          <w:lang w:val="es-MX"/>
        </w:rPr>
        <w:t xml:space="preserve"> de 2016. Serie C No. 328, párr. 39.</w:t>
      </w:r>
    </w:p>
  </w:footnote>
  <w:footnote w:id="15">
    <w:p w14:paraId="1AEE75F3" w14:textId="11DDCEF5"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i/>
          <w:spacing w:val="-12"/>
          <w:sz w:val="16"/>
          <w:szCs w:val="16"/>
          <w:lang w:val="es-MX"/>
        </w:rPr>
        <w:t>Cfr</w:t>
      </w:r>
      <w:r w:rsidRPr="001F0A42">
        <w:rPr>
          <w:rFonts w:ascii="Verdana" w:hAnsi="Verdana"/>
          <w:spacing w:val="-12"/>
          <w:sz w:val="16"/>
          <w:szCs w:val="16"/>
          <w:lang w:val="es-MX"/>
        </w:rPr>
        <w:t xml:space="preserve">. </w:t>
      </w:r>
      <w:r w:rsidRPr="001F0A42">
        <w:rPr>
          <w:rFonts w:ascii="Verdana" w:hAnsi="Verdana"/>
          <w:i/>
          <w:spacing w:val="-12"/>
          <w:sz w:val="16"/>
          <w:szCs w:val="16"/>
          <w:lang w:val="es-MX"/>
        </w:rPr>
        <w:t>Caso Velásquez Rodríguez Vs. Honduras. Fondo</w:t>
      </w:r>
      <w:r w:rsidRPr="001F0A42">
        <w:rPr>
          <w:rFonts w:ascii="Verdana" w:hAnsi="Verdana"/>
          <w:spacing w:val="-12"/>
          <w:sz w:val="16"/>
          <w:szCs w:val="16"/>
          <w:lang w:val="es-MX"/>
        </w:rPr>
        <w:t xml:space="preserve">. Sentencia de 29 de julio de 1988. Serie C No.4, párr. 140, y </w:t>
      </w:r>
      <w:r w:rsidRPr="00B168DE">
        <w:rPr>
          <w:rFonts w:ascii="Verdana" w:hAnsi="Verdana"/>
          <w:i/>
          <w:spacing w:val="-12"/>
          <w:sz w:val="16"/>
          <w:szCs w:val="16"/>
        </w:rPr>
        <w:t xml:space="preserve">Caso </w:t>
      </w:r>
      <w:r>
        <w:rPr>
          <w:rFonts w:ascii="Verdana" w:hAnsi="Verdana"/>
          <w:i/>
          <w:spacing w:val="-12"/>
          <w:sz w:val="16"/>
          <w:szCs w:val="16"/>
        </w:rPr>
        <w:t>Valencia Hinojosa vs. Ecuador, supra</w:t>
      </w:r>
      <w:r w:rsidRPr="001F0A42">
        <w:rPr>
          <w:rFonts w:ascii="Verdana" w:hAnsi="Verdana"/>
          <w:spacing w:val="-12"/>
          <w:sz w:val="16"/>
          <w:szCs w:val="16"/>
          <w:lang w:val="es-MX"/>
        </w:rPr>
        <w:t>, párr. 36.</w:t>
      </w:r>
    </w:p>
  </w:footnote>
  <w:footnote w:id="16">
    <w:p w14:paraId="73E540D7" w14:textId="569F92B0"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lang w:val="es-CR"/>
        </w:rPr>
        <w:tab/>
      </w:r>
      <w:r w:rsidRPr="001F0A42">
        <w:rPr>
          <w:rFonts w:ascii="Verdana" w:hAnsi="Verdana"/>
          <w:bCs/>
          <w:i/>
          <w:spacing w:val="-12"/>
          <w:sz w:val="16"/>
          <w:szCs w:val="16"/>
          <w:lang w:val="es-MX"/>
        </w:rPr>
        <w:t>Cfr. Caso Velásque</w:t>
      </w:r>
      <w:r>
        <w:rPr>
          <w:rFonts w:ascii="Verdana" w:hAnsi="Verdana"/>
          <w:bCs/>
          <w:i/>
          <w:spacing w:val="-12"/>
          <w:sz w:val="16"/>
          <w:szCs w:val="16"/>
          <w:lang w:val="es-MX"/>
        </w:rPr>
        <w:t>z Rodríguez Vs. Honduras. Fondo</w:t>
      </w:r>
      <w:r>
        <w:rPr>
          <w:rFonts w:ascii="Verdana" w:hAnsi="Verdana"/>
          <w:bCs/>
          <w:spacing w:val="-12"/>
          <w:sz w:val="16"/>
          <w:szCs w:val="16"/>
          <w:lang w:val="es-MX"/>
        </w:rPr>
        <w:t xml:space="preserve">, </w:t>
      </w:r>
      <w:r>
        <w:rPr>
          <w:rFonts w:ascii="Verdana" w:hAnsi="Verdana"/>
          <w:bCs/>
          <w:i/>
          <w:spacing w:val="-12"/>
          <w:sz w:val="16"/>
          <w:szCs w:val="16"/>
          <w:lang w:val="es-MX"/>
        </w:rPr>
        <w:t xml:space="preserve">supra, </w:t>
      </w:r>
      <w:r>
        <w:rPr>
          <w:rFonts w:ascii="Verdana" w:hAnsi="Verdana"/>
          <w:bCs/>
          <w:spacing w:val="-12"/>
          <w:sz w:val="16"/>
          <w:szCs w:val="16"/>
          <w:lang w:val="es-MX"/>
        </w:rPr>
        <w:t xml:space="preserve">párr. 140; y </w:t>
      </w:r>
      <w:r>
        <w:rPr>
          <w:rFonts w:ascii="Verdana" w:hAnsi="Verdana"/>
          <w:bCs/>
          <w:i/>
          <w:spacing w:val="-12"/>
          <w:sz w:val="16"/>
          <w:szCs w:val="16"/>
          <w:lang w:val="es-MX"/>
        </w:rPr>
        <w:t>Caso I.V. vs. Bolivia.</w:t>
      </w:r>
      <w:r w:rsidRPr="00764F62">
        <w:rPr>
          <w:rFonts w:ascii="Verdana" w:hAnsi="Verdana"/>
          <w:bCs/>
          <w:spacing w:val="-12"/>
          <w:sz w:val="16"/>
          <w:szCs w:val="16"/>
          <w:lang w:val="es-MX"/>
        </w:rPr>
        <w:t xml:space="preserve"> </w:t>
      </w:r>
      <w:r w:rsidRPr="00764F62">
        <w:rPr>
          <w:rFonts w:ascii="Verdana" w:hAnsi="Verdana"/>
          <w:bCs/>
          <w:i/>
          <w:spacing w:val="-12"/>
          <w:sz w:val="16"/>
          <w:szCs w:val="16"/>
          <w:lang w:val="es-MX"/>
        </w:rPr>
        <w:t>Excepciones Preliminares, Fondo, Reparaciones y Costas</w:t>
      </w:r>
      <w:r w:rsidRPr="00764F62">
        <w:rPr>
          <w:rFonts w:ascii="Verdana" w:hAnsi="Verdana"/>
          <w:bCs/>
          <w:spacing w:val="-12"/>
          <w:sz w:val="16"/>
          <w:szCs w:val="16"/>
          <w:lang w:val="es-MX"/>
        </w:rPr>
        <w:t>. Sentencia de 30 de noviembre de 2016. Serie C No. 329</w:t>
      </w:r>
      <w:r w:rsidRPr="001F0A42">
        <w:rPr>
          <w:rFonts w:ascii="Verdana" w:hAnsi="Verdana"/>
          <w:bCs/>
          <w:spacing w:val="-12"/>
          <w:sz w:val="16"/>
          <w:szCs w:val="16"/>
          <w:lang w:val="es-MX"/>
        </w:rPr>
        <w:t>, párr. 54.</w:t>
      </w:r>
    </w:p>
  </w:footnote>
  <w:footnote w:id="17">
    <w:p w14:paraId="65D77F0D" w14:textId="1AE11E3D" w:rsidR="00D93B58" w:rsidRPr="001F0A42" w:rsidRDefault="00D93B58" w:rsidP="00C10D2F">
      <w:pPr>
        <w:pStyle w:val="Textonotapie"/>
        <w:tabs>
          <w:tab w:val="left" w:pos="567"/>
        </w:tabs>
        <w:spacing w:before="120" w:after="120"/>
        <w:jc w:val="both"/>
        <w:rPr>
          <w:rFonts w:ascii="Verdana" w:hAnsi="Verdana"/>
          <w:spacing w:val="-12"/>
          <w:sz w:val="16"/>
          <w:szCs w:val="16"/>
          <w:lang w:val="es-ES"/>
        </w:rPr>
      </w:pPr>
      <w:r w:rsidRPr="001F0A42">
        <w:rPr>
          <w:rStyle w:val="Refdenotaalpie"/>
          <w:rFonts w:ascii="Verdana" w:eastAsia="Calibri" w:hAnsi="Verdana"/>
          <w:spacing w:val="-12"/>
          <w:sz w:val="16"/>
          <w:szCs w:val="16"/>
        </w:rPr>
        <w:footnoteRef/>
      </w:r>
      <w:r w:rsidRPr="001F0A42">
        <w:rPr>
          <w:rFonts w:ascii="Verdana" w:hAnsi="Verdana"/>
          <w:spacing w:val="-12"/>
          <w:sz w:val="16"/>
          <w:szCs w:val="16"/>
          <w:lang w:val="es-ES"/>
        </w:rPr>
        <w:t xml:space="preserve"> </w:t>
      </w:r>
      <w:r w:rsidRPr="001F0A42">
        <w:rPr>
          <w:rFonts w:ascii="Verdana" w:hAnsi="Verdana"/>
          <w:spacing w:val="-12"/>
          <w:sz w:val="16"/>
          <w:szCs w:val="16"/>
          <w:lang w:val="es-ES"/>
        </w:rPr>
        <w:tab/>
      </w:r>
      <w:r w:rsidRPr="001F0A42">
        <w:rPr>
          <w:rFonts w:ascii="Verdana" w:hAnsi="Verdana"/>
          <w:bCs/>
          <w:i/>
          <w:spacing w:val="-12"/>
          <w:sz w:val="16"/>
          <w:szCs w:val="16"/>
          <w:lang w:val="es-MX"/>
        </w:rPr>
        <w:t xml:space="preserve">Cfr. Caso Familia Barrios Vs. Venezuela. Fondo, Reparaciones y Costas. </w:t>
      </w:r>
      <w:r w:rsidRPr="001F0A42">
        <w:rPr>
          <w:rFonts w:ascii="Verdana" w:hAnsi="Verdana"/>
          <w:bCs/>
          <w:spacing w:val="-12"/>
          <w:sz w:val="16"/>
          <w:szCs w:val="16"/>
          <w:lang w:val="es-MX"/>
        </w:rPr>
        <w:t xml:space="preserve">Sentencia de 24 de noviembre de 2011. Serie C No. 237, párr. 17, y </w:t>
      </w:r>
      <w:r w:rsidRPr="001F0A42">
        <w:rPr>
          <w:rFonts w:ascii="Verdana" w:hAnsi="Verdana"/>
          <w:bCs/>
          <w:i/>
          <w:spacing w:val="-12"/>
          <w:sz w:val="16"/>
          <w:szCs w:val="16"/>
          <w:lang w:val="es-MX"/>
        </w:rPr>
        <w:t>Caso I.V. vs. Bolivia, supra</w:t>
      </w:r>
      <w:r w:rsidRPr="001F0A42">
        <w:rPr>
          <w:rFonts w:ascii="Verdana" w:hAnsi="Verdana"/>
          <w:bCs/>
          <w:spacing w:val="-12"/>
          <w:sz w:val="16"/>
          <w:szCs w:val="16"/>
          <w:lang w:val="es-MX"/>
        </w:rPr>
        <w:t>, párr.</w:t>
      </w:r>
      <w:r>
        <w:rPr>
          <w:rFonts w:ascii="Verdana" w:hAnsi="Verdana"/>
          <w:bCs/>
          <w:spacing w:val="-12"/>
          <w:sz w:val="16"/>
          <w:szCs w:val="16"/>
          <w:lang w:val="es-MX"/>
        </w:rPr>
        <w:t xml:space="preserve"> 55</w:t>
      </w:r>
      <w:r w:rsidRPr="001F0A42">
        <w:rPr>
          <w:rFonts w:ascii="Verdana" w:hAnsi="Verdana"/>
          <w:bCs/>
          <w:spacing w:val="-12"/>
          <w:sz w:val="16"/>
          <w:szCs w:val="16"/>
          <w:lang w:val="es-MX"/>
        </w:rPr>
        <w:t>.</w:t>
      </w:r>
    </w:p>
  </w:footnote>
  <w:footnote w:id="18">
    <w:p w14:paraId="73A7D2CD" w14:textId="73E54CBC"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lang w:val="es-CR"/>
        </w:rPr>
        <w:tab/>
        <w:t xml:space="preserve">El Estado remitió una </w:t>
      </w:r>
      <w:r w:rsidRPr="001F0A42">
        <w:rPr>
          <w:rFonts w:ascii="Verdana" w:hAnsi="Verdana"/>
          <w:spacing w:val="-12"/>
          <w:sz w:val="16"/>
          <w:szCs w:val="16"/>
          <w:lang w:val="es-MX"/>
        </w:rPr>
        <w:t>sentencia de 4 de octubre de 2016 de la Corte Suprema de Justicia en que</w:t>
      </w:r>
      <w:r>
        <w:rPr>
          <w:rFonts w:ascii="Verdana" w:hAnsi="Verdana"/>
          <w:spacing w:val="-12"/>
          <w:sz w:val="16"/>
          <w:szCs w:val="16"/>
          <w:lang w:val="es-MX"/>
        </w:rPr>
        <w:t xml:space="preserve"> se</w:t>
      </w:r>
      <w:r w:rsidRPr="001F0A42">
        <w:rPr>
          <w:rFonts w:ascii="Verdana" w:hAnsi="Verdana"/>
          <w:spacing w:val="-12"/>
          <w:sz w:val="16"/>
          <w:szCs w:val="16"/>
          <w:lang w:val="es-MX"/>
        </w:rPr>
        <w:t xml:space="preserve"> declara con lugar una acción de cancelación registral de 6 de los 7 asientos registrales de los Cayos Perlas </w:t>
      </w:r>
      <w:r>
        <w:rPr>
          <w:rFonts w:ascii="Verdana" w:hAnsi="Verdana"/>
          <w:spacing w:val="-12"/>
          <w:sz w:val="16"/>
          <w:szCs w:val="16"/>
          <w:lang w:val="es-MX"/>
        </w:rPr>
        <w:t xml:space="preserve">hasta entonces registrado </w:t>
      </w:r>
      <w:r w:rsidRPr="001F0A42">
        <w:rPr>
          <w:rFonts w:ascii="Verdana" w:hAnsi="Verdana"/>
          <w:spacing w:val="-12"/>
          <w:sz w:val="16"/>
          <w:szCs w:val="16"/>
          <w:lang w:val="es-MX"/>
        </w:rPr>
        <w:t>a nombre de PT y otras personas.</w:t>
      </w:r>
    </w:p>
  </w:footnote>
  <w:footnote w:id="19">
    <w:p w14:paraId="067F15F7" w14:textId="228D4282"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lang w:val="es-CR"/>
        </w:rPr>
        <w:tab/>
        <w:t>Las representantes presentaron un título de dominio sobre propiedad comunal de doce comunidades indígenas respecto de los Cayos Perlas.</w:t>
      </w:r>
    </w:p>
  </w:footnote>
  <w:footnote w:id="20">
    <w:p w14:paraId="37D2BAA3" w14:textId="4278A26B"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i/>
          <w:spacing w:val="-12"/>
          <w:sz w:val="16"/>
          <w:szCs w:val="16"/>
          <w:lang w:val="es-MX"/>
        </w:rPr>
        <w:t>Cfr. Caso Díaz Peña Vs. Venezuela. Excepción Preliminar, Fondo, Reparaciones y Costas</w:t>
      </w:r>
      <w:r w:rsidRPr="001F0A42">
        <w:rPr>
          <w:rFonts w:ascii="Verdana" w:hAnsi="Verdana"/>
          <w:spacing w:val="-12"/>
          <w:sz w:val="16"/>
          <w:szCs w:val="16"/>
          <w:lang w:val="es-MX"/>
        </w:rPr>
        <w:t xml:space="preserve">. Sentencia de 26 de junio de 2012. Serie C No. 244, párr. 33, y </w:t>
      </w:r>
      <w:r>
        <w:rPr>
          <w:rFonts w:ascii="Verdana" w:hAnsi="Verdana"/>
          <w:i/>
          <w:spacing w:val="-12"/>
          <w:sz w:val="16"/>
          <w:szCs w:val="16"/>
          <w:lang w:val="es-MX"/>
        </w:rPr>
        <w:t>Caso</w:t>
      </w:r>
      <w:r w:rsidRPr="00764F62">
        <w:rPr>
          <w:rFonts w:ascii="Verdana" w:hAnsi="Verdana"/>
          <w:i/>
          <w:spacing w:val="-12"/>
          <w:sz w:val="16"/>
          <w:szCs w:val="16"/>
          <w:lang w:val="es-MX"/>
        </w:rPr>
        <w:t xml:space="preserve"> Yarce y otras Vs. Colombia. Excepción Preliminar, Fondo, Reparaciones y Costas</w:t>
      </w:r>
      <w:r w:rsidRPr="00764F62">
        <w:rPr>
          <w:rFonts w:ascii="Verdana" w:hAnsi="Verdana"/>
          <w:spacing w:val="-12"/>
          <w:sz w:val="16"/>
          <w:szCs w:val="16"/>
          <w:lang w:val="es-MX"/>
        </w:rPr>
        <w:t>. Sentencia de 22 de noviembre de 2016. Serie C No. 325</w:t>
      </w:r>
      <w:r>
        <w:rPr>
          <w:rFonts w:ascii="Verdana" w:hAnsi="Verdana"/>
          <w:spacing w:val="-12"/>
          <w:sz w:val="16"/>
          <w:szCs w:val="16"/>
          <w:lang w:val="es-MX"/>
        </w:rPr>
        <w:t>, párr. 72.</w:t>
      </w:r>
    </w:p>
  </w:footnote>
  <w:footnote w:id="21">
    <w:p w14:paraId="2A4ECC18" w14:textId="13503F49"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i/>
          <w:spacing w:val="-12"/>
          <w:sz w:val="16"/>
          <w:szCs w:val="16"/>
          <w:lang w:val="es-MX"/>
        </w:rPr>
        <w:t>Cfr</w:t>
      </w:r>
      <w:r w:rsidRPr="001F0A42">
        <w:rPr>
          <w:rFonts w:ascii="Verdana" w:hAnsi="Verdana"/>
          <w:spacing w:val="-12"/>
          <w:sz w:val="16"/>
          <w:szCs w:val="16"/>
          <w:lang w:val="es-MX"/>
        </w:rPr>
        <w:t>.</w:t>
      </w:r>
      <w:r w:rsidRPr="001F0A42">
        <w:rPr>
          <w:rFonts w:ascii="Verdana" w:hAnsi="Verdana"/>
          <w:i/>
          <w:spacing w:val="-12"/>
          <w:sz w:val="16"/>
          <w:szCs w:val="16"/>
          <w:lang w:val="es-MX"/>
        </w:rPr>
        <w:t xml:space="preserve"> Caso de la “Panel Blanca” (Paniagua Morales y otros) Vs. Guatemala</w:t>
      </w:r>
      <w:r w:rsidRPr="001F0A42">
        <w:rPr>
          <w:rFonts w:ascii="Verdana" w:hAnsi="Verdana"/>
          <w:spacing w:val="-12"/>
          <w:sz w:val="16"/>
          <w:szCs w:val="16"/>
          <w:lang w:val="es-MX"/>
        </w:rPr>
        <w:t>. Fondo. Sentencia de 8 de marzo de 1998</w:t>
      </w:r>
      <w:r>
        <w:rPr>
          <w:rFonts w:ascii="Verdana" w:hAnsi="Verdana"/>
          <w:spacing w:val="-12"/>
          <w:sz w:val="16"/>
          <w:szCs w:val="16"/>
          <w:lang w:val="es-MX"/>
        </w:rPr>
        <w:t>. Serie C No. 37</w:t>
      </w:r>
      <w:r w:rsidRPr="001F0A42">
        <w:rPr>
          <w:rFonts w:ascii="Verdana" w:hAnsi="Verdana"/>
          <w:spacing w:val="-12"/>
          <w:sz w:val="16"/>
          <w:szCs w:val="16"/>
          <w:lang w:val="es-MX"/>
        </w:rPr>
        <w:t xml:space="preserve">, párr. 76, y </w:t>
      </w:r>
      <w:r w:rsidRPr="00B168DE">
        <w:rPr>
          <w:rFonts w:ascii="Verdana" w:hAnsi="Verdana"/>
          <w:i/>
          <w:spacing w:val="-12"/>
          <w:sz w:val="16"/>
          <w:szCs w:val="16"/>
        </w:rPr>
        <w:t xml:space="preserve">Caso </w:t>
      </w:r>
      <w:r>
        <w:rPr>
          <w:rFonts w:ascii="Verdana" w:hAnsi="Verdana"/>
          <w:i/>
          <w:spacing w:val="-12"/>
          <w:sz w:val="16"/>
          <w:szCs w:val="16"/>
        </w:rPr>
        <w:t>Valencia Hinojosa vs. Ecuador, supra</w:t>
      </w:r>
      <w:r w:rsidRPr="001F0A42">
        <w:rPr>
          <w:rFonts w:ascii="Verdana" w:hAnsi="Verdana"/>
          <w:spacing w:val="-12"/>
          <w:sz w:val="16"/>
          <w:szCs w:val="16"/>
          <w:lang w:val="es-MX"/>
        </w:rPr>
        <w:t xml:space="preserve">, párr. </w:t>
      </w:r>
      <w:r>
        <w:rPr>
          <w:rFonts w:ascii="Verdana" w:hAnsi="Verdana"/>
          <w:spacing w:val="-12"/>
          <w:sz w:val="16"/>
          <w:szCs w:val="16"/>
          <w:lang w:val="es-MX"/>
        </w:rPr>
        <w:t>50</w:t>
      </w:r>
      <w:r w:rsidRPr="001F0A42">
        <w:rPr>
          <w:rFonts w:ascii="Verdana" w:hAnsi="Verdana"/>
          <w:spacing w:val="-12"/>
          <w:sz w:val="16"/>
          <w:szCs w:val="16"/>
          <w:lang w:val="es-MX"/>
        </w:rPr>
        <w:t xml:space="preserve">. </w:t>
      </w:r>
    </w:p>
  </w:footnote>
  <w:footnote w:id="22">
    <w:p w14:paraId="2BF87622" w14:textId="0484AC38"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i/>
          <w:spacing w:val="-12"/>
          <w:sz w:val="16"/>
          <w:szCs w:val="16"/>
          <w:lang w:val="es-MX"/>
        </w:rPr>
        <w:t>Cfr</w:t>
      </w:r>
      <w:r w:rsidRPr="001F0A42">
        <w:rPr>
          <w:rFonts w:ascii="Verdana" w:hAnsi="Verdana"/>
          <w:spacing w:val="-12"/>
          <w:sz w:val="16"/>
          <w:szCs w:val="16"/>
          <w:lang w:val="es-MX"/>
        </w:rPr>
        <w:t xml:space="preserve">. </w:t>
      </w:r>
      <w:r w:rsidRPr="001F0A42">
        <w:rPr>
          <w:rFonts w:ascii="Verdana" w:hAnsi="Verdana"/>
          <w:i/>
          <w:spacing w:val="-12"/>
          <w:sz w:val="16"/>
          <w:szCs w:val="16"/>
          <w:lang w:val="es-MX"/>
        </w:rPr>
        <w:t>Caso Loayza Tamayo Vs. Perú. Fondo</w:t>
      </w:r>
      <w:r w:rsidRPr="001F0A42">
        <w:rPr>
          <w:rFonts w:ascii="Verdana" w:hAnsi="Verdana"/>
          <w:spacing w:val="-12"/>
          <w:sz w:val="16"/>
          <w:szCs w:val="16"/>
          <w:lang w:val="es-MX"/>
        </w:rPr>
        <w:t xml:space="preserve">. Sentencia de 17 de septiembre de 1997. Serie C No. 33, párr. 43, y </w:t>
      </w:r>
      <w:r w:rsidRPr="00B168DE">
        <w:rPr>
          <w:rFonts w:ascii="Verdana" w:hAnsi="Verdana"/>
          <w:i/>
          <w:spacing w:val="-12"/>
          <w:sz w:val="16"/>
          <w:szCs w:val="16"/>
        </w:rPr>
        <w:t xml:space="preserve">Caso </w:t>
      </w:r>
      <w:r>
        <w:rPr>
          <w:rFonts w:ascii="Verdana" w:hAnsi="Verdana"/>
          <w:i/>
          <w:spacing w:val="-12"/>
          <w:sz w:val="16"/>
          <w:szCs w:val="16"/>
        </w:rPr>
        <w:t>Valencia Hinojosa vs. Ecuador, supra</w:t>
      </w:r>
      <w:r w:rsidRPr="001F0A42">
        <w:rPr>
          <w:rFonts w:ascii="Verdana" w:hAnsi="Verdana"/>
          <w:spacing w:val="-12"/>
          <w:sz w:val="16"/>
          <w:szCs w:val="16"/>
          <w:lang w:val="es-MX"/>
        </w:rPr>
        <w:t xml:space="preserve">, párr. </w:t>
      </w:r>
      <w:r>
        <w:rPr>
          <w:rFonts w:ascii="Verdana" w:hAnsi="Verdana"/>
          <w:spacing w:val="-12"/>
          <w:sz w:val="16"/>
          <w:szCs w:val="16"/>
          <w:lang w:val="es-MX"/>
        </w:rPr>
        <w:t>51</w:t>
      </w:r>
      <w:r w:rsidRPr="001F0A42">
        <w:rPr>
          <w:rFonts w:ascii="Verdana" w:hAnsi="Verdana"/>
          <w:spacing w:val="-12"/>
          <w:sz w:val="16"/>
          <w:szCs w:val="16"/>
          <w:lang w:val="es-MX"/>
        </w:rPr>
        <w:t>.</w:t>
      </w:r>
    </w:p>
  </w:footnote>
  <w:footnote w:id="23">
    <w:p w14:paraId="0E88D235" w14:textId="673B1C57" w:rsidR="00D93B58" w:rsidRPr="00F6063A" w:rsidRDefault="00D93B58" w:rsidP="00C10D2F">
      <w:pPr>
        <w:pStyle w:val="Textonotapie"/>
        <w:jc w:val="both"/>
        <w:rPr>
          <w:rFonts w:ascii="Verdana" w:hAnsi="Verdana"/>
          <w:i/>
          <w:sz w:val="16"/>
          <w:szCs w:val="16"/>
        </w:rPr>
      </w:pPr>
      <w:r w:rsidRPr="00DE5E1F">
        <w:rPr>
          <w:rStyle w:val="Refdenotaalpie"/>
          <w:rFonts w:ascii="Verdana" w:hAnsi="Verdana"/>
          <w:sz w:val="16"/>
          <w:szCs w:val="16"/>
        </w:rPr>
        <w:footnoteRef/>
      </w:r>
      <w:r w:rsidRPr="00DE5E1F">
        <w:rPr>
          <w:rFonts w:ascii="Verdana" w:hAnsi="Verdana"/>
          <w:sz w:val="16"/>
          <w:szCs w:val="16"/>
        </w:rPr>
        <w:t xml:space="preserve"> </w:t>
      </w:r>
      <w:r w:rsidRPr="00DE5E1F">
        <w:rPr>
          <w:rFonts w:ascii="Verdana" w:hAnsi="Verdana"/>
          <w:sz w:val="16"/>
          <w:szCs w:val="16"/>
        </w:rPr>
        <w:tab/>
      </w:r>
      <w:r w:rsidRPr="00DE5E1F">
        <w:rPr>
          <w:rFonts w:ascii="Verdana" w:hAnsi="Verdana"/>
          <w:spacing w:val="-12"/>
          <w:sz w:val="16"/>
          <w:szCs w:val="16"/>
        </w:rPr>
        <w:t xml:space="preserve">Tales temas están referidos en la nota al pie 12 </w:t>
      </w:r>
      <w:r w:rsidRPr="00DE5E1F">
        <w:rPr>
          <w:rFonts w:ascii="Verdana" w:hAnsi="Verdana"/>
          <w:i/>
          <w:spacing w:val="-12"/>
          <w:sz w:val="16"/>
          <w:szCs w:val="16"/>
        </w:rPr>
        <w:t>supra.</w:t>
      </w:r>
    </w:p>
  </w:footnote>
  <w:footnote w:id="24">
    <w:p w14:paraId="7194DCCF" w14:textId="3D5A5185" w:rsidR="00D93B58" w:rsidRPr="001458B2" w:rsidRDefault="00D93B58" w:rsidP="00764F62">
      <w:pPr>
        <w:pStyle w:val="Footnotes"/>
        <w:tabs>
          <w:tab w:val="left" w:pos="426"/>
        </w:tabs>
        <w:spacing w:after="120"/>
        <w:rPr>
          <w:rFonts w:cs="Times New Roman"/>
          <w:spacing w:val="-12"/>
        </w:rPr>
      </w:pPr>
      <w:r w:rsidRPr="001F0A42">
        <w:rPr>
          <w:rStyle w:val="Refdenotaalpie"/>
          <w:spacing w:val="-12"/>
        </w:rPr>
        <w:footnoteRef/>
      </w:r>
      <w:r w:rsidRPr="001F0A42">
        <w:rPr>
          <w:spacing w:val="-12"/>
          <w:vertAlign w:val="superscript"/>
        </w:rPr>
        <w:t xml:space="preserve"> </w:t>
      </w:r>
      <w:r w:rsidRPr="001F0A42">
        <w:rPr>
          <w:spacing w:val="-12"/>
          <w:vertAlign w:val="superscript"/>
        </w:rPr>
        <w:tab/>
      </w:r>
      <w:r w:rsidRPr="001F0A42">
        <w:rPr>
          <w:rFonts w:eastAsia="Times New Roman" w:cs="Times New Roman"/>
          <w:i/>
          <w:iCs w:val="0"/>
          <w:spacing w:val="-12"/>
          <w:lang w:val="es-MX"/>
        </w:rPr>
        <w:t xml:space="preserve">Cfr. Caso Cinco Pensionistas Vs. Perú. Fondo, Reparaciones y Costas. </w:t>
      </w:r>
      <w:r w:rsidRPr="001458B2">
        <w:rPr>
          <w:rFonts w:eastAsia="Times New Roman" w:cs="Times New Roman"/>
          <w:iCs w:val="0"/>
          <w:spacing w:val="-12"/>
          <w:lang w:val="es-MX"/>
        </w:rPr>
        <w:t xml:space="preserve">Sentencia de 28 de febrero de 2003. Serie C No. 98, párr. 153, y </w:t>
      </w:r>
      <w:r w:rsidRPr="001F0A42">
        <w:rPr>
          <w:bCs/>
          <w:i/>
          <w:spacing w:val="-12"/>
          <w:lang w:val="es-MX"/>
        </w:rPr>
        <w:t>Caso I.V. vs. Bolivia, supra</w:t>
      </w:r>
      <w:r w:rsidRPr="001F0A42">
        <w:rPr>
          <w:bCs/>
          <w:spacing w:val="-12"/>
          <w:lang w:val="es-MX"/>
        </w:rPr>
        <w:t>, párr.</w:t>
      </w:r>
      <w:r>
        <w:rPr>
          <w:bCs/>
          <w:spacing w:val="-12"/>
          <w:lang w:val="es-MX"/>
        </w:rPr>
        <w:t xml:space="preserve"> 45</w:t>
      </w:r>
      <w:r w:rsidRPr="001458B2">
        <w:rPr>
          <w:rFonts w:eastAsia="Times New Roman" w:cs="Times New Roman"/>
          <w:iCs w:val="0"/>
          <w:spacing w:val="-12"/>
          <w:lang w:val="es-MX"/>
        </w:rPr>
        <w:t>.</w:t>
      </w:r>
    </w:p>
  </w:footnote>
  <w:footnote w:id="25">
    <w:p w14:paraId="16FED4F2" w14:textId="20BA3AC0" w:rsidR="00D93B58" w:rsidRPr="001F0A42" w:rsidRDefault="00D93B58" w:rsidP="00C10D2F">
      <w:pPr>
        <w:pStyle w:val="Footnotes"/>
        <w:tabs>
          <w:tab w:val="left" w:pos="426"/>
        </w:tabs>
        <w:spacing w:after="120"/>
        <w:rPr>
          <w:spacing w:val="-12"/>
        </w:rPr>
      </w:pPr>
      <w:r w:rsidRPr="001F0A42">
        <w:rPr>
          <w:rStyle w:val="Refdenotaalpie"/>
          <w:spacing w:val="-12"/>
          <w:lang w:val="es-CR"/>
        </w:rPr>
        <w:footnoteRef/>
      </w:r>
      <w:r w:rsidRPr="001F0A42">
        <w:rPr>
          <w:spacing w:val="-12"/>
        </w:rPr>
        <w:t xml:space="preserve"> </w:t>
      </w:r>
      <w:r w:rsidRPr="001F0A42">
        <w:rPr>
          <w:spacing w:val="-12"/>
        </w:rPr>
        <w:tab/>
      </w:r>
      <w:r w:rsidRPr="001F0A42">
        <w:rPr>
          <w:rFonts w:eastAsia="Times New Roman" w:cs="Times New Roman"/>
          <w:i/>
          <w:iCs w:val="0"/>
          <w:spacing w:val="-12"/>
          <w:lang w:val="es-MX"/>
        </w:rPr>
        <w:t>Cfr. C</w:t>
      </w:r>
      <w:r>
        <w:rPr>
          <w:rFonts w:eastAsia="Times New Roman" w:cs="Times New Roman"/>
          <w:i/>
          <w:iCs w:val="0"/>
          <w:spacing w:val="-12"/>
          <w:lang w:val="es-MX"/>
        </w:rPr>
        <w:t>aso Cinco Pensionistas Vs. Perú,</w:t>
      </w:r>
      <w:r w:rsidRPr="001F0A42">
        <w:rPr>
          <w:rFonts w:eastAsia="Times New Roman" w:cs="Times New Roman"/>
          <w:i/>
          <w:iCs w:val="0"/>
          <w:spacing w:val="-12"/>
          <w:lang w:val="es-MX"/>
        </w:rPr>
        <w:t xml:space="preserve"> </w:t>
      </w:r>
      <w:r>
        <w:rPr>
          <w:rFonts w:eastAsia="Times New Roman" w:cs="Times New Roman"/>
          <w:i/>
          <w:iCs w:val="0"/>
          <w:spacing w:val="-12"/>
          <w:lang w:val="es-MX"/>
        </w:rPr>
        <w:t>supra</w:t>
      </w:r>
      <w:r w:rsidRPr="001F0A42">
        <w:rPr>
          <w:rFonts w:eastAsia="Times New Roman" w:cs="Times New Roman"/>
          <w:i/>
          <w:iCs w:val="0"/>
          <w:spacing w:val="-12"/>
          <w:lang w:val="es-MX"/>
        </w:rPr>
        <w:t xml:space="preserve">, </w:t>
      </w:r>
      <w:r w:rsidRPr="001458B2">
        <w:rPr>
          <w:rFonts w:eastAsia="Times New Roman" w:cs="Times New Roman"/>
          <w:iCs w:val="0"/>
          <w:spacing w:val="-12"/>
          <w:lang w:val="es-MX"/>
        </w:rPr>
        <w:t>párr. 155, y</w:t>
      </w:r>
      <w:r w:rsidRPr="001F0A42">
        <w:rPr>
          <w:rFonts w:eastAsia="Times New Roman" w:cs="Times New Roman"/>
          <w:i/>
          <w:iCs w:val="0"/>
          <w:spacing w:val="-12"/>
          <w:lang w:val="es-MX"/>
        </w:rPr>
        <w:t xml:space="preserve"> </w:t>
      </w:r>
      <w:r w:rsidRPr="001F0A42">
        <w:rPr>
          <w:bCs/>
          <w:i/>
          <w:spacing w:val="-12"/>
          <w:lang w:val="es-MX"/>
        </w:rPr>
        <w:t>Caso I.V. vs. Bolivia, supra</w:t>
      </w:r>
      <w:r w:rsidRPr="001F0A42">
        <w:rPr>
          <w:bCs/>
          <w:spacing w:val="-12"/>
          <w:lang w:val="es-MX"/>
        </w:rPr>
        <w:t>, párr.</w:t>
      </w:r>
      <w:r>
        <w:rPr>
          <w:bCs/>
          <w:spacing w:val="-12"/>
          <w:lang w:val="es-MX"/>
        </w:rPr>
        <w:t xml:space="preserve"> 48</w:t>
      </w:r>
      <w:r w:rsidRPr="001F0A42">
        <w:rPr>
          <w:rFonts w:eastAsia="Times New Roman" w:cs="Times New Roman"/>
          <w:i/>
          <w:iCs w:val="0"/>
          <w:spacing w:val="-12"/>
          <w:lang w:val="es-MX"/>
        </w:rPr>
        <w:t>.</w:t>
      </w:r>
    </w:p>
  </w:footnote>
  <w:footnote w:id="26">
    <w:p w14:paraId="493C0C40" w14:textId="6CB63CFF" w:rsidR="00D93B58" w:rsidRPr="001F0A42" w:rsidRDefault="00D93B58" w:rsidP="00C10D2F">
      <w:pPr>
        <w:pStyle w:val="Footnotes"/>
        <w:tabs>
          <w:tab w:val="left" w:pos="426"/>
        </w:tabs>
        <w:spacing w:after="120"/>
        <w:rPr>
          <w:spacing w:val="-12"/>
        </w:rPr>
      </w:pPr>
      <w:r w:rsidRPr="001F0A42">
        <w:rPr>
          <w:rStyle w:val="Refdenotaalpie"/>
          <w:spacing w:val="-12"/>
        </w:rPr>
        <w:footnoteRef/>
      </w:r>
      <w:r w:rsidRPr="001F0A42">
        <w:rPr>
          <w:spacing w:val="-12"/>
        </w:rPr>
        <w:tab/>
      </w:r>
      <w:r w:rsidRPr="001F0A42">
        <w:rPr>
          <w:rFonts w:eastAsia="Times New Roman" w:cs="Times New Roman"/>
          <w:i/>
          <w:iCs w:val="0"/>
          <w:spacing w:val="-12"/>
          <w:lang w:val="es-MX"/>
        </w:rPr>
        <w:t xml:space="preserve">Cfr. Caso de la Masacre de Mapiripán Vs. Colombia. Fondo, Reparaciones y Costas. </w:t>
      </w:r>
      <w:r w:rsidRPr="001458B2">
        <w:rPr>
          <w:rFonts w:eastAsia="Times New Roman" w:cs="Times New Roman"/>
          <w:iCs w:val="0"/>
          <w:spacing w:val="-12"/>
          <w:lang w:val="es-MX"/>
        </w:rPr>
        <w:t>Sentencia de 15 de septiembre de 2005. Serie C No. 134, párr. 58,</w:t>
      </w:r>
      <w:r w:rsidRPr="001F0A42">
        <w:rPr>
          <w:rFonts w:eastAsia="Times New Roman" w:cs="Times New Roman"/>
          <w:i/>
          <w:iCs w:val="0"/>
          <w:spacing w:val="-12"/>
          <w:lang w:val="es-MX"/>
        </w:rPr>
        <w:t xml:space="preserve"> y </w:t>
      </w:r>
      <w:r w:rsidRPr="00AD5910">
        <w:rPr>
          <w:rFonts w:eastAsia="Times New Roman" w:cs="Times New Roman"/>
          <w:i/>
          <w:iCs w:val="0"/>
          <w:spacing w:val="-12"/>
          <w:lang w:val="es-MX"/>
        </w:rPr>
        <w:t>Caso Herrera Espinoza y otros Vs. Ecuador. Excepciones Preliminares, Fondo, Reparaciones y Costas</w:t>
      </w:r>
      <w:r w:rsidRPr="00AD5910">
        <w:rPr>
          <w:rFonts w:eastAsia="Times New Roman" w:cs="Times New Roman"/>
          <w:iCs w:val="0"/>
          <w:spacing w:val="-12"/>
          <w:lang w:val="es-MX"/>
        </w:rPr>
        <w:t>. Sentencia de 1 de septiembre de 2016. Serie C No. 316</w:t>
      </w:r>
      <w:r>
        <w:rPr>
          <w:rFonts w:eastAsia="Times New Roman" w:cs="Times New Roman"/>
          <w:iCs w:val="0"/>
          <w:spacing w:val="-12"/>
          <w:lang w:val="es-MX"/>
        </w:rPr>
        <w:t>, párr. 41</w:t>
      </w:r>
      <w:r w:rsidRPr="001F0A42">
        <w:rPr>
          <w:rFonts w:eastAsia="Times New Roman" w:cs="Times New Roman"/>
          <w:iCs w:val="0"/>
          <w:spacing w:val="-12"/>
          <w:lang w:val="es-MX"/>
        </w:rPr>
        <w:t>.</w:t>
      </w:r>
    </w:p>
  </w:footnote>
  <w:footnote w:id="27">
    <w:p w14:paraId="5B10F23F" w14:textId="465A9DBB"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Carta de fecha 2 de mayo de 2002 del Rector de la Universidad de Tromso en Noruega dirigida a la Oficina del Alto Comisionado de Naciones Unidas para los Derechos Humanos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f.</w:t>
      </w:r>
      <w:r>
        <w:rPr>
          <w:rFonts w:ascii="Verdana" w:hAnsi="Verdana"/>
          <w:spacing w:val="-12"/>
          <w:sz w:val="16"/>
          <w:szCs w:val="16"/>
          <w:lang w:val="es-MX"/>
        </w:rPr>
        <w:t xml:space="preserve"> 15); c</w:t>
      </w:r>
      <w:r w:rsidRPr="001F0A42">
        <w:rPr>
          <w:rFonts w:ascii="Verdana" w:hAnsi="Verdana"/>
          <w:spacing w:val="-12"/>
          <w:sz w:val="16"/>
          <w:szCs w:val="16"/>
          <w:lang w:val="es-MX"/>
        </w:rPr>
        <w:t>arta de fecha 18 de abril de 2002 del Comité Ejecutivo del Centro de Estudios sobre América Latina y el Caribe en la Universidad de York, en Toronto, Canadá, dirigida al Presidente de Nicaragua (expediente de prueba</w:t>
      </w:r>
      <w:r>
        <w:rPr>
          <w:rFonts w:ascii="Verdana" w:hAnsi="Verdana"/>
          <w:spacing w:val="-12"/>
          <w:sz w:val="16"/>
          <w:szCs w:val="16"/>
          <w:lang w:val="es-MX"/>
        </w:rPr>
        <w:t xml:space="preserve">, </w:t>
      </w:r>
      <w:r w:rsidRPr="001F0A42">
        <w:rPr>
          <w:rFonts w:ascii="Verdana" w:hAnsi="Verdana"/>
          <w:spacing w:val="-12"/>
          <w:sz w:val="16"/>
          <w:szCs w:val="16"/>
          <w:lang w:val="es-MX"/>
        </w:rPr>
        <w:t>ff. 17</w:t>
      </w:r>
      <w:r>
        <w:rPr>
          <w:rFonts w:ascii="Verdana" w:hAnsi="Verdana"/>
          <w:spacing w:val="-12"/>
          <w:sz w:val="16"/>
          <w:szCs w:val="16"/>
          <w:lang w:val="es-MX"/>
        </w:rPr>
        <w:t xml:space="preserve"> a 19); c</w:t>
      </w:r>
      <w:r w:rsidRPr="001F0A42">
        <w:rPr>
          <w:rFonts w:ascii="Verdana" w:hAnsi="Verdana"/>
          <w:spacing w:val="-12"/>
          <w:sz w:val="16"/>
          <w:szCs w:val="16"/>
          <w:lang w:val="es-MX"/>
        </w:rPr>
        <w:t xml:space="preserve">arta de fecha 11 de abril de 2002 de la organización </w:t>
      </w:r>
      <w:r w:rsidRPr="007A3724">
        <w:rPr>
          <w:rFonts w:ascii="Verdana" w:hAnsi="Verdana"/>
          <w:i/>
          <w:spacing w:val="-12"/>
          <w:sz w:val="16"/>
          <w:szCs w:val="16"/>
          <w:lang w:val="es-MX"/>
        </w:rPr>
        <w:t>Nicaragua Emergency Response Network</w:t>
      </w:r>
      <w:r w:rsidRPr="001F0A42">
        <w:rPr>
          <w:rFonts w:ascii="Verdana" w:hAnsi="Verdana"/>
          <w:spacing w:val="-12"/>
          <w:sz w:val="16"/>
          <w:szCs w:val="16"/>
          <w:lang w:val="es-MX"/>
        </w:rPr>
        <w:t>, dirigida al Presidente de Nicaragua (expediente de prueba</w:t>
      </w:r>
      <w:r>
        <w:rPr>
          <w:rFonts w:ascii="Verdana" w:hAnsi="Verdana"/>
          <w:spacing w:val="-12"/>
          <w:sz w:val="16"/>
          <w:szCs w:val="16"/>
          <w:lang w:val="es-MX"/>
        </w:rPr>
        <w:t>, f. 21); n</w:t>
      </w:r>
      <w:r w:rsidRPr="001F0A42">
        <w:rPr>
          <w:rFonts w:ascii="Verdana" w:hAnsi="Verdana"/>
          <w:spacing w:val="-12"/>
          <w:sz w:val="16"/>
          <w:szCs w:val="16"/>
          <w:lang w:val="es-MX"/>
        </w:rPr>
        <w:t>ota de prensa “Pastores por la Paz imploran investigar crimen” publicada en el diario La Prensa el 10 de abril de 2002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f.</w:t>
      </w:r>
      <w:r>
        <w:rPr>
          <w:rFonts w:ascii="Verdana" w:hAnsi="Verdana"/>
          <w:spacing w:val="-12"/>
          <w:sz w:val="16"/>
          <w:szCs w:val="16"/>
          <w:lang w:val="es-MX"/>
        </w:rPr>
        <w:t xml:space="preserve"> 23); </w:t>
      </w:r>
      <w:r w:rsidRPr="001F0A42">
        <w:rPr>
          <w:rFonts w:ascii="Verdana" w:hAnsi="Verdana"/>
          <w:spacing w:val="-12"/>
          <w:sz w:val="16"/>
          <w:szCs w:val="16"/>
          <w:lang w:val="es-MX"/>
        </w:rPr>
        <w:t>Pronunciamiento de fecha 11 de abril de 2002 de la Procuraduría para la Defensa de los Derechos Humanos de Nicaragua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f. 25).</w:t>
      </w:r>
    </w:p>
  </w:footnote>
  <w:footnote w:id="28">
    <w:p w14:paraId="545D7C69" w14:textId="542F1D88"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 xml:space="preserve">Nota de prensa “Corte Suprema ventilará conflicto por Cayos de Perlas” publicada en el diario </w:t>
      </w:r>
      <w:r w:rsidRPr="001F0A42">
        <w:rPr>
          <w:rFonts w:ascii="Verdana" w:hAnsi="Verdana"/>
          <w:i/>
          <w:spacing w:val="-12"/>
          <w:sz w:val="16"/>
          <w:szCs w:val="16"/>
          <w:lang w:val="es-MX"/>
        </w:rPr>
        <w:t>La Prensa</w:t>
      </w:r>
      <w:r w:rsidRPr="001F0A42">
        <w:rPr>
          <w:rFonts w:ascii="Verdana" w:hAnsi="Verdana"/>
          <w:spacing w:val="-12"/>
          <w:sz w:val="16"/>
          <w:szCs w:val="16"/>
          <w:lang w:val="es-MX"/>
        </w:rPr>
        <w:t xml:space="preserve"> el 14 de octubre del 20</w:t>
      </w:r>
      <w:r>
        <w:rPr>
          <w:rFonts w:ascii="Verdana" w:hAnsi="Verdana"/>
          <w:spacing w:val="-12"/>
          <w:sz w:val="16"/>
          <w:szCs w:val="16"/>
          <w:lang w:val="es-MX"/>
        </w:rPr>
        <w:t>00 (expediente de prueba, f. 27);</w:t>
      </w:r>
      <w:r w:rsidRPr="001F0A42">
        <w:rPr>
          <w:rFonts w:ascii="Verdana" w:hAnsi="Verdana"/>
          <w:spacing w:val="-12"/>
          <w:sz w:val="16"/>
          <w:szCs w:val="16"/>
          <w:lang w:val="es-MX"/>
        </w:rPr>
        <w:t xml:space="preserve"> </w:t>
      </w:r>
      <w:r>
        <w:rPr>
          <w:rFonts w:ascii="Verdana" w:hAnsi="Verdana"/>
          <w:spacing w:val="-12"/>
          <w:sz w:val="16"/>
          <w:szCs w:val="16"/>
          <w:lang w:val="es-MX"/>
        </w:rPr>
        <w:t>a</w:t>
      </w:r>
      <w:r w:rsidRPr="000F3423">
        <w:rPr>
          <w:rFonts w:ascii="Verdana" w:hAnsi="Verdana"/>
          <w:spacing w:val="-12"/>
          <w:sz w:val="16"/>
          <w:szCs w:val="16"/>
          <w:lang w:val="es-MX"/>
        </w:rPr>
        <w:t>rtículo “Análisis Jurídico sobre la Compra-Venta de los Cayos Perlas”</w:t>
      </w:r>
      <w:r>
        <w:rPr>
          <w:rFonts w:ascii="Verdana" w:hAnsi="Verdana"/>
          <w:spacing w:val="-12"/>
          <w:sz w:val="16"/>
          <w:szCs w:val="16"/>
          <w:lang w:val="es-MX"/>
        </w:rPr>
        <w:t>,</w:t>
      </w:r>
      <w:r w:rsidRPr="000F3423">
        <w:rPr>
          <w:rFonts w:ascii="Verdana" w:hAnsi="Verdana"/>
          <w:spacing w:val="-12"/>
          <w:sz w:val="16"/>
          <w:szCs w:val="16"/>
          <w:lang w:val="es-MX"/>
        </w:rPr>
        <w:t xml:space="preserve"> publicado en la Revista del Caribe Nicaragüense </w:t>
      </w:r>
      <w:r w:rsidRPr="000F3423">
        <w:rPr>
          <w:rFonts w:ascii="Verdana" w:hAnsi="Verdana"/>
          <w:i/>
          <w:spacing w:val="-12"/>
          <w:sz w:val="16"/>
          <w:szCs w:val="16"/>
          <w:lang w:val="es-MX"/>
        </w:rPr>
        <w:t>WANI</w:t>
      </w:r>
      <w:r w:rsidRPr="000F3423">
        <w:rPr>
          <w:rFonts w:ascii="Verdana" w:hAnsi="Verdana"/>
          <w:spacing w:val="-12"/>
          <w:sz w:val="16"/>
          <w:szCs w:val="16"/>
          <w:lang w:val="es-MX"/>
        </w:rPr>
        <w:t xml:space="preserve">, en su edición Abril-Junio 2002, no. 29. </w:t>
      </w:r>
      <w:r>
        <w:rPr>
          <w:rFonts w:ascii="Verdana" w:hAnsi="Verdana"/>
          <w:spacing w:val="-12"/>
          <w:sz w:val="16"/>
          <w:szCs w:val="16"/>
          <w:lang w:val="es-MX"/>
        </w:rPr>
        <w:t xml:space="preserve">(expediente de prueba, ff. 29 a 40); y </w:t>
      </w:r>
      <w:r w:rsidRPr="007A3724">
        <w:rPr>
          <w:rFonts w:ascii="Verdana" w:hAnsi="Verdana"/>
          <w:i/>
          <w:spacing w:val="-12"/>
          <w:sz w:val="16"/>
          <w:szCs w:val="16"/>
          <w:lang w:val="es-CR"/>
        </w:rPr>
        <w:t>Workers World, Nicaragua leader targeted</w:t>
      </w:r>
      <w:r w:rsidRPr="001F0A42">
        <w:rPr>
          <w:rFonts w:ascii="Verdana" w:hAnsi="Verdana"/>
          <w:spacing w:val="-12"/>
          <w:sz w:val="16"/>
          <w:szCs w:val="16"/>
          <w:lang w:val="es-CR"/>
        </w:rPr>
        <w:t xml:space="preserve">, 2 de mayo de 2002, </w:t>
      </w:r>
      <w:r>
        <w:rPr>
          <w:rFonts w:ascii="Verdana" w:hAnsi="Verdana"/>
          <w:spacing w:val="-12"/>
          <w:sz w:val="16"/>
          <w:szCs w:val="16"/>
          <w:lang w:val="es-CR"/>
        </w:rPr>
        <w:t xml:space="preserve">disponible en: </w:t>
      </w:r>
      <w:hyperlink r:id="rId7" w:history="1">
        <w:r w:rsidRPr="001F0A42">
          <w:rPr>
            <w:rStyle w:val="Hipervnculo"/>
            <w:rFonts w:ascii="Verdana" w:hAnsi="Verdana"/>
            <w:spacing w:val="-12"/>
            <w:sz w:val="16"/>
            <w:szCs w:val="16"/>
            <w:lang w:val="es-CR"/>
          </w:rPr>
          <w:t>http://www.workers.org/ww/2002/nicaletter0502.php</w:t>
        </w:r>
      </w:hyperlink>
      <w:r>
        <w:rPr>
          <w:rStyle w:val="Hipervnculo"/>
          <w:rFonts w:ascii="Verdana" w:hAnsi="Verdana"/>
          <w:spacing w:val="-12"/>
          <w:sz w:val="16"/>
          <w:szCs w:val="16"/>
          <w:lang w:val="es-CR"/>
        </w:rPr>
        <w:t xml:space="preserve"> </w:t>
      </w:r>
      <w:r w:rsidRPr="007A3724">
        <w:rPr>
          <w:rFonts w:ascii="Verdana" w:hAnsi="Verdana"/>
          <w:spacing w:val="-12"/>
          <w:sz w:val="16"/>
          <w:szCs w:val="16"/>
          <w:lang w:val="es-MX"/>
        </w:rPr>
        <w:t xml:space="preserve">(expediente de prueba, </w:t>
      </w:r>
      <w:r>
        <w:rPr>
          <w:rFonts w:ascii="Verdana" w:hAnsi="Verdana"/>
          <w:spacing w:val="-12"/>
          <w:sz w:val="16"/>
          <w:szCs w:val="16"/>
          <w:lang w:val="es-MX"/>
        </w:rPr>
        <w:t>f.</w:t>
      </w:r>
      <w:r w:rsidRPr="007A3724">
        <w:rPr>
          <w:rFonts w:ascii="Verdana" w:hAnsi="Verdana"/>
          <w:spacing w:val="-12"/>
          <w:sz w:val="16"/>
          <w:szCs w:val="16"/>
          <w:lang w:val="es-MX"/>
        </w:rPr>
        <w:t xml:space="preserve"> 44).</w:t>
      </w:r>
    </w:p>
  </w:footnote>
  <w:footnote w:id="29">
    <w:p w14:paraId="19356CEF" w14:textId="11C451AA" w:rsidR="00D93B58" w:rsidRPr="001F0A42" w:rsidRDefault="00D93B58" w:rsidP="00C10D2F">
      <w:pPr>
        <w:pStyle w:val="Textonotapie"/>
        <w:spacing w:before="120" w:after="120"/>
        <w:jc w:val="both"/>
        <w:rPr>
          <w:rFonts w:ascii="Verdana" w:hAnsi="Verdana"/>
          <w:b/>
          <w:spacing w:val="-12"/>
          <w:sz w:val="16"/>
          <w:szCs w:val="16"/>
          <w:lang w:val="es-MX"/>
        </w:rPr>
      </w:pPr>
      <w:r w:rsidRPr="00002CB4">
        <w:rPr>
          <w:rStyle w:val="Refdenotaalpie"/>
          <w:rFonts w:ascii="Verdana" w:hAnsi="Verdana"/>
          <w:spacing w:val="-12"/>
          <w:sz w:val="16"/>
          <w:szCs w:val="16"/>
        </w:rPr>
        <w:footnoteRef/>
      </w:r>
      <w:r w:rsidRPr="00002CB4">
        <w:rPr>
          <w:rFonts w:ascii="Verdana" w:hAnsi="Verdana"/>
          <w:spacing w:val="-12"/>
          <w:sz w:val="16"/>
          <w:szCs w:val="16"/>
          <w:lang w:val="es-CR"/>
        </w:rPr>
        <w:t xml:space="preserve"> </w:t>
      </w:r>
      <w:r w:rsidRPr="00002CB4">
        <w:rPr>
          <w:rFonts w:ascii="Verdana" w:hAnsi="Verdana"/>
          <w:b/>
          <w:spacing w:val="-12"/>
          <w:sz w:val="16"/>
          <w:szCs w:val="16"/>
          <w:lang w:val="es-CR"/>
        </w:rPr>
        <w:tab/>
      </w:r>
      <w:r>
        <w:rPr>
          <w:rFonts w:ascii="Verdana" w:hAnsi="Verdana"/>
          <w:i/>
          <w:iCs/>
          <w:spacing w:val="-12"/>
          <w:sz w:val="16"/>
          <w:szCs w:val="16"/>
          <w:lang w:val="es-MX"/>
        </w:rPr>
        <w:t>Cfr.</w:t>
      </w:r>
      <w:r w:rsidRPr="002E11F9">
        <w:rPr>
          <w:rFonts w:ascii="Verdana" w:hAnsi="Verdana"/>
          <w:spacing w:val="-12"/>
          <w:sz w:val="16"/>
          <w:szCs w:val="16"/>
          <w:lang w:val="es-MX"/>
        </w:rPr>
        <w:t xml:space="preserve"> Carta de solidaridad a María Luisa Acosta del Centro Alexander Von Humbol</w:t>
      </w:r>
      <w:r>
        <w:rPr>
          <w:rFonts w:ascii="Verdana" w:hAnsi="Verdana"/>
          <w:spacing w:val="-12"/>
          <w:sz w:val="16"/>
          <w:szCs w:val="16"/>
          <w:lang w:val="es-MX"/>
        </w:rPr>
        <w:t>d</w:t>
      </w:r>
      <w:r w:rsidRPr="002E11F9">
        <w:rPr>
          <w:rFonts w:ascii="Verdana" w:hAnsi="Verdana"/>
          <w:spacing w:val="-12"/>
          <w:sz w:val="16"/>
          <w:szCs w:val="16"/>
          <w:lang w:val="es-MX"/>
        </w:rPr>
        <w:t>t, Grupo Jurídico Internacional, y Centro de Asistencia Legal a los pueblos indígenas (CALPI), 15 de abril de 2002. Expediente judicial de primera i</w:t>
      </w:r>
      <w:r>
        <w:rPr>
          <w:rFonts w:ascii="Verdana" w:hAnsi="Verdana"/>
          <w:spacing w:val="-12"/>
          <w:sz w:val="16"/>
          <w:szCs w:val="16"/>
          <w:lang w:val="es-MX"/>
        </w:rPr>
        <w:t>nstancia No. 110-02, folio 351 (expediente de prueba, folio 42);</w:t>
      </w:r>
      <w:r w:rsidRPr="002E11F9">
        <w:rPr>
          <w:rFonts w:ascii="Verdana" w:hAnsi="Verdana"/>
          <w:spacing w:val="-12"/>
          <w:sz w:val="16"/>
          <w:szCs w:val="16"/>
          <w:lang w:val="es-MX"/>
        </w:rPr>
        <w:t xml:space="preserve"> </w:t>
      </w:r>
      <w:r>
        <w:rPr>
          <w:rFonts w:ascii="Verdana" w:hAnsi="Verdana"/>
          <w:spacing w:val="-12"/>
          <w:sz w:val="16"/>
          <w:szCs w:val="16"/>
          <w:lang w:val="es-MX"/>
        </w:rPr>
        <w:t xml:space="preserve">nota </w:t>
      </w:r>
      <w:r w:rsidRPr="002E11F9">
        <w:rPr>
          <w:rFonts w:ascii="Verdana" w:hAnsi="Verdana"/>
          <w:spacing w:val="-12"/>
          <w:sz w:val="16"/>
          <w:szCs w:val="16"/>
          <w:lang w:val="es-MX"/>
        </w:rPr>
        <w:t>“</w:t>
      </w:r>
      <w:r w:rsidRPr="002E11F9">
        <w:rPr>
          <w:rFonts w:ascii="Verdana" w:hAnsi="Verdana"/>
          <w:spacing w:val="-12"/>
          <w:sz w:val="16"/>
          <w:szCs w:val="16"/>
          <w:lang w:val="es-CR"/>
        </w:rPr>
        <w:t xml:space="preserve">Jamás he cometido un delito, afirma, Griego protesta su inocencia”, </w:t>
      </w:r>
      <w:r w:rsidRPr="002E11F9">
        <w:rPr>
          <w:rFonts w:ascii="Verdana" w:hAnsi="Verdana"/>
          <w:i/>
          <w:spacing w:val="-12"/>
          <w:sz w:val="16"/>
          <w:szCs w:val="16"/>
          <w:lang w:val="es-CR"/>
        </w:rPr>
        <w:t>El Nuevo Diario</w:t>
      </w:r>
      <w:r>
        <w:rPr>
          <w:rFonts w:ascii="Verdana" w:hAnsi="Verdana"/>
          <w:spacing w:val="-12"/>
          <w:sz w:val="16"/>
          <w:szCs w:val="16"/>
          <w:lang w:val="es-CR"/>
        </w:rPr>
        <w:t>, 13 de abril de 2002 (expediente de prueba, folio 44);</w:t>
      </w:r>
      <w:r w:rsidRPr="002E11F9">
        <w:rPr>
          <w:rFonts w:ascii="Verdana" w:hAnsi="Verdana"/>
          <w:spacing w:val="-12"/>
          <w:sz w:val="16"/>
          <w:szCs w:val="16"/>
          <w:lang w:val="es-CR"/>
        </w:rPr>
        <w:t xml:space="preserve"> “</w:t>
      </w:r>
      <w:r w:rsidRPr="002E11F9">
        <w:rPr>
          <w:rFonts w:ascii="Verdana" w:hAnsi="Verdana" w:cs="Arial Narrow"/>
          <w:spacing w:val="-12"/>
          <w:sz w:val="16"/>
          <w:szCs w:val="16"/>
          <w:lang w:val="es-CR"/>
        </w:rPr>
        <w:t xml:space="preserve">Pastores por la Paz </w:t>
      </w:r>
      <w:r w:rsidRPr="002E11F9">
        <w:rPr>
          <w:rFonts w:ascii="Verdana" w:hAnsi="Verdana"/>
          <w:spacing w:val="-12"/>
          <w:sz w:val="16"/>
          <w:szCs w:val="16"/>
          <w:lang w:val="es-CR"/>
        </w:rPr>
        <w:t xml:space="preserve">imploran investigar </w:t>
      </w:r>
      <w:r w:rsidRPr="002E11F9">
        <w:rPr>
          <w:rFonts w:ascii="Verdana" w:hAnsi="Verdana" w:cs="Arial Narrow"/>
          <w:spacing w:val="-12"/>
          <w:sz w:val="16"/>
          <w:szCs w:val="16"/>
          <w:lang w:val="es-CR"/>
        </w:rPr>
        <w:t xml:space="preserve">crimen, constatan violaciones a </w:t>
      </w:r>
      <w:r w:rsidRPr="002E11F9">
        <w:rPr>
          <w:rFonts w:ascii="Verdana" w:hAnsi="Verdana" w:cs="Garamond"/>
          <w:spacing w:val="-12"/>
          <w:sz w:val="16"/>
          <w:szCs w:val="16"/>
          <w:lang w:val="es-CR"/>
        </w:rPr>
        <w:t xml:space="preserve">derechos </w:t>
      </w:r>
      <w:r w:rsidRPr="002E11F9">
        <w:rPr>
          <w:rFonts w:ascii="Verdana" w:hAnsi="Verdana" w:cs="Arial Narrow"/>
          <w:spacing w:val="-12"/>
          <w:sz w:val="16"/>
          <w:szCs w:val="16"/>
          <w:lang w:val="es-CR"/>
        </w:rPr>
        <w:t xml:space="preserve">indígenas en el </w:t>
      </w:r>
      <w:r w:rsidRPr="002E11F9">
        <w:rPr>
          <w:rFonts w:ascii="Verdana" w:hAnsi="Verdana"/>
          <w:spacing w:val="-12"/>
          <w:sz w:val="16"/>
          <w:szCs w:val="16"/>
          <w:lang w:val="es-CR"/>
        </w:rPr>
        <w:t xml:space="preserve">Caribe”, </w:t>
      </w:r>
      <w:r w:rsidRPr="002E11F9">
        <w:rPr>
          <w:rFonts w:ascii="Verdana" w:hAnsi="Verdana" w:cs="Arial Narrow"/>
          <w:i/>
          <w:spacing w:val="-12"/>
          <w:sz w:val="16"/>
          <w:szCs w:val="16"/>
          <w:lang w:val="es-CR"/>
        </w:rPr>
        <w:t>La Prensa</w:t>
      </w:r>
      <w:r>
        <w:rPr>
          <w:rFonts w:ascii="Verdana" w:hAnsi="Verdana" w:cs="Arial Narrow"/>
          <w:spacing w:val="-12"/>
          <w:sz w:val="16"/>
          <w:szCs w:val="16"/>
          <w:lang w:val="es-CR"/>
        </w:rPr>
        <w:t xml:space="preserve">, 10 de abril de 2002 (expediente de prueba, folio 23); </w:t>
      </w:r>
      <w:r w:rsidRPr="002E11F9">
        <w:rPr>
          <w:rFonts w:ascii="Verdana" w:hAnsi="Verdana"/>
          <w:spacing w:val="-12"/>
          <w:sz w:val="16"/>
          <w:szCs w:val="16"/>
          <w:lang w:val="es-MX"/>
        </w:rPr>
        <w:t xml:space="preserve">“Nicaragua leader targeted”, </w:t>
      </w:r>
      <w:r w:rsidRPr="002E11F9">
        <w:rPr>
          <w:rFonts w:ascii="Verdana" w:hAnsi="Verdana"/>
          <w:i/>
          <w:spacing w:val="-12"/>
          <w:sz w:val="16"/>
          <w:szCs w:val="16"/>
          <w:lang w:val="es-MX"/>
        </w:rPr>
        <w:t>Workers World</w:t>
      </w:r>
      <w:r w:rsidRPr="002E11F9">
        <w:rPr>
          <w:rFonts w:ascii="Verdana" w:hAnsi="Verdana"/>
          <w:spacing w:val="-12"/>
          <w:sz w:val="16"/>
          <w:szCs w:val="16"/>
          <w:lang w:val="es-MX"/>
        </w:rPr>
        <w:t xml:space="preserve">, 2 de mayo de 2002. Disponible en  </w:t>
      </w:r>
      <w:hyperlink r:id="rId8" w:history="1">
        <w:r w:rsidRPr="002E11F9">
          <w:rPr>
            <w:rStyle w:val="Hipervnculo"/>
            <w:rFonts w:ascii="Verdana" w:hAnsi="Verdana"/>
            <w:spacing w:val="-12"/>
            <w:sz w:val="16"/>
            <w:szCs w:val="16"/>
            <w:lang w:val="es-MX"/>
          </w:rPr>
          <w:t>http://www.workers.org/ww/2002/nicaletter0502.php</w:t>
        </w:r>
      </w:hyperlink>
      <w:r w:rsidRPr="00450DC5">
        <w:rPr>
          <w:rFonts w:ascii="Verdana" w:hAnsi="Verdana"/>
          <w:spacing w:val="-12"/>
          <w:sz w:val="16"/>
          <w:szCs w:val="16"/>
          <w:lang w:val="es-MX"/>
        </w:rPr>
        <w:t xml:space="preserve"> (expediente de prueba, folio 44);</w:t>
      </w:r>
      <w:r w:rsidRPr="002E11F9">
        <w:rPr>
          <w:rFonts w:ascii="Verdana" w:hAnsi="Verdana"/>
          <w:spacing w:val="-12"/>
          <w:sz w:val="16"/>
          <w:szCs w:val="16"/>
          <w:lang w:val="es-MX"/>
        </w:rPr>
        <w:t xml:space="preserve"> “Indígenas reclaman complejo de islotes”, </w:t>
      </w:r>
      <w:r w:rsidRPr="002E11F9">
        <w:rPr>
          <w:rFonts w:ascii="Verdana" w:hAnsi="Verdana"/>
          <w:i/>
          <w:spacing w:val="-12"/>
          <w:sz w:val="16"/>
          <w:szCs w:val="16"/>
          <w:lang w:val="es-MX"/>
        </w:rPr>
        <w:t>La Prensa</w:t>
      </w:r>
      <w:r>
        <w:rPr>
          <w:rFonts w:ascii="Verdana" w:hAnsi="Verdana"/>
          <w:spacing w:val="-12"/>
          <w:sz w:val="16"/>
          <w:szCs w:val="16"/>
          <w:lang w:val="es-MX"/>
        </w:rPr>
        <w:t>, 8 de octubre de 2000 (expediente de prueba, folio 46)</w:t>
      </w:r>
      <w:r>
        <w:rPr>
          <w:rFonts w:ascii="Verdana" w:hAnsi="Verdana" w:cs="Arial Narrow"/>
          <w:spacing w:val="-12"/>
          <w:sz w:val="16"/>
          <w:szCs w:val="16"/>
          <w:lang w:val="es-CR"/>
        </w:rPr>
        <w:t xml:space="preserve">; </w:t>
      </w:r>
      <w:r w:rsidRPr="00450DC5">
        <w:rPr>
          <w:rFonts w:ascii="Verdana" w:hAnsi="Verdana"/>
          <w:spacing w:val="-12"/>
          <w:sz w:val="16"/>
          <w:szCs w:val="16"/>
          <w:lang w:val="es-CR"/>
        </w:rPr>
        <w:t xml:space="preserve">Catherine Elton, “Legal storm rocking island `kingdom'”, </w:t>
      </w:r>
      <w:r w:rsidRPr="00450DC5">
        <w:rPr>
          <w:rFonts w:ascii="Verdana" w:hAnsi="Verdana"/>
          <w:i/>
          <w:spacing w:val="-12"/>
          <w:sz w:val="16"/>
          <w:szCs w:val="16"/>
          <w:lang w:val="es-CR"/>
        </w:rPr>
        <w:t>The Miami Herald,</w:t>
      </w:r>
      <w:r w:rsidRPr="00450DC5">
        <w:rPr>
          <w:rFonts w:ascii="Verdana" w:hAnsi="Verdana"/>
          <w:spacing w:val="-12"/>
          <w:sz w:val="16"/>
          <w:szCs w:val="16"/>
          <w:lang w:val="es-CR"/>
        </w:rPr>
        <w:t xml:space="preserve"> 99</w:t>
      </w:r>
      <w:r w:rsidRPr="00450DC5">
        <w:rPr>
          <w:rFonts w:ascii="Verdana" w:hAnsi="Verdana"/>
          <w:spacing w:val="-12"/>
          <w:sz w:val="16"/>
          <w:szCs w:val="16"/>
          <w:vertAlign w:val="superscript"/>
          <w:lang w:val="es-CR"/>
        </w:rPr>
        <w:t>th</w:t>
      </w:r>
      <w:r w:rsidRPr="00450DC5">
        <w:rPr>
          <w:rFonts w:ascii="Verdana" w:hAnsi="Verdana"/>
          <w:spacing w:val="-12"/>
          <w:sz w:val="16"/>
          <w:szCs w:val="16"/>
          <w:lang w:val="es-CR"/>
        </w:rPr>
        <w:t xml:space="preserve"> Year, No. 219, 2002</w:t>
      </w:r>
      <w:r w:rsidRPr="00450DC5">
        <w:rPr>
          <w:rFonts w:ascii="Verdana" w:hAnsi="Verdana" w:cs="Arial Narrow"/>
          <w:spacing w:val="-12"/>
          <w:sz w:val="16"/>
          <w:szCs w:val="16"/>
          <w:lang w:val="es-CR"/>
        </w:rPr>
        <w:t xml:space="preserve">. </w:t>
      </w:r>
      <w:r w:rsidRPr="001F0A42">
        <w:rPr>
          <w:rFonts w:ascii="Verdana" w:hAnsi="Verdana"/>
          <w:spacing w:val="-12"/>
          <w:sz w:val="16"/>
          <w:szCs w:val="16"/>
          <w:lang w:val="es-MX"/>
        </w:rPr>
        <w:t>Expediente judicial de primera instancia No. 110-02, folios 368-370</w:t>
      </w:r>
      <w:r>
        <w:rPr>
          <w:rFonts w:ascii="Verdana" w:hAnsi="Verdana"/>
          <w:spacing w:val="-12"/>
          <w:sz w:val="16"/>
          <w:szCs w:val="16"/>
          <w:lang w:val="es-MX"/>
        </w:rPr>
        <w:t xml:space="preserve"> (expediente de prueba, folios 48 a 52)</w:t>
      </w:r>
      <w:r w:rsidRPr="001F0A42">
        <w:rPr>
          <w:rFonts w:ascii="Verdana" w:hAnsi="Verdana" w:cs="Arial Narrow"/>
          <w:spacing w:val="-12"/>
          <w:sz w:val="16"/>
          <w:szCs w:val="16"/>
          <w:lang w:val="es-MX"/>
        </w:rPr>
        <w:t xml:space="preserve">. </w:t>
      </w:r>
      <w:r w:rsidRPr="001F0A42">
        <w:rPr>
          <w:rStyle w:val="CitaHTML"/>
          <w:rFonts w:ascii="Verdana" w:hAnsi="Verdana"/>
          <w:spacing w:val="-12"/>
          <w:sz w:val="16"/>
          <w:szCs w:val="16"/>
          <w:lang w:val="es-MX"/>
        </w:rPr>
        <w:t>Nicaragua Network Hotline</w:t>
      </w:r>
      <w:r w:rsidRPr="001F0A42">
        <w:rPr>
          <w:rFonts w:ascii="Verdana" w:hAnsi="Verdana"/>
          <w:spacing w:val="-12"/>
          <w:sz w:val="16"/>
          <w:szCs w:val="16"/>
          <w:lang w:val="es-MX"/>
        </w:rPr>
        <w:t xml:space="preserve">, PT sells another island!, 3 de diciembre de 2001. Disponible en </w:t>
      </w:r>
      <w:hyperlink r:id="rId9" w:history="1">
        <w:r w:rsidRPr="001F0A42">
          <w:rPr>
            <w:rStyle w:val="Hipervnculo"/>
            <w:rFonts w:ascii="Verdana" w:hAnsi="Verdana"/>
            <w:spacing w:val="-12"/>
            <w:sz w:val="16"/>
            <w:szCs w:val="16"/>
            <w:lang w:val="es-MX"/>
          </w:rPr>
          <w:t>http://www.hartford-hwp.com/archives/47/402.html</w:t>
        </w:r>
      </w:hyperlink>
      <w:r>
        <w:rPr>
          <w:rFonts w:ascii="Verdana" w:hAnsi="Verdana"/>
          <w:spacing w:val="-12"/>
          <w:sz w:val="16"/>
          <w:szCs w:val="16"/>
          <w:lang w:val="es-MX"/>
        </w:rPr>
        <w:t>;</w:t>
      </w:r>
      <w:r w:rsidRPr="001F0A42">
        <w:rPr>
          <w:rFonts w:ascii="Verdana" w:hAnsi="Verdana"/>
          <w:spacing w:val="-12"/>
          <w:sz w:val="16"/>
          <w:szCs w:val="16"/>
          <w:lang w:val="es-MX"/>
        </w:rPr>
        <w:t xml:space="preserve"> “Marena multa al griego PT”, </w:t>
      </w:r>
      <w:r w:rsidRPr="001F0A42">
        <w:rPr>
          <w:rFonts w:ascii="Verdana" w:hAnsi="Verdana"/>
          <w:i/>
          <w:spacing w:val="-12"/>
          <w:sz w:val="16"/>
          <w:szCs w:val="16"/>
          <w:lang w:val="es-MX"/>
        </w:rPr>
        <w:t>La Prensa</w:t>
      </w:r>
      <w:r w:rsidRPr="001F0A42">
        <w:rPr>
          <w:rFonts w:ascii="Verdana" w:hAnsi="Verdana"/>
          <w:spacing w:val="-12"/>
          <w:sz w:val="16"/>
          <w:szCs w:val="16"/>
          <w:lang w:val="es-MX"/>
        </w:rPr>
        <w:t>, 18 de mayo de 2001</w:t>
      </w:r>
      <w:r>
        <w:rPr>
          <w:rFonts w:ascii="Verdana" w:hAnsi="Verdana"/>
          <w:spacing w:val="-12"/>
          <w:sz w:val="16"/>
          <w:szCs w:val="16"/>
          <w:lang w:val="es-MX"/>
        </w:rPr>
        <w:t xml:space="preserve"> (expediente de prueba, folio 54);</w:t>
      </w:r>
      <w:r w:rsidRPr="001F0A42">
        <w:rPr>
          <w:rFonts w:ascii="Verdana" w:hAnsi="Verdana"/>
          <w:spacing w:val="-12"/>
          <w:sz w:val="16"/>
          <w:szCs w:val="16"/>
          <w:lang w:val="es-MX"/>
        </w:rPr>
        <w:t xml:space="preserve"> “Amparan a misquitos en el caso de los cayos”, </w:t>
      </w:r>
      <w:r w:rsidRPr="001F0A42">
        <w:rPr>
          <w:rFonts w:ascii="Verdana" w:hAnsi="Verdana"/>
          <w:i/>
          <w:spacing w:val="-12"/>
          <w:sz w:val="16"/>
          <w:szCs w:val="16"/>
          <w:lang w:val="es-MX"/>
        </w:rPr>
        <w:t>El Nuevo Diario</w:t>
      </w:r>
      <w:r w:rsidRPr="001F0A42">
        <w:rPr>
          <w:rFonts w:ascii="Verdana" w:hAnsi="Verdana"/>
          <w:spacing w:val="-12"/>
          <w:sz w:val="16"/>
          <w:szCs w:val="16"/>
          <w:lang w:val="es-MX"/>
        </w:rPr>
        <w:t>, 12 de marzo de 2001</w:t>
      </w:r>
      <w:r>
        <w:rPr>
          <w:rFonts w:ascii="Verdana" w:hAnsi="Verdana"/>
          <w:spacing w:val="-12"/>
          <w:sz w:val="16"/>
          <w:szCs w:val="16"/>
          <w:lang w:val="es-MX"/>
        </w:rPr>
        <w:t xml:space="preserve"> (expediente de prueba, folio 56);</w:t>
      </w:r>
      <w:r w:rsidRPr="001F0A42">
        <w:rPr>
          <w:rFonts w:ascii="Verdana" w:hAnsi="Verdana"/>
          <w:spacing w:val="-12"/>
          <w:sz w:val="16"/>
          <w:szCs w:val="16"/>
          <w:lang w:val="es-MX"/>
        </w:rPr>
        <w:t xml:space="preserve"> “El Caso de los Cayos Perlas”, </w:t>
      </w:r>
      <w:r w:rsidRPr="001F0A42">
        <w:rPr>
          <w:rFonts w:ascii="Verdana" w:hAnsi="Verdana"/>
          <w:i/>
          <w:spacing w:val="-12"/>
          <w:sz w:val="16"/>
          <w:szCs w:val="16"/>
          <w:lang w:val="es-MX"/>
        </w:rPr>
        <w:t>La Prensa</w:t>
      </w:r>
      <w:r w:rsidRPr="001F0A42">
        <w:rPr>
          <w:rFonts w:ascii="Verdana" w:hAnsi="Verdana"/>
          <w:spacing w:val="-12"/>
          <w:sz w:val="16"/>
          <w:szCs w:val="16"/>
          <w:lang w:val="es-MX"/>
        </w:rPr>
        <w:t>, 12 de octubre de 2002</w:t>
      </w:r>
      <w:r>
        <w:rPr>
          <w:rFonts w:ascii="Verdana" w:hAnsi="Verdana"/>
          <w:spacing w:val="-12"/>
          <w:sz w:val="16"/>
          <w:szCs w:val="16"/>
          <w:lang w:val="es-MX"/>
        </w:rPr>
        <w:t xml:space="preserve"> (expediente de prueba, folio 58);</w:t>
      </w:r>
      <w:r w:rsidRPr="001F0A42">
        <w:rPr>
          <w:rFonts w:ascii="Verdana" w:hAnsi="Verdana"/>
          <w:spacing w:val="-12"/>
          <w:sz w:val="16"/>
          <w:szCs w:val="16"/>
          <w:lang w:val="es-MX"/>
        </w:rPr>
        <w:t xml:space="preserve"> ”Venta de cayos podría anularse”, </w:t>
      </w:r>
      <w:r w:rsidRPr="001F0A42">
        <w:rPr>
          <w:rFonts w:ascii="Verdana" w:hAnsi="Verdana"/>
          <w:i/>
          <w:spacing w:val="-12"/>
          <w:sz w:val="16"/>
          <w:szCs w:val="16"/>
          <w:lang w:val="es-MX"/>
        </w:rPr>
        <w:t>La Prensa</w:t>
      </w:r>
      <w:r w:rsidRPr="001F0A42">
        <w:rPr>
          <w:rFonts w:ascii="Verdana" w:hAnsi="Verdana"/>
          <w:spacing w:val="-12"/>
          <w:sz w:val="16"/>
          <w:szCs w:val="16"/>
          <w:lang w:val="es-MX"/>
        </w:rPr>
        <w:t>, 8 de octubre de 2000</w:t>
      </w:r>
      <w:r>
        <w:rPr>
          <w:rFonts w:ascii="Verdana" w:hAnsi="Verdana"/>
          <w:spacing w:val="-12"/>
          <w:sz w:val="16"/>
          <w:szCs w:val="16"/>
          <w:lang w:val="es-MX"/>
        </w:rPr>
        <w:t xml:space="preserve"> (expediente de prueba, folio 60);</w:t>
      </w:r>
      <w:r w:rsidRPr="002E11F9">
        <w:rPr>
          <w:rFonts w:ascii="Verdana" w:hAnsi="Verdana"/>
          <w:spacing w:val="-12"/>
          <w:sz w:val="16"/>
          <w:szCs w:val="16"/>
          <w:lang w:val="es-MX"/>
        </w:rPr>
        <w:t xml:space="preserve"> “Asesino de García ya está en Bluefields”, </w:t>
      </w:r>
      <w:r w:rsidRPr="002E11F9">
        <w:rPr>
          <w:rFonts w:ascii="Verdana" w:hAnsi="Verdana"/>
          <w:i/>
          <w:spacing w:val="-12"/>
          <w:sz w:val="16"/>
          <w:szCs w:val="16"/>
          <w:lang w:val="es-MX"/>
        </w:rPr>
        <w:t>El Nuevo Diario</w:t>
      </w:r>
      <w:r w:rsidRPr="002E11F9">
        <w:rPr>
          <w:rFonts w:ascii="Verdana" w:hAnsi="Verdana"/>
          <w:spacing w:val="-12"/>
          <w:sz w:val="16"/>
          <w:szCs w:val="16"/>
          <w:lang w:val="es-MX"/>
        </w:rPr>
        <w:t>, 6 de septiembre de 2004, Expediente 2019-2004 del recurso de casación ante la Corte Suprema de Justicia, folio 95</w:t>
      </w:r>
      <w:r>
        <w:rPr>
          <w:rFonts w:ascii="Verdana" w:hAnsi="Verdana"/>
          <w:spacing w:val="-12"/>
          <w:sz w:val="16"/>
          <w:szCs w:val="16"/>
          <w:lang w:val="es-MX"/>
        </w:rPr>
        <w:t xml:space="preserve"> (expediente de prueba, folio 62);</w:t>
      </w:r>
      <w:r w:rsidRPr="002E11F9">
        <w:rPr>
          <w:rFonts w:ascii="Verdana" w:hAnsi="Verdana"/>
          <w:bCs/>
          <w:spacing w:val="-12"/>
          <w:kern w:val="36"/>
          <w:sz w:val="16"/>
          <w:szCs w:val="16"/>
          <w:lang w:val="es-MX"/>
        </w:rPr>
        <w:t xml:space="preserve"> “Rifan cayo nica”, </w:t>
      </w:r>
      <w:r w:rsidRPr="002E11F9">
        <w:rPr>
          <w:rFonts w:ascii="Verdana" w:hAnsi="Verdana"/>
          <w:bCs/>
          <w:i/>
          <w:spacing w:val="-12"/>
          <w:kern w:val="36"/>
          <w:sz w:val="16"/>
          <w:szCs w:val="16"/>
          <w:lang w:val="es-MX"/>
        </w:rPr>
        <w:t>La Prensa</w:t>
      </w:r>
      <w:r w:rsidRPr="002E11F9">
        <w:rPr>
          <w:rFonts w:ascii="Verdana" w:hAnsi="Verdana"/>
          <w:bCs/>
          <w:spacing w:val="-12"/>
          <w:kern w:val="36"/>
          <w:sz w:val="16"/>
          <w:szCs w:val="16"/>
          <w:lang w:val="es-MX"/>
        </w:rPr>
        <w:t>, 5 de enero de 2002</w:t>
      </w:r>
      <w:r>
        <w:rPr>
          <w:rFonts w:ascii="Verdana" w:hAnsi="Verdana"/>
          <w:bCs/>
          <w:spacing w:val="-12"/>
          <w:kern w:val="36"/>
          <w:sz w:val="16"/>
          <w:szCs w:val="16"/>
          <w:lang w:val="es-MX"/>
        </w:rPr>
        <w:t xml:space="preserve"> (expediente de prueba, folio 64);</w:t>
      </w:r>
      <w:r w:rsidRPr="002E11F9">
        <w:rPr>
          <w:rFonts w:ascii="Verdana" w:hAnsi="Verdana"/>
          <w:bCs/>
          <w:spacing w:val="-12"/>
          <w:kern w:val="36"/>
          <w:sz w:val="16"/>
          <w:szCs w:val="16"/>
          <w:lang w:val="es-MX"/>
        </w:rPr>
        <w:t xml:space="preserve"> “Continúan denuncias contra inversionista</w:t>
      </w:r>
      <w:r w:rsidRPr="002E11F9">
        <w:rPr>
          <w:rFonts w:ascii="Verdana" w:hAnsi="Verdana"/>
          <w:spacing w:val="-12"/>
          <w:sz w:val="16"/>
          <w:szCs w:val="16"/>
          <w:lang w:val="es-MX"/>
        </w:rPr>
        <w:t xml:space="preserve"> griego”, </w:t>
      </w:r>
      <w:r w:rsidRPr="002E11F9">
        <w:rPr>
          <w:rFonts w:ascii="Verdana" w:hAnsi="Verdana"/>
          <w:i/>
          <w:spacing w:val="-12"/>
          <w:sz w:val="16"/>
          <w:szCs w:val="16"/>
          <w:lang w:val="es-MX"/>
        </w:rPr>
        <w:t>La Prensa</w:t>
      </w:r>
      <w:r w:rsidRPr="002E11F9">
        <w:rPr>
          <w:rFonts w:ascii="Verdana" w:hAnsi="Verdana"/>
          <w:spacing w:val="-12"/>
          <w:sz w:val="16"/>
          <w:szCs w:val="16"/>
          <w:lang w:val="es-MX"/>
        </w:rPr>
        <w:t>, 21 de abril de 2001</w:t>
      </w:r>
      <w:r>
        <w:rPr>
          <w:rFonts w:ascii="Verdana" w:hAnsi="Verdana"/>
          <w:spacing w:val="-12"/>
          <w:sz w:val="16"/>
          <w:szCs w:val="16"/>
          <w:lang w:val="es-MX"/>
        </w:rPr>
        <w:t xml:space="preserve"> (expediente de prueba, folio 66);</w:t>
      </w:r>
      <w:r w:rsidRPr="001F0A42">
        <w:rPr>
          <w:rFonts w:ascii="Verdana" w:hAnsi="Verdana"/>
          <w:spacing w:val="-12"/>
          <w:sz w:val="16"/>
          <w:szCs w:val="16"/>
          <w:lang w:val="es-MX"/>
        </w:rPr>
        <w:t xml:space="preserve"> “La otra cara de los Cayos”, </w:t>
      </w:r>
      <w:r w:rsidRPr="001F0A42">
        <w:rPr>
          <w:rFonts w:ascii="Verdana" w:hAnsi="Verdana"/>
          <w:i/>
          <w:spacing w:val="-12"/>
          <w:sz w:val="16"/>
          <w:szCs w:val="16"/>
          <w:lang w:val="es-MX"/>
        </w:rPr>
        <w:t>El Nuevo Diario</w:t>
      </w:r>
      <w:r w:rsidRPr="001F0A42">
        <w:rPr>
          <w:rFonts w:ascii="Verdana" w:hAnsi="Verdana"/>
          <w:spacing w:val="-12"/>
          <w:sz w:val="16"/>
          <w:szCs w:val="16"/>
          <w:lang w:val="es-MX"/>
        </w:rPr>
        <w:t>, 9 de octubre de 2000</w:t>
      </w:r>
      <w:r>
        <w:rPr>
          <w:rFonts w:ascii="Verdana" w:hAnsi="Verdana"/>
          <w:spacing w:val="-12"/>
          <w:sz w:val="16"/>
          <w:szCs w:val="16"/>
          <w:lang w:val="es-MX"/>
        </w:rPr>
        <w:t xml:space="preserve"> (expediente de prueba, folio 70).</w:t>
      </w:r>
    </w:p>
  </w:footnote>
  <w:footnote w:id="30">
    <w:p w14:paraId="7AFE4BEF" w14:textId="6B0C5CE8"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Recurso de Amparo ante la Sala Civil del Tribunal de Apelaciones de Bluefields el 3 de octubre de 2000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ff. 72</w:t>
      </w:r>
      <w:r>
        <w:rPr>
          <w:rFonts w:ascii="Verdana" w:hAnsi="Verdana"/>
          <w:spacing w:val="-12"/>
          <w:sz w:val="16"/>
          <w:szCs w:val="16"/>
          <w:lang w:val="es-MX"/>
        </w:rPr>
        <w:t xml:space="preserve"> a </w:t>
      </w:r>
      <w:r w:rsidRPr="001F0A42">
        <w:rPr>
          <w:rFonts w:ascii="Verdana" w:hAnsi="Verdana"/>
          <w:spacing w:val="-12"/>
          <w:sz w:val="16"/>
          <w:szCs w:val="16"/>
          <w:lang w:val="es-MX"/>
        </w:rPr>
        <w:t>87).</w:t>
      </w:r>
    </w:p>
  </w:footnote>
  <w:footnote w:id="31">
    <w:p w14:paraId="08B401CB" w14:textId="3C6CAF0C"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Pr>
          <w:rFonts w:ascii="Verdana" w:hAnsi="Verdana"/>
          <w:spacing w:val="-12"/>
          <w:sz w:val="16"/>
          <w:szCs w:val="16"/>
          <w:lang w:val="es-MX"/>
        </w:rPr>
        <w:t>n</w:t>
      </w:r>
      <w:r w:rsidRPr="0039126A">
        <w:rPr>
          <w:rFonts w:ascii="Verdana" w:hAnsi="Verdana"/>
          <w:spacing w:val="-12"/>
          <w:sz w:val="16"/>
          <w:szCs w:val="16"/>
          <w:lang w:val="es-MX"/>
        </w:rPr>
        <w:t xml:space="preserve">ota de prensa, “Ordenan salida de policías de Cayos Perlas”, publicada en el Diario </w:t>
      </w:r>
      <w:r w:rsidRPr="0039126A">
        <w:rPr>
          <w:rFonts w:ascii="Verdana" w:hAnsi="Verdana"/>
          <w:i/>
          <w:spacing w:val="-12"/>
          <w:sz w:val="16"/>
          <w:szCs w:val="16"/>
          <w:lang w:val="es-MX"/>
        </w:rPr>
        <w:t>La Prensa</w:t>
      </w:r>
      <w:r w:rsidRPr="0039126A">
        <w:rPr>
          <w:rFonts w:ascii="Verdana" w:hAnsi="Verdana"/>
          <w:spacing w:val="-12"/>
          <w:sz w:val="16"/>
          <w:szCs w:val="16"/>
          <w:lang w:val="es-MX"/>
        </w:rPr>
        <w:t xml:space="preserve"> el 6 de mayo de 2001 (expediente de prueba</w:t>
      </w:r>
      <w:r>
        <w:rPr>
          <w:rFonts w:ascii="Verdana" w:hAnsi="Verdana"/>
          <w:spacing w:val="-12"/>
          <w:sz w:val="16"/>
          <w:szCs w:val="16"/>
          <w:lang w:val="es-MX"/>
        </w:rPr>
        <w:t>,</w:t>
      </w:r>
      <w:r w:rsidRPr="0039126A">
        <w:rPr>
          <w:rFonts w:ascii="Verdana" w:hAnsi="Verdana"/>
          <w:spacing w:val="-12"/>
          <w:sz w:val="16"/>
          <w:szCs w:val="16"/>
          <w:lang w:val="es-MX"/>
        </w:rPr>
        <w:t xml:space="preserve"> f. 89)</w:t>
      </w:r>
      <w:r>
        <w:rPr>
          <w:rFonts w:ascii="Verdana" w:hAnsi="Verdana"/>
          <w:spacing w:val="-12"/>
          <w:sz w:val="16"/>
          <w:szCs w:val="16"/>
          <w:lang w:val="es-MX"/>
        </w:rPr>
        <w:t>; y</w:t>
      </w:r>
      <w:r w:rsidRPr="0039126A">
        <w:rPr>
          <w:rFonts w:ascii="Verdana" w:hAnsi="Verdana"/>
          <w:spacing w:val="-12"/>
          <w:sz w:val="16"/>
          <w:szCs w:val="16"/>
          <w:lang w:val="es-MX"/>
        </w:rPr>
        <w:t xml:space="preserve"> </w:t>
      </w:r>
      <w:r>
        <w:rPr>
          <w:rFonts w:ascii="Verdana" w:hAnsi="Verdana"/>
          <w:spacing w:val="-12"/>
          <w:sz w:val="16"/>
          <w:szCs w:val="16"/>
          <w:lang w:val="es-MX"/>
        </w:rPr>
        <w:t>n</w:t>
      </w:r>
      <w:r w:rsidRPr="0039126A">
        <w:rPr>
          <w:rFonts w:ascii="Verdana" w:hAnsi="Verdana"/>
          <w:spacing w:val="-12"/>
          <w:sz w:val="16"/>
          <w:szCs w:val="16"/>
          <w:lang w:val="es-MX"/>
        </w:rPr>
        <w:t xml:space="preserve">ota de </w:t>
      </w:r>
      <w:r>
        <w:rPr>
          <w:rFonts w:ascii="Verdana" w:hAnsi="Verdana"/>
          <w:spacing w:val="-12"/>
          <w:sz w:val="16"/>
          <w:szCs w:val="16"/>
          <w:lang w:val="es-MX"/>
        </w:rPr>
        <w:t>p</w:t>
      </w:r>
      <w:r w:rsidRPr="0039126A">
        <w:rPr>
          <w:rFonts w:ascii="Verdana" w:hAnsi="Verdana"/>
          <w:spacing w:val="-12"/>
          <w:sz w:val="16"/>
          <w:szCs w:val="16"/>
          <w:lang w:val="es-MX"/>
        </w:rPr>
        <w:t xml:space="preserve">rensa “Policía retira a agentes de los Cayos” publicada en el Diario </w:t>
      </w:r>
      <w:r w:rsidRPr="0039126A">
        <w:rPr>
          <w:rFonts w:ascii="Verdana" w:hAnsi="Verdana"/>
          <w:i/>
          <w:spacing w:val="-12"/>
          <w:sz w:val="16"/>
          <w:szCs w:val="16"/>
          <w:lang w:val="es-MX"/>
        </w:rPr>
        <w:t>La Prensa</w:t>
      </w:r>
      <w:r w:rsidRPr="0039126A">
        <w:rPr>
          <w:rFonts w:ascii="Verdana" w:hAnsi="Verdana"/>
          <w:spacing w:val="-12"/>
          <w:sz w:val="16"/>
          <w:szCs w:val="16"/>
          <w:lang w:val="es-MX"/>
        </w:rPr>
        <w:t xml:space="preserve"> el 8 de octubre de 2001 (expediente de prueba</w:t>
      </w:r>
      <w:r>
        <w:rPr>
          <w:rFonts w:ascii="Verdana" w:hAnsi="Verdana"/>
          <w:spacing w:val="-12"/>
          <w:sz w:val="16"/>
          <w:szCs w:val="16"/>
          <w:lang w:val="es-MX"/>
        </w:rPr>
        <w:t>,</w:t>
      </w:r>
      <w:r w:rsidRPr="0039126A">
        <w:rPr>
          <w:rFonts w:ascii="Verdana" w:hAnsi="Verdana"/>
          <w:spacing w:val="-12"/>
          <w:sz w:val="16"/>
          <w:szCs w:val="16"/>
          <w:lang w:val="es-MX"/>
        </w:rPr>
        <w:t xml:space="preserve"> f. 91).</w:t>
      </w:r>
    </w:p>
  </w:footnote>
  <w:footnote w:id="32">
    <w:p w14:paraId="7CB586DC" w14:textId="185BD97D"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Comunicado de la Procuraduría para la Defensa del Medio Ambiente y los Recursos Naturales del Ministerio del Ambiente y los Recursos Naturales, 18 de octubre de 2000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ff.95</w:t>
      </w:r>
      <w:r>
        <w:rPr>
          <w:rFonts w:ascii="Verdana" w:hAnsi="Verdana"/>
          <w:spacing w:val="-12"/>
          <w:sz w:val="16"/>
          <w:szCs w:val="16"/>
          <w:lang w:val="es-MX"/>
        </w:rPr>
        <w:t xml:space="preserve"> y </w:t>
      </w:r>
      <w:r w:rsidRPr="001F0A42">
        <w:rPr>
          <w:rFonts w:ascii="Verdana" w:hAnsi="Verdana"/>
          <w:spacing w:val="-12"/>
          <w:sz w:val="16"/>
          <w:szCs w:val="16"/>
          <w:lang w:val="es-MX"/>
        </w:rPr>
        <w:t>96).</w:t>
      </w:r>
    </w:p>
  </w:footnote>
  <w:footnote w:id="33">
    <w:p w14:paraId="5B039603" w14:textId="16B357AB"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Cédula Judicial de fecha 6 de febrero de 2002, del Juzgado de Distrito de lo Civil de Bluefields (expediente de prueba f. 98).</w:t>
      </w:r>
    </w:p>
  </w:footnote>
  <w:footnote w:id="34">
    <w:p w14:paraId="7214AD81" w14:textId="35EA5B2C"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 xml:space="preserve"> Poder General Judicial a favor de María Luisa Acosta Castellón folio 13 del protocolo no. 2 de la abogada y notaria pública Gloria Elena Mangas Mairena, 16 de marzo de 2002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ff. 100</w:t>
      </w:r>
      <w:r>
        <w:rPr>
          <w:rFonts w:ascii="Verdana" w:hAnsi="Verdana"/>
          <w:spacing w:val="-12"/>
          <w:sz w:val="16"/>
          <w:szCs w:val="16"/>
          <w:lang w:val="es-MX"/>
        </w:rPr>
        <w:t xml:space="preserve"> a </w:t>
      </w:r>
      <w:r w:rsidRPr="001F0A42">
        <w:rPr>
          <w:rFonts w:ascii="Verdana" w:hAnsi="Verdana"/>
          <w:spacing w:val="-12"/>
          <w:sz w:val="16"/>
          <w:szCs w:val="16"/>
          <w:lang w:val="es-MX"/>
        </w:rPr>
        <w:t xml:space="preserve">103). </w:t>
      </w:r>
    </w:p>
  </w:footnote>
  <w:footnote w:id="35">
    <w:p w14:paraId="3B0F5070" w14:textId="46EA3E9C" w:rsidR="00D93B58" w:rsidRPr="004E1E07" w:rsidRDefault="00D93B58" w:rsidP="00C10D2F">
      <w:pPr>
        <w:pStyle w:val="Textonotapie"/>
        <w:jc w:val="both"/>
        <w:rPr>
          <w:rFonts w:ascii="Verdana" w:hAnsi="Verdana"/>
          <w:sz w:val="16"/>
          <w:szCs w:val="16"/>
          <w:lang w:val="es-ES_tradnl"/>
        </w:rPr>
      </w:pPr>
      <w:r w:rsidRPr="004E1E07">
        <w:rPr>
          <w:rStyle w:val="Refdenotaalpie"/>
          <w:rFonts w:ascii="Verdana" w:hAnsi="Verdana"/>
          <w:sz w:val="16"/>
          <w:szCs w:val="16"/>
        </w:rPr>
        <w:footnoteRef/>
      </w:r>
      <w:r w:rsidRPr="004E1E07">
        <w:rPr>
          <w:rFonts w:ascii="Verdana" w:hAnsi="Verdana"/>
          <w:sz w:val="16"/>
          <w:szCs w:val="16"/>
        </w:rPr>
        <w:t xml:space="preserve"> </w:t>
      </w:r>
      <w:r w:rsidRPr="004E1E07">
        <w:rPr>
          <w:rFonts w:ascii="Verdana" w:hAnsi="Verdana"/>
          <w:spacing w:val="-12"/>
          <w:sz w:val="16"/>
          <w:szCs w:val="16"/>
          <w:lang w:val="es-MX"/>
        </w:rPr>
        <w:tab/>
      </w:r>
      <w:r>
        <w:rPr>
          <w:rFonts w:ascii="Verdana" w:hAnsi="Verdana"/>
          <w:spacing w:val="-12"/>
          <w:sz w:val="16"/>
          <w:szCs w:val="16"/>
          <w:lang w:val="es-MX"/>
        </w:rPr>
        <w:t xml:space="preserve">El proceso fue abierto por el delito de “asesinato”. </w:t>
      </w:r>
      <w:r w:rsidRPr="004E1E07">
        <w:rPr>
          <w:rFonts w:ascii="Verdana" w:hAnsi="Verdana"/>
          <w:spacing w:val="-12"/>
          <w:sz w:val="16"/>
          <w:szCs w:val="16"/>
          <w:lang w:val="es-MX"/>
        </w:rPr>
        <w:t>En los términos del Código Penal nicaragüense entonces vigente,</w:t>
      </w:r>
      <w:r>
        <w:rPr>
          <w:rFonts w:ascii="Verdana" w:hAnsi="Verdana"/>
          <w:spacing w:val="-12"/>
          <w:sz w:val="16"/>
          <w:szCs w:val="16"/>
          <w:lang w:val="es-MX"/>
        </w:rPr>
        <w:t xml:space="preserve"> el término “asesinato” equivalía</w:t>
      </w:r>
      <w:r w:rsidRPr="004E1E07">
        <w:rPr>
          <w:rFonts w:ascii="Verdana" w:hAnsi="Verdana"/>
          <w:spacing w:val="-12"/>
          <w:sz w:val="16"/>
          <w:szCs w:val="16"/>
          <w:lang w:val="es-MX"/>
        </w:rPr>
        <w:t xml:space="preserve"> a homicidio calificado. </w:t>
      </w:r>
    </w:p>
  </w:footnote>
  <w:footnote w:id="36">
    <w:p w14:paraId="1E511EA2" w14:textId="4B540E2E"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spacing w:val="-12"/>
          <w:sz w:val="16"/>
          <w:szCs w:val="16"/>
          <w:lang w:val="es-MX"/>
        </w:rPr>
        <w:t xml:space="preserve">Según la declaración de María Luisa Acosta, el lunes 8 de abril de 2002 alrededor de las 8:30 pm, ella llegó a su casa después de dar una charla sobre su trabajo con los pueblos indígenas en la Universidad de las Regiones Autónomas de la Costa Caribe Nicaragüense (URACCAN) y observó que la reja estaba abierta pero que la casa estaba con llave. Después de esperar aproximadamente una hora fuera de su domicilio, se </w:t>
      </w:r>
      <w:r>
        <w:rPr>
          <w:rFonts w:ascii="Verdana" w:hAnsi="Verdana"/>
          <w:spacing w:val="-12"/>
          <w:sz w:val="16"/>
          <w:szCs w:val="16"/>
          <w:lang w:val="es-MX"/>
        </w:rPr>
        <w:t>dirigió a la casa de su vecina</w:t>
      </w:r>
      <w:r w:rsidRPr="001F0A42">
        <w:rPr>
          <w:rFonts w:ascii="Verdana" w:hAnsi="Verdana"/>
          <w:spacing w:val="-12"/>
          <w:sz w:val="16"/>
          <w:szCs w:val="16"/>
          <w:lang w:val="es-MX"/>
        </w:rPr>
        <w:t xml:space="preserve"> para preguntarle si el señor García Valle le había dejado las llaves con ella. La </w:t>
      </w:r>
      <w:r>
        <w:rPr>
          <w:rFonts w:ascii="Verdana" w:hAnsi="Verdana"/>
          <w:spacing w:val="-12"/>
          <w:sz w:val="16"/>
          <w:szCs w:val="16"/>
          <w:lang w:val="es-MX"/>
        </w:rPr>
        <w:t>vecina</w:t>
      </w:r>
      <w:r w:rsidRPr="001F0A42">
        <w:rPr>
          <w:rFonts w:ascii="Verdana" w:hAnsi="Verdana"/>
          <w:spacing w:val="-12"/>
          <w:sz w:val="16"/>
          <w:szCs w:val="16"/>
          <w:lang w:val="es-MX"/>
        </w:rPr>
        <w:t xml:space="preserve"> respondió de forma negativa y le refirió que lo vio pasar aproximadamente a las 7 pm.  María Luisa Acosta señaló que decidió entrar por una de las ventanas y que en el comedor encontró tirado a su esposo, pensando inicialmente que lo habían amarrado para robarle. Sin embargo, al ver que no había desorden en la casa y que su esposo no se movía, temió que estuviera muerto y salió de su casa pidiendo ayuda a gritos por lo que vinieron  los vecinos para asistirla</w:t>
      </w:r>
      <w:r>
        <w:rPr>
          <w:rFonts w:ascii="Verdana" w:hAnsi="Verdana"/>
          <w:spacing w:val="-12"/>
          <w:sz w:val="16"/>
          <w:szCs w:val="16"/>
          <w:lang w:val="es-MX"/>
        </w:rPr>
        <w:t xml:space="preserve"> (expediente de prueba, folios 141 a 145)</w:t>
      </w:r>
      <w:r w:rsidRPr="001F0A42">
        <w:rPr>
          <w:rFonts w:ascii="Verdana" w:hAnsi="Verdana"/>
          <w:spacing w:val="-12"/>
          <w:sz w:val="16"/>
          <w:szCs w:val="16"/>
          <w:lang w:val="es-MX"/>
        </w:rPr>
        <w:t>.</w:t>
      </w:r>
    </w:p>
  </w:footnote>
  <w:footnote w:id="37">
    <w:p w14:paraId="2910EE91" w14:textId="172F8BF2" w:rsidR="00D93B58" w:rsidRPr="001F0A42" w:rsidRDefault="00D93B58" w:rsidP="00C10D2F">
      <w:pPr>
        <w:pStyle w:val="Style13"/>
        <w:spacing w:before="120" w:after="120" w:line="240" w:lineRule="auto"/>
        <w:rPr>
          <w:rFonts w:ascii="Verdana" w:hAnsi="Verdana"/>
          <w:spacing w:val="-12"/>
          <w:sz w:val="16"/>
          <w:szCs w:val="16"/>
          <w:lang w:val="es-ES_tradnl"/>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Declaración de María Esther Castrillo Chavarría (vecina), Policía Nacional Investigaciones Criminales, 9 de abril de 2002. Expediente judicial de primera instancia No. 110-02, folio 12</w:t>
      </w:r>
      <w:r>
        <w:rPr>
          <w:rFonts w:ascii="Verdana" w:hAnsi="Verdana"/>
          <w:spacing w:val="-12"/>
          <w:sz w:val="16"/>
          <w:szCs w:val="16"/>
          <w:lang w:val="es-MX"/>
        </w:rPr>
        <w:t xml:space="preserve"> (expediente de prueba, folio 159);</w:t>
      </w:r>
      <w:r w:rsidRPr="001F0A42">
        <w:rPr>
          <w:rFonts w:ascii="Verdana" w:hAnsi="Verdana"/>
          <w:spacing w:val="-12"/>
          <w:sz w:val="16"/>
          <w:szCs w:val="16"/>
          <w:lang w:val="es-MX"/>
        </w:rPr>
        <w:t xml:space="preserve"> </w:t>
      </w:r>
      <w:r>
        <w:rPr>
          <w:rFonts w:ascii="Verdana" w:hAnsi="Verdana" w:cs="Arial Narrow"/>
          <w:spacing w:val="-12"/>
          <w:sz w:val="16"/>
          <w:szCs w:val="16"/>
          <w:lang w:val="es-ES_tradnl"/>
        </w:rPr>
        <w:t>d</w:t>
      </w:r>
      <w:r w:rsidRPr="001F0A42">
        <w:rPr>
          <w:rFonts w:ascii="Verdana" w:hAnsi="Verdana" w:cs="Arial Narrow"/>
          <w:spacing w:val="-12"/>
          <w:sz w:val="16"/>
          <w:szCs w:val="16"/>
          <w:lang w:val="es-ES_tradnl"/>
        </w:rPr>
        <w:t>enuncia por conocimiento propio (</w:t>
      </w:r>
      <w:r w:rsidRPr="001F0A42">
        <w:rPr>
          <w:rFonts w:ascii="Verdana" w:hAnsi="Verdana"/>
          <w:spacing w:val="-12"/>
          <w:sz w:val="16"/>
          <w:szCs w:val="16"/>
          <w:lang w:val="es-MX"/>
        </w:rPr>
        <w:t>No. 00514-02</w:t>
      </w:r>
      <w:r w:rsidRPr="001F0A42">
        <w:rPr>
          <w:rFonts w:ascii="Verdana" w:hAnsi="Verdana" w:cs="Arial Narrow"/>
          <w:spacing w:val="-12"/>
          <w:sz w:val="16"/>
          <w:szCs w:val="16"/>
          <w:lang w:val="es-ES_tradnl"/>
        </w:rPr>
        <w:t>),</w:t>
      </w:r>
      <w:r w:rsidRPr="001F0A42">
        <w:rPr>
          <w:rFonts w:ascii="Verdana" w:hAnsi="Verdana"/>
          <w:spacing w:val="-12"/>
          <w:sz w:val="16"/>
          <w:szCs w:val="16"/>
          <w:lang w:val="es-MX"/>
        </w:rPr>
        <w:t xml:space="preserve"> Delito: Asesinato, Policía Nacional Investigaciones Criminales, 8 de abril de 2004.  Expediente judicial de primera instancia No. 110-02, folio 2</w:t>
      </w:r>
      <w:r>
        <w:rPr>
          <w:rFonts w:ascii="Verdana" w:hAnsi="Verdana"/>
          <w:spacing w:val="-12"/>
          <w:sz w:val="16"/>
          <w:szCs w:val="16"/>
          <w:lang w:val="es-MX"/>
        </w:rPr>
        <w:t xml:space="preserve"> (expediente de prueba, folio 166)</w:t>
      </w:r>
      <w:r w:rsidRPr="001F0A42">
        <w:rPr>
          <w:rFonts w:ascii="Verdana" w:hAnsi="Verdana"/>
          <w:spacing w:val="-12"/>
          <w:sz w:val="16"/>
          <w:szCs w:val="16"/>
          <w:lang w:val="es-MX"/>
        </w:rPr>
        <w:t xml:space="preserve">. </w:t>
      </w:r>
    </w:p>
  </w:footnote>
  <w:footnote w:id="38">
    <w:p w14:paraId="1AA2C3C5" w14:textId="0164B38D"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Foto Tabla Ilustrativa, Policía Nacional Región Autónoma Atlántico Sur, 8 de abril de 2002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ff. 109</w:t>
      </w:r>
      <w:r>
        <w:rPr>
          <w:rFonts w:ascii="Verdana" w:hAnsi="Verdana"/>
          <w:spacing w:val="-12"/>
          <w:sz w:val="16"/>
          <w:szCs w:val="16"/>
          <w:lang w:val="es-MX"/>
        </w:rPr>
        <w:t xml:space="preserve"> a </w:t>
      </w:r>
      <w:r w:rsidRPr="001F0A42">
        <w:rPr>
          <w:rFonts w:ascii="Verdana" w:hAnsi="Verdana"/>
          <w:spacing w:val="-12"/>
          <w:sz w:val="16"/>
          <w:szCs w:val="16"/>
          <w:lang w:val="es-MX"/>
        </w:rPr>
        <w:t>129)</w:t>
      </w:r>
      <w:r>
        <w:rPr>
          <w:rFonts w:ascii="Verdana" w:hAnsi="Verdana"/>
          <w:spacing w:val="-12"/>
          <w:sz w:val="16"/>
          <w:szCs w:val="16"/>
          <w:lang w:val="es-MX"/>
        </w:rPr>
        <w:t>;</w:t>
      </w:r>
      <w:r w:rsidRPr="001F0A42">
        <w:rPr>
          <w:rFonts w:ascii="Verdana" w:hAnsi="Verdana"/>
          <w:spacing w:val="-12"/>
          <w:sz w:val="16"/>
          <w:szCs w:val="16"/>
          <w:lang w:val="es-MX"/>
        </w:rPr>
        <w:t xml:space="preserve"> Informe de la Guardia Operativa, Policía Nacional, Investigaciones Criminales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f. 157)</w:t>
      </w:r>
      <w:r>
        <w:rPr>
          <w:rFonts w:ascii="Verdana" w:hAnsi="Verdana"/>
          <w:spacing w:val="-12"/>
          <w:sz w:val="16"/>
          <w:szCs w:val="16"/>
          <w:lang w:val="es-MX"/>
        </w:rPr>
        <w:t>;</w:t>
      </w:r>
      <w:r w:rsidRPr="001F0A42">
        <w:rPr>
          <w:rFonts w:ascii="Verdana" w:hAnsi="Verdana"/>
          <w:spacing w:val="-12"/>
          <w:sz w:val="16"/>
          <w:szCs w:val="16"/>
          <w:lang w:val="es-MX"/>
        </w:rPr>
        <w:t xml:space="preserve"> Reporte de denuncia 00514-02, Policía Nacional, Investigaciones Criminales, de fecha 8 de abril de 2002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f. 166)</w:t>
      </w:r>
      <w:r>
        <w:rPr>
          <w:rFonts w:ascii="Verdana" w:hAnsi="Verdana"/>
          <w:spacing w:val="-12"/>
          <w:sz w:val="16"/>
          <w:szCs w:val="16"/>
          <w:lang w:val="es-MX"/>
        </w:rPr>
        <w:t>;</w:t>
      </w:r>
      <w:r w:rsidRPr="001F0A42">
        <w:rPr>
          <w:rFonts w:ascii="Verdana" w:hAnsi="Verdana"/>
          <w:spacing w:val="-12"/>
          <w:sz w:val="16"/>
          <w:szCs w:val="16"/>
          <w:lang w:val="es-MX"/>
        </w:rPr>
        <w:t xml:space="preserve"> Dictamen médico legal Médico Forense Suplente, Zona Espectal II, Bluefileds, de fecha 9 de abril de 2002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ff.168</w:t>
      </w:r>
      <w:r>
        <w:rPr>
          <w:rFonts w:ascii="Verdana" w:hAnsi="Verdana"/>
          <w:spacing w:val="-12"/>
          <w:sz w:val="16"/>
          <w:szCs w:val="16"/>
          <w:lang w:val="es-MX"/>
        </w:rPr>
        <w:t xml:space="preserve"> y </w:t>
      </w:r>
      <w:r w:rsidRPr="001F0A42">
        <w:rPr>
          <w:rFonts w:ascii="Verdana" w:hAnsi="Verdana"/>
          <w:spacing w:val="-12"/>
          <w:sz w:val="16"/>
          <w:szCs w:val="16"/>
          <w:lang w:val="es-MX"/>
        </w:rPr>
        <w:t>169)</w:t>
      </w:r>
      <w:r>
        <w:rPr>
          <w:rFonts w:ascii="Verdana" w:hAnsi="Verdana"/>
          <w:spacing w:val="-12"/>
          <w:sz w:val="16"/>
          <w:szCs w:val="16"/>
          <w:lang w:val="es-MX"/>
        </w:rPr>
        <w:t>, y</w:t>
      </w:r>
      <w:r w:rsidRPr="001F0A42">
        <w:rPr>
          <w:rFonts w:ascii="Verdana" w:hAnsi="Verdana"/>
          <w:spacing w:val="-12"/>
          <w:sz w:val="16"/>
          <w:szCs w:val="16"/>
          <w:lang w:val="es-MX"/>
        </w:rPr>
        <w:t xml:space="preserve"> </w:t>
      </w:r>
      <w:r>
        <w:rPr>
          <w:rFonts w:ascii="Verdana" w:hAnsi="Verdana"/>
          <w:spacing w:val="-12"/>
          <w:sz w:val="16"/>
          <w:szCs w:val="16"/>
          <w:lang w:val="es-MX"/>
        </w:rPr>
        <w:t>a</w:t>
      </w:r>
      <w:r w:rsidRPr="001F0A42">
        <w:rPr>
          <w:rFonts w:ascii="Verdana" w:hAnsi="Verdana"/>
          <w:spacing w:val="-12"/>
          <w:sz w:val="16"/>
          <w:szCs w:val="16"/>
          <w:lang w:val="es-MX"/>
        </w:rPr>
        <w:t>cta de Inspección ocular, Policía Nacional, Investigaciones Criminales, de fecha 8 de abril de 2002 (expediente de prueba</w:t>
      </w:r>
      <w:r>
        <w:rPr>
          <w:rFonts w:ascii="Verdana" w:hAnsi="Verdana"/>
          <w:spacing w:val="-12"/>
          <w:sz w:val="16"/>
          <w:szCs w:val="16"/>
          <w:lang w:val="es-MX"/>
        </w:rPr>
        <w:t>, folios 171 a 173</w:t>
      </w:r>
      <w:r w:rsidRPr="001F0A42">
        <w:rPr>
          <w:rFonts w:ascii="Verdana" w:hAnsi="Verdana"/>
          <w:spacing w:val="-12"/>
          <w:sz w:val="16"/>
          <w:szCs w:val="16"/>
          <w:lang w:val="es-MX"/>
        </w:rPr>
        <w:t>)</w:t>
      </w:r>
      <w:r>
        <w:rPr>
          <w:rFonts w:ascii="Verdana" w:hAnsi="Verdana"/>
          <w:spacing w:val="-12"/>
          <w:sz w:val="16"/>
          <w:szCs w:val="16"/>
          <w:lang w:val="es-MX"/>
        </w:rPr>
        <w:t>.</w:t>
      </w:r>
    </w:p>
  </w:footnote>
  <w:footnote w:id="39">
    <w:p w14:paraId="424AC83F" w14:textId="7CCD742E"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Pr>
          <w:rFonts w:ascii="Verdana" w:hAnsi="Verdana"/>
          <w:spacing w:val="-12"/>
          <w:sz w:val="16"/>
          <w:szCs w:val="16"/>
          <w:lang w:val="es-MX"/>
        </w:rPr>
        <w:t xml:space="preserve"> </w:t>
      </w:r>
      <w:r>
        <w:rPr>
          <w:rFonts w:ascii="Verdana" w:hAnsi="Verdana"/>
          <w:spacing w:val="-12"/>
          <w:sz w:val="16"/>
          <w:szCs w:val="16"/>
          <w:lang w:val="es-MX"/>
        </w:rPr>
        <w:tab/>
      </w:r>
      <w:r w:rsidRPr="00AD5910">
        <w:rPr>
          <w:rFonts w:ascii="Verdana" w:hAnsi="Verdana"/>
          <w:i/>
          <w:spacing w:val="-12"/>
          <w:sz w:val="16"/>
          <w:szCs w:val="16"/>
          <w:lang w:val="es-MX"/>
        </w:rPr>
        <w:t>Cfr.</w:t>
      </w:r>
      <w:r>
        <w:rPr>
          <w:rFonts w:ascii="Verdana" w:hAnsi="Verdana"/>
          <w:spacing w:val="-12"/>
          <w:sz w:val="16"/>
          <w:szCs w:val="16"/>
          <w:lang w:val="es-MX"/>
        </w:rPr>
        <w:t xml:space="preserve"> S</w:t>
      </w:r>
      <w:r w:rsidRPr="001F0A42">
        <w:rPr>
          <w:rFonts w:ascii="Verdana" w:hAnsi="Verdana"/>
          <w:spacing w:val="-12"/>
          <w:sz w:val="16"/>
          <w:szCs w:val="16"/>
          <w:lang w:val="es-MX"/>
        </w:rPr>
        <w:t>entencia condenatoria, Juzgado de Distrito de lo Civil y Penal del In por Ministerio de la Ley, 21 de abril de 2004 (expediente de prueba</w:t>
      </w:r>
      <w:r>
        <w:rPr>
          <w:rFonts w:ascii="Verdana" w:hAnsi="Verdana"/>
          <w:spacing w:val="-12"/>
          <w:sz w:val="16"/>
          <w:szCs w:val="16"/>
          <w:lang w:val="es-MX"/>
        </w:rPr>
        <w:t>, folios 487 a 496 y folios 2635 a 2644</w:t>
      </w:r>
      <w:r w:rsidRPr="001F0A42">
        <w:rPr>
          <w:rFonts w:ascii="Verdana" w:hAnsi="Verdana"/>
          <w:spacing w:val="-12"/>
          <w:sz w:val="16"/>
          <w:szCs w:val="16"/>
          <w:lang w:val="es-MX"/>
        </w:rPr>
        <w:t>). Ver también: acusación contra Wilberth José Ochoa por el delito de asesinato, Ministerio Público Región Autónoma Atlántico Sur, 14 de enero de 2003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135</w:t>
      </w:r>
      <w:r>
        <w:rPr>
          <w:rFonts w:ascii="Verdana" w:hAnsi="Verdana"/>
          <w:spacing w:val="-12"/>
          <w:sz w:val="16"/>
          <w:szCs w:val="16"/>
          <w:lang w:val="es-MX"/>
        </w:rPr>
        <w:t xml:space="preserve"> a </w:t>
      </w:r>
      <w:r w:rsidRPr="001F0A42">
        <w:rPr>
          <w:rFonts w:ascii="Verdana" w:hAnsi="Verdana"/>
          <w:spacing w:val="-12"/>
          <w:sz w:val="16"/>
          <w:szCs w:val="16"/>
          <w:lang w:val="es-MX"/>
        </w:rPr>
        <w:t xml:space="preserve">137). </w:t>
      </w:r>
    </w:p>
  </w:footnote>
  <w:footnote w:id="40">
    <w:p w14:paraId="6760FB66" w14:textId="3068ED03"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Informe de la Guardia Operativo, Bluefields, 8 de abril de 2002. Expediente judicial de primera instancia, folio 3</w:t>
      </w:r>
      <w:r>
        <w:rPr>
          <w:rFonts w:ascii="Verdana" w:hAnsi="Verdana"/>
          <w:spacing w:val="-12"/>
          <w:sz w:val="16"/>
          <w:szCs w:val="16"/>
          <w:lang w:val="es-MX"/>
        </w:rPr>
        <w:t xml:space="preserve"> (expediente de prueba, folio 157), y</w:t>
      </w:r>
      <w:r w:rsidRPr="001F0A42">
        <w:rPr>
          <w:rFonts w:ascii="Verdana" w:hAnsi="Verdana"/>
          <w:spacing w:val="-12"/>
          <w:sz w:val="16"/>
          <w:szCs w:val="16"/>
          <w:lang w:val="es-MX"/>
        </w:rPr>
        <w:t xml:space="preserve"> </w:t>
      </w:r>
      <w:r>
        <w:rPr>
          <w:rFonts w:ascii="Verdana" w:hAnsi="Verdana"/>
          <w:spacing w:val="-12"/>
          <w:sz w:val="16"/>
          <w:szCs w:val="16"/>
          <w:lang w:val="es-MX"/>
        </w:rPr>
        <w:t>s</w:t>
      </w:r>
      <w:r w:rsidRPr="001F0A42">
        <w:rPr>
          <w:rFonts w:ascii="Verdana" w:hAnsi="Verdana"/>
          <w:spacing w:val="-12"/>
          <w:sz w:val="16"/>
          <w:szCs w:val="16"/>
          <w:lang w:val="es-MX"/>
        </w:rPr>
        <w:t>olicitud de dictamen médico dirigido a médico forense. Policía Nacional Investigaciones Criminales, 8 de abril de 2002. Expediente judicial de primera instancia, folio 9</w:t>
      </w:r>
      <w:r>
        <w:rPr>
          <w:rFonts w:ascii="Verdana" w:hAnsi="Verdana"/>
          <w:spacing w:val="-12"/>
          <w:sz w:val="16"/>
          <w:szCs w:val="16"/>
          <w:lang w:val="es-MX"/>
        </w:rPr>
        <w:t xml:space="preserve"> (expediente de prueba, folio 210)</w:t>
      </w:r>
      <w:r w:rsidRPr="001F0A42">
        <w:rPr>
          <w:rFonts w:ascii="Verdana" w:hAnsi="Verdana"/>
          <w:spacing w:val="-12"/>
          <w:sz w:val="16"/>
          <w:szCs w:val="16"/>
          <w:lang w:val="es-MX"/>
        </w:rPr>
        <w:t>.</w:t>
      </w:r>
    </w:p>
  </w:footnote>
  <w:footnote w:id="41">
    <w:p w14:paraId="2D65C18A" w14:textId="715673D7"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Nota</w:t>
      </w:r>
      <w:r>
        <w:rPr>
          <w:rFonts w:ascii="Verdana" w:hAnsi="Verdana"/>
          <w:spacing w:val="-12"/>
          <w:sz w:val="16"/>
          <w:szCs w:val="16"/>
          <w:lang w:val="es-MX"/>
        </w:rPr>
        <w:t>s</w:t>
      </w:r>
      <w:r w:rsidRPr="001F0A42">
        <w:rPr>
          <w:rFonts w:ascii="Verdana" w:hAnsi="Verdana"/>
          <w:spacing w:val="-12"/>
          <w:sz w:val="16"/>
          <w:szCs w:val="16"/>
          <w:lang w:val="es-MX"/>
        </w:rPr>
        <w:t xml:space="preserve"> de prensa, “De ofendida a acusada”, publicado en el diario </w:t>
      </w:r>
      <w:r w:rsidRPr="001F0A42">
        <w:rPr>
          <w:rFonts w:ascii="Verdana" w:hAnsi="Verdana"/>
          <w:i/>
          <w:spacing w:val="-12"/>
          <w:sz w:val="16"/>
          <w:szCs w:val="16"/>
          <w:lang w:val="es-MX"/>
        </w:rPr>
        <w:t xml:space="preserve">La Prensa, </w:t>
      </w:r>
      <w:r w:rsidRPr="001F0A42">
        <w:rPr>
          <w:rFonts w:ascii="Verdana" w:hAnsi="Verdana"/>
          <w:spacing w:val="-12"/>
          <w:sz w:val="16"/>
          <w:szCs w:val="16"/>
          <w:lang w:val="es-MX"/>
        </w:rPr>
        <w:t>13 de abril de 2002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175)</w:t>
      </w:r>
      <w:r>
        <w:rPr>
          <w:rFonts w:ascii="Verdana" w:hAnsi="Verdana"/>
          <w:spacing w:val="-12"/>
          <w:sz w:val="16"/>
          <w:szCs w:val="16"/>
          <w:lang w:val="es-MX"/>
        </w:rPr>
        <w:t>;</w:t>
      </w:r>
      <w:r w:rsidRPr="001F0A42">
        <w:rPr>
          <w:rFonts w:ascii="Verdana" w:hAnsi="Verdana"/>
          <w:spacing w:val="-12"/>
          <w:sz w:val="16"/>
          <w:szCs w:val="16"/>
          <w:lang w:val="es-MX"/>
        </w:rPr>
        <w:t xml:space="preserve"> </w:t>
      </w:r>
      <w:r>
        <w:rPr>
          <w:rFonts w:ascii="Verdana" w:hAnsi="Verdana"/>
          <w:spacing w:val="-12"/>
          <w:sz w:val="16"/>
          <w:szCs w:val="16"/>
          <w:lang w:val="es-MX"/>
        </w:rPr>
        <w:t>n</w:t>
      </w:r>
      <w:r w:rsidRPr="001F0A42">
        <w:rPr>
          <w:rFonts w:ascii="Verdana" w:hAnsi="Verdana"/>
          <w:spacing w:val="-12"/>
          <w:sz w:val="16"/>
          <w:szCs w:val="16"/>
          <w:lang w:val="es-MX"/>
        </w:rPr>
        <w:t xml:space="preserve">ota de prensa “Policía sospecha de asesinato por encargo”, publicada en el diario </w:t>
      </w:r>
      <w:r w:rsidRPr="001F0A42">
        <w:rPr>
          <w:rFonts w:ascii="Verdana" w:hAnsi="Verdana"/>
          <w:i/>
          <w:spacing w:val="-12"/>
          <w:sz w:val="16"/>
          <w:szCs w:val="16"/>
          <w:lang w:val="es-MX"/>
        </w:rPr>
        <w:t xml:space="preserve">La Prensa, </w:t>
      </w:r>
      <w:r w:rsidRPr="001F0A42">
        <w:rPr>
          <w:rFonts w:ascii="Verdana" w:hAnsi="Verdana"/>
          <w:spacing w:val="-12"/>
          <w:sz w:val="16"/>
          <w:szCs w:val="16"/>
          <w:lang w:val="es-MX"/>
        </w:rPr>
        <w:t>11 de abril de 2002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w:t>
      </w:r>
      <w:r>
        <w:rPr>
          <w:rFonts w:ascii="Verdana" w:hAnsi="Verdana"/>
          <w:spacing w:val="-12"/>
          <w:sz w:val="16"/>
          <w:szCs w:val="16"/>
          <w:lang w:val="es-MX"/>
        </w:rPr>
        <w:t>folio</w:t>
      </w:r>
      <w:r w:rsidRPr="001F0A42">
        <w:rPr>
          <w:rFonts w:ascii="Verdana" w:hAnsi="Verdana"/>
          <w:spacing w:val="-12"/>
          <w:sz w:val="16"/>
          <w:szCs w:val="16"/>
          <w:lang w:val="es-MX"/>
        </w:rPr>
        <w:t xml:space="preserve"> 179)</w:t>
      </w:r>
      <w:r>
        <w:rPr>
          <w:rFonts w:ascii="Verdana" w:hAnsi="Verdana"/>
          <w:spacing w:val="-12"/>
          <w:sz w:val="16"/>
          <w:szCs w:val="16"/>
          <w:lang w:val="es-MX"/>
        </w:rPr>
        <w:t>;</w:t>
      </w:r>
      <w:r w:rsidRPr="001F0A42">
        <w:rPr>
          <w:rFonts w:ascii="Verdana" w:hAnsi="Verdana"/>
          <w:spacing w:val="-12"/>
          <w:sz w:val="16"/>
          <w:szCs w:val="16"/>
          <w:lang w:val="es-MX"/>
        </w:rPr>
        <w:t xml:space="preserve"> </w:t>
      </w:r>
      <w:r>
        <w:rPr>
          <w:rFonts w:ascii="Verdana" w:hAnsi="Verdana"/>
          <w:spacing w:val="-12"/>
          <w:sz w:val="16"/>
          <w:szCs w:val="16"/>
          <w:lang w:val="es-MX"/>
        </w:rPr>
        <w:t>n</w:t>
      </w:r>
      <w:r w:rsidRPr="001F0A42">
        <w:rPr>
          <w:rFonts w:ascii="Verdana" w:hAnsi="Verdana"/>
          <w:spacing w:val="-12"/>
          <w:sz w:val="16"/>
          <w:szCs w:val="16"/>
          <w:lang w:val="es-MX"/>
        </w:rPr>
        <w:t xml:space="preserve">ota de prensa, “Atroz asesinato del Presidente de la Cámara de Comercio de Bluefields”, publicada en el diario </w:t>
      </w:r>
      <w:r w:rsidRPr="001F0A42">
        <w:rPr>
          <w:rFonts w:ascii="Verdana" w:hAnsi="Verdana"/>
          <w:i/>
          <w:spacing w:val="-12"/>
          <w:sz w:val="16"/>
          <w:szCs w:val="16"/>
          <w:lang w:val="es-MX"/>
        </w:rPr>
        <w:t xml:space="preserve">La Prensa, </w:t>
      </w:r>
      <w:r w:rsidRPr="001F0A42">
        <w:rPr>
          <w:rFonts w:ascii="Verdana" w:hAnsi="Verdana"/>
          <w:spacing w:val="-12"/>
          <w:sz w:val="16"/>
          <w:szCs w:val="16"/>
          <w:lang w:val="es-MX"/>
        </w:rPr>
        <w:t>10 de abril de 2002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w:t>
      </w:r>
      <w:r>
        <w:rPr>
          <w:rFonts w:ascii="Verdana" w:hAnsi="Verdana"/>
          <w:spacing w:val="-12"/>
          <w:sz w:val="16"/>
          <w:szCs w:val="16"/>
          <w:lang w:val="es-MX"/>
        </w:rPr>
        <w:t>folio</w:t>
      </w:r>
      <w:r w:rsidRPr="001F0A42">
        <w:rPr>
          <w:rFonts w:ascii="Verdana" w:hAnsi="Verdana"/>
          <w:spacing w:val="-12"/>
          <w:sz w:val="16"/>
          <w:szCs w:val="16"/>
          <w:lang w:val="es-MX"/>
        </w:rPr>
        <w:t xml:space="preserve"> 181)</w:t>
      </w:r>
      <w:r>
        <w:rPr>
          <w:rFonts w:ascii="Verdana" w:hAnsi="Verdana"/>
          <w:spacing w:val="-12"/>
          <w:sz w:val="16"/>
          <w:szCs w:val="16"/>
          <w:lang w:val="es-MX"/>
        </w:rPr>
        <w:t>;</w:t>
      </w:r>
      <w:r w:rsidRPr="001F0A42">
        <w:rPr>
          <w:rFonts w:ascii="Verdana" w:hAnsi="Verdana"/>
          <w:spacing w:val="-12"/>
          <w:sz w:val="16"/>
          <w:szCs w:val="16"/>
          <w:lang w:val="es-MX"/>
        </w:rPr>
        <w:t xml:space="preserve"> </w:t>
      </w:r>
      <w:r>
        <w:rPr>
          <w:rFonts w:ascii="Verdana" w:hAnsi="Verdana"/>
          <w:spacing w:val="-12"/>
          <w:sz w:val="16"/>
          <w:szCs w:val="16"/>
          <w:lang w:val="es-MX"/>
        </w:rPr>
        <w:t>n</w:t>
      </w:r>
      <w:r w:rsidRPr="001F0A42">
        <w:rPr>
          <w:rFonts w:ascii="Verdana" w:hAnsi="Verdana"/>
          <w:spacing w:val="-12"/>
          <w:sz w:val="16"/>
          <w:szCs w:val="16"/>
          <w:lang w:val="es-MX"/>
        </w:rPr>
        <w:t xml:space="preserve">ota de prensa “Perdió a su esposo, pero su lucha sigue”, publicada en el diario </w:t>
      </w:r>
      <w:r w:rsidRPr="001F0A42">
        <w:rPr>
          <w:rFonts w:ascii="Verdana" w:hAnsi="Verdana"/>
          <w:i/>
          <w:spacing w:val="-12"/>
          <w:sz w:val="16"/>
          <w:szCs w:val="16"/>
          <w:lang w:val="es-MX"/>
        </w:rPr>
        <w:t xml:space="preserve">El Nuevo Diario, </w:t>
      </w:r>
      <w:r w:rsidRPr="001F0A42">
        <w:rPr>
          <w:rFonts w:ascii="Verdana" w:hAnsi="Verdana"/>
          <w:spacing w:val="-12"/>
          <w:sz w:val="16"/>
          <w:szCs w:val="16"/>
          <w:lang w:val="es-MX"/>
        </w:rPr>
        <w:t>28 de abril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183</w:t>
      </w:r>
      <w:r>
        <w:rPr>
          <w:rFonts w:ascii="Verdana" w:hAnsi="Verdana"/>
          <w:spacing w:val="-12"/>
          <w:sz w:val="16"/>
          <w:szCs w:val="16"/>
          <w:lang w:val="es-MX"/>
        </w:rPr>
        <w:t xml:space="preserve"> y </w:t>
      </w:r>
      <w:r w:rsidRPr="001F0A42">
        <w:rPr>
          <w:rFonts w:ascii="Verdana" w:hAnsi="Verdana"/>
          <w:spacing w:val="-12"/>
          <w:sz w:val="16"/>
          <w:szCs w:val="16"/>
          <w:lang w:val="es-MX"/>
        </w:rPr>
        <w:t>184)</w:t>
      </w:r>
      <w:r>
        <w:rPr>
          <w:rFonts w:ascii="Verdana" w:hAnsi="Verdana"/>
          <w:spacing w:val="-12"/>
          <w:sz w:val="16"/>
          <w:szCs w:val="16"/>
          <w:lang w:val="es-MX"/>
        </w:rPr>
        <w:t>;</w:t>
      </w:r>
      <w:r w:rsidRPr="001F0A42">
        <w:rPr>
          <w:rFonts w:ascii="Verdana" w:hAnsi="Verdana"/>
          <w:spacing w:val="-12"/>
          <w:sz w:val="16"/>
          <w:szCs w:val="16"/>
          <w:lang w:val="es-MX"/>
        </w:rPr>
        <w:t xml:space="preserve"> </w:t>
      </w:r>
      <w:r>
        <w:rPr>
          <w:rFonts w:ascii="Verdana" w:hAnsi="Verdana"/>
          <w:spacing w:val="-12"/>
          <w:sz w:val="16"/>
          <w:szCs w:val="16"/>
          <w:lang w:val="es-MX"/>
        </w:rPr>
        <w:t>n</w:t>
      </w:r>
      <w:r w:rsidRPr="001F0A42">
        <w:rPr>
          <w:rFonts w:ascii="Verdana" w:hAnsi="Verdana"/>
          <w:spacing w:val="-12"/>
          <w:sz w:val="16"/>
          <w:szCs w:val="16"/>
          <w:lang w:val="es-MX"/>
        </w:rPr>
        <w:t xml:space="preserve">ota de prensa “Asesinan a esposo de abogada indigenista”, publicada en el diario </w:t>
      </w:r>
      <w:r w:rsidRPr="001F0A42">
        <w:rPr>
          <w:rFonts w:ascii="Verdana" w:hAnsi="Verdana"/>
          <w:i/>
          <w:spacing w:val="-12"/>
          <w:sz w:val="16"/>
          <w:szCs w:val="16"/>
          <w:lang w:val="es-MX"/>
        </w:rPr>
        <w:t xml:space="preserve">El Nuevo Diario, </w:t>
      </w:r>
      <w:r w:rsidRPr="001F0A42">
        <w:rPr>
          <w:rFonts w:ascii="Verdana" w:hAnsi="Verdana"/>
          <w:spacing w:val="-12"/>
          <w:sz w:val="16"/>
          <w:szCs w:val="16"/>
          <w:lang w:val="es-MX"/>
        </w:rPr>
        <w:t>10 de abril de 2002 (expediente de prueba</w:t>
      </w:r>
      <w:r>
        <w:rPr>
          <w:rFonts w:ascii="Verdana" w:hAnsi="Verdana"/>
          <w:spacing w:val="-12"/>
          <w:sz w:val="16"/>
          <w:szCs w:val="16"/>
          <w:lang w:val="es-MX"/>
        </w:rPr>
        <w:t xml:space="preserve">, folios </w:t>
      </w:r>
      <w:r w:rsidRPr="001F0A42">
        <w:rPr>
          <w:rFonts w:ascii="Verdana" w:hAnsi="Verdana"/>
          <w:spacing w:val="-12"/>
          <w:sz w:val="16"/>
          <w:szCs w:val="16"/>
          <w:lang w:val="es-MX"/>
        </w:rPr>
        <w:t>188</w:t>
      </w:r>
      <w:r>
        <w:rPr>
          <w:rFonts w:ascii="Verdana" w:hAnsi="Verdana"/>
          <w:spacing w:val="-12"/>
          <w:sz w:val="16"/>
          <w:szCs w:val="16"/>
          <w:lang w:val="es-MX"/>
        </w:rPr>
        <w:t xml:space="preserve"> y </w:t>
      </w:r>
      <w:r w:rsidRPr="001F0A42">
        <w:rPr>
          <w:rFonts w:ascii="Verdana" w:hAnsi="Verdana"/>
          <w:spacing w:val="-12"/>
          <w:sz w:val="16"/>
          <w:szCs w:val="16"/>
          <w:lang w:val="es-MX"/>
        </w:rPr>
        <w:t>189)</w:t>
      </w:r>
      <w:r>
        <w:rPr>
          <w:rFonts w:ascii="Verdana" w:hAnsi="Verdana"/>
          <w:spacing w:val="-12"/>
          <w:sz w:val="16"/>
          <w:szCs w:val="16"/>
          <w:lang w:val="es-MX"/>
        </w:rPr>
        <w:t>; y</w:t>
      </w:r>
      <w:r w:rsidRPr="001F0A42">
        <w:rPr>
          <w:rFonts w:ascii="Verdana" w:hAnsi="Verdana"/>
          <w:spacing w:val="-12"/>
          <w:sz w:val="16"/>
          <w:szCs w:val="16"/>
          <w:lang w:val="es-MX"/>
        </w:rPr>
        <w:t xml:space="preserve"> </w:t>
      </w:r>
      <w:r>
        <w:rPr>
          <w:rFonts w:ascii="Verdana" w:hAnsi="Verdana"/>
          <w:spacing w:val="-12"/>
          <w:sz w:val="16"/>
          <w:szCs w:val="16"/>
          <w:lang w:val="es-MX"/>
        </w:rPr>
        <w:t>n</w:t>
      </w:r>
      <w:r w:rsidRPr="001F0A42">
        <w:rPr>
          <w:rFonts w:ascii="Verdana" w:hAnsi="Verdana"/>
          <w:spacing w:val="-12"/>
          <w:sz w:val="16"/>
          <w:szCs w:val="16"/>
          <w:lang w:val="es-MX"/>
        </w:rPr>
        <w:t xml:space="preserve">ota de prensa “Viuda ata cabos en crimen de su marido”, publicada en el diario </w:t>
      </w:r>
      <w:r w:rsidRPr="001F0A42">
        <w:rPr>
          <w:rFonts w:ascii="Verdana" w:hAnsi="Verdana"/>
          <w:i/>
          <w:spacing w:val="-12"/>
          <w:sz w:val="16"/>
          <w:szCs w:val="16"/>
          <w:lang w:val="es-MX"/>
        </w:rPr>
        <w:t xml:space="preserve">La Prensa, </w:t>
      </w:r>
      <w:r w:rsidRPr="001F0A42">
        <w:rPr>
          <w:rFonts w:ascii="Verdana" w:hAnsi="Verdana"/>
          <w:spacing w:val="-12"/>
          <w:sz w:val="16"/>
          <w:szCs w:val="16"/>
          <w:lang w:val="es-MX"/>
        </w:rPr>
        <w:t>11 de abril de 2002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w:t>
      </w:r>
      <w:r>
        <w:rPr>
          <w:rFonts w:ascii="Verdana" w:hAnsi="Verdana"/>
          <w:spacing w:val="-12"/>
          <w:sz w:val="16"/>
          <w:szCs w:val="16"/>
          <w:lang w:val="es-MX"/>
        </w:rPr>
        <w:t>folio</w:t>
      </w:r>
      <w:r w:rsidRPr="001F0A42">
        <w:rPr>
          <w:rFonts w:ascii="Verdana" w:hAnsi="Verdana"/>
          <w:spacing w:val="-12"/>
          <w:sz w:val="16"/>
          <w:szCs w:val="16"/>
          <w:lang w:val="es-MX"/>
        </w:rPr>
        <w:t xml:space="preserve"> 191)</w:t>
      </w:r>
      <w:r>
        <w:rPr>
          <w:rFonts w:ascii="Verdana" w:hAnsi="Verdana"/>
          <w:spacing w:val="-12"/>
          <w:sz w:val="16"/>
          <w:szCs w:val="16"/>
          <w:lang w:val="es-MX"/>
        </w:rPr>
        <w:t>;</w:t>
      </w:r>
      <w:r w:rsidRPr="001F0A42">
        <w:rPr>
          <w:rFonts w:ascii="Verdana" w:hAnsi="Verdana"/>
          <w:spacing w:val="-12"/>
          <w:sz w:val="16"/>
          <w:szCs w:val="16"/>
          <w:lang w:val="es-MX"/>
        </w:rPr>
        <w:t xml:space="preserve"> </w:t>
      </w:r>
      <w:r>
        <w:rPr>
          <w:rFonts w:ascii="Verdana" w:hAnsi="Verdana"/>
          <w:spacing w:val="-12"/>
          <w:sz w:val="16"/>
          <w:szCs w:val="16"/>
          <w:lang w:val="es-MX"/>
        </w:rPr>
        <w:t>n</w:t>
      </w:r>
      <w:r w:rsidRPr="001F0A42">
        <w:rPr>
          <w:rFonts w:ascii="Verdana" w:hAnsi="Verdana"/>
          <w:spacing w:val="-12"/>
          <w:sz w:val="16"/>
          <w:szCs w:val="16"/>
          <w:lang w:val="es-MX"/>
        </w:rPr>
        <w:t xml:space="preserve">ota de prensa, “Activistas de Derechos Humanos piden seguridad para Dra. Acosta”, publicada en Diario </w:t>
      </w:r>
      <w:r w:rsidRPr="001F0A42">
        <w:rPr>
          <w:rFonts w:ascii="Verdana" w:hAnsi="Verdana"/>
          <w:i/>
          <w:spacing w:val="-12"/>
          <w:sz w:val="16"/>
          <w:szCs w:val="16"/>
          <w:lang w:val="es-MX"/>
        </w:rPr>
        <w:t xml:space="preserve">La Prensa, </w:t>
      </w:r>
      <w:r w:rsidRPr="001F0A42">
        <w:rPr>
          <w:rFonts w:ascii="Verdana" w:hAnsi="Verdana"/>
          <w:spacing w:val="-12"/>
          <w:sz w:val="16"/>
          <w:szCs w:val="16"/>
          <w:lang w:val="es-MX"/>
        </w:rPr>
        <w:t>15 de abril de 2002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177)</w:t>
      </w:r>
      <w:r>
        <w:rPr>
          <w:rFonts w:ascii="Verdana" w:hAnsi="Verdana"/>
          <w:spacing w:val="-12"/>
          <w:sz w:val="16"/>
          <w:szCs w:val="16"/>
          <w:lang w:val="es-MX"/>
        </w:rPr>
        <w:t>;</w:t>
      </w:r>
      <w:r w:rsidRPr="001F0A42">
        <w:rPr>
          <w:rFonts w:ascii="Verdana" w:hAnsi="Verdana"/>
          <w:spacing w:val="-12"/>
          <w:sz w:val="16"/>
          <w:szCs w:val="16"/>
          <w:lang w:val="es-MX"/>
        </w:rPr>
        <w:t xml:space="preserve"> </w:t>
      </w:r>
      <w:r>
        <w:rPr>
          <w:rFonts w:ascii="Verdana" w:hAnsi="Verdana"/>
          <w:spacing w:val="-12"/>
          <w:sz w:val="16"/>
          <w:szCs w:val="16"/>
          <w:lang w:val="es-MX"/>
        </w:rPr>
        <w:t>p</w:t>
      </w:r>
      <w:r w:rsidRPr="001F0A42">
        <w:rPr>
          <w:rFonts w:ascii="Verdana" w:hAnsi="Verdana"/>
          <w:spacing w:val="-12"/>
          <w:sz w:val="16"/>
          <w:szCs w:val="16"/>
          <w:lang w:val="es-MX"/>
        </w:rPr>
        <w:t>ronunciamiento de la Universidad de las Regiones Autónomas de la Costa Caribe Nicaragüense (URACCAN)</w:t>
      </w:r>
      <w:r>
        <w:rPr>
          <w:rFonts w:ascii="Verdana" w:hAnsi="Verdana"/>
          <w:spacing w:val="-12"/>
          <w:sz w:val="16"/>
          <w:szCs w:val="16"/>
          <w:lang w:val="es-MX"/>
        </w:rPr>
        <w:t>,</w:t>
      </w:r>
      <w:r w:rsidRPr="001F0A42">
        <w:rPr>
          <w:rFonts w:ascii="Verdana" w:hAnsi="Verdana"/>
          <w:spacing w:val="-12"/>
          <w:sz w:val="16"/>
          <w:szCs w:val="16"/>
          <w:lang w:val="es-MX"/>
        </w:rPr>
        <w:t xml:space="preserve"> Primera Asociación Campesina de Cultura y Producción Ecológicas en las Regiones Autónomas del Atlántico Sur y Central, Nueva Guinea</w:t>
      </w:r>
      <w:r>
        <w:rPr>
          <w:rFonts w:ascii="Verdana" w:hAnsi="Verdana"/>
          <w:spacing w:val="-12"/>
          <w:sz w:val="16"/>
          <w:szCs w:val="16"/>
          <w:lang w:val="es-MX"/>
        </w:rPr>
        <w:t>,</w:t>
      </w:r>
      <w:r w:rsidRPr="001F0A42">
        <w:rPr>
          <w:rFonts w:ascii="Verdana" w:hAnsi="Verdana"/>
          <w:spacing w:val="-12"/>
          <w:sz w:val="16"/>
          <w:szCs w:val="16"/>
          <w:lang w:val="es-MX"/>
        </w:rPr>
        <w:t xml:space="preserve"> Escuela Campesina de Agricultura Ecológica en el Trópico Húmedo La Esperanzita, Nueva Guinea,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w:t>
      </w:r>
      <w:r>
        <w:rPr>
          <w:rFonts w:ascii="Verdana" w:hAnsi="Verdana"/>
          <w:spacing w:val="-12"/>
          <w:sz w:val="16"/>
          <w:szCs w:val="16"/>
          <w:lang w:val="es-MX"/>
        </w:rPr>
        <w:t>folio</w:t>
      </w:r>
      <w:r w:rsidRPr="001F0A42">
        <w:rPr>
          <w:rFonts w:ascii="Verdana" w:hAnsi="Verdana"/>
          <w:spacing w:val="-12"/>
          <w:sz w:val="16"/>
          <w:szCs w:val="16"/>
          <w:lang w:val="es-MX"/>
        </w:rPr>
        <w:t xml:space="preserve"> 193)</w:t>
      </w:r>
      <w:r>
        <w:rPr>
          <w:rFonts w:ascii="Verdana" w:hAnsi="Verdana"/>
          <w:spacing w:val="-12"/>
          <w:sz w:val="16"/>
          <w:szCs w:val="16"/>
          <w:lang w:val="es-MX"/>
        </w:rPr>
        <w:t>;</w:t>
      </w:r>
      <w:r w:rsidRPr="001F0A42">
        <w:rPr>
          <w:rFonts w:ascii="Verdana" w:hAnsi="Verdana"/>
          <w:spacing w:val="-12"/>
          <w:sz w:val="16"/>
          <w:szCs w:val="16"/>
          <w:lang w:val="es-MX"/>
        </w:rPr>
        <w:t xml:space="preserve"> </w:t>
      </w:r>
      <w:r>
        <w:rPr>
          <w:rFonts w:ascii="Verdana" w:hAnsi="Verdana"/>
          <w:spacing w:val="-12"/>
          <w:sz w:val="16"/>
          <w:szCs w:val="16"/>
          <w:lang w:val="es-MX"/>
        </w:rPr>
        <w:t>c</w:t>
      </w:r>
      <w:r w:rsidRPr="001F0A42">
        <w:rPr>
          <w:rFonts w:ascii="Verdana" w:hAnsi="Verdana"/>
          <w:spacing w:val="-12"/>
          <w:sz w:val="16"/>
          <w:szCs w:val="16"/>
          <w:lang w:val="es-MX"/>
        </w:rPr>
        <w:t>omunicado de la Cámara de Comercio Nicaragüense-Americana, de 15 de abril de 2002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195)</w:t>
      </w:r>
      <w:r>
        <w:rPr>
          <w:rFonts w:ascii="Verdana" w:hAnsi="Verdana"/>
          <w:spacing w:val="-12"/>
          <w:sz w:val="16"/>
          <w:szCs w:val="16"/>
          <w:lang w:val="es-MX"/>
        </w:rPr>
        <w:t>, y</w:t>
      </w:r>
      <w:r w:rsidRPr="001F0A42">
        <w:rPr>
          <w:rFonts w:ascii="Verdana" w:hAnsi="Verdana"/>
          <w:spacing w:val="-12"/>
          <w:sz w:val="16"/>
          <w:szCs w:val="16"/>
          <w:lang w:val="es-MX"/>
        </w:rPr>
        <w:t xml:space="preserve"> </w:t>
      </w:r>
      <w:r>
        <w:rPr>
          <w:rFonts w:ascii="Verdana" w:hAnsi="Verdana"/>
          <w:spacing w:val="-12"/>
          <w:sz w:val="16"/>
          <w:szCs w:val="16"/>
          <w:lang w:val="es-MX"/>
        </w:rPr>
        <w:t>c</w:t>
      </w:r>
      <w:r w:rsidRPr="001F0A42">
        <w:rPr>
          <w:rFonts w:ascii="Verdana" w:hAnsi="Verdana"/>
          <w:spacing w:val="-12"/>
          <w:sz w:val="16"/>
          <w:szCs w:val="16"/>
          <w:lang w:val="es-MX"/>
        </w:rPr>
        <w:t>arta del Center for Maritime Research (MARE)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197).</w:t>
      </w:r>
    </w:p>
  </w:footnote>
  <w:footnote w:id="42">
    <w:p w14:paraId="33BEA593" w14:textId="476FC5D3"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 xml:space="preserve">Pronunciamiento del Procurador para la Defensa de los Derechos Humanos (PDDH), Benjamín Pérez Fonseca, Managua, </w:t>
      </w:r>
      <w:r>
        <w:rPr>
          <w:rFonts w:ascii="Verdana" w:hAnsi="Verdana"/>
          <w:spacing w:val="-12"/>
          <w:sz w:val="16"/>
          <w:szCs w:val="16"/>
          <w:lang w:val="es-MX"/>
        </w:rPr>
        <w:t>11</w:t>
      </w:r>
      <w:r w:rsidRPr="001F0A42">
        <w:rPr>
          <w:rFonts w:ascii="Verdana" w:hAnsi="Verdana"/>
          <w:spacing w:val="-12"/>
          <w:sz w:val="16"/>
          <w:szCs w:val="16"/>
          <w:lang w:val="es-MX"/>
        </w:rPr>
        <w:t xml:space="preserve"> de abril de 2011. Expediente judicial de primera instancia No. 110-02, folio 352</w:t>
      </w:r>
      <w:r>
        <w:rPr>
          <w:rFonts w:ascii="Verdana" w:hAnsi="Verdana"/>
          <w:spacing w:val="-12"/>
          <w:sz w:val="16"/>
          <w:szCs w:val="16"/>
          <w:lang w:val="es-MX"/>
        </w:rPr>
        <w:t xml:space="preserve"> (expediente de prueba, folio 25)</w:t>
      </w:r>
      <w:r w:rsidRPr="001F0A42">
        <w:rPr>
          <w:rFonts w:ascii="Verdana" w:hAnsi="Verdana"/>
          <w:spacing w:val="-12"/>
          <w:sz w:val="16"/>
          <w:szCs w:val="16"/>
          <w:lang w:val="es-MX"/>
        </w:rPr>
        <w:t xml:space="preserve">. </w:t>
      </w:r>
    </w:p>
  </w:footnote>
  <w:footnote w:id="43">
    <w:p w14:paraId="1B4A3881" w14:textId="016A5BAF"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Comunicado de María Luisa Acosta, 19 de abril de 2002. Expediente judicial de primera instancia No. 110-02, folio  331</w:t>
      </w:r>
      <w:r>
        <w:rPr>
          <w:rFonts w:ascii="Verdana" w:hAnsi="Verdana"/>
          <w:spacing w:val="-12"/>
          <w:sz w:val="16"/>
          <w:szCs w:val="16"/>
          <w:lang w:val="es-MX"/>
        </w:rPr>
        <w:t xml:space="preserve"> (expediente de prueba, folio 199)</w:t>
      </w:r>
      <w:r w:rsidRPr="001F0A42">
        <w:rPr>
          <w:rFonts w:ascii="Verdana" w:hAnsi="Verdana"/>
          <w:spacing w:val="-12"/>
          <w:sz w:val="16"/>
          <w:szCs w:val="16"/>
          <w:lang w:val="es-MX"/>
        </w:rPr>
        <w:t xml:space="preserve">. </w:t>
      </w:r>
    </w:p>
  </w:footnote>
  <w:footnote w:id="44">
    <w:p w14:paraId="3BFFE7EF" w14:textId="477B801A"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spacing w:val="-12"/>
          <w:sz w:val="16"/>
          <w:szCs w:val="16"/>
          <w:lang w:val="es-MX"/>
        </w:rPr>
        <w:t xml:space="preserve">Cfr. </w:t>
      </w:r>
      <w:r w:rsidRPr="001F0A42">
        <w:rPr>
          <w:rFonts w:ascii="Verdana" w:hAnsi="Verdana"/>
          <w:spacing w:val="-12"/>
          <w:sz w:val="16"/>
          <w:szCs w:val="16"/>
          <w:lang w:val="es-MX"/>
        </w:rPr>
        <w:t>Dictamen Médico Legal</w:t>
      </w:r>
      <w:r w:rsidRPr="00FF0373">
        <w:rPr>
          <w:rFonts w:ascii="Verdana" w:hAnsi="Verdana"/>
          <w:spacing w:val="-12"/>
          <w:sz w:val="16"/>
          <w:szCs w:val="16"/>
          <w:lang w:val="es-MX"/>
        </w:rPr>
        <w:t xml:space="preserve"> </w:t>
      </w:r>
      <w:r>
        <w:rPr>
          <w:rFonts w:ascii="Verdana" w:hAnsi="Verdana"/>
          <w:spacing w:val="-12"/>
          <w:sz w:val="16"/>
          <w:szCs w:val="16"/>
          <w:lang w:val="es-MX"/>
        </w:rPr>
        <w:t>(</w:t>
      </w:r>
      <w:r w:rsidRPr="001F0A42">
        <w:rPr>
          <w:rFonts w:ascii="Verdana" w:hAnsi="Verdana"/>
          <w:spacing w:val="-12"/>
          <w:sz w:val="16"/>
          <w:szCs w:val="16"/>
          <w:lang w:val="es-MX"/>
        </w:rPr>
        <w:t>Informe de Intervención quirúrgica</w:t>
      </w:r>
      <w:r>
        <w:rPr>
          <w:rFonts w:ascii="Verdana" w:hAnsi="Verdana"/>
          <w:spacing w:val="-12"/>
          <w:sz w:val="16"/>
          <w:szCs w:val="16"/>
          <w:lang w:val="es-MX"/>
        </w:rPr>
        <w:t>)</w:t>
      </w:r>
      <w:r w:rsidRPr="001F0A42">
        <w:rPr>
          <w:rFonts w:ascii="Verdana" w:hAnsi="Verdana"/>
          <w:spacing w:val="-12"/>
          <w:sz w:val="16"/>
          <w:szCs w:val="16"/>
          <w:lang w:val="es-MX"/>
        </w:rPr>
        <w:t>, Médico Forense Suplente, Zona Espectal 11, Bluefields, 9 de abril de 2002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276).</w:t>
      </w:r>
    </w:p>
  </w:footnote>
  <w:footnote w:id="45">
    <w:p w14:paraId="6E00CF05" w14:textId="6F977E3F"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sidRPr="001F0A42">
        <w:rPr>
          <w:rFonts w:ascii="Verdana" w:hAnsi="Verdana"/>
          <w:spacing w:val="-12"/>
          <w:sz w:val="16"/>
          <w:szCs w:val="16"/>
          <w:lang w:val="es-MX"/>
        </w:rPr>
        <w:t>Se refiere a: denuncia por conocimiento propio; informe de la guardia operativa; acta de inspección ocular; anexos del acta de inspección ocular; recibos de ocupación; solicitud de dictamen médico legal; dictamen médico legal; testifical de María Esther Castrillo Cavaría; testifical de Natalia Isabel Omier Hulse; testifical de Eddy Lira Miller; modelo de solicitud de circulado de personas; solicitud de antecedentes; y  foto tabla ilustrativa Cfr.</w:t>
      </w:r>
      <w:r w:rsidRPr="001F0A42">
        <w:rPr>
          <w:rFonts w:ascii="Verdana" w:hAnsi="Verdana" w:cs="Arial"/>
          <w:i/>
          <w:spacing w:val="-12"/>
          <w:sz w:val="16"/>
          <w:szCs w:val="16"/>
          <w:lang w:val="es-MX"/>
        </w:rPr>
        <w:t xml:space="preserve"> </w:t>
      </w:r>
      <w:r w:rsidRPr="001F0A42">
        <w:rPr>
          <w:rFonts w:ascii="Verdana" w:hAnsi="Verdana"/>
          <w:spacing w:val="-12"/>
          <w:sz w:val="16"/>
          <w:szCs w:val="16"/>
          <w:lang w:val="es-MX"/>
        </w:rPr>
        <w:t>Remisión de diligencias ante el Juez de Distrito, Policía Nacional, Investigaciones Criminales, 15 de abril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216</w:t>
      </w:r>
      <w:r>
        <w:rPr>
          <w:rFonts w:ascii="Verdana" w:hAnsi="Verdana"/>
          <w:spacing w:val="-12"/>
          <w:sz w:val="16"/>
          <w:szCs w:val="16"/>
          <w:lang w:val="es-MX"/>
        </w:rPr>
        <w:t xml:space="preserve"> a </w:t>
      </w:r>
      <w:r w:rsidRPr="001F0A42">
        <w:rPr>
          <w:rFonts w:ascii="Verdana" w:hAnsi="Verdana"/>
          <w:spacing w:val="-12"/>
          <w:sz w:val="16"/>
          <w:szCs w:val="16"/>
          <w:lang w:val="es-MX"/>
        </w:rPr>
        <w:t>252)</w:t>
      </w:r>
      <w:r>
        <w:rPr>
          <w:rFonts w:ascii="Verdana" w:hAnsi="Verdana"/>
          <w:spacing w:val="-12"/>
          <w:sz w:val="16"/>
          <w:szCs w:val="16"/>
          <w:lang w:val="es-MX"/>
        </w:rPr>
        <w:t>; s</w:t>
      </w:r>
      <w:r w:rsidRPr="001F0A42">
        <w:rPr>
          <w:rFonts w:ascii="Verdana" w:hAnsi="Verdana"/>
          <w:spacing w:val="-12"/>
          <w:sz w:val="16"/>
          <w:szCs w:val="16"/>
          <w:lang w:val="es-MX"/>
        </w:rPr>
        <w:t>olicitud de orden de allanamiento y registro domiciliar, Policía Nacional, Investigaciones Criminales, 15 de abril de 2002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257)</w:t>
      </w:r>
      <w:r>
        <w:rPr>
          <w:rFonts w:ascii="Verdana" w:hAnsi="Verdana"/>
          <w:spacing w:val="-12"/>
          <w:sz w:val="16"/>
          <w:szCs w:val="16"/>
          <w:lang w:val="es-MX"/>
        </w:rPr>
        <w:t>;</w:t>
      </w:r>
      <w:r w:rsidRPr="00B830E7">
        <w:rPr>
          <w:rFonts w:ascii="Verdana" w:hAnsi="Verdana"/>
          <w:spacing w:val="-12"/>
          <w:sz w:val="16"/>
          <w:szCs w:val="16"/>
          <w:lang w:val="es-MX"/>
        </w:rPr>
        <w:t xml:space="preserve"> </w:t>
      </w:r>
      <w:r>
        <w:rPr>
          <w:rFonts w:ascii="Verdana" w:hAnsi="Verdana"/>
          <w:spacing w:val="-12"/>
          <w:sz w:val="16"/>
          <w:szCs w:val="16"/>
          <w:lang w:val="es-MX"/>
        </w:rPr>
        <w:t>r</w:t>
      </w:r>
      <w:r w:rsidRPr="001F0A42">
        <w:rPr>
          <w:rFonts w:ascii="Verdana" w:hAnsi="Verdana"/>
          <w:spacing w:val="-12"/>
          <w:sz w:val="16"/>
          <w:szCs w:val="16"/>
          <w:lang w:val="es-MX"/>
        </w:rPr>
        <w:t>emisión de diligencias ante el Juez de Distrito, Policía Nacional, Investigaciones Criminales, 18 de abril de 2002 (ex</w:t>
      </w:r>
      <w:r>
        <w:rPr>
          <w:rFonts w:ascii="Verdana" w:hAnsi="Verdana"/>
          <w:spacing w:val="-12"/>
          <w:sz w:val="16"/>
          <w:szCs w:val="16"/>
          <w:lang w:val="es-MX"/>
        </w:rPr>
        <w:t>pediente de prueba ff. 274 a 276); a</w:t>
      </w:r>
      <w:r w:rsidRPr="001F0A42">
        <w:rPr>
          <w:rFonts w:ascii="Verdana" w:hAnsi="Verdana"/>
          <w:spacing w:val="-12"/>
          <w:sz w:val="16"/>
          <w:szCs w:val="16"/>
          <w:lang w:val="es-MX"/>
        </w:rPr>
        <w:t>mpliación de Informe pericial, Policía Nacional Investigaciones Criminales, 6 de mayo de 2002 (expediente de prueba ff. 342</w:t>
      </w:r>
      <w:r>
        <w:rPr>
          <w:rFonts w:ascii="Verdana" w:hAnsi="Verdana"/>
          <w:spacing w:val="-12"/>
          <w:sz w:val="16"/>
          <w:szCs w:val="16"/>
          <w:lang w:val="es-MX"/>
        </w:rPr>
        <w:t xml:space="preserve"> a </w:t>
      </w:r>
      <w:r w:rsidRPr="001F0A42">
        <w:rPr>
          <w:rFonts w:ascii="Verdana" w:hAnsi="Verdana"/>
          <w:spacing w:val="-12"/>
          <w:sz w:val="16"/>
          <w:szCs w:val="16"/>
          <w:lang w:val="es-MX"/>
        </w:rPr>
        <w:t>344).</w:t>
      </w:r>
    </w:p>
  </w:footnote>
  <w:footnote w:id="46">
    <w:p w14:paraId="057A1E11" w14:textId="3F0C3E11"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spacing w:val="-12"/>
          <w:sz w:val="16"/>
          <w:szCs w:val="16"/>
          <w:lang w:val="es-MX"/>
        </w:rPr>
        <w:t xml:space="preserve">Cfr. </w:t>
      </w:r>
      <w:r w:rsidRPr="001F0A42">
        <w:rPr>
          <w:rFonts w:ascii="Verdana" w:hAnsi="Verdana"/>
          <w:spacing w:val="-12"/>
          <w:sz w:val="16"/>
          <w:szCs w:val="16"/>
          <w:lang w:val="es-MX"/>
        </w:rPr>
        <w:t>Cédula Judicial de 15 de abril de 2002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f. 263).</w:t>
      </w:r>
    </w:p>
  </w:footnote>
  <w:footnote w:id="47">
    <w:p w14:paraId="7A6C1500" w14:textId="53B5F7ED"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 xml:space="preserve">Declaración </w:t>
      </w:r>
      <w:r w:rsidRPr="00450DC5">
        <w:rPr>
          <w:rFonts w:ascii="Verdana" w:hAnsi="Verdana"/>
          <w:i/>
          <w:spacing w:val="-12"/>
          <w:sz w:val="16"/>
          <w:szCs w:val="16"/>
          <w:lang w:val="es-MX"/>
        </w:rPr>
        <w:t>Ad-Inquirendum</w:t>
      </w:r>
      <w:r w:rsidRPr="001F0A42">
        <w:rPr>
          <w:rFonts w:ascii="Verdana" w:hAnsi="Verdana"/>
          <w:spacing w:val="-12"/>
          <w:sz w:val="16"/>
          <w:szCs w:val="16"/>
          <w:lang w:val="es-MX"/>
        </w:rPr>
        <w:t xml:space="preserve"> de María Luisa Acosta Castellón, 16 de abril de 2002 (expediente de prueba</w:t>
      </w:r>
      <w:r>
        <w:rPr>
          <w:rFonts w:ascii="Verdana" w:hAnsi="Verdana"/>
          <w:spacing w:val="-12"/>
          <w:sz w:val="16"/>
          <w:szCs w:val="16"/>
          <w:lang w:val="es-MX"/>
        </w:rPr>
        <w:t>, folios 141 a 145 y folios 2821 a 2825</w:t>
      </w:r>
      <w:r w:rsidRPr="001F0A42">
        <w:rPr>
          <w:rFonts w:ascii="Verdana" w:hAnsi="Verdana"/>
          <w:spacing w:val="-12"/>
          <w:sz w:val="16"/>
          <w:szCs w:val="16"/>
          <w:lang w:val="es-MX"/>
        </w:rPr>
        <w:t>).</w:t>
      </w:r>
    </w:p>
  </w:footnote>
  <w:footnote w:id="48">
    <w:p w14:paraId="7C3E196F" w14:textId="377E4C31" w:rsidR="00D93B58" w:rsidRPr="00C65D09" w:rsidRDefault="00D93B58" w:rsidP="00C65D09">
      <w:pPr>
        <w:pStyle w:val="Textonotapie"/>
        <w:jc w:val="both"/>
        <w:rPr>
          <w:lang w:val="es-CR"/>
        </w:rPr>
      </w:pPr>
      <w:r w:rsidRPr="00BF5B40">
        <w:rPr>
          <w:rStyle w:val="Refdenotaalpie"/>
          <w:rFonts w:ascii="Verdana" w:hAnsi="Verdana"/>
          <w:sz w:val="16"/>
          <w:szCs w:val="16"/>
        </w:rPr>
        <w:footnoteRef/>
      </w:r>
      <w:r w:rsidRPr="00BF5B40">
        <w:rPr>
          <w:rFonts w:ascii="Verdana" w:hAnsi="Verdana"/>
          <w:sz w:val="16"/>
          <w:szCs w:val="16"/>
        </w:rPr>
        <w:t xml:space="preserve"> </w:t>
      </w:r>
      <w:r w:rsidRPr="00C65D09">
        <w:rPr>
          <w:rFonts w:ascii="Verdana" w:hAnsi="Verdana"/>
          <w:spacing w:val="-12"/>
          <w:sz w:val="16"/>
          <w:szCs w:val="16"/>
          <w:lang w:val="es-MX"/>
        </w:rPr>
        <w:tab/>
        <w:t>En las quejas disciplinarias interpuestas, la señora Acosta manifestó que el día 18 de abril de 2002, el juez Acuña Cambronero llegó a realizar la inspección ocular a su casa de habitación en el mismo carro con PMF y que se marchó en el mismo carro (</w:t>
      </w:r>
      <w:r>
        <w:rPr>
          <w:rFonts w:ascii="Verdana" w:hAnsi="Verdana"/>
          <w:i/>
          <w:iCs/>
          <w:spacing w:val="-12"/>
          <w:sz w:val="16"/>
          <w:szCs w:val="16"/>
          <w:lang w:val="es-MX"/>
        </w:rPr>
        <w:t xml:space="preserve">Cfr. </w:t>
      </w:r>
      <w:r w:rsidRPr="001F0A42">
        <w:rPr>
          <w:rFonts w:ascii="Verdana" w:hAnsi="Verdana"/>
          <w:spacing w:val="-12"/>
          <w:sz w:val="16"/>
          <w:szCs w:val="16"/>
          <w:lang w:val="es-MX"/>
        </w:rPr>
        <w:t>Escrito de queja presentado por la señora Acosta ante la Comisión de Régimen Disciplinario de la Corte Suprema d</w:t>
      </w:r>
      <w:r>
        <w:rPr>
          <w:rFonts w:ascii="Verdana" w:hAnsi="Verdana"/>
          <w:spacing w:val="-12"/>
          <w:sz w:val="16"/>
          <w:szCs w:val="16"/>
          <w:lang w:val="es-MX"/>
        </w:rPr>
        <w:t xml:space="preserve">e Justicia, 10 de mayo de 2002, </w:t>
      </w:r>
      <w:r w:rsidRPr="001F0A42">
        <w:rPr>
          <w:rFonts w:ascii="Verdana" w:hAnsi="Verdana"/>
          <w:spacing w:val="-12"/>
          <w:sz w:val="16"/>
          <w:szCs w:val="16"/>
          <w:lang w:val="es-MX"/>
        </w:rPr>
        <w:t>expediente de prueba</w:t>
      </w:r>
      <w:r>
        <w:rPr>
          <w:rFonts w:ascii="Verdana" w:hAnsi="Verdana"/>
          <w:spacing w:val="-12"/>
          <w:sz w:val="16"/>
          <w:szCs w:val="16"/>
          <w:lang w:val="es-MX"/>
        </w:rPr>
        <w:t>, f.</w:t>
      </w:r>
      <w:r w:rsidRPr="001F0A42">
        <w:rPr>
          <w:rFonts w:ascii="Verdana" w:hAnsi="Verdana"/>
          <w:spacing w:val="-12"/>
          <w:sz w:val="16"/>
          <w:szCs w:val="16"/>
          <w:lang w:val="es-MX"/>
        </w:rPr>
        <w:t xml:space="preserve"> 61</w:t>
      </w:r>
      <w:r>
        <w:rPr>
          <w:rFonts w:ascii="Verdana" w:hAnsi="Verdana"/>
          <w:spacing w:val="-12"/>
          <w:sz w:val="16"/>
          <w:szCs w:val="16"/>
          <w:lang w:val="es-MX"/>
        </w:rPr>
        <w:t>5</w:t>
      </w:r>
      <w:r w:rsidRPr="001F0A42">
        <w:rPr>
          <w:rFonts w:ascii="Verdana" w:hAnsi="Verdana"/>
          <w:spacing w:val="-12"/>
          <w:sz w:val="16"/>
          <w:szCs w:val="16"/>
          <w:lang w:val="es-MX"/>
        </w:rPr>
        <w:t>)</w:t>
      </w:r>
      <w:r w:rsidRPr="00C65D09">
        <w:rPr>
          <w:rFonts w:ascii="Verdana" w:hAnsi="Verdana"/>
          <w:spacing w:val="-12"/>
          <w:sz w:val="16"/>
          <w:szCs w:val="16"/>
          <w:lang w:val="es-MX"/>
        </w:rPr>
        <w:t>.</w:t>
      </w:r>
      <w:r>
        <w:rPr>
          <w:rFonts w:ascii="Verdana" w:hAnsi="Verdana"/>
          <w:spacing w:val="-12"/>
          <w:sz w:val="16"/>
          <w:szCs w:val="16"/>
          <w:lang w:val="es-MX"/>
        </w:rPr>
        <w:t xml:space="preserve"> </w:t>
      </w:r>
      <w:r w:rsidRPr="00C65D09">
        <w:rPr>
          <w:rFonts w:ascii="Verdana" w:hAnsi="Verdana"/>
          <w:spacing w:val="-12"/>
          <w:sz w:val="16"/>
          <w:szCs w:val="16"/>
          <w:lang w:val="es-MX"/>
        </w:rPr>
        <w:t xml:space="preserve"> </w:t>
      </w:r>
    </w:p>
  </w:footnote>
  <w:footnote w:id="49">
    <w:p w14:paraId="26E20695" w14:textId="1E4BEDA4"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Expediente judicial de primera instancia, folios 83 y 84</w:t>
      </w:r>
      <w:r>
        <w:rPr>
          <w:rFonts w:ascii="Verdana" w:hAnsi="Verdana"/>
          <w:spacing w:val="-12"/>
          <w:sz w:val="16"/>
          <w:szCs w:val="16"/>
          <w:lang w:val="es-MX"/>
        </w:rPr>
        <w:t>;</w:t>
      </w:r>
      <w:r w:rsidRPr="00B830E7">
        <w:rPr>
          <w:rFonts w:ascii="Verdana" w:hAnsi="Verdana"/>
          <w:spacing w:val="-12"/>
          <w:sz w:val="16"/>
          <w:szCs w:val="16"/>
          <w:lang w:val="es-MX"/>
        </w:rPr>
        <w:t xml:space="preserve"> </w:t>
      </w:r>
      <w:r w:rsidRPr="001F0A42">
        <w:rPr>
          <w:rFonts w:ascii="Verdana" w:hAnsi="Verdana"/>
          <w:spacing w:val="-12"/>
          <w:sz w:val="16"/>
          <w:szCs w:val="16"/>
          <w:lang w:val="es-MX"/>
        </w:rPr>
        <w:t xml:space="preserve">Acta de Inspección Ocular, Juez de Distrito del Crimen de </w:t>
      </w:r>
      <w:r>
        <w:rPr>
          <w:rFonts w:ascii="Verdana" w:hAnsi="Verdana"/>
          <w:spacing w:val="-12"/>
          <w:sz w:val="16"/>
          <w:szCs w:val="16"/>
          <w:lang w:val="es-MX"/>
        </w:rPr>
        <w:t xml:space="preserve">Bluefields, 18 de abril de 2002; </w:t>
      </w:r>
      <w:r w:rsidRPr="001F0A42">
        <w:rPr>
          <w:rFonts w:ascii="Verdana" w:hAnsi="Verdana"/>
          <w:spacing w:val="-12"/>
          <w:sz w:val="16"/>
          <w:szCs w:val="16"/>
          <w:lang w:val="es-MX"/>
        </w:rPr>
        <w:t>Solicitud de allanamiento de la Fiscal Auxiliar de Justicia al Juzgado de Distrito del Crimen de Bluefields, 19 de abril de 2002; Orden de allanamiento y registro domiciliar del Juzgado de Distrito del Crimen de Bluefields, 19 de abril de 2002</w:t>
      </w:r>
      <w:r>
        <w:rPr>
          <w:rFonts w:ascii="Verdana" w:hAnsi="Verdana"/>
          <w:spacing w:val="-12"/>
          <w:sz w:val="16"/>
          <w:szCs w:val="16"/>
          <w:lang w:val="es-MX"/>
        </w:rPr>
        <w:t xml:space="preserve">; </w:t>
      </w:r>
      <w:r w:rsidRPr="001F0A42">
        <w:rPr>
          <w:rFonts w:ascii="Verdana" w:hAnsi="Verdana"/>
          <w:spacing w:val="-12"/>
          <w:sz w:val="16"/>
          <w:szCs w:val="16"/>
          <w:lang w:val="es-MX"/>
        </w:rPr>
        <w:t>Oficio</w:t>
      </w:r>
      <w:r>
        <w:rPr>
          <w:rFonts w:ascii="Verdana" w:hAnsi="Verdana"/>
          <w:spacing w:val="-12"/>
          <w:sz w:val="16"/>
          <w:szCs w:val="16"/>
          <w:lang w:val="es-MX"/>
        </w:rPr>
        <w:t>s</w:t>
      </w:r>
      <w:r w:rsidRPr="001F0A42">
        <w:rPr>
          <w:rFonts w:ascii="Verdana" w:hAnsi="Verdana"/>
          <w:spacing w:val="-12"/>
          <w:sz w:val="16"/>
          <w:szCs w:val="16"/>
          <w:lang w:val="es-MX"/>
        </w:rPr>
        <w:t xml:space="preserve"> del Juez de Dis</w:t>
      </w:r>
      <w:r>
        <w:rPr>
          <w:rFonts w:ascii="Verdana" w:hAnsi="Verdana"/>
          <w:spacing w:val="-12"/>
          <w:sz w:val="16"/>
          <w:szCs w:val="16"/>
          <w:lang w:val="es-MX"/>
        </w:rPr>
        <w:t xml:space="preserve">trito del Crimen de Bluefields </w:t>
      </w:r>
      <w:r w:rsidRPr="001F0A42">
        <w:rPr>
          <w:rFonts w:ascii="Verdana" w:hAnsi="Verdana"/>
          <w:spacing w:val="-12"/>
          <w:sz w:val="16"/>
          <w:szCs w:val="16"/>
          <w:lang w:val="es-MX"/>
        </w:rPr>
        <w:t xml:space="preserve">dirigido al Gerente del banco </w:t>
      </w:r>
      <w:r w:rsidRPr="001F0A42">
        <w:rPr>
          <w:rFonts w:ascii="Verdana" w:hAnsi="Verdana"/>
          <w:i/>
          <w:spacing w:val="-12"/>
          <w:sz w:val="16"/>
          <w:szCs w:val="16"/>
          <w:lang w:val="es-MX"/>
        </w:rPr>
        <w:t>Bancentro</w:t>
      </w:r>
      <w:r>
        <w:rPr>
          <w:rFonts w:ascii="Verdana" w:hAnsi="Verdana"/>
          <w:spacing w:val="-12"/>
          <w:sz w:val="16"/>
          <w:szCs w:val="16"/>
          <w:lang w:val="es-MX"/>
        </w:rPr>
        <w:t xml:space="preserve">, </w:t>
      </w:r>
      <w:r w:rsidRPr="001F0A42">
        <w:rPr>
          <w:rFonts w:ascii="Verdana" w:hAnsi="Verdana"/>
          <w:spacing w:val="-12"/>
          <w:sz w:val="16"/>
          <w:szCs w:val="16"/>
          <w:lang w:val="es-MX"/>
        </w:rPr>
        <w:t xml:space="preserve">al Gerente del banco </w:t>
      </w:r>
      <w:r w:rsidRPr="001F0A42">
        <w:rPr>
          <w:rFonts w:ascii="Verdana" w:hAnsi="Verdana"/>
          <w:i/>
          <w:spacing w:val="-12"/>
          <w:sz w:val="16"/>
          <w:szCs w:val="16"/>
          <w:lang w:val="es-MX"/>
        </w:rPr>
        <w:t>Calley Dagnall</w:t>
      </w:r>
      <w:r>
        <w:rPr>
          <w:rFonts w:ascii="Verdana" w:hAnsi="Verdana"/>
          <w:spacing w:val="-12"/>
          <w:sz w:val="16"/>
          <w:szCs w:val="16"/>
          <w:lang w:val="es-MX"/>
        </w:rPr>
        <w:t xml:space="preserve"> y </w:t>
      </w:r>
      <w:r w:rsidRPr="001F0A42">
        <w:rPr>
          <w:rFonts w:ascii="Verdana" w:hAnsi="Verdana"/>
          <w:spacing w:val="-12"/>
          <w:sz w:val="16"/>
          <w:szCs w:val="16"/>
          <w:lang w:val="es-MX"/>
        </w:rPr>
        <w:t xml:space="preserve">al delegado de la compañía </w:t>
      </w:r>
      <w:r w:rsidRPr="001F0A42">
        <w:rPr>
          <w:rFonts w:ascii="Verdana" w:hAnsi="Verdana"/>
          <w:i/>
          <w:spacing w:val="-12"/>
          <w:sz w:val="16"/>
          <w:szCs w:val="16"/>
          <w:lang w:val="es-MX"/>
        </w:rPr>
        <w:t>Enitel</w:t>
      </w:r>
      <w:r w:rsidRPr="001F0A42">
        <w:rPr>
          <w:rFonts w:ascii="Verdana" w:hAnsi="Verdana"/>
          <w:spacing w:val="-12"/>
          <w:sz w:val="16"/>
          <w:szCs w:val="16"/>
          <w:lang w:val="es-MX"/>
        </w:rPr>
        <w:t>, 19 de abril de 2002 (expediente de prueba f</w:t>
      </w:r>
      <w:r>
        <w:rPr>
          <w:rFonts w:ascii="Verdana" w:hAnsi="Verdana"/>
          <w:spacing w:val="-12"/>
          <w:sz w:val="16"/>
          <w:szCs w:val="16"/>
          <w:lang w:val="es-MX"/>
        </w:rPr>
        <w:t>f</w:t>
      </w:r>
      <w:r w:rsidRPr="001F0A42">
        <w:rPr>
          <w:rFonts w:ascii="Verdana" w:hAnsi="Verdana"/>
          <w:spacing w:val="-12"/>
          <w:sz w:val="16"/>
          <w:szCs w:val="16"/>
          <w:lang w:val="es-MX"/>
        </w:rPr>
        <w:t>.</w:t>
      </w:r>
      <w:r>
        <w:rPr>
          <w:rFonts w:ascii="Verdana" w:hAnsi="Verdana"/>
          <w:spacing w:val="-12"/>
          <w:sz w:val="16"/>
          <w:szCs w:val="16"/>
          <w:lang w:val="es-MX"/>
        </w:rPr>
        <w:t xml:space="preserve"> 206 a</w:t>
      </w:r>
      <w:r w:rsidRPr="001F0A42">
        <w:rPr>
          <w:rFonts w:ascii="Verdana" w:hAnsi="Verdana"/>
          <w:spacing w:val="-12"/>
          <w:sz w:val="16"/>
          <w:szCs w:val="16"/>
          <w:lang w:val="es-MX"/>
        </w:rPr>
        <w:t xml:space="preserve"> 286).</w:t>
      </w:r>
    </w:p>
  </w:footnote>
  <w:footnote w:id="50">
    <w:p w14:paraId="0F4FAD7C" w14:textId="6B1C62B9"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Declaración indagatoria de PMF</w:t>
      </w:r>
      <w:r>
        <w:rPr>
          <w:rFonts w:ascii="Verdana" w:hAnsi="Verdana"/>
          <w:spacing w:val="-12"/>
          <w:sz w:val="16"/>
          <w:szCs w:val="16"/>
          <w:lang w:val="es-MX"/>
        </w:rPr>
        <w:t xml:space="preserve"> y de PT</w:t>
      </w:r>
      <w:r w:rsidRPr="001F0A42">
        <w:rPr>
          <w:rFonts w:ascii="Verdana" w:hAnsi="Verdana"/>
          <w:spacing w:val="-12"/>
          <w:sz w:val="16"/>
          <w:szCs w:val="16"/>
          <w:lang w:val="es-MX"/>
        </w:rPr>
        <w:t>, 19 de abril de 2002 (expediente de prueba ff. 288</w:t>
      </w:r>
      <w:r>
        <w:rPr>
          <w:rFonts w:ascii="Verdana" w:hAnsi="Verdana"/>
          <w:spacing w:val="-12"/>
          <w:sz w:val="16"/>
          <w:szCs w:val="16"/>
          <w:lang w:val="es-MX"/>
        </w:rPr>
        <w:t xml:space="preserve"> a </w:t>
      </w:r>
      <w:r w:rsidRPr="001F0A42">
        <w:rPr>
          <w:rFonts w:ascii="Verdana" w:hAnsi="Verdana"/>
          <w:spacing w:val="-12"/>
          <w:sz w:val="16"/>
          <w:szCs w:val="16"/>
          <w:lang w:val="es-MX"/>
        </w:rPr>
        <w:t>29</w:t>
      </w:r>
      <w:r>
        <w:rPr>
          <w:rFonts w:ascii="Verdana" w:hAnsi="Verdana"/>
          <w:spacing w:val="-12"/>
          <w:sz w:val="16"/>
          <w:szCs w:val="16"/>
          <w:lang w:val="es-MX"/>
        </w:rPr>
        <w:t>6</w:t>
      </w:r>
      <w:r w:rsidRPr="001F0A42">
        <w:rPr>
          <w:rFonts w:ascii="Verdana" w:hAnsi="Verdana"/>
          <w:spacing w:val="-12"/>
          <w:sz w:val="16"/>
          <w:szCs w:val="16"/>
          <w:lang w:val="es-MX"/>
        </w:rPr>
        <w:t>) y escrito de 19 de abril de 2002 presentado por PMF ante el Juez de Distrito del Crimen de Bluefields (expediente de prueba f. 2446).</w:t>
      </w:r>
    </w:p>
  </w:footnote>
  <w:footnote w:id="51">
    <w:p w14:paraId="7EBF2AE3" w14:textId="3B043477"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Cédula judicial del Juzgado de Distrito del Crimen de Bluefields, 19 de abril de 2002 (expediente de prueba f.298).</w:t>
      </w:r>
    </w:p>
  </w:footnote>
  <w:footnote w:id="52">
    <w:p w14:paraId="6F01817D" w14:textId="5F4CA908" w:rsidR="00D93B58" w:rsidRPr="001F0A42" w:rsidRDefault="00D93B58" w:rsidP="00C10D2F">
      <w:pPr>
        <w:pStyle w:val="Style29"/>
        <w:spacing w:before="120" w:after="120" w:line="240" w:lineRule="auto"/>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Comunicado de María Luisa Acosta Castellón, 22 de agosto de 200</w:t>
      </w:r>
      <w:r>
        <w:rPr>
          <w:rFonts w:ascii="Verdana" w:hAnsi="Verdana"/>
          <w:spacing w:val="-12"/>
          <w:sz w:val="16"/>
          <w:szCs w:val="16"/>
          <w:lang w:val="es-MX"/>
        </w:rPr>
        <w:t>2 (expediente de prueba f. 199);</w:t>
      </w:r>
      <w:r w:rsidRPr="001F0A42">
        <w:rPr>
          <w:rFonts w:ascii="Verdana" w:hAnsi="Verdana"/>
          <w:spacing w:val="-12"/>
          <w:sz w:val="16"/>
          <w:szCs w:val="16"/>
          <w:lang w:val="es-MX"/>
        </w:rPr>
        <w:t xml:space="preserve"> </w:t>
      </w:r>
      <w:r>
        <w:rPr>
          <w:rFonts w:ascii="Verdana" w:hAnsi="Verdana"/>
          <w:spacing w:val="-12"/>
          <w:sz w:val="16"/>
          <w:szCs w:val="16"/>
          <w:lang w:val="es-MX"/>
        </w:rPr>
        <w:t>e</w:t>
      </w:r>
      <w:r w:rsidRPr="001F0A42">
        <w:rPr>
          <w:rFonts w:ascii="Verdana" w:hAnsi="Verdana"/>
          <w:spacing w:val="-12"/>
          <w:sz w:val="16"/>
          <w:szCs w:val="16"/>
          <w:lang w:val="es-MX"/>
        </w:rPr>
        <w:t>scrito de la Fiscal Auxiliar de Justicia, 24 de abril de 2002. Expediente judicial de primera instancia No. 110-02, folio 132</w:t>
      </w:r>
      <w:r>
        <w:rPr>
          <w:rFonts w:ascii="Verdana" w:hAnsi="Verdana"/>
          <w:spacing w:val="-12"/>
          <w:sz w:val="16"/>
          <w:szCs w:val="16"/>
          <w:lang w:val="es-MX"/>
        </w:rPr>
        <w:t xml:space="preserve"> (expediente de prueba, folio 201)</w:t>
      </w:r>
      <w:r w:rsidRPr="001F0A42">
        <w:rPr>
          <w:rFonts w:ascii="Verdana" w:hAnsi="Verdana"/>
          <w:spacing w:val="-12"/>
          <w:sz w:val="16"/>
          <w:szCs w:val="16"/>
          <w:lang w:val="es-MX"/>
        </w:rPr>
        <w:t>.</w:t>
      </w:r>
      <w:r w:rsidRPr="001F0A42">
        <w:rPr>
          <w:rFonts w:ascii="Verdana" w:hAnsi="Verdana" w:cs="Arial Narrow"/>
          <w:spacing w:val="-12"/>
          <w:sz w:val="16"/>
          <w:szCs w:val="16"/>
          <w:lang w:val="es-MX"/>
        </w:rPr>
        <w:t xml:space="preserve"> Ver también declaración de la señora Acosta en </w:t>
      </w:r>
      <w:r>
        <w:rPr>
          <w:rFonts w:ascii="Verdana" w:hAnsi="Verdana" w:cs="Arial Narrow"/>
          <w:spacing w:val="-12"/>
          <w:sz w:val="16"/>
          <w:szCs w:val="16"/>
          <w:lang w:val="es-MX"/>
        </w:rPr>
        <w:t xml:space="preserve">la </w:t>
      </w:r>
      <w:r w:rsidRPr="001F0A42">
        <w:rPr>
          <w:rFonts w:ascii="Verdana" w:hAnsi="Verdana" w:cs="Arial Narrow"/>
          <w:spacing w:val="-12"/>
          <w:sz w:val="16"/>
          <w:szCs w:val="16"/>
          <w:lang w:val="es-MX"/>
        </w:rPr>
        <w:t>audiencia</w:t>
      </w:r>
      <w:r>
        <w:rPr>
          <w:rFonts w:ascii="Verdana" w:hAnsi="Verdana" w:cs="Arial Narrow"/>
          <w:spacing w:val="-12"/>
          <w:sz w:val="16"/>
          <w:szCs w:val="16"/>
          <w:lang w:val="es-MX"/>
        </w:rPr>
        <w:t xml:space="preserve"> pública ante la Corte.</w:t>
      </w:r>
    </w:p>
  </w:footnote>
  <w:footnote w:id="53">
    <w:p w14:paraId="27D19C70" w14:textId="1AFD9198"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de la Fiscal Auxiliar de Justicia, 24 de abril de 2002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201).</w:t>
      </w:r>
    </w:p>
  </w:footnote>
  <w:footnote w:id="54">
    <w:p w14:paraId="3D41214F" w14:textId="4029134B"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Informe de registro, Policía Nacional Investigaciones Criminales, 23 de abril de 2002 (expediente de prueba</w:t>
      </w:r>
      <w:r>
        <w:rPr>
          <w:rFonts w:ascii="Verdana" w:hAnsi="Verdana"/>
          <w:spacing w:val="-12"/>
          <w:sz w:val="16"/>
          <w:szCs w:val="16"/>
          <w:lang w:val="es-MX"/>
        </w:rPr>
        <w:t>, ff.</w:t>
      </w:r>
      <w:r w:rsidRPr="001F0A42">
        <w:rPr>
          <w:rFonts w:ascii="Verdana" w:hAnsi="Verdana"/>
          <w:spacing w:val="-12"/>
          <w:sz w:val="16"/>
          <w:szCs w:val="16"/>
          <w:lang w:val="es-MX"/>
        </w:rPr>
        <w:t xml:space="preserve"> 337</w:t>
      </w:r>
      <w:r>
        <w:rPr>
          <w:rFonts w:ascii="Verdana" w:hAnsi="Verdana"/>
          <w:spacing w:val="-12"/>
          <w:sz w:val="16"/>
          <w:szCs w:val="16"/>
          <w:lang w:val="es-MX"/>
        </w:rPr>
        <w:t>,</w:t>
      </w:r>
      <w:r w:rsidRPr="001F0A42">
        <w:rPr>
          <w:rFonts w:ascii="Verdana" w:hAnsi="Verdana"/>
          <w:spacing w:val="-12"/>
          <w:sz w:val="16"/>
          <w:szCs w:val="16"/>
          <w:lang w:val="es-MX"/>
        </w:rPr>
        <w:t xml:space="preserve"> 2664 y</w:t>
      </w:r>
      <w:r>
        <w:rPr>
          <w:rFonts w:ascii="Verdana" w:hAnsi="Verdana"/>
          <w:spacing w:val="-12"/>
          <w:sz w:val="16"/>
          <w:szCs w:val="16"/>
          <w:lang w:val="es-MX"/>
        </w:rPr>
        <w:t xml:space="preserve"> </w:t>
      </w:r>
      <w:r w:rsidRPr="001F0A42">
        <w:rPr>
          <w:rFonts w:ascii="Verdana" w:hAnsi="Verdana"/>
          <w:spacing w:val="-12"/>
          <w:sz w:val="16"/>
          <w:szCs w:val="16"/>
          <w:lang w:val="es-MX"/>
        </w:rPr>
        <w:t>2666)</w:t>
      </w:r>
      <w:r>
        <w:rPr>
          <w:rFonts w:ascii="Verdana" w:hAnsi="Verdana"/>
          <w:spacing w:val="-12"/>
          <w:sz w:val="16"/>
          <w:szCs w:val="16"/>
          <w:lang w:val="es-MX"/>
        </w:rPr>
        <w:t>; a</w:t>
      </w:r>
      <w:r w:rsidRPr="001F0A42">
        <w:rPr>
          <w:rFonts w:ascii="Verdana" w:hAnsi="Verdana"/>
          <w:spacing w:val="-12"/>
          <w:sz w:val="16"/>
          <w:szCs w:val="16"/>
          <w:lang w:val="es-MX"/>
        </w:rPr>
        <w:t xml:space="preserve">cta y </w:t>
      </w:r>
      <w:r>
        <w:rPr>
          <w:rFonts w:ascii="Verdana" w:hAnsi="Verdana"/>
          <w:spacing w:val="-12"/>
          <w:sz w:val="16"/>
          <w:szCs w:val="16"/>
          <w:lang w:val="es-MX"/>
        </w:rPr>
        <w:t>r</w:t>
      </w:r>
      <w:r w:rsidRPr="001F0A42">
        <w:rPr>
          <w:rFonts w:ascii="Verdana" w:hAnsi="Verdana"/>
          <w:spacing w:val="-12"/>
          <w:sz w:val="16"/>
          <w:szCs w:val="16"/>
          <w:lang w:val="es-MX"/>
        </w:rPr>
        <w:t xml:space="preserve">esultado de </w:t>
      </w:r>
      <w:r>
        <w:rPr>
          <w:rFonts w:ascii="Verdana" w:hAnsi="Verdana"/>
          <w:spacing w:val="-12"/>
          <w:sz w:val="16"/>
          <w:szCs w:val="16"/>
          <w:lang w:val="es-MX"/>
        </w:rPr>
        <w:t>r</w:t>
      </w:r>
      <w:r w:rsidRPr="001F0A42">
        <w:rPr>
          <w:rFonts w:ascii="Verdana" w:hAnsi="Verdana"/>
          <w:spacing w:val="-12"/>
          <w:sz w:val="16"/>
          <w:szCs w:val="16"/>
          <w:lang w:val="es-MX"/>
        </w:rPr>
        <w:t xml:space="preserve">egistro, Policía Nacional Investigaciones Criminales, </w:t>
      </w:r>
      <w:r>
        <w:rPr>
          <w:rFonts w:ascii="Verdana" w:hAnsi="Verdana"/>
          <w:spacing w:val="-12"/>
          <w:sz w:val="16"/>
          <w:szCs w:val="16"/>
          <w:lang w:val="es-MX"/>
        </w:rPr>
        <w:t xml:space="preserve">16 y </w:t>
      </w:r>
      <w:r w:rsidRPr="001F0A42">
        <w:rPr>
          <w:rFonts w:ascii="Verdana" w:hAnsi="Verdana"/>
          <w:spacing w:val="-12"/>
          <w:sz w:val="16"/>
          <w:szCs w:val="16"/>
          <w:lang w:val="es-MX"/>
        </w:rPr>
        <w:t>20 de abril de 2002 (expediente de prueba</w:t>
      </w:r>
      <w:r>
        <w:rPr>
          <w:rFonts w:ascii="Verdana" w:hAnsi="Verdana"/>
          <w:spacing w:val="-12"/>
          <w:sz w:val="16"/>
          <w:szCs w:val="16"/>
          <w:lang w:val="es-MX"/>
        </w:rPr>
        <w:t>, ff.</w:t>
      </w:r>
      <w:r w:rsidRPr="001F0A42">
        <w:rPr>
          <w:rFonts w:ascii="Verdana" w:hAnsi="Verdana"/>
          <w:spacing w:val="-12"/>
          <w:sz w:val="16"/>
          <w:szCs w:val="16"/>
          <w:lang w:val="es-MX"/>
        </w:rPr>
        <w:t xml:space="preserve"> 645</w:t>
      </w:r>
      <w:r>
        <w:rPr>
          <w:rFonts w:ascii="Verdana" w:hAnsi="Verdana"/>
          <w:spacing w:val="-12"/>
          <w:sz w:val="16"/>
          <w:szCs w:val="16"/>
          <w:lang w:val="es-MX"/>
        </w:rPr>
        <w:t xml:space="preserve"> y 647</w:t>
      </w:r>
      <w:r w:rsidRPr="001F0A42">
        <w:rPr>
          <w:rFonts w:ascii="Verdana" w:hAnsi="Verdana"/>
          <w:spacing w:val="-12"/>
          <w:sz w:val="16"/>
          <w:szCs w:val="16"/>
          <w:lang w:val="es-MX"/>
        </w:rPr>
        <w:t>).</w:t>
      </w:r>
    </w:p>
  </w:footnote>
  <w:footnote w:id="55">
    <w:p w14:paraId="699C9A18" w14:textId="23ED86CF"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w:t>
      </w:r>
      <w:r>
        <w:rPr>
          <w:rFonts w:ascii="Verdana" w:hAnsi="Verdana"/>
          <w:spacing w:val="-12"/>
          <w:sz w:val="16"/>
          <w:szCs w:val="16"/>
          <w:lang w:val="es-MX"/>
        </w:rPr>
        <w:t>s</w:t>
      </w:r>
      <w:r w:rsidRPr="001F0A42">
        <w:rPr>
          <w:rFonts w:ascii="Verdana" w:hAnsi="Verdana"/>
          <w:spacing w:val="-12"/>
          <w:sz w:val="16"/>
          <w:szCs w:val="16"/>
          <w:lang w:val="es-MX"/>
        </w:rPr>
        <w:t xml:space="preserve"> del Juzgado de Distrito del Crimen de Bluefields, 26 de abril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w:t>
      </w:r>
      <w:r>
        <w:rPr>
          <w:rFonts w:ascii="Verdana" w:hAnsi="Verdana"/>
          <w:spacing w:val="-12"/>
          <w:sz w:val="16"/>
          <w:szCs w:val="16"/>
          <w:lang w:val="es-MX"/>
        </w:rPr>
        <w:t xml:space="preserve">302 y </w:t>
      </w:r>
      <w:r w:rsidRPr="001F0A42">
        <w:rPr>
          <w:rFonts w:ascii="Verdana" w:hAnsi="Verdana"/>
          <w:spacing w:val="-12"/>
          <w:sz w:val="16"/>
          <w:szCs w:val="16"/>
          <w:lang w:val="es-MX"/>
        </w:rPr>
        <w:t>304).</w:t>
      </w:r>
    </w:p>
  </w:footnote>
  <w:footnote w:id="56">
    <w:p w14:paraId="37D08D52" w14:textId="04AA96AB"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presentado por el representante legal de la señora Acosta ante el Juzgado de Distrito de Crimen de Bluefields el 29 de abril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306</w:t>
      </w:r>
      <w:r>
        <w:rPr>
          <w:rFonts w:ascii="Verdana" w:hAnsi="Verdana"/>
          <w:spacing w:val="-12"/>
          <w:sz w:val="16"/>
          <w:szCs w:val="16"/>
          <w:lang w:val="es-MX"/>
        </w:rPr>
        <w:t xml:space="preserve"> a </w:t>
      </w:r>
      <w:r w:rsidRPr="001F0A42">
        <w:rPr>
          <w:rFonts w:ascii="Verdana" w:hAnsi="Verdana"/>
          <w:spacing w:val="-12"/>
          <w:sz w:val="16"/>
          <w:szCs w:val="16"/>
          <w:lang w:val="es-MX"/>
        </w:rPr>
        <w:t xml:space="preserve">311). </w:t>
      </w:r>
    </w:p>
  </w:footnote>
  <w:footnote w:id="57">
    <w:p w14:paraId="2A0318AC" w14:textId="2C1B5740"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Cédula Judicial del Juzgado de Distrito del Crimen de Bluefields, 2 de mayo de 200</w:t>
      </w:r>
      <w:r>
        <w:rPr>
          <w:rFonts w:ascii="Verdana" w:hAnsi="Verdana"/>
          <w:spacing w:val="-12"/>
          <w:sz w:val="16"/>
          <w:szCs w:val="16"/>
          <w:lang w:val="es-MX"/>
        </w:rPr>
        <w:t>2 (expediente de prueba, folio 315); y o</w:t>
      </w:r>
      <w:r w:rsidRPr="001F0A42">
        <w:rPr>
          <w:rFonts w:ascii="Verdana" w:hAnsi="Verdana"/>
          <w:spacing w:val="-12"/>
          <w:sz w:val="16"/>
          <w:szCs w:val="16"/>
          <w:lang w:val="es-MX"/>
        </w:rPr>
        <w:t>rden de Captura, Juzgado de Distrito del Crimen de Bluefields, 3 de mayo de 2002. Expediente judicial de primera instancia, fo</w:t>
      </w:r>
      <w:r w:rsidRPr="001F0A42">
        <w:rPr>
          <w:rFonts w:ascii="Verdana" w:hAnsi="Verdana" w:cs="Arial Narrow"/>
          <w:spacing w:val="-12"/>
          <w:sz w:val="16"/>
          <w:szCs w:val="16"/>
          <w:lang w:val="es-MX"/>
        </w:rPr>
        <w:t>lio 6</w:t>
      </w:r>
      <w:r>
        <w:rPr>
          <w:rFonts w:ascii="Verdana" w:hAnsi="Verdana" w:cs="Arial Narrow"/>
          <w:spacing w:val="-12"/>
          <w:sz w:val="16"/>
          <w:szCs w:val="16"/>
          <w:lang w:val="es-MX"/>
        </w:rPr>
        <w:t xml:space="preserve"> (expediente de prueba, folio 315)</w:t>
      </w:r>
      <w:r w:rsidRPr="001F0A42">
        <w:rPr>
          <w:rFonts w:ascii="Verdana" w:hAnsi="Verdana"/>
          <w:spacing w:val="-12"/>
          <w:sz w:val="16"/>
          <w:szCs w:val="16"/>
          <w:lang w:val="es-MX"/>
        </w:rPr>
        <w:t>.</w:t>
      </w:r>
    </w:p>
  </w:footnote>
  <w:footnote w:id="58">
    <w:p w14:paraId="6115992D" w14:textId="268E793F"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presentado por el representante legal de la señora Acosta ante el Juzgado de Distrito de Crimen de Bluefields el 3 de mayo de 200</w:t>
      </w:r>
      <w:r>
        <w:rPr>
          <w:rFonts w:ascii="Verdana" w:hAnsi="Verdana"/>
          <w:spacing w:val="-12"/>
          <w:sz w:val="16"/>
          <w:szCs w:val="16"/>
          <w:lang w:val="es-MX"/>
        </w:rPr>
        <w:t>2 (expediente de prueba, folio 317); y a</w:t>
      </w:r>
      <w:r w:rsidRPr="001F0A42">
        <w:rPr>
          <w:rFonts w:ascii="Verdana" w:hAnsi="Verdana"/>
          <w:spacing w:val="-12"/>
          <w:sz w:val="16"/>
          <w:szCs w:val="16"/>
          <w:lang w:val="es-MX"/>
        </w:rPr>
        <w:t>uto del Juzgado de Distrito del Crimen de Bluefields, 6 de mayo de 2002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319).</w:t>
      </w:r>
    </w:p>
  </w:footnote>
  <w:footnote w:id="59">
    <w:p w14:paraId="6CE0044D" w14:textId="55FDDFC5"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presentado por el representante legal de la señora Acosta ante el Juzgado de Distrito de Crimen de Bluefields el 10 de mayo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321</w:t>
      </w:r>
      <w:r>
        <w:rPr>
          <w:rFonts w:ascii="Verdana" w:hAnsi="Verdana"/>
          <w:spacing w:val="-12"/>
          <w:sz w:val="16"/>
          <w:szCs w:val="16"/>
          <w:lang w:val="es-MX"/>
        </w:rPr>
        <w:t xml:space="preserve"> a </w:t>
      </w:r>
      <w:r w:rsidRPr="001F0A42">
        <w:rPr>
          <w:rFonts w:ascii="Verdana" w:hAnsi="Verdana"/>
          <w:spacing w:val="-12"/>
          <w:sz w:val="16"/>
          <w:szCs w:val="16"/>
          <w:lang w:val="es-MX"/>
        </w:rPr>
        <w:t>328)</w:t>
      </w:r>
      <w:r>
        <w:rPr>
          <w:rFonts w:ascii="Verdana" w:hAnsi="Verdana"/>
          <w:spacing w:val="-12"/>
          <w:sz w:val="16"/>
          <w:szCs w:val="16"/>
          <w:lang w:val="es-MX"/>
        </w:rPr>
        <w:t>; y a</w:t>
      </w:r>
      <w:r w:rsidRPr="001F0A42">
        <w:rPr>
          <w:rFonts w:ascii="Verdana" w:hAnsi="Verdana"/>
          <w:spacing w:val="-12"/>
          <w:sz w:val="16"/>
          <w:szCs w:val="16"/>
          <w:lang w:val="es-MX"/>
        </w:rPr>
        <w:t>uto del Juzgado de Distrito del Crimen de Bluefields, 13 de mayo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330</w:t>
      </w:r>
      <w:r>
        <w:rPr>
          <w:rFonts w:ascii="Verdana" w:hAnsi="Verdana"/>
          <w:spacing w:val="-12"/>
          <w:sz w:val="16"/>
          <w:szCs w:val="16"/>
          <w:lang w:val="es-MX"/>
        </w:rPr>
        <w:t xml:space="preserve"> y </w:t>
      </w:r>
      <w:r w:rsidRPr="001F0A42">
        <w:rPr>
          <w:rFonts w:ascii="Verdana" w:hAnsi="Verdana"/>
          <w:spacing w:val="-12"/>
          <w:sz w:val="16"/>
          <w:szCs w:val="16"/>
          <w:lang w:val="es-MX"/>
        </w:rPr>
        <w:t>331).</w:t>
      </w:r>
    </w:p>
  </w:footnote>
  <w:footnote w:id="60">
    <w:p w14:paraId="6911FC60" w14:textId="571AD61A"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 xml:space="preserve">Nota de prensa, “Juez Acuña llamado por la Comisión Disciplinaria de la CSJ”, diario </w:t>
      </w:r>
      <w:r w:rsidRPr="001F0A42">
        <w:rPr>
          <w:rFonts w:ascii="Verdana" w:hAnsi="Verdana"/>
          <w:i/>
          <w:spacing w:val="-12"/>
          <w:sz w:val="16"/>
          <w:szCs w:val="16"/>
          <w:lang w:val="es-MX"/>
        </w:rPr>
        <w:t xml:space="preserve">La Prensa, </w:t>
      </w:r>
      <w:r w:rsidRPr="001F0A42">
        <w:rPr>
          <w:rFonts w:ascii="Verdana" w:hAnsi="Verdana"/>
          <w:spacing w:val="-12"/>
          <w:sz w:val="16"/>
          <w:szCs w:val="16"/>
          <w:lang w:val="es-MX"/>
        </w:rPr>
        <w:t>12 de mayo de 2002 (</w:t>
      </w:r>
      <w:r>
        <w:rPr>
          <w:rFonts w:ascii="Verdana" w:hAnsi="Verdana"/>
          <w:spacing w:val="-12"/>
          <w:sz w:val="16"/>
          <w:szCs w:val="16"/>
          <w:lang w:val="es-MX"/>
        </w:rPr>
        <w:t>expediente de fondo, folio 240, nota al pie 384 al ESAP).</w:t>
      </w:r>
    </w:p>
  </w:footnote>
  <w:footnote w:id="61">
    <w:p w14:paraId="4B9849B3" w14:textId="09AF9510"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Sentencia</w:t>
      </w:r>
      <w:r>
        <w:rPr>
          <w:rFonts w:ascii="Verdana" w:hAnsi="Verdana"/>
          <w:spacing w:val="-12"/>
          <w:sz w:val="16"/>
          <w:szCs w:val="16"/>
          <w:lang w:val="es-MX"/>
        </w:rPr>
        <w:t xml:space="preserve"> del</w:t>
      </w:r>
      <w:r w:rsidRPr="001F0A42">
        <w:rPr>
          <w:rFonts w:ascii="Verdana" w:hAnsi="Verdana"/>
          <w:spacing w:val="-12"/>
          <w:sz w:val="16"/>
          <w:szCs w:val="16"/>
          <w:lang w:val="es-MX"/>
        </w:rPr>
        <w:t xml:space="preserve"> Juzgado de Distrito del Crimen de Bluefields, 13 de mayo de 2002 (expediente de prueba</w:t>
      </w:r>
      <w:r>
        <w:rPr>
          <w:rFonts w:ascii="Verdana" w:hAnsi="Verdana"/>
          <w:spacing w:val="-12"/>
          <w:sz w:val="16"/>
          <w:szCs w:val="16"/>
          <w:lang w:val="es-MX"/>
        </w:rPr>
        <w:t>. Folios 346 a 355 y folios 2619 a 2617</w:t>
      </w:r>
      <w:r w:rsidRPr="001F0A42">
        <w:rPr>
          <w:rFonts w:ascii="Verdana" w:hAnsi="Verdana"/>
          <w:spacing w:val="-12"/>
          <w:sz w:val="16"/>
          <w:szCs w:val="16"/>
          <w:lang w:val="es-MX"/>
        </w:rPr>
        <w:t>).</w:t>
      </w:r>
    </w:p>
  </w:footnote>
  <w:footnote w:id="62">
    <w:p w14:paraId="2C503FA8" w14:textId="7E05E4AE"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t>El juez consideró</w:t>
      </w:r>
      <w:r w:rsidRPr="00BF279B">
        <w:rPr>
          <w:rFonts w:ascii="Verdana" w:hAnsi="Verdana"/>
          <w:spacing w:val="-12"/>
          <w:sz w:val="16"/>
          <w:szCs w:val="16"/>
          <w:lang w:val="es-MX"/>
        </w:rPr>
        <w:t xml:space="preserve"> que a la señora Acosta se le previno para que nombrara a un abogado mediante auto de 19 de abril de 2002, lo que no ocurrió; que ella tampoco compareció a rendir su declaración indagatoria, por lo que fue juzgada en ausencia, lo que permite nombrarle un abogado hasta la etapa plenaria del juicio ordinario penal; y que los sucesivos autos le fueron notificados en el lugar señalado en su primera declaración. Respecto de la denuncia por encubrimiento interpuesta por PMF, el juez consideró que ante una denuncia en que se imputa a una persona natural un delito perseguible de oficio, es obligación de toda autoridad judicial del ramo penal llamarle para rendir su declaración indagatoria con la finalidad de esclarecer los hechos</w:t>
      </w:r>
      <w:r>
        <w:rPr>
          <w:rFonts w:ascii="Verdana" w:hAnsi="Verdana"/>
          <w:spacing w:val="-12"/>
          <w:sz w:val="16"/>
          <w:szCs w:val="16"/>
          <w:lang w:val="es-MX"/>
        </w:rPr>
        <w:t>.</w:t>
      </w:r>
    </w:p>
  </w:footnote>
  <w:footnote w:id="63">
    <w:p w14:paraId="1DA6CB87" w14:textId="078A6E61"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Recurso de Apelación presentado por el representante legal de la señora Acosta ante el Juzgado de Distrito de Crimen de Bluefields el 15 de mayo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357, 2842</w:t>
      </w:r>
      <w:r>
        <w:rPr>
          <w:rFonts w:ascii="Verdana" w:hAnsi="Verdana"/>
          <w:spacing w:val="-12"/>
          <w:sz w:val="16"/>
          <w:szCs w:val="16"/>
          <w:lang w:val="es-MX"/>
        </w:rPr>
        <w:t xml:space="preserve"> a </w:t>
      </w:r>
      <w:r w:rsidRPr="001F0A42">
        <w:rPr>
          <w:rFonts w:ascii="Verdana" w:hAnsi="Verdana"/>
          <w:spacing w:val="-12"/>
          <w:sz w:val="16"/>
          <w:szCs w:val="16"/>
          <w:lang w:val="es-MX"/>
        </w:rPr>
        <w:t>2843 y 2852</w:t>
      </w:r>
      <w:r>
        <w:rPr>
          <w:rFonts w:ascii="Verdana" w:hAnsi="Verdana"/>
          <w:spacing w:val="-12"/>
          <w:sz w:val="16"/>
          <w:szCs w:val="16"/>
          <w:lang w:val="es-MX"/>
        </w:rPr>
        <w:t xml:space="preserve"> a </w:t>
      </w:r>
      <w:r w:rsidRPr="001F0A42">
        <w:rPr>
          <w:rFonts w:ascii="Verdana" w:hAnsi="Verdana"/>
          <w:spacing w:val="-12"/>
          <w:sz w:val="16"/>
          <w:szCs w:val="16"/>
          <w:lang w:val="es-MX"/>
        </w:rPr>
        <w:t>2853).</w:t>
      </w:r>
    </w:p>
  </w:footnote>
  <w:footnote w:id="64">
    <w:p w14:paraId="3B874A3F" w14:textId="4E20A274" w:rsidR="00D93B58" w:rsidRPr="001F0A42" w:rsidRDefault="00D93B58" w:rsidP="00C10D2F">
      <w:pPr>
        <w:pStyle w:val="Textonotapie"/>
        <w:spacing w:before="120" w:after="120"/>
        <w:jc w:val="both"/>
        <w:rPr>
          <w:rFonts w:ascii="Verdana" w:hAnsi="Verdana" w:cs="Arial"/>
          <w:i/>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458B2">
        <w:rPr>
          <w:rFonts w:ascii="Verdana" w:hAnsi="Verdana" w:cs="Arial"/>
          <w:spacing w:val="-12"/>
          <w:sz w:val="16"/>
          <w:szCs w:val="16"/>
          <w:lang w:val="es-CR"/>
        </w:rPr>
        <w:t>A</w:t>
      </w:r>
      <w:r>
        <w:rPr>
          <w:rFonts w:ascii="Verdana" w:hAnsi="Verdana" w:cs="Arial"/>
          <w:spacing w:val="-12"/>
          <w:sz w:val="16"/>
          <w:szCs w:val="16"/>
          <w:lang w:val="es-MX"/>
        </w:rPr>
        <w:t>r</w:t>
      </w:r>
      <w:r w:rsidRPr="001458B2">
        <w:rPr>
          <w:rFonts w:ascii="Verdana" w:hAnsi="Verdana" w:cs="Arial"/>
          <w:spacing w:val="-12"/>
          <w:sz w:val="16"/>
          <w:szCs w:val="16"/>
          <w:lang w:val="es-MX"/>
        </w:rPr>
        <w:t xml:space="preserve">tículo 464 del </w:t>
      </w:r>
      <w:r>
        <w:rPr>
          <w:rFonts w:ascii="Verdana" w:hAnsi="Verdana" w:cs="Arial"/>
          <w:spacing w:val="-12"/>
          <w:sz w:val="16"/>
          <w:szCs w:val="16"/>
          <w:lang w:val="es-MX"/>
        </w:rPr>
        <w:t xml:space="preserve">entonces </w:t>
      </w:r>
      <w:r w:rsidRPr="001458B2">
        <w:rPr>
          <w:rFonts w:ascii="Verdana" w:hAnsi="Verdana" w:cs="Arial"/>
          <w:spacing w:val="-12"/>
          <w:sz w:val="16"/>
          <w:szCs w:val="16"/>
          <w:lang w:val="es-MX"/>
        </w:rPr>
        <w:t>Código Procesal Civil de Nicaragua</w:t>
      </w:r>
      <w:r>
        <w:rPr>
          <w:rFonts w:ascii="Verdana" w:hAnsi="Verdana" w:cs="Arial"/>
          <w:spacing w:val="-12"/>
          <w:sz w:val="16"/>
          <w:szCs w:val="16"/>
          <w:lang w:val="es-MX"/>
        </w:rPr>
        <w:t xml:space="preserve">: </w:t>
      </w:r>
      <w:r w:rsidRPr="001F0A42">
        <w:rPr>
          <w:rFonts w:ascii="Verdana" w:hAnsi="Verdana" w:cs="Arial"/>
          <w:i/>
          <w:spacing w:val="-12"/>
          <w:sz w:val="16"/>
          <w:szCs w:val="16"/>
          <w:lang w:val="es-MX"/>
        </w:rPr>
        <w:t>“El Juez en el auto que admita la apelación en el efecto devolutivo, indicara las piezas que deben testimoniarse, y cualquiera de las partes, en el término de dos días, podrá pedir se agreguen a dicho testimonio las otras que le parezcan convenientes. El Juez prevendrá a la parte, presente el papel necesario dentro de veinticuatro horas, pena de que se declarará de desierta la apelación, si no lo verificare, y así lo hará de oficio a pedimentos de la parte.”</w:t>
      </w:r>
    </w:p>
  </w:footnote>
  <w:footnote w:id="65">
    <w:p w14:paraId="503822D6" w14:textId="79EE5588"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del Juzgado de Distrito del Crimen de Bluefields, 17 de mayo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359</w:t>
      </w:r>
      <w:r>
        <w:rPr>
          <w:rFonts w:ascii="Verdana" w:hAnsi="Verdana"/>
          <w:spacing w:val="-12"/>
          <w:sz w:val="16"/>
          <w:szCs w:val="16"/>
          <w:lang w:val="es-MX"/>
        </w:rPr>
        <w:t xml:space="preserve"> a </w:t>
      </w:r>
      <w:r w:rsidRPr="001F0A42">
        <w:rPr>
          <w:rFonts w:ascii="Verdana" w:hAnsi="Verdana"/>
          <w:spacing w:val="-12"/>
          <w:sz w:val="16"/>
          <w:szCs w:val="16"/>
          <w:lang w:val="es-MX"/>
        </w:rPr>
        <w:t>360 y 2854</w:t>
      </w:r>
      <w:r>
        <w:rPr>
          <w:rFonts w:ascii="Verdana" w:hAnsi="Verdana"/>
          <w:spacing w:val="-12"/>
          <w:sz w:val="16"/>
          <w:szCs w:val="16"/>
          <w:lang w:val="es-MX"/>
        </w:rPr>
        <w:t xml:space="preserve"> a </w:t>
      </w:r>
      <w:r w:rsidRPr="001F0A42">
        <w:rPr>
          <w:rFonts w:ascii="Verdana" w:hAnsi="Verdana"/>
          <w:spacing w:val="-12"/>
          <w:sz w:val="16"/>
          <w:szCs w:val="16"/>
          <w:lang w:val="es-MX"/>
        </w:rPr>
        <w:t>2855).</w:t>
      </w:r>
    </w:p>
  </w:footnote>
  <w:footnote w:id="66">
    <w:p w14:paraId="149D3E51" w14:textId="05053E03"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presentado por el señor PMF ante el Juzgado de Distrito del Crimen de Bluefields, 22 de mayo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2846</w:t>
      </w:r>
      <w:r>
        <w:rPr>
          <w:rFonts w:ascii="Verdana" w:hAnsi="Verdana"/>
          <w:spacing w:val="-12"/>
          <w:sz w:val="16"/>
          <w:szCs w:val="16"/>
          <w:lang w:val="es-MX"/>
        </w:rPr>
        <w:t xml:space="preserve"> y </w:t>
      </w:r>
      <w:r w:rsidRPr="001F0A42">
        <w:rPr>
          <w:rFonts w:ascii="Verdana" w:hAnsi="Verdana"/>
          <w:spacing w:val="-12"/>
          <w:sz w:val="16"/>
          <w:szCs w:val="16"/>
          <w:lang w:val="es-MX"/>
        </w:rPr>
        <w:t>2847)</w:t>
      </w:r>
      <w:r>
        <w:rPr>
          <w:rFonts w:ascii="Verdana" w:hAnsi="Verdana"/>
          <w:spacing w:val="-12"/>
          <w:sz w:val="16"/>
          <w:szCs w:val="16"/>
          <w:lang w:val="es-MX"/>
        </w:rPr>
        <w:t>.</w:t>
      </w:r>
    </w:p>
  </w:footnote>
  <w:footnote w:id="67">
    <w:p w14:paraId="6F6C6358" w14:textId="02455A15"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Constancia</w:t>
      </w:r>
      <w:r>
        <w:rPr>
          <w:rFonts w:ascii="Verdana" w:hAnsi="Verdana"/>
          <w:spacing w:val="-12"/>
          <w:sz w:val="16"/>
          <w:szCs w:val="16"/>
          <w:lang w:val="es-MX"/>
        </w:rPr>
        <w:t xml:space="preserve"> de la</w:t>
      </w:r>
      <w:r w:rsidRPr="001F0A42">
        <w:rPr>
          <w:rFonts w:ascii="Verdana" w:hAnsi="Verdana"/>
          <w:spacing w:val="-12"/>
          <w:sz w:val="16"/>
          <w:szCs w:val="16"/>
          <w:lang w:val="es-MX"/>
        </w:rPr>
        <w:t xml:space="preserve"> Secretaría del Juzgado de Distrito del Crimen de Bluefields, 22 de mayo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2848</w:t>
      </w:r>
      <w:r>
        <w:rPr>
          <w:rFonts w:ascii="Verdana" w:hAnsi="Verdana"/>
          <w:spacing w:val="-12"/>
          <w:sz w:val="16"/>
          <w:szCs w:val="16"/>
          <w:lang w:val="es-MX"/>
        </w:rPr>
        <w:t xml:space="preserve"> y </w:t>
      </w:r>
      <w:r w:rsidRPr="001F0A42">
        <w:rPr>
          <w:rFonts w:ascii="Verdana" w:hAnsi="Verdana"/>
          <w:spacing w:val="-12"/>
          <w:sz w:val="16"/>
          <w:szCs w:val="16"/>
          <w:lang w:val="es-MX"/>
        </w:rPr>
        <w:t>2849).</w:t>
      </w:r>
    </w:p>
  </w:footnote>
  <w:footnote w:id="68">
    <w:p w14:paraId="2C2C1078" w14:textId="1928C1D2"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Recurso de reforma presentado por el representante legal de la señora Acosta ante el Juzgado de Distrito de Crimen de Bluefields el 22 de mayo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362, </w:t>
      </w:r>
      <w:r w:rsidRPr="001000F2">
        <w:rPr>
          <w:rFonts w:ascii="Verdana" w:hAnsi="Verdana"/>
          <w:spacing w:val="-12"/>
          <w:sz w:val="16"/>
          <w:szCs w:val="16"/>
          <w:lang w:val="es-MX"/>
        </w:rPr>
        <w:t>2844</w:t>
      </w:r>
      <w:r>
        <w:rPr>
          <w:rFonts w:ascii="Verdana" w:hAnsi="Verdana"/>
          <w:spacing w:val="-12"/>
          <w:sz w:val="16"/>
          <w:szCs w:val="16"/>
          <w:lang w:val="es-MX"/>
        </w:rPr>
        <w:t xml:space="preserve"> a </w:t>
      </w:r>
      <w:r w:rsidRPr="001000F2">
        <w:rPr>
          <w:rFonts w:ascii="Verdana" w:hAnsi="Verdana"/>
          <w:spacing w:val="-12"/>
          <w:sz w:val="16"/>
          <w:szCs w:val="16"/>
          <w:lang w:val="es-MX"/>
        </w:rPr>
        <w:t>2845,</w:t>
      </w:r>
      <w:r w:rsidRPr="001F0A42">
        <w:rPr>
          <w:rFonts w:ascii="Verdana" w:hAnsi="Verdana"/>
          <w:spacing w:val="-12"/>
          <w:sz w:val="16"/>
          <w:szCs w:val="16"/>
          <w:lang w:val="es-MX"/>
        </w:rPr>
        <w:t xml:space="preserve"> </w:t>
      </w:r>
      <w:r>
        <w:rPr>
          <w:rFonts w:ascii="Verdana" w:hAnsi="Verdana"/>
          <w:spacing w:val="-12"/>
          <w:sz w:val="16"/>
          <w:szCs w:val="16"/>
          <w:lang w:val="es-MX"/>
        </w:rPr>
        <w:t xml:space="preserve">y </w:t>
      </w:r>
      <w:r w:rsidRPr="001F0A42">
        <w:rPr>
          <w:rFonts w:ascii="Verdana" w:hAnsi="Verdana"/>
          <w:spacing w:val="-12"/>
          <w:sz w:val="16"/>
          <w:szCs w:val="16"/>
          <w:lang w:val="es-MX"/>
        </w:rPr>
        <w:t xml:space="preserve">2882 </w:t>
      </w:r>
      <w:r>
        <w:rPr>
          <w:rFonts w:ascii="Verdana" w:hAnsi="Verdana"/>
          <w:spacing w:val="-12"/>
          <w:sz w:val="16"/>
          <w:szCs w:val="16"/>
          <w:lang w:val="es-MX"/>
        </w:rPr>
        <w:t>a</w:t>
      </w:r>
      <w:r w:rsidRPr="001F0A42">
        <w:rPr>
          <w:rFonts w:ascii="Verdana" w:hAnsi="Verdana"/>
          <w:spacing w:val="-12"/>
          <w:sz w:val="16"/>
          <w:szCs w:val="16"/>
          <w:lang w:val="es-MX"/>
        </w:rPr>
        <w:t xml:space="preserve"> 2883). </w:t>
      </w:r>
    </w:p>
  </w:footnote>
  <w:footnote w:id="69">
    <w:p w14:paraId="31809BD8" w14:textId="618CBC6C"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del Juzgado de Distrito del Crimen de Bluefields, 23 de mayo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2884</w:t>
      </w:r>
      <w:r>
        <w:rPr>
          <w:rFonts w:ascii="Verdana" w:hAnsi="Verdana"/>
          <w:spacing w:val="-12"/>
          <w:sz w:val="16"/>
          <w:szCs w:val="16"/>
          <w:lang w:val="es-MX"/>
        </w:rPr>
        <w:t xml:space="preserve"> y </w:t>
      </w:r>
      <w:r w:rsidRPr="001F0A42">
        <w:rPr>
          <w:rFonts w:ascii="Verdana" w:hAnsi="Verdana"/>
          <w:spacing w:val="-12"/>
          <w:sz w:val="16"/>
          <w:szCs w:val="16"/>
          <w:lang w:val="es-MX"/>
        </w:rPr>
        <w:t>2885)</w:t>
      </w:r>
      <w:r>
        <w:rPr>
          <w:rFonts w:ascii="Verdana" w:hAnsi="Verdana"/>
          <w:spacing w:val="-12"/>
          <w:sz w:val="16"/>
          <w:szCs w:val="16"/>
          <w:lang w:val="es-MX"/>
        </w:rPr>
        <w:t>.</w:t>
      </w:r>
    </w:p>
  </w:footnote>
  <w:footnote w:id="70">
    <w:p w14:paraId="374414D1" w14:textId="682FA7E4"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del Juzgado de Distrito del Crimen de Bluefields de 31 de mayo de 2002 (expediente de prueba</w:t>
      </w:r>
      <w:r>
        <w:rPr>
          <w:rFonts w:ascii="Verdana" w:hAnsi="Verdana"/>
          <w:spacing w:val="-12"/>
          <w:sz w:val="16"/>
          <w:szCs w:val="16"/>
          <w:lang w:val="es-MX"/>
        </w:rPr>
        <w:t xml:space="preserve">, folios </w:t>
      </w:r>
      <w:r w:rsidRPr="001F0A42">
        <w:rPr>
          <w:rFonts w:ascii="Verdana" w:hAnsi="Verdana"/>
          <w:spacing w:val="-12"/>
          <w:sz w:val="16"/>
          <w:szCs w:val="16"/>
          <w:lang w:val="es-MX"/>
        </w:rPr>
        <w:t>368</w:t>
      </w:r>
      <w:r>
        <w:rPr>
          <w:rFonts w:ascii="Verdana" w:hAnsi="Verdana"/>
          <w:spacing w:val="-12"/>
          <w:sz w:val="16"/>
          <w:szCs w:val="16"/>
          <w:lang w:val="es-MX"/>
        </w:rPr>
        <w:t xml:space="preserve"> a </w:t>
      </w:r>
      <w:r w:rsidRPr="001F0A42">
        <w:rPr>
          <w:rFonts w:ascii="Verdana" w:hAnsi="Verdana"/>
          <w:spacing w:val="-12"/>
          <w:sz w:val="16"/>
          <w:szCs w:val="16"/>
          <w:lang w:val="es-MX"/>
        </w:rPr>
        <w:t>369 y 2889</w:t>
      </w:r>
      <w:r>
        <w:rPr>
          <w:rFonts w:ascii="Verdana" w:hAnsi="Verdana"/>
          <w:spacing w:val="-12"/>
          <w:sz w:val="16"/>
          <w:szCs w:val="16"/>
          <w:lang w:val="es-MX"/>
        </w:rPr>
        <w:t xml:space="preserve"> a </w:t>
      </w:r>
      <w:r w:rsidRPr="001F0A42">
        <w:rPr>
          <w:rFonts w:ascii="Verdana" w:hAnsi="Verdana"/>
          <w:spacing w:val="-12"/>
          <w:sz w:val="16"/>
          <w:szCs w:val="16"/>
          <w:lang w:val="es-MX"/>
        </w:rPr>
        <w:t>2890)</w:t>
      </w:r>
      <w:r>
        <w:rPr>
          <w:rFonts w:ascii="Verdana" w:hAnsi="Verdana"/>
          <w:spacing w:val="-12"/>
          <w:sz w:val="16"/>
          <w:szCs w:val="16"/>
          <w:lang w:val="es-MX"/>
        </w:rPr>
        <w:t>.</w:t>
      </w:r>
    </w:p>
  </w:footnote>
  <w:footnote w:id="71">
    <w:p w14:paraId="49DF5816" w14:textId="0748C1E1"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del Juzgado de Distrito del Crimen de Bluefields de 31 de mayo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371 y 2915).</w:t>
      </w:r>
    </w:p>
  </w:footnote>
  <w:footnote w:id="72">
    <w:p w14:paraId="18432CBF" w14:textId="4C033C91"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t>Según el representante, esta parcialidad fue notoria cuando el juez se presentó a la inspección ocular del jueves 18 de abril en el vehículo y en compañía de PMF, indagado en el juicio; cuestionó las fotografías que en la noche de los hechos tomaron los investigadores de la Policía Nacional; presionó a la señora Acosta a revelar sus fuentes de información por medio de “hostiles cuestionamientos” al momento de rendir su declaración ad-inquiriendum; trató de cambiar la calidad de la señora Acosta de ofendida a indagada; no consideró que la señora Acosta tuvo que salir de Bluefields debido a la inseguridad , presionándola con citaciones y cédulas entregadas en diversos lugares de Bluefields, a sabiendas de que no se encontraba en esta ciudad; emitió opinión sobre el asunto durante una conversación en su despacho al referir que si la señora Acosta no se presentaba a declarar sería traída por la fuerza pública “ (…) porque nadie se puede negar a acudir al llamado de un juez”; y emitió opinión respecto de la extemporaneidad de la admisión de la apelación.</w:t>
      </w:r>
      <w:r w:rsidRPr="001F0A42">
        <w:rPr>
          <w:rFonts w:ascii="Verdana" w:hAnsi="Verdana" w:cs="Arial"/>
          <w:spacing w:val="-12"/>
          <w:sz w:val="16"/>
          <w:szCs w:val="16"/>
          <w:lang w:val="es-MX"/>
        </w:rPr>
        <w:t xml:space="preserve"> </w:t>
      </w:r>
      <w:r w:rsidRPr="001E0B07">
        <w:rPr>
          <w:rFonts w:ascii="Verdana" w:hAnsi="Verdana"/>
          <w:i/>
          <w:iCs/>
          <w:spacing w:val="-12"/>
          <w:sz w:val="16"/>
          <w:szCs w:val="16"/>
          <w:lang w:val="es-MX"/>
        </w:rPr>
        <w:t>Cfr</w:t>
      </w:r>
      <w:r w:rsidRPr="001F0A42">
        <w:rPr>
          <w:rFonts w:ascii="Verdana" w:hAnsi="Verdana"/>
          <w:spacing w:val="-12"/>
          <w:sz w:val="16"/>
          <w:szCs w:val="16"/>
          <w:lang w:val="es-MX"/>
        </w:rPr>
        <w:t>. Incidente de nulidad perpetua e incidente de recusación presentado por el representante de la señora Acosta ante el Juez de Distrito del Crimen de Bluefields, 10 de junio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381</w:t>
      </w:r>
      <w:r>
        <w:rPr>
          <w:rFonts w:ascii="Verdana" w:hAnsi="Verdana"/>
          <w:spacing w:val="-12"/>
          <w:sz w:val="16"/>
          <w:szCs w:val="16"/>
          <w:lang w:val="es-MX"/>
        </w:rPr>
        <w:t xml:space="preserve"> a </w:t>
      </w:r>
      <w:r w:rsidRPr="001F0A42">
        <w:rPr>
          <w:rFonts w:ascii="Verdana" w:hAnsi="Verdana"/>
          <w:spacing w:val="-12"/>
          <w:sz w:val="16"/>
          <w:szCs w:val="16"/>
          <w:lang w:val="es-MX"/>
        </w:rPr>
        <w:t>384).</w:t>
      </w:r>
    </w:p>
  </w:footnote>
  <w:footnote w:id="73">
    <w:p w14:paraId="64184C50" w14:textId="6EE5F4F7"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Adición al incidente de nulidad presentado por el representante de la señora Acosta, 22 de julio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378 </w:t>
      </w:r>
      <w:r>
        <w:rPr>
          <w:rFonts w:ascii="Verdana" w:hAnsi="Verdana"/>
          <w:spacing w:val="-12"/>
          <w:sz w:val="16"/>
          <w:szCs w:val="16"/>
          <w:lang w:val="es-MX"/>
        </w:rPr>
        <w:t>y</w:t>
      </w:r>
      <w:r w:rsidRPr="001F0A42">
        <w:rPr>
          <w:rFonts w:ascii="Verdana" w:hAnsi="Verdana"/>
          <w:spacing w:val="-12"/>
          <w:sz w:val="16"/>
          <w:szCs w:val="16"/>
          <w:lang w:val="es-MX"/>
        </w:rPr>
        <w:t xml:space="preserve"> 379).</w:t>
      </w:r>
    </w:p>
  </w:footnote>
  <w:footnote w:id="74">
    <w:p w14:paraId="13348A5B" w14:textId="4D30858D"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del Juzgado de Distrito del Crimen de Bluefields de 5 de agosto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386</w:t>
      </w:r>
      <w:r>
        <w:rPr>
          <w:rFonts w:ascii="Verdana" w:hAnsi="Verdana"/>
          <w:spacing w:val="-12"/>
          <w:sz w:val="16"/>
          <w:szCs w:val="16"/>
          <w:lang w:val="es-MX"/>
        </w:rPr>
        <w:t xml:space="preserve"> y </w:t>
      </w:r>
      <w:r w:rsidRPr="001F0A42">
        <w:rPr>
          <w:rFonts w:ascii="Verdana" w:hAnsi="Verdana"/>
          <w:spacing w:val="-12"/>
          <w:sz w:val="16"/>
          <w:szCs w:val="16"/>
          <w:lang w:val="es-MX"/>
        </w:rPr>
        <w:t>387).</w:t>
      </w:r>
    </w:p>
  </w:footnote>
  <w:footnote w:id="75">
    <w:p w14:paraId="61AC911C" w14:textId="59805F9E"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del Juzgado de Distrito del Crimen de Bluefields, 5 de agosto de 2002. Expediente judicial de primera instancia, folio 230</w:t>
      </w:r>
      <w:r>
        <w:rPr>
          <w:rFonts w:ascii="Verdana" w:hAnsi="Verdana"/>
          <w:spacing w:val="-12"/>
          <w:sz w:val="16"/>
          <w:szCs w:val="16"/>
          <w:lang w:val="es-MX"/>
        </w:rPr>
        <w:t xml:space="preserve"> (expediente de prueba, folio 386)</w:t>
      </w:r>
      <w:r w:rsidRPr="001F0A42">
        <w:rPr>
          <w:rFonts w:ascii="Verdana" w:hAnsi="Verdana"/>
          <w:spacing w:val="-12"/>
          <w:sz w:val="16"/>
          <w:szCs w:val="16"/>
          <w:lang w:val="es-MX"/>
        </w:rPr>
        <w:t xml:space="preserve">. </w:t>
      </w:r>
    </w:p>
  </w:footnote>
  <w:footnote w:id="76">
    <w:p w14:paraId="3447C706" w14:textId="2CE111BB"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del Juzgado de Distrito del Crimen de Bluefields de 8 de agosto de 2002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389).</w:t>
      </w:r>
    </w:p>
  </w:footnote>
  <w:footnote w:id="77">
    <w:p w14:paraId="40AB0194" w14:textId="1CA86B12"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presentado por el representante de la señora Acosta ante el Tribunal de Apelaciones Circunscripción Atlántico Sur, 29 de agosto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404</w:t>
      </w:r>
      <w:r>
        <w:rPr>
          <w:rFonts w:ascii="Verdana" w:hAnsi="Verdana"/>
          <w:spacing w:val="-12"/>
          <w:sz w:val="16"/>
          <w:szCs w:val="16"/>
          <w:lang w:val="es-MX"/>
        </w:rPr>
        <w:t xml:space="preserve"> a </w:t>
      </w:r>
      <w:r w:rsidRPr="001F0A42">
        <w:rPr>
          <w:rFonts w:ascii="Verdana" w:hAnsi="Verdana"/>
          <w:spacing w:val="-12"/>
          <w:sz w:val="16"/>
          <w:szCs w:val="16"/>
          <w:lang w:val="es-MX"/>
        </w:rPr>
        <w:t>405 y 2832</w:t>
      </w:r>
      <w:r>
        <w:rPr>
          <w:rFonts w:ascii="Verdana" w:hAnsi="Verdana"/>
          <w:spacing w:val="-12"/>
          <w:sz w:val="16"/>
          <w:szCs w:val="16"/>
          <w:lang w:val="es-MX"/>
        </w:rPr>
        <w:t xml:space="preserve"> a </w:t>
      </w:r>
      <w:r w:rsidRPr="001F0A42">
        <w:rPr>
          <w:rFonts w:ascii="Verdana" w:hAnsi="Verdana"/>
          <w:spacing w:val="-12"/>
          <w:sz w:val="16"/>
          <w:szCs w:val="16"/>
          <w:lang w:val="es-MX"/>
        </w:rPr>
        <w:t>2833).</w:t>
      </w:r>
    </w:p>
  </w:footnote>
  <w:footnote w:id="78">
    <w:p w14:paraId="7B6860C8" w14:textId="302E63B9"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presentado por el representante de la señora Acosta ante el Tribunal de Apelaciones Circunscripción Atlántico Sur, 4 de septiembre de 2002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2834)</w:t>
      </w:r>
      <w:r>
        <w:rPr>
          <w:rFonts w:ascii="Verdana" w:hAnsi="Verdana"/>
          <w:spacing w:val="-12"/>
          <w:sz w:val="16"/>
          <w:szCs w:val="16"/>
          <w:lang w:val="es-MX"/>
        </w:rPr>
        <w:t>, y</w:t>
      </w:r>
      <w:r w:rsidRPr="001F0A42">
        <w:rPr>
          <w:rFonts w:ascii="Verdana" w:hAnsi="Verdana"/>
          <w:spacing w:val="-12"/>
          <w:sz w:val="16"/>
          <w:szCs w:val="16"/>
          <w:lang w:val="es-MX"/>
        </w:rPr>
        <w:t xml:space="preserve"> </w:t>
      </w:r>
      <w:r>
        <w:rPr>
          <w:rFonts w:ascii="Verdana" w:hAnsi="Verdana"/>
          <w:spacing w:val="-12"/>
          <w:sz w:val="16"/>
          <w:szCs w:val="16"/>
          <w:lang w:val="es-MX"/>
        </w:rPr>
        <w:t>e</w:t>
      </w:r>
      <w:r w:rsidRPr="001F0A42">
        <w:rPr>
          <w:rFonts w:ascii="Verdana" w:hAnsi="Verdana"/>
          <w:spacing w:val="-12"/>
          <w:sz w:val="16"/>
          <w:szCs w:val="16"/>
          <w:lang w:val="es-MX"/>
        </w:rPr>
        <w:t>scrito presentado por el representante de la señora Acosta ante el Tribunal de Apelaciones Circunscripción Atlántico Sur, 12 de septiembre de 2002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2835).</w:t>
      </w:r>
    </w:p>
  </w:footnote>
  <w:footnote w:id="79">
    <w:p w14:paraId="6E55C693" w14:textId="60EF299E"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w:t>
      </w:r>
      <w:r>
        <w:rPr>
          <w:rFonts w:ascii="Verdana" w:hAnsi="Verdana"/>
          <w:spacing w:val="-12"/>
          <w:sz w:val="16"/>
          <w:szCs w:val="16"/>
          <w:lang w:val="es-MX"/>
        </w:rPr>
        <w:t xml:space="preserve"> de la</w:t>
      </w:r>
      <w:r w:rsidRPr="001F0A42">
        <w:rPr>
          <w:rFonts w:ascii="Verdana" w:hAnsi="Verdana"/>
          <w:spacing w:val="-12"/>
          <w:sz w:val="16"/>
          <w:szCs w:val="16"/>
          <w:lang w:val="es-MX"/>
        </w:rPr>
        <w:t xml:space="preserve"> Sala Penal del Tribunal de Apelaciones, Circunscripción Atlántico Sur, 23 de septiembre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407 y 2836).</w:t>
      </w:r>
    </w:p>
  </w:footnote>
  <w:footnote w:id="80">
    <w:p w14:paraId="6BAFE139" w14:textId="6D16C038"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presentado por el representante de la señora Acosta ante el Tribunal de Apelaciones Circunscripción Atlántico Sur, 10 de octubre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409</w:t>
      </w:r>
      <w:r>
        <w:rPr>
          <w:rFonts w:ascii="Verdana" w:hAnsi="Verdana"/>
          <w:spacing w:val="-12"/>
          <w:sz w:val="16"/>
          <w:szCs w:val="16"/>
          <w:lang w:val="es-MX"/>
        </w:rPr>
        <w:t xml:space="preserve"> a </w:t>
      </w:r>
      <w:r w:rsidRPr="001F0A42">
        <w:rPr>
          <w:rFonts w:ascii="Verdana" w:hAnsi="Verdana"/>
          <w:spacing w:val="-12"/>
          <w:sz w:val="16"/>
          <w:szCs w:val="16"/>
          <w:lang w:val="es-MX"/>
        </w:rPr>
        <w:t>410 y 2837</w:t>
      </w:r>
      <w:r>
        <w:rPr>
          <w:rFonts w:ascii="Verdana" w:hAnsi="Verdana"/>
          <w:spacing w:val="-12"/>
          <w:sz w:val="16"/>
          <w:szCs w:val="16"/>
          <w:lang w:val="es-MX"/>
        </w:rPr>
        <w:t xml:space="preserve"> a </w:t>
      </w:r>
      <w:r w:rsidRPr="001F0A42">
        <w:rPr>
          <w:rFonts w:ascii="Verdana" w:hAnsi="Verdana"/>
          <w:spacing w:val="-12"/>
          <w:sz w:val="16"/>
          <w:szCs w:val="16"/>
          <w:lang w:val="es-MX"/>
        </w:rPr>
        <w:t>2838).</w:t>
      </w:r>
    </w:p>
  </w:footnote>
  <w:footnote w:id="81">
    <w:p w14:paraId="5560303B" w14:textId="476A45ED"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Sala Penal del Tribunal de Apelaciones, Circunscripción Atlántico Sur, 11 de octubre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412 y 2839</w:t>
      </w:r>
      <w:r>
        <w:rPr>
          <w:rFonts w:ascii="Verdana" w:hAnsi="Verdana"/>
          <w:spacing w:val="-12"/>
          <w:sz w:val="16"/>
          <w:szCs w:val="16"/>
          <w:lang w:val="es-MX"/>
        </w:rPr>
        <w:t xml:space="preserve"> a </w:t>
      </w:r>
      <w:r w:rsidRPr="001F0A42">
        <w:rPr>
          <w:rFonts w:ascii="Verdana" w:hAnsi="Verdana"/>
          <w:spacing w:val="-12"/>
          <w:sz w:val="16"/>
          <w:szCs w:val="16"/>
          <w:lang w:val="es-MX"/>
        </w:rPr>
        <w:t>2840).</w:t>
      </w:r>
    </w:p>
  </w:footnote>
  <w:footnote w:id="82">
    <w:p w14:paraId="66273042" w14:textId="67B548FC"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Informe Pericial Balístico, Registro # BT-0716-2496-2002, Laboratorio de Criminalística, Policía Nacional, 3 de septiembre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396</w:t>
      </w:r>
      <w:r>
        <w:rPr>
          <w:rFonts w:ascii="Verdana" w:hAnsi="Verdana"/>
          <w:spacing w:val="-12"/>
          <w:sz w:val="16"/>
          <w:szCs w:val="16"/>
          <w:lang w:val="es-MX"/>
        </w:rPr>
        <w:t xml:space="preserve"> a </w:t>
      </w:r>
      <w:r w:rsidRPr="001F0A42">
        <w:rPr>
          <w:rFonts w:ascii="Verdana" w:hAnsi="Verdana"/>
          <w:spacing w:val="-12"/>
          <w:sz w:val="16"/>
          <w:szCs w:val="16"/>
          <w:lang w:val="es-MX"/>
        </w:rPr>
        <w:t xml:space="preserve">400). </w:t>
      </w:r>
      <w:r w:rsidRPr="00F96704">
        <w:rPr>
          <w:rFonts w:ascii="Verdana" w:hAnsi="Verdana"/>
          <w:spacing w:val="-12"/>
          <w:sz w:val="16"/>
          <w:szCs w:val="16"/>
          <w:lang w:val="es-MX"/>
        </w:rPr>
        <w:t xml:space="preserve">El 29 de mayo de 2002 </w:t>
      </w:r>
      <w:r>
        <w:rPr>
          <w:rFonts w:ascii="Verdana" w:hAnsi="Verdana"/>
          <w:spacing w:val="-12"/>
          <w:sz w:val="16"/>
          <w:szCs w:val="16"/>
          <w:lang w:val="es-MX"/>
        </w:rPr>
        <w:t>dicho</w:t>
      </w:r>
      <w:r w:rsidRPr="00F96704">
        <w:rPr>
          <w:rFonts w:ascii="Verdana" w:hAnsi="Verdana"/>
          <w:spacing w:val="-12"/>
          <w:sz w:val="16"/>
          <w:szCs w:val="16"/>
          <w:lang w:val="es-MX"/>
        </w:rPr>
        <w:t xml:space="preserve"> Laboratorio </w:t>
      </w:r>
      <w:r>
        <w:rPr>
          <w:rFonts w:ascii="Verdana" w:hAnsi="Verdana"/>
          <w:spacing w:val="-12"/>
          <w:sz w:val="16"/>
          <w:szCs w:val="16"/>
          <w:lang w:val="es-MX"/>
        </w:rPr>
        <w:t>había presentado</w:t>
      </w:r>
      <w:r w:rsidRPr="00F96704">
        <w:rPr>
          <w:rFonts w:ascii="Verdana" w:hAnsi="Verdana"/>
          <w:spacing w:val="-12"/>
          <w:sz w:val="16"/>
          <w:szCs w:val="16"/>
          <w:lang w:val="es-MX"/>
        </w:rPr>
        <w:t xml:space="preserve"> informe pericial balístico de 20 de mayo en el que concluye que el proyectil investigado no posee huellas (estrías) con valor identificativo y que perteneció a un cartucho calibre .25 </w:t>
      </w:r>
      <w:r>
        <w:rPr>
          <w:rFonts w:ascii="Verdana" w:hAnsi="Verdana"/>
          <w:spacing w:val="-12"/>
          <w:sz w:val="16"/>
          <w:szCs w:val="16"/>
          <w:lang w:val="es-MX"/>
        </w:rPr>
        <w:t>(</w:t>
      </w:r>
      <w:r w:rsidRPr="001F0A42">
        <w:rPr>
          <w:rFonts w:ascii="Verdana" w:hAnsi="Verdana"/>
          <w:spacing w:val="-12"/>
          <w:sz w:val="16"/>
          <w:szCs w:val="16"/>
          <w:lang w:val="es-MX"/>
        </w:rPr>
        <w:t>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375</w:t>
      </w:r>
      <w:r>
        <w:rPr>
          <w:rFonts w:ascii="Verdana" w:hAnsi="Verdana"/>
          <w:spacing w:val="-12"/>
          <w:sz w:val="16"/>
          <w:szCs w:val="16"/>
          <w:lang w:val="es-MX"/>
        </w:rPr>
        <w:t xml:space="preserve"> y </w:t>
      </w:r>
      <w:r w:rsidRPr="001F0A42">
        <w:rPr>
          <w:rFonts w:ascii="Verdana" w:hAnsi="Verdana"/>
          <w:spacing w:val="-12"/>
          <w:sz w:val="16"/>
          <w:szCs w:val="16"/>
          <w:lang w:val="es-MX"/>
        </w:rPr>
        <w:t>376).</w:t>
      </w:r>
    </w:p>
  </w:footnote>
  <w:footnote w:id="83">
    <w:p w14:paraId="0873323D" w14:textId="7D63C073"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Informe sobre Ampliación de las Investigaciones, Policía Nacional, Región Autónoma Atlántico Sur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391</w:t>
      </w:r>
      <w:r>
        <w:rPr>
          <w:rFonts w:ascii="Verdana" w:hAnsi="Verdana"/>
          <w:spacing w:val="-12"/>
          <w:sz w:val="16"/>
          <w:szCs w:val="16"/>
          <w:lang w:val="es-MX"/>
        </w:rPr>
        <w:t xml:space="preserve"> y </w:t>
      </w:r>
      <w:r w:rsidRPr="001F0A42">
        <w:rPr>
          <w:rFonts w:ascii="Verdana" w:hAnsi="Verdana"/>
          <w:spacing w:val="-12"/>
          <w:sz w:val="16"/>
          <w:szCs w:val="16"/>
          <w:lang w:val="es-MX"/>
        </w:rPr>
        <w:t>392)</w:t>
      </w:r>
      <w:r>
        <w:rPr>
          <w:rFonts w:ascii="Verdana" w:hAnsi="Verdana"/>
          <w:spacing w:val="-12"/>
          <w:sz w:val="16"/>
          <w:szCs w:val="16"/>
          <w:lang w:val="es-MX"/>
        </w:rPr>
        <w:t>.</w:t>
      </w:r>
    </w:p>
  </w:footnote>
  <w:footnote w:id="84">
    <w:p w14:paraId="465B14F8" w14:textId="496F0473"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Pr>
          <w:rFonts w:ascii="Verdana" w:hAnsi="Verdana"/>
          <w:i/>
          <w:iCs/>
          <w:spacing w:val="-12"/>
          <w:sz w:val="16"/>
          <w:szCs w:val="16"/>
          <w:lang w:val="es-CR"/>
        </w:rPr>
        <w:t>Cfr.</w:t>
      </w:r>
      <w:r w:rsidRPr="001F0A42">
        <w:rPr>
          <w:rFonts w:ascii="Verdana" w:hAnsi="Verdana"/>
          <w:spacing w:val="-12"/>
          <w:sz w:val="16"/>
          <w:szCs w:val="16"/>
          <w:lang w:val="es-CR"/>
        </w:rPr>
        <w:t xml:space="preserve"> </w:t>
      </w:r>
      <w:r>
        <w:rPr>
          <w:rFonts w:ascii="Verdana" w:hAnsi="Verdana"/>
          <w:spacing w:val="-12"/>
          <w:sz w:val="16"/>
          <w:szCs w:val="16"/>
          <w:lang w:val="es-CR"/>
        </w:rPr>
        <w:t>Q</w:t>
      </w:r>
      <w:r w:rsidRPr="001F0A42">
        <w:rPr>
          <w:rFonts w:ascii="Verdana" w:hAnsi="Verdana"/>
          <w:spacing w:val="-12"/>
          <w:sz w:val="16"/>
          <w:szCs w:val="16"/>
          <w:lang w:val="es-CR"/>
        </w:rPr>
        <w:t xml:space="preserve">ueja interpuesta </w:t>
      </w:r>
      <w:r>
        <w:rPr>
          <w:rFonts w:ascii="Verdana" w:hAnsi="Verdana"/>
          <w:spacing w:val="-12"/>
          <w:sz w:val="16"/>
          <w:szCs w:val="16"/>
          <w:lang w:val="es-CR"/>
        </w:rPr>
        <w:t xml:space="preserve">por María Luisa Acosta el </w:t>
      </w:r>
      <w:r w:rsidRPr="001F0A42">
        <w:rPr>
          <w:rFonts w:ascii="Verdana" w:hAnsi="Verdana"/>
          <w:spacing w:val="-12"/>
          <w:sz w:val="16"/>
          <w:szCs w:val="16"/>
          <w:lang w:val="es-CR"/>
        </w:rPr>
        <w:t>4 de abril de 2003</w:t>
      </w:r>
      <w:r>
        <w:rPr>
          <w:rFonts w:ascii="Verdana" w:hAnsi="Verdana"/>
          <w:spacing w:val="-12"/>
          <w:sz w:val="16"/>
          <w:szCs w:val="16"/>
          <w:lang w:val="es-CR"/>
        </w:rPr>
        <w:t xml:space="preserve">. Expediente No. 362-2002 de la Comisión de Régimen Disciplinario de la Corte Suprema de Justicia (expediente de prueba, folio 623). </w:t>
      </w:r>
    </w:p>
  </w:footnote>
  <w:footnote w:id="85">
    <w:p w14:paraId="2F403A86" w14:textId="430A9B99"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del Juzgado de Distrito de lo Penal del C.P.P. y del In. por Ministerio de la Ley de Bluefields, 17 de diciembre de 2002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416).</w:t>
      </w:r>
    </w:p>
  </w:footnote>
  <w:footnote w:id="86">
    <w:p w14:paraId="4E11E4A5" w14:textId="659985B0"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de segundas vistas de la Fiscal Auxiliar de Justicia ante el Juzgado de Distrito de lo Civil y Penal de In por Ministerio de la Ley de Bluefields, 24 de diciembre de 2002 (expediente de prueba</w:t>
      </w:r>
      <w:r>
        <w:rPr>
          <w:rFonts w:ascii="Verdana" w:hAnsi="Verdana"/>
          <w:spacing w:val="-12"/>
          <w:sz w:val="16"/>
          <w:szCs w:val="16"/>
          <w:lang w:val="es-MX"/>
        </w:rPr>
        <w:t>,</w:t>
      </w:r>
      <w:r w:rsidRPr="001F0A42">
        <w:rPr>
          <w:rFonts w:ascii="Verdana" w:hAnsi="Verdana"/>
          <w:spacing w:val="-12"/>
          <w:sz w:val="16"/>
          <w:szCs w:val="16"/>
          <w:lang w:val="es-MX"/>
        </w:rPr>
        <w:t xml:space="preserve"> </w:t>
      </w:r>
      <w:r>
        <w:rPr>
          <w:rFonts w:ascii="Verdana" w:hAnsi="Verdana"/>
          <w:spacing w:val="-12"/>
          <w:sz w:val="16"/>
          <w:szCs w:val="16"/>
          <w:lang w:val="es-MX"/>
        </w:rPr>
        <w:t xml:space="preserve">folios </w:t>
      </w:r>
      <w:r w:rsidRPr="001F0A42">
        <w:rPr>
          <w:rFonts w:ascii="Verdana" w:hAnsi="Verdana"/>
          <w:spacing w:val="-12"/>
          <w:sz w:val="16"/>
          <w:szCs w:val="16"/>
          <w:lang w:val="es-MX"/>
        </w:rPr>
        <w:t>364</w:t>
      </w:r>
      <w:r>
        <w:rPr>
          <w:rFonts w:ascii="Verdana" w:hAnsi="Verdana"/>
          <w:spacing w:val="-12"/>
          <w:sz w:val="16"/>
          <w:szCs w:val="16"/>
          <w:lang w:val="es-MX"/>
        </w:rPr>
        <w:t xml:space="preserve"> a </w:t>
      </w:r>
      <w:r w:rsidRPr="001F0A42">
        <w:rPr>
          <w:rFonts w:ascii="Verdana" w:hAnsi="Verdana"/>
          <w:spacing w:val="-12"/>
          <w:sz w:val="16"/>
          <w:szCs w:val="16"/>
          <w:lang w:val="es-MX"/>
        </w:rPr>
        <w:t>366).</w:t>
      </w:r>
    </w:p>
  </w:footnote>
  <w:footnote w:id="87">
    <w:p w14:paraId="2A4246F9" w14:textId="22D72340"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Acta</w:t>
      </w:r>
      <w:r>
        <w:rPr>
          <w:rFonts w:ascii="Verdana" w:hAnsi="Verdana"/>
          <w:spacing w:val="-12"/>
          <w:sz w:val="16"/>
          <w:szCs w:val="16"/>
          <w:lang w:val="es-MX"/>
        </w:rPr>
        <w:t>s</w:t>
      </w:r>
      <w:r w:rsidRPr="001F0A42">
        <w:rPr>
          <w:rFonts w:ascii="Verdana" w:hAnsi="Verdana"/>
          <w:spacing w:val="-12"/>
          <w:sz w:val="16"/>
          <w:szCs w:val="16"/>
          <w:lang w:val="es-MX"/>
        </w:rPr>
        <w:t xml:space="preserve"> de reconocimiento de persona en rueda de presos, Policía Nacional, </w:t>
      </w:r>
      <w:r>
        <w:rPr>
          <w:rFonts w:ascii="Verdana" w:hAnsi="Verdana"/>
          <w:spacing w:val="-12"/>
          <w:sz w:val="16"/>
          <w:szCs w:val="16"/>
          <w:lang w:val="es-MX"/>
        </w:rPr>
        <w:t xml:space="preserve">11, </w:t>
      </w:r>
      <w:r w:rsidRPr="001F0A42">
        <w:rPr>
          <w:rFonts w:ascii="Verdana" w:hAnsi="Verdana"/>
          <w:spacing w:val="-12"/>
          <w:sz w:val="16"/>
          <w:szCs w:val="16"/>
          <w:lang w:val="es-MX"/>
        </w:rPr>
        <w:t xml:space="preserve">12 </w:t>
      </w:r>
      <w:r>
        <w:rPr>
          <w:rFonts w:ascii="Verdana" w:hAnsi="Verdana"/>
          <w:spacing w:val="-12"/>
          <w:sz w:val="16"/>
          <w:szCs w:val="16"/>
          <w:lang w:val="es-MX"/>
        </w:rPr>
        <w:t xml:space="preserve">y </w:t>
      </w:r>
      <w:r w:rsidRPr="001F0A42">
        <w:rPr>
          <w:rFonts w:ascii="Verdana" w:hAnsi="Verdana"/>
          <w:spacing w:val="-12"/>
          <w:sz w:val="16"/>
          <w:szCs w:val="16"/>
          <w:lang w:val="es-MX"/>
        </w:rPr>
        <w:t>de enero de 2003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w:t>
      </w:r>
      <w:r>
        <w:rPr>
          <w:rFonts w:ascii="Verdana" w:hAnsi="Verdana"/>
          <w:spacing w:val="-12"/>
          <w:sz w:val="16"/>
          <w:szCs w:val="16"/>
          <w:lang w:val="es-MX"/>
        </w:rPr>
        <w:t>419 a 422</w:t>
      </w:r>
      <w:r w:rsidRPr="001F0A42">
        <w:rPr>
          <w:rFonts w:ascii="Verdana" w:hAnsi="Verdana"/>
          <w:spacing w:val="-12"/>
          <w:sz w:val="16"/>
          <w:szCs w:val="16"/>
          <w:lang w:val="es-MX"/>
        </w:rPr>
        <w:t>).</w:t>
      </w:r>
    </w:p>
  </w:footnote>
  <w:footnote w:id="88">
    <w:p w14:paraId="63DE6A1A" w14:textId="1234FDC0"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Acusación contra Wilberth José Ochoa por el delito de asesinato, Ministerio Público Región Autónoma Atlántico Sur, 14 de enero de 2003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135</w:t>
      </w:r>
      <w:r>
        <w:rPr>
          <w:rFonts w:ascii="Verdana" w:hAnsi="Verdana"/>
          <w:spacing w:val="-12"/>
          <w:sz w:val="16"/>
          <w:szCs w:val="16"/>
          <w:lang w:val="es-MX"/>
        </w:rPr>
        <w:t xml:space="preserve"> a </w:t>
      </w:r>
      <w:r w:rsidRPr="001F0A42">
        <w:rPr>
          <w:rFonts w:ascii="Verdana" w:hAnsi="Verdana"/>
          <w:spacing w:val="-12"/>
          <w:sz w:val="16"/>
          <w:szCs w:val="16"/>
          <w:lang w:val="es-MX"/>
        </w:rPr>
        <w:t>137).</w:t>
      </w:r>
    </w:p>
  </w:footnote>
  <w:footnote w:id="89">
    <w:p w14:paraId="66994B8C" w14:textId="4CCE1045"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de la Fiscal Auxiliar de Justicia al Juez de Distrito del Crimen de Bluefields, 9 de mayo del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147</w:t>
      </w:r>
      <w:r>
        <w:rPr>
          <w:rFonts w:ascii="Verdana" w:hAnsi="Verdana"/>
          <w:spacing w:val="-12"/>
          <w:sz w:val="16"/>
          <w:szCs w:val="16"/>
          <w:lang w:val="es-MX"/>
        </w:rPr>
        <w:t xml:space="preserve"> y </w:t>
      </w:r>
      <w:r w:rsidRPr="001F0A42">
        <w:rPr>
          <w:rFonts w:ascii="Verdana" w:hAnsi="Verdana"/>
          <w:spacing w:val="-12"/>
          <w:sz w:val="16"/>
          <w:szCs w:val="16"/>
          <w:lang w:val="es-MX"/>
        </w:rPr>
        <w:t>148).</w:t>
      </w:r>
    </w:p>
  </w:footnote>
  <w:footnote w:id="90">
    <w:p w14:paraId="21F42D7A" w14:textId="1DB9B13B"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E0B07">
        <w:rPr>
          <w:rFonts w:ascii="Verdana" w:hAnsi="Verdana"/>
          <w:i/>
          <w:iCs/>
          <w:spacing w:val="-12"/>
          <w:sz w:val="16"/>
          <w:szCs w:val="16"/>
          <w:lang w:val="es-MX"/>
        </w:rPr>
        <w:t>Cfr</w:t>
      </w:r>
      <w:r w:rsidRPr="001F0A42">
        <w:rPr>
          <w:rFonts w:ascii="Verdana" w:hAnsi="Verdana"/>
          <w:spacing w:val="-12"/>
          <w:sz w:val="16"/>
          <w:szCs w:val="16"/>
          <w:lang w:val="es-MX"/>
        </w:rPr>
        <w:t>. Escrito presentado por la Fiscal Auxiliar de Justicia ante el Juzgado de Distrito de lo Civil y Penal del In por Ministerio de la Ley, 22 de enero de 2003</w:t>
      </w:r>
      <w:r>
        <w:rPr>
          <w:rFonts w:ascii="Verdana" w:hAnsi="Verdana"/>
          <w:spacing w:val="-12"/>
          <w:sz w:val="16"/>
          <w:szCs w:val="16"/>
          <w:lang w:val="es-MX"/>
        </w:rPr>
        <w:t xml:space="preserve"> (expediente de prueba, folios 418 a 420)</w:t>
      </w:r>
      <w:r w:rsidRPr="001F0A42">
        <w:rPr>
          <w:rFonts w:ascii="Verdana" w:hAnsi="Verdana"/>
          <w:spacing w:val="-12"/>
          <w:sz w:val="16"/>
          <w:szCs w:val="16"/>
          <w:lang w:val="es-MX"/>
        </w:rPr>
        <w:t>.</w:t>
      </w:r>
    </w:p>
  </w:footnote>
  <w:footnote w:id="91">
    <w:p w14:paraId="2F815F36" w14:textId="448A281E"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t xml:space="preserve">Alegó que el Juzgado no dio trámite al incidente de nulidad interpuesto antes de dictar sentencia interlocutoria; el Juzgado declaró ilegalmente desierta la apelación promovida, haciendo imposible el requisito de enterar papel o dinero para testimoniar lo actuado y al no tomar en cuenta la derogación de la deserción en materia penal; el Juzgado no notificó la sentencia interlocutoria a la señora Acosta en su calidad de procesada; no se dio trámite al incidente de recusación interpuesto; no se dio trámite al segundo incidente de nulidad interpuesto y posteriormente se negó la apelación de ese auto, negando el derecho a la doble instancia; y la señora Acosta tuvo doble calidad en el juicio. </w:t>
      </w:r>
      <w:r w:rsidRPr="001E0B07">
        <w:rPr>
          <w:rFonts w:ascii="Verdana" w:hAnsi="Verdana"/>
          <w:i/>
          <w:iCs/>
          <w:spacing w:val="-12"/>
          <w:sz w:val="16"/>
          <w:szCs w:val="16"/>
          <w:lang w:val="es-MX"/>
        </w:rPr>
        <w:t>Cfr</w:t>
      </w:r>
      <w:r w:rsidRPr="001F0A42">
        <w:rPr>
          <w:rFonts w:ascii="Verdana" w:hAnsi="Verdana"/>
          <w:spacing w:val="-12"/>
          <w:sz w:val="16"/>
          <w:szCs w:val="16"/>
          <w:lang w:val="es-MX"/>
        </w:rPr>
        <w:t>. Recurso de nulidad ante el Juzgado Civil de Distrito y Juzgado Penal de Distrito por Ministerio de la Ley, 24 de enero de 2003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437</w:t>
      </w:r>
      <w:r>
        <w:rPr>
          <w:rFonts w:ascii="Verdana" w:hAnsi="Verdana"/>
          <w:spacing w:val="-12"/>
          <w:sz w:val="16"/>
          <w:szCs w:val="16"/>
          <w:lang w:val="es-MX"/>
        </w:rPr>
        <w:t xml:space="preserve"> a </w:t>
      </w:r>
      <w:r w:rsidRPr="001F0A42">
        <w:rPr>
          <w:rFonts w:ascii="Verdana" w:hAnsi="Verdana"/>
          <w:spacing w:val="-12"/>
          <w:sz w:val="16"/>
          <w:szCs w:val="16"/>
          <w:lang w:val="es-MX"/>
        </w:rPr>
        <w:t>442).</w:t>
      </w:r>
    </w:p>
  </w:footnote>
  <w:footnote w:id="92">
    <w:p w14:paraId="112E75CF" w14:textId="77AF6896"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Sentencia Interlocutoria, Juzgado de Distrito de lo Civil de Bluefields y Penal del In por Ministerio de Ley, 24 de enero de 2003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652</w:t>
      </w:r>
      <w:r>
        <w:rPr>
          <w:rFonts w:ascii="Verdana" w:hAnsi="Verdana"/>
          <w:spacing w:val="-12"/>
          <w:sz w:val="16"/>
          <w:szCs w:val="16"/>
          <w:lang w:val="es-MX"/>
        </w:rPr>
        <w:t xml:space="preserve"> a </w:t>
      </w:r>
      <w:r w:rsidRPr="001F0A42">
        <w:rPr>
          <w:rFonts w:ascii="Verdana" w:hAnsi="Verdana"/>
          <w:spacing w:val="-12"/>
          <w:sz w:val="16"/>
          <w:szCs w:val="16"/>
          <w:lang w:val="es-MX"/>
        </w:rPr>
        <w:t>656 y 2629</w:t>
      </w:r>
      <w:r>
        <w:rPr>
          <w:rFonts w:ascii="Verdana" w:hAnsi="Verdana"/>
          <w:spacing w:val="-12"/>
          <w:sz w:val="16"/>
          <w:szCs w:val="16"/>
          <w:lang w:val="es-MX"/>
        </w:rPr>
        <w:t xml:space="preserve"> a </w:t>
      </w:r>
      <w:r w:rsidRPr="001F0A42">
        <w:rPr>
          <w:rFonts w:ascii="Verdana" w:hAnsi="Verdana"/>
          <w:spacing w:val="-12"/>
          <w:sz w:val="16"/>
          <w:szCs w:val="16"/>
          <w:lang w:val="es-MX"/>
        </w:rPr>
        <w:t>2633).</w:t>
      </w:r>
    </w:p>
  </w:footnote>
  <w:footnote w:id="93">
    <w:p w14:paraId="3E6A3BD9" w14:textId="55051BC0" w:rsidR="00D93B58" w:rsidRPr="001F0A42" w:rsidRDefault="00D93B58" w:rsidP="00C10D2F">
      <w:pPr>
        <w:spacing w:before="120" w:after="120" w:line="240" w:lineRule="auto"/>
        <w:jc w:val="both"/>
        <w:rPr>
          <w:rFonts w:ascii="Verdana" w:hAnsi="Verdana" w:cs="Arial"/>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t xml:space="preserve">Alegó que el cambio de calidad de ofendida a acusada de la señora Acosta generó nulidades absolutas pues causó daños en su reputación y en su honra; se le colocó en la imposibilidad de aparecer en juicio por medio de apoderado pero tampoco se le nombró abogado de oficio; el juez se negó a exhortar a la señora Acosta para que rindiera su declaración indagatoria en Chinandega a pesar de que fue solicitado por la Fiscal Auxiliar; el arresto provisional decretado por el juez dejó a la señora Acosta sin la posibilidad de custodia policial que en ese momento necesitaba; la falta de intervención de la señora Acosta en el proceso tuvo como consecuencia una sentencia apresurada e ilegal en la que se sobreseyó definitivamente a los sindicados PMF, PT y Charles Presida; el sobreseimiento definitivo tuvo como consecuencia que los sindicados PMF y PT demandaran a la señora Acosta por la vía civil por supuestos daños y perjuicios, embargando su casa habitación y también la acusaron del delito de falso testimonio y denuncia falsa; la ilegalidad en el actuar del juez no solamente perjudicó a la señora Acosta sino a toda la sociedad pues el sobreseimiento otorgado irregularmente generó impunidad. </w:t>
      </w:r>
      <w:r w:rsidRPr="001E0B07">
        <w:rPr>
          <w:rFonts w:ascii="Verdana" w:hAnsi="Verdana"/>
          <w:i/>
          <w:iCs/>
          <w:spacing w:val="-12"/>
          <w:sz w:val="16"/>
          <w:szCs w:val="16"/>
          <w:lang w:val="es-MX"/>
        </w:rPr>
        <w:t>Cfr</w:t>
      </w:r>
      <w:r w:rsidRPr="001F0A42">
        <w:rPr>
          <w:rFonts w:ascii="Verdana" w:hAnsi="Verdana"/>
          <w:spacing w:val="-12"/>
          <w:sz w:val="16"/>
          <w:szCs w:val="16"/>
          <w:lang w:val="es-MX"/>
        </w:rPr>
        <w:t>. Escrito de segundas vistas presentado por el representante de la señora Acosta ante el Juez Civil de Distrito de Bluefields y Penal por Ministerio de la Ley, 4 de febrero de 2003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434</w:t>
      </w:r>
      <w:r>
        <w:rPr>
          <w:rFonts w:ascii="Verdana" w:hAnsi="Verdana"/>
          <w:spacing w:val="-12"/>
          <w:sz w:val="16"/>
          <w:szCs w:val="16"/>
          <w:lang w:val="es-MX"/>
        </w:rPr>
        <w:t xml:space="preserve"> y </w:t>
      </w:r>
      <w:r w:rsidRPr="001F0A42">
        <w:rPr>
          <w:rFonts w:ascii="Verdana" w:hAnsi="Verdana"/>
          <w:spacing w:val="-12"/>
          <w:sz w:val="16"/>
          <w:szCs w:val="16"/>
          <w:lang w:val="es-MX"/>
        </w:rPr>
        <w:t>435).</w:t>
      </w:r>
    </w:p>
  </w:footnote>
  <w:footnote w:id="94">
    <w:p w14:paraId="0C86CFC6" w14:textId="30051BA5"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judicial, Juzgado de Distrito de lo Civil y Penal del In de Bluefields, 4 de marzo de 2003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444).</w:t>
      </w:r>
    </w:p>
  </w:footnote>
  <w:footnote w:id="95">
    <w:p w14:paraId="2ADD8D89" w14:textId="26E8431C"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Ejecutoria de la sentencia de sobreseimiento definitiva de 13 de mayo de 2002, Juzgado de Distrito de lo Civil y Penal del In por Ministerio de la Ley, 24 de marzo de 2003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446</w:t>
      </w:r>
      <w:r>
        <w:rPr>
          <w:rFonts w:ascii="Verdana" w:hAnsi="Verdana"/>
          <w:spacing w:val="-12"/>
          <w:sz w:val="16"/>
          <w:szCs w:val="16"/>
          <w:lang w:val="es-MX"/>
        </w:rPr>
        <w:t xml:space="preserve"> a </w:t>
      </w:r>
      <w:r w:rsidRPr="001F0A42">
        <w:rPr>
          <w:rFonts w:ascii="Verdana" w:hAnsi="Verdana"/>
          <w:spacing w:val="-12"/>
          <w:sz w:val="16"/>
          <w:szCs w:val="16"/>
          <w:lang w:val="es-MX"/>
        </w:rPr>
        <w:t>453).</w:t>
      </w:r>
    </w:p>
  </w:footnote>
  <w:footnote w:id="96">
    <w:p w14:paraId="108B99DD" w14:textId="0ACD020F" w:rsidR="00D93B58" w:rsidRPr="001F0A42" w:rsidRDefault="00D93B58" w:rsidP="00AD5910">
      <w:pPr>
        <w:pStyle w:val="Textonotapie"/>
        <w:spacing w:before="120" w:after="120"/>
        <w:jc w:val="both"/>
        <w:rPr>
          <w:rFonts w:ascii="Verdana" w:hAnsi="Verdana"/>
          <w:spacing w:val="-12"/>
          <w:sz w:val="16"/>
          <w:szCs w:val="16"/>
          <w:lang w:val="es-ES_tradnl"/>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t>E</w:t>
      </w:r>
      <w:r w:rsidRPr="001F0A42">
        <w:rPr>
          <w:rFonts w:ascii="Verdana" w:hAnsi="Verdana"/>
          <w:spacing w:val="-12"/>
          <w:sz w:val="16"/>
          <w:szCs w:val="16"/>
          <w:lang w:val="es-MX"/>
        </w:rPr>
        <w:t>ntre las irregularidades alegadas, se encuentran las siguientes: a) la “ilegal” declaratoria de caducidad de la apelación de la sentencia interlocutoria que sobresee definitivamente a PT y PMF; b) la falta de tramitación del Incidente de Recusación interpuesto por la parte acusadora, y c) en general la falta de tramitaciones de los distintos incidentes interpuestos.</w:t>
      </w:r>
    </w:p>
  </w:footnote>
  <w:footnote w:id="97">
    <w:p w14:paraId="569A65A3" w14:textId="400665E6" w:rsidR="00D93B58" w:rsidRPr="001F0A42" w:rsidRDefault="00D93B58" w:rsidP="00AD5910">
      <w:pPr>
        <w:pStyle w:val="Textonotapie"/>
        <w:spacing w:before="120" w:after="120"/>
        <w:jc w:val="both"/>
        <w:rPr>
          <w:rFonts w:ascii="Verdana" w:hAnsi="Verdana" w:cs="Garamond"/>
          <w:spacing w:val="-12"/>
          <w:sz w:val="16"/>
          <w:szCs w:val="16"/>
          <w:lang w:val="es-ES_tradnl"/>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 xml:space="preserve">Sentencia del </w:t>
      </w:r>
      <w:r w:rsidRPr="001F0A42">
        <w:rPr>
          <w:rFonts w:ascii="Verdana" w:hAnsi="Verdana"/>
          <w:spacing w:val="-12"/>
          <w:sz w:val="16"/>
          <w:szCs w:val="16"/>
          <w:lang w:val="es-ES_tradnl"/>
        </w:rPr>
        <w:t>Tribunal de Apelaciones, Circunscripción Atlántico Sur, Sala Penal de Bluefields</w:t>
      </w:r>
      <w:r w:rsidRPr="001F0A42">
        <w:rPr>
          <w:rFonts w:ascii="Verdana" w:hAnsi="Verdana" w:cs="Garamond"/>
          <w:spacing w:val="-12"/>
          <w:sz w:val="16"/>
          <w:szCs w:val="16"/>
          <w:lang w:val="es-ES_tradnl"/>
        </w:rPr>
        <w:t xml:space="preserve">, 23 de septiembre de 2003. </w:t>
      </w:r>
      <w:r w:rsidRPr="001F0A42">
        <w:rPr>
          <w:rFonts w:ascii="Verdana" w:hAnsi="Verdana"/>
          <w:spacing w:val="-12"/>
          <w:sz w:val="16"/>
          <w:szCs w:val="16"/>
          <w:lang w:val="es-MX"/>
        </w:rPr>
        <w:t xml:space="preserve">Expediente judicial de primera instancia, folios </w:t>
      </w:r>
      <w:r w:rsidRPr="001F0A42">
        <w:rPr>
          <w:rFonts w:ascii="Verdana" w:hAnsi="Verdana" w:cs="Garamond"/>
          <w:spacing w:val="-12"/>
          <w:sz w:val="16"/>
          <w:szCs w:val="16"/>
          <w:lang w:val="es-ES_tradnl"/>
        </w:rPr>
        <w:t>442-447.</w:t>
      </w:r>
      <w:r w:rsidRPr="001F0A42">
        <w:rPr>
          <w:rFonts w:ascii="Verdana" w:hAnsi="Verdana"/>
          <w:spacing w:val="-12"/>
          <w:sz w:val="16"/>
          <w:szCs w:val="16"/>
          <w:lang w:val="es-MX"/>
        </w:rPr>
        <w:t xml:space="preserve"> </w:t>
      </w:r>
      <w:r w:rsidRPr="001F0A42">
        <w:rPr>
          <w:rFonts w:ascii="Verdana" w:hAnsi="Verdana" w:cs="Arial Narrow"/>
          <w:spacing w:val="-12"/>
          <w:sz w:val="16"/>
          <w:szCs w:val="16"/>
          <w:lang w:val="es-MX"/>
        </w:rPr>
        <w:t xml:space="preserve">Anexo </w:t>
      </w:r>
      <w:r w:rsidRPr="001F0A42">
        <w:rPr>
          <w:rFonts w:ascii="Verdana" w:hAnsi="Verdana"/>
          <w:spacing w:val="-12"/>
          <w:sz w:val="16"/>
          <w:szCs w:val="16"/>
          <w:lang w:val="es-MX"/>
        </w:rPr>
        <w:t>a la comunicación de los peticionarios de 13 de julio de 2007</w:t>
      </w:r>
      <w:r>
        <w:rPr>
          <w:rFonts w:ascii="Verdana" w:hAnsi="Verdana"/>
          <w:spacing w:val="-12"/>
          <w:sz w:val="16"/>
          <w:szCs w:val="16"/>
          <w:lang w:val="es-MX"/>
        </w:rPr>
        <w:t xml:space="preserve"> (expediente de prueba, folios 455 a 460)</w:t>
      </w:r>
      <w:r w:rsidRPr="001F0A42">
        <w:rPr>
          <w:rFonts w:ascii="Verdana" w:hAnsi="Verdana"/>
          <w:spacing w:val="-12"/>
          <w:sz w:val="16"/>
          <w:szCs w:val="16"/>
          <w:lang w:val="es-MX"/>
        </w:rPr>
        <w:t xml:space="preserve">.   </w:t>
      </w:r>
    </w:p>
  </w:footnote>
  <w:footnote w:id="98">
    <w:p w14:paraId="7C39FA73" w14:textId="5FFA1480" w:rsidR="00D93B58" w:rsidRPr="001F0A42" w:rsidRDefault="00D93B58" w:rsidP="00C10D2F">
      <w:pPr>
        <w:spacing w:before="120" w:after="120" w:line="240" w:lineRule="auto"/>
        <w:jc w:val="both"/>
        <w:rPr>
          <w:rFonts w:ascii="Verdana" w:hAnsi="Verdana" w:cs="Arial"/>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t>Argumentó que la sentencia fue dictada en un juicio que contiene nulidades sustanciales y en el que se incurrió también en la omisión de trámites también sustanciales; el rechazo del incidente de nulidad perpetua, absoluta en insubsanable por la Sala Penal del Tribunal de Apelaciones fue injustificado; el rechazo del recurso de apelación por la vía de hecho por parte de la Sala Penal del Tribunal de Apelaciones fue anómalo; la Jueza de primera instancia rechazó un incidente de nulidad perpetua, absoluta e insubsanable interpuesto por el Ministerio Público; el Juez no dio trámite al incidente de nulidad interpuesto por su representante en su primera intervención; el juez no dio trámite a un segundo incidente de nulidad interpuesto por su apoderado legal y posteriormente negó la apelación de ese acto; el juez violó el procedimiento legal al declarar desierta la apelación de la sentencia interlocutoria haciendo imposible cumplir con el requisito de entregar dinero o papel para testimoniar lo actuado; la sentencia interlocutoria no fue notificada a la señora Acosta ni a Iván Arguello Rivera en su calidad de procesados; la negativa a dar trámite al incidente de recusación interpuesto por su representante constituye otra omisión sustancial. Cfr. Recurso extraordinario de casación interpuesto por la señora Acosta Castellón, expediente número 1776/2003 Sala de lo Penal Corte Suprema de Justicia, 31 de octubre de 2003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462</w:t>
      </w:r>
      <w:r>
        <w:rPr>
          <w:rFonts w:ascii="Verdana" w:hAnsi="Verdana"/>
          <w:spacing w:val="-12"/>
          <w:sz w:val="16"/>
          <w:szCs w:val="16"/>
          <w:lang w:val="es-MX"/>
        </w:rPr>
        <w:t xml:space="preserve"> a </w:t>
      </w:r>
      <w:r w:rsidRPr="001F0A42">
        <w:rPr>
          <w:rFonts w:ascii="Verdana" w:hAnsi="Verdana"/>
          <w:spacing w:val="-12"/>
          <w:sz w:val="16"/>
          <w:szCs w:val="16"/>
          <w:lang w:val="es-MX"/>
        </w:rPr>
        <w:t>481).</w:t>
      </w:r>
    </w:p>
  </w:footnote>
  <w:footnote w:id="99">
    <w:p w14:paraId="5749FE9E" w14:textId="0E5A5087"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Sentencia condenatoria, Juzgado de Distrito de lo Civil y Penal del In por Ministerio de la Ley, 21 de abril de 2004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487</w:t>
      </w:r>
      <w:r>
        <w:rPr>
          <w:rFonts w:ascii="Verdana" w:hAnsi="Verdana"/>
          <w:spacing w:val="-12"/>
          <w:sz w:val="16"/>
          <w:szCs w:val="16"/>
          <w:lang w:val="es-MX"/>
        </w:rPr>
        <w:t xml:space="preserve"> a </w:t>
      </w:r>
      <w:r w:rsidRPr="001F0A42">
        <w:rPr>
          <w:rFonts w:ascii="Verdana" w:hAnsi="Verdana"/>
          <w:spacing w:val="-12"/>
          <w:sz w:val="16"/>
          <w:szCs w:val="16"/>
          <w:lang w:val="es-MX"/>
        </w:rPr>
        <w:t>496 y 2635</w:t>
      </w:r>
      <w:r>
        <w:rPr>
          <w:rFonts w:ascii="Verdana" w:hAnsi="Verdana"/>
          <w:spacing w:val="-12"/>
          <w:sz w:val="16"/>
          <w:szCs w:val="16"/>
          <w:lang w:val="es-MX"/>
        </w:rPr>
        <w:t xml:space="preserve"> a </w:t>
      </w:r>
      <w:r w:rsidRPr="001F0A42">
        <w:rPr>
          <w:rFonts w:ascii="Verdana" w:hAnsi="Verdana"/>
          <w:spacing w:val="-12"/>
          <w:sz w:val="16"/>
          <w:szCs w:val="16"/>
          <w:lang w:val="es-MX"/>
        </w:rPr>
        <w:t>2644).</w:t>
      </w:r>
    </w:p>
  </w:footnote>
  <w:footnote w:id="100">
    <w:p w14:paraId="4CB9E284" w14:textId="7DCB2A4F"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Recurso de Apelación presentado por el representante de la señora Acosta ante el Juzgado de Distrito de lo Civil y Penal del In por Ministerio de la Ley, 26 de abril de 2004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498 </w:t>
      </w:r>
      <w:r>
        <w:rPr>
          <w:rFonts w:ascii="Verdana" w:hAnsi="Verdana"/>
          <w:spacing w:val="-12"/>
          <w:sz w:val="16"/>
          <w:szCs w:val="16"/>
          <w:lang w:val="es-MX"/>
        </w:rPr>
        <w:t>y</w:t>
      </w:r>
      <w:r w:rsidRPr="001F0A42">
        <w:rPr>
          <w:rFonts w:ascii="Verdana" w:hAnsi="Verdana"/>
          <w:spacing w:val="-12"/>
          <w:sz w:val="16"/>
          <w:szCs w:val="16"/>
          <w:lang w:val="es-MX"/>
        </w:rPr>
        <w:t xml:space="preserve"> 499).</w:t>
      </w:r>
    </w:p>
  </w:footnote>
  <w:footnote w:id="101">
    <w:p w14:paraId="1233CA1B" w14:textId="5422C7CC"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Recurso de Apelación pres</w:t>
      </w:r>
      <w:r>
        <w:rPr>
          <w:rFonts w:ascii="Verdana" w:hAnsi="Verdana"/>
          <w:spacing w:val="-12"/>
          <w:sz w:val="16"/>
          <w:szCs w:val="16"/>
          <w:lang w:val="es-MX"/>
        </w:rPr>
        <w:t xml:space="preserve">entado por el representante de </w:t>
      </w:r>
      <w:r w:rsidRPr="001F0A42">
        <w:rPr>
          <w:rFonts w:ascii="Verdana" w:hAnsi="Verdana"/>
          <w:spacing w:val="-12"/>
          <w:sz w:val="16"/>
          <w:szCs w:val="16"/>
          <w:lang w:val="es-MX"/>
        </w:rPr>
        <w:t>Ochoa Maradiaga ante el Juzgado de Distrito de lo Civil y Penal del In por Ministerio de la Ley, 27 de abril de 2004</w:t>
      </w:r>
      <w:r>
        <w:rPr>
          <w:rFonts w:ascii="Verdana" w:hAnsi="Verdana"/>
          <w:spacing w:val="-12"/>
          <w:sz w:val="16"/>
          <w:szCs w:val="16"/>
          <w:lang w:val="es-MX"/>
        </w:rPr>
        <w:t xml:space="preserve"> (expediente de prueba, folio 501)</w:t>
      </w:r>
      <w:r w:rsidRPr="001F0A42">
        <w:rPr>
          <w:rFonts w:ascii="Verdana" w:hAnsi="Verdana"/>
          <w:spacing w:val="-12"/>
          <w:sz w:val="16"/>
          <w:szCs w:val="16"/>
          <w:lang w:val="es-MX"/>
        </w:rPr>
        <w:t>.</w:t>
      </w:r>
    </w:p>
  </w:footnote>
  <w:footnote w:id="102">
    <w:p w14:paraId="2C15DF61" w14:textId="14855EF1"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Cfr.</w:t>
      </w:r>
      <w:r w:rsidRPr="001F0A42">
        <w:rPr>
          <w:rFonts w:ascii="Verdana" w:hAnsi="Verdana"/>
          <w:spacing w:val="-12"/>
          <w:sz w:val="16"/>
          <w:szCs w:val="16"/>
          <w:lang w:val="es-MX"/>
        </w:rPr>
        <w:t xml:space="preserve"> </w:t>
      </w:r>
      <w:r>
        <w:rPr>
          <w:rFonts w:ascii="Verdana" w:hAnsi="Verdana"/>
          <w:spacing w:val="-12"/>
          <w:sz w:val="16"/>
          <w:szCs w:val="16"/>
          <w:lang w:val="es-MX"/>
        </w:rPr>
        <w:t xml:space="preserve">Notas de prensa </w:t>
      </w:r>
      <w:r w:rsidRPr="001F0A42">
        <w:rPr>
          <w:rFonts w:ascii="Verdana" w:hAnsi="Verdana"/>
          <w:spacing w:val="-12"/>
          <w:sz w:val="16"/>
          <w:szCs w:val="16"/>
          <w:lang w:val="es-MX"/>
        </w:rPr>
        <w:t xml:space="preserve">“Asesino de García ya está en Bluefields”, </w:t>
      </w:r>
      <w:r w:rsidRPr="001F0A42">
        <w:rPr>
          <w:rFonts w:ascii="Verdana" w:hAnsi="Verdana"/>
          <w:i/>
          <w:spacing w:val="-12"/>
          <w:sz w:val="16"/>
          <w:szCs w:val="16"/>
          <w:lang w:val="es-MX"/>
        </w:rPr>
        <w:t>El Nuevo Diario</w:t>
      </w:r>
      <w:r w:rsidRPr="001F0A42">
        <w:rPr>
          <w:rFonts w:ascii="Verdana" w:hAnsi="Verdana"/>
          <w:spacing w:val="-12"/>
          <w:sz w:val="16"/>
          <w:szCs w:val="16"/>
          <w:lang w:val="es-MX"/>
        </w:rPr>
        <w:t>, 6 de septiembre de 2004</w:t>
      </w:r>
      <w:r>
        <w:rPr>
          <w:rFonts w:ascii="Verdana" w:hAnsi="Verdana"/>
          <w:spacing w:val="-12"/>
          <w:sz w:val="16"/>
          <w:szCs w:val="16"/>
          <w:lang w:val="es-MX"/>
        </w:rPr>
        <w:t xml:space="preserve"> (expediente de prueba, folio 62)</w:t>
      </w:r>
      <w:r w:rsidRPr="001F0A42">
        <w:rPr>
          <w:rFonts w:ascii="Verdana" w:hAnsi="Verdana"/>
          <w:spacing w:val="-12"/>
          <w:sz w:val="16"/>
          <w:szCs w:val="16"/>
          <w:lang w:val="es-MX"/>
        </w:rPr>
        <w:t xml:space="preserve">. “Asesino menciona a </w:t>
      </w:r>
      <w:r>
        <w:rPr>
          <w:rFonts w:ascii="Verdana" w:hAnsi="Verdana"/>
          <w:spacing w:val="-12"/>
          <w:sz w:val="16"/>
          <w:szCs w:val="16"/>
          <w:lang w:val="es-MX"/>
        </w:rPr>
        <w:t>[PT]</w:t>
      </w:r>
      <w:r w:rsidRPr="001F0A42">
        <w:rPr>
          <w:rFonts w:ascii="Verdana" w:hAnsi="Verdana"/>
          <w:spacing w:val="-12"/>
          <w:sz w:val="16"/>
          <w:szCs w:val="16"/>
          <w:lang w:val="es-MX"/>
        </w:rPr>
        <w:t xml:space="preserve"> en declaraciones a Canal 11 de Costa Rica comprometen a griego vende cayos” </w:t>
      </w:r>
      <w:r w:rsidRPr="001F0A42">
        <w:rPr>
          <w:rFonts w:ascii="Verdana" w:hAnsi="Verdana"/>
          <w:i/>
          <w:spacing w:val="-12"/>
          <w:sz w:val="16"/>
          <w:szCs w:val="16"/>
          <w:lang w:val="es-MX"/>
        </w:rPr>
        <w:t>Hoy</w:t>
      </w:r>
      <w:r w:rsidRPr="001F0A42">
        <w:rPr>
          <w:rFonts w:ascii="Verdana" w:hAnsi="Verdana"/>
          <w:spacing w:val="-12"/>
          <w:sz w:val="16"/>
          <w:szCs w:val="16"/>
          <w:lang w:val="es-MX"/>
        </w:rPr>
        <w:t>, 2 de septiembre de 2004</w:t>
      </w:r>
      <w:r>
        <w:rPr>
          <w:rFonts w:ascii="Verdana" w:hAnsi="Verdana"/>
          <w:spacing w:val="-12"/>
          <w:sz w:val="16"/>
          <w:szCs w:val="16"/>
          <w:lang w:val="es-MX"/>
        </w:rPr>
        <w:t xml:space="preserve"> (expediente de prueba, folio 506); y</w:t>
      </w:r>
      <w:r w:rsidRPr="001F0A42">
        <w:rPr>
          <w:rFonts w:ascii="Verdana" w:hAnsi="Verdana"/>
          <w:spacing w:val="-12"/>
          <w:sz w:val="16"/>
          <w:szCs w:val="16"/>
          <w:lang w:val="es-MX"/>
        </w:rPr>
        <w:t xml:space="preserve"> </w:t>
      </w:r>
      <w:r>
        <w:rPr>
          <w:rFonts w:ascii="Verdana" w:hAnsi="Verdana"/>
          <w:spacing w:val="-12"/>
          <w:sz w:val="16"/>
          <w:szCs w:val="16"/>
          <w:lang w:val="es-MX"/>
        </w:rPr>
        <w:t>n</w:t>
      </w:r>
      <w:r w:rsidRPr="001F0A42">
        <w:rPr>
          <w:rFonts w:ascii="Verdana" w:hAnsi="Verdana"/>
          <w:spacing w:val="-12"/>
          <w:sz w:val="16"/>
          <w:szCs w:val="16"/>
          <w:lang w:val="es-MX"/>
        </w:rPr>
        <w:t>otas periodísticas varias</w:t>
      </w:r>
      <w:r>
        <w:rPr>
          <w:rFonts w:ascii="Verdana" w:hAnsi="Verdana"/>
          <w:spacing w:val="-12"/>
          <w:sz w:val="16"/>
          <w:szCs w:val="16"/>
          <w:lang w:val="es-MX"/>
        </w:rPr>
        <w:t xml:space="preserve"> presentadas en el Expediente No. 2019-2004 del recurso de casación ante la Corte Suprema de Justicia el 27 de abril de 2004</w:t>
      </w:r>
      <w:r w:rsidRPr="001F0A42">
        <w:rPr>
          <w:rFonts w:ascii="Verdana" w:hAnsi="Verdana"/>
          <w:spacing w:val="-12"/>
          <w:sz w:val="16"/>
          <w:szCs w:val="16"/>
          <w:lang w:val="es-MX"/>
        </w:rPr>
        <w:t xml:space="preserve"> (expediente de pruebas</w:t>
      </w:r>
      <w:r>
        <w:rPr>
          <w:rFonts w:ascii="Verdana" w:hAnsi="Verdana"/>
          <w:spacing w:val="-12"/>
          <w:sz w:val="16"/>
          <w:szCs w:val="16"/>
          <w:lang w:val="es-MX"/>
        </w:rPr>
        <w:t>, folios</w:t>
      </w:r>
      <w:r w:rsidRPr="001F0A42">
        <w:rPr>
          <w:rFonts w:ascii="Verdana" w:hAnsi="Verdana"/>
          <w:spacing w:val="-12"/>
          <w:sz w:val="16"/>
          <w:szCs w:val="16"/>
          <w:lang w:val="es-MX"/>
        </w:rPr>
        <w:t xml:space="preserve"> 503</w:t>
      </w:r>
      <w:r>
        <w:rPr>
          <w:rFonts w:ascii="Verdana" w:hAnsi="Verdana"/>
          <w:spacing w:val="-12"/>
          <w:sz w:val="16"/>
          <w:szCs w:val="16"/>
          <w:lang w:val="es-MX"/>
        </w:rPr>
        <w:t xml:space="preserve"> a </w:t>
      </w:r>
      <w:r w:rsidRPr="001F0A42">
        <w:rPr>
          <w:rFonts w:ascii="Verdana" w:hAnsi="Verdana"/>
          <w:spacing w:val="-12"/>
          <w:sz w:val="16"/>
          <w:szCs w:val="16"/>
          <w:lang w:val="es-MX"/>
        </w:rPr>
        <w:t>506).</w:t>
      </w:r>
    </w:p>
  </w:footnote>
  <w:footnote w:id="103">
    <w:p w14:paraId="5E27554B" w14:textId="233D20FE"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presentado por el representante de la señora Acosta ante la Sala Penal del Tribunal de Apelaciones de la Circunscripción del Atlántico Sur, 22 de noviembre de 2004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2448</w:t>
      </w:r>
      <w:r>
        <w:rPr>
          <w:rFonts w:ascii="Verdana" w:hAnsi="Verdana"/>
          <w:spacing w:val="-12"/>
          <w:sz w:val="16"/>
          <w:szCs w:val="16"/>
          <w:lang w:val="es-MX"/>
        </w:rPr>
        <w:t xml:space="preserve"> a </w:t>
      </w:r>
      <w:r w:rsidRPr="001F0A42">
        <w:rPr>
          <w:rFonts w:ascii="Verdana" w:hAnsi="Verdana"/>
          <w:spacing w:val="-12"/>
          <w:sz w:val="16"/>
          <w:szCs w:val="16"/>
          <w:lang w:val="es-MX"/>
        </w:rPr>
        <w:t>2458)</w:t>
      </w:r>
      <w:r>
        <w:rPr>
          <w:rFonts w:ascii="Verdana" w:hAnsi="Verdana"/>
          <w:spacing w:val="-12"/>
          <w:sz w:val="16"/>
          <w:szCs w:val="16"/>
          <w:lang w:val="es-MX"/>
        </w:rPr>
        <w:t>.</w:t>
      </w:r>
    </w:p>
  </w:footnote>
  <w:footnote w:id="104">
    <w:p w14:paraId="25FFFBE9" w14:textId="48FCBDF7"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Sentencia de la Sala Penal del Tribunal de Apelaciones Circunscripción Atlántico Sur, 29 de noviembre de 2004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511</w:t>
      </w:r>
      <w:r>
        <w:rPr>
          <w:rFonts w:ascii="Verdana" w:hAnsi="Verdana"/>
          <w:spacing w:val="-12"/>
          <w:sz w:val="16"/>
          <w:szCs w:val="16"/>
          <w:lang w:val="es-MX"/>
        </w:rPr>
        <w:t xml:space="preserve"> a </w:t>
      </w:r>
      <w:r w:rsidRPr="001F0A42">
        <w:rPr>
          <w:rFonts w:ascii="Verdana" w:hAnsi="Verdana"/>
          <w:spacing w:val="-12"/>
          <w:sz w:val="16"/>
          <w:szCs w:val="16"/>
          <w:lang w:val="es-MX"/>
        </w:rPr>
        <w:t>521 y 2646</w:t>
      </w:r>
      <w:r>
        <w:rPr>
          <w:rFonts w:ascii="Verdana" w:hAnsi="Verdana"/>
          <w:spacing w:val="-12"/>
          <w:sz w:val="16"/>
          <w:szCs w:val="16"/>
          <w:lang w:val="es-MX"/>
        </w:rPr>
        <w:t xml:space="preserve"> a </w:t>
      </w:r>
      <w:r w:rsidRPr="001F0A42">
        <w:rPr>
          <w:rFonts w:ascii="Verdana" w:hAnsi="Verdana"/>
          <w:spacing w:val="-12"/>
          <w:sz w:val="16"/>
          <w:szCs w:val="16"/>
          <w:lang w:val="es-MX"/>
        </w:rPr>
        <w:t>2657).</w:t>
      </w:r>
    </w:p>
  </w:footnote>
  <w:footnote w:id="105">
    <w:p w14:paraId="686FCF11" w14:textId="4B244AED"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Recurso de casación interpuesto por el representante de la señora Acosta ante la Sala de lo Penal de la Corte Suprema de Justicia, diciembre 22 de 2004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523</w:t>
      </w:r>
      <w:r>
        <w:rPr>
          <w:rFonts w:ascii="Verdana" w:hAnsi="Verdana"/>
          <w:spacing w:val="-12"/>
          <w:sz w:val="16"/>
          <w:szCs w:val="16"/>
          <w:lang w:val="es-MX"/>
        </w:rPr>
        <w:t xml:space="preserve"> a </w:t>
      </w:r>
      <w:r w:rsidRPr="001F0A42">
        <w:rPr>
          <w:rFonts w:ascii="Verdana" w:hAnsi="Verdana"/>
          <w:spacing w:val="-12"/>
          <w:sz w:val="16"/>
          <w:szCs w:val="16"/>
          <w:lang w:val="es-MX"/>
        </w:rPr>
        <w:t>548)</w:t>
      </w:r>
      <w:r>
        <w:rPr>
          <w:rFonts w:ascii="Verdana" w:hAnsi="Verdana"/>
          <w:spacing w:val="-12"/>
          <w:sz w:val="16"/>
          <w:szCs w:val="16"/>
          <w:lang w:val="es-MX"/>
        </w:rPr>
        <w:t>.</w:t>
      </w:r>
    </w:p>
  </w:footnote>
  <w:footnote w:id="106">
    <w:p w14:paraId="2467AC93" w14:textId="2C6B2C6F"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Sentencia número 11 de la Sala de lo Penal de la Corte Suprema de Justicia, expediente número 1776/2003, 18 de abril de 2005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483</w:t>
      </w:r>
      <w:r>
        <w:rPr>
          <w:rFonts w:ascii="Verdana" w:hAnsi="Verdana"/>
          <w:spacing w:val="-12"/>
          <w:sz w:val="16"/>
          <w:szCs w:val="16"/>
          <w:lang w:val="es-MX"/>
        </w:rPr>
        <w:t xml:space="preserve"> a </w:t>
      </w:r>
      <w:r w:rsidRPr="001F0A42">
        <w:rPr>
          <w:rFonts w:ascii="Verdana" w:hAnsi="Verdana"/>
          <w:spacing w:val="-12"/>
          <w:sz w:val="16"/>
          <w:szCs w:val="16"/>
          <w:lang w:val="es-MX"/>
        </w:rPr>
        <w:t>485).</w:t>
      </w:r>
    </w:p>
  </w:footnote>
  <w:footnote w:id="107">
    <w:p w14:paraId="38543E5F" w14:textId="631DB99B"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t xml:space="preserve">Entre otros argumentos, la Fiscal alegó que </w:t>
      </w:r>
      <w:r w:rsidRPr="00277602">
        <w:rPr>
          <w:rFonts w:ascii="Verdana" w:hAnsi="Verdana"/>
          <w:spacing w:val="-12"/>
          <w:sz w:val="16"/>
          <w:szCs w:val="16"/>
          <w:lang w:val="es-MX"/>
        </w:rPr>
        <w:t>“para que la sentencia dictada por el Juez de la primera instancia sea válida, se debieron cumplir los procedimientos establecidos por la ley procesal (Art. 442 In.) a la luz de normas constitucionales atinentes, en concordancia con el artículo 4 de la Ley Orgánica del Poder Judicial, la cual contempla que: "La constitución Política es la Norma</w:t>
      </w:r>
      <w:r>
        <w:rPr>
          <w:rFonts w:ascii="Verdana" w:hAnsi="Verdana"/>
          <w:spacing w:val="-12"/>
          <w:sz w:val="16"/>
          <w:szCs w:val="16"/>
          <w:lang w:val="es-MX"/>
        </w:rPr>
        <w:t xml:space="preserve"> </w:t>
      </w:r>
      <w:r w:rsidRPr="00277602">
        <w:rPr>
          <w:rFonts w:ascii="Verdana" w:hAnsi="Verdana"/>
          <w:spacing w:val="-12"/>
          <w:sz w:val="16"/>
          <w:szCs w:val="16"/>
          <w:lang w:val="es-MX"/>
        </w:rPr>
        <w:t>Suprema del ordenamiento jurídico y vincula a quienes administran justicia, los que deben aplicar e interpretar las leyes, los tratados internacionales, reglamentos, demás disposiciones legales u otras fuentes del derecho, según los preceptos y principios constitucionales". Sin embargo, las diligencias en la etapa instructiva del proceso penal en el caso que nos ocupa (caso [PMF y PT], denunciados por ser autores intelectuales de Asesinato contra el señor Francisco José Garcla Valle), fue la etapa instructiva contra lván Arguello (autor material del asesinato), pero que esa instructiva fue aprovechada para aparentar una investigación contra [PMF y PT], instructiva no realizada, puesto que la autoridad judicial no cumplió con investigar y analizar los hechos y buscar las pruebas contra ambos sujetos (violentando el artículo 1 In.) para llegar al fondo de la verdad”</w:t>
      </w:r>
      <w:r>
        <w:rPr>
          <w:rFonts w:ascii="Verdana" w:hAnsi="Verdana"/>
          <w:spacing w:val="-12"/>
          <w:sz w:val="16"/>
          <w:szCs w:val="16"/>
          <w:lang w:val="es-MX"/>
        </w:rPr>
        <w:t xml:space="preserve">. </w:t>
      </w:r>
      <w:r>
        <w:rPr>
          <w:rFonts w:ascii="Verdana" w:hAnsi="Verdana"/>
          <w:i/>
          <w:iCs/>
          <w:spacing w:val="-12"/>
          <w:sz w:val="16"/>
          <w:szCs w:val="16"/>
          <w:lang w:val="es-MX"/>
        </w:rPr>
        <w:t xml:space="preserve">Cfr. </w:t>
      </w:r>
      <w:r w:rsidRPr="001F0A42">
        <w:rPr>
          <w:rFonts w:ascii="Verdana" w:hAnsi="Verdana"/>
          <w:spacing w:val="-12"/>
          <w:sz w:val="16"/>
          <w:szCs w:val="16"/>
          <w:lang w:val="es-MX"/>
        </w:rPr>
        <w:t>Respuesta de la Fiscalía Auxiliar de Managua a los agravios de la parte recurrente del recurso de casación de 24 de agosto de 2006, expediente 2019-2004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550</w:t>
      </w:r>
      <w:r>
        <w:rPr>
          <w:rFonts w:ascii="Verdana" w:hAnsi="Verdana"/>
          <w:spacing w:val="-12"/>
          <w:sz w:val="16"/>
          <w:szCs w:val="16"/>
          <w:lang w:val="es-MX"/>
        </w:rPr>
        <w:t xml:space="preserve"> a </w:t>
      </w:r>
      <w:r w:rsidRPr="001F0A42">
        <w:rPr>
          <w:rFonts w:ascii="Verdana" w:hAnsi="Verdana"/>
          <w:spacing w:val="-12"/>
          <w:sz w:val="16"/>
          <w:szCs w:val="16"/>
          <w:lang w:val="es-MX"/>
        </w:rPr>
        <w:t>556).</w:t>
      </w:r>
    </w:p>
  </w:footnote>
  <w:footnote w:id="108">
    <w:p w14:paraId="12E99A7B" w14:textId="5F11AC37"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Sentencia número 19, Sala de lo Penal, Corte Suprema de Justicia, 19 de diciembre de 2006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558</w:t>
      </w:r>
      <w:r>
        <w:rPr>
          <w:rFonts w:ascii="Verdana" w:hAnsi="Verdana"/>
          <w:spacing w:val="-12"/>
          <w:sz w:val="16"/>
          <w:szCs w:val="16"/>
          <w:lang w:val="es-MX"/>
        </w:rPr>
        <w:t xml:space="preserve"> a </w:t>
      </w:r>
      <w:r w:rsidRPr="001F0A42">
        <w:rPr>
          <w:rFonts w:ascii="Verdana" w:hAnsi="Verdana"/>
          <w:spacing w:val="-12"/>
          <w:sz w:val="16"/>
          <w:szCs w:val="16"/>
          <w:lang w:val="es-MX"/>
        </w:rPr>
        <w:t>561 y 2659</w:t>
      </w:r>
      <w:r>
        <w:rPr>
          <w:rFonts w:ascii="Verdana" w:hAnsi="Verdana"/>
          <w:spacing w:val="-12"/>
          <w:sz w:val="16"/>
          <w:szCs w:val="16"/>
          <w:lang w:val="es-MX"/>
        </w:rPr>
        <w:t xml:space="preserve"> a </w:t>
      </w:r>
      <w:r w:rsidRPr="001F0A42">
        <w:rPr>
          <w:rFonts w:ascii="Verdana" w:hAnsi="Verdana"/>
          <w:spacing w:val="-12"/>
          <w:sz w:val="16"/>
          <w:szCs w:val="16"/>
          <w:lang w:val="es-MX"/>
        </w:rPr>
        <w:t>2662).</w:t>
      </w:r>
    </w:p>
  </w:footnote>
  <w:footnote w:id="109">
    <w:p w14:paraId="16F0B39C" w14:textId="19FE9B3D" w:rsidR="00D93B58" w:rsidRPr="00246C40" w:rsidRDefault="00D93B58" w:rsidP="00C10D2F">
      <w:pPr>
        <w:pStyle w:val="Textonotapie"/>
        <w:jc w:val="both"/>
      </w:pPr>
      <w:r>
        <w:rPr>
          <w:rStyle w:val="Refdenotaalpie"/>
        </w:rPr>
        <w:footnoteRef/>
      </w:r>
      <w:r>
        <w:t xml:space="preserve"> </w:t>
      </w:r>
      <w:r>
        <w:tab/>
      </w:r>
      <w:r>
        <w:rPr>
          <w:rFonts w:ascii="Verdana" w:hAnsi="Verdana"/>
          <w:i/>
          <w:iCs/>
          <w:sz w:val="16"/>
          <w:szCs w:val="16"/>
        </w:rPr>
        <w:t xml:space="preserve">Cfr. </w:t>
      </w:r>
      <w:r w:rsidRPr="00246C40">
        <w:rPr>
          <w:rFonts w:ascii="Verdana" w:hAnsi="Verdana"/>
          <w:spacing w:val="-12"/>
          <w:sz w:val="16"/>
          <w:szCs w:val="16"/>
          <w:lang w:val="es-MX"/>
        </w:rPr>
        <w:t xml:space="preserve">Solicitud de embargo de PMF a nombre propio y en representación de PT, 15 de mayo de 2002 </w:t>
      </w:r>
      <w:r w:rsidRPr="006D6F7E">
        <w:rPr>
          <w:rFonts w:ascii="Verdana" w:hAnsi="Verdana"/>
          <w:spacing w:val="-12"/>
          <w:sz w:val="16"/>
          <w:szCs w:val="16"/>
          <w:lang w:val="es-MX"/>
        </w:rPr>
        <w:t>(expediente de prueba</w:t>
      </w:r>
      <w:r>
        <w:rPr>
          <w:rFonts w:ascii="Verdana" w:hAnsi="Verdana"/>
          <w:spacing w:val="-12"/>
          <w:sz w:val="16"/>
          <w:szCs w:val="16"/>
          <w:lang w:val="es-MX"/>
        </w:rPr>
        <w:t>, folios</w:t>
      </w:r>
      <w:r w:rsidRPr="006D6F7E">
        <w:rPr>
          <w:rFonts w:ascii="Verdana" w:hAnsi="Verdana"/>
          <w:spacing w:val="-12"/>
          <w:sz w:val="16"/>
          <w:szCs w:val="16"/>
          <w:lang w:val="es-MX"/>
        </w:rPr>
        <w:t xml:space="preserve"> 565</w:t>
      </w:r>
      <w:r>
        <w:rPr>
          <w:rFonts w:ascii="Verdana" w:hAnsi="Verdana"/>
          <w:spacing w:val="-12"/>
          <w:sz w:val="16"/>
          <w:szCs w:val="16"/>
          <w:lang w:val="es-MX"/>
        </w:rPr>
        <w:t xml:space="preserve"> y </w:t>
      </w:r>
      <w:r w:rsidRPr="006D6F7E">
        <w:rPr>
          <w:rFonts w:ascii="Verdana" w:hAnsi="Verdana"/>
          <w:spacing w:val="-12"/>
          <w:sz w:val="16"/>
          <w:szCs w:val="16"/>
          <w:lang w:val="es-MX"/>
        </w:rPr>
        <w:t>566)</w:t>
      </w:r>
      <w:r>
        <w:rPr>
          <w:rFonts w:ascii="Verdana" w:hAnsi="Verdana"/>
          <w:spacing w:val="-12"/>
          <w:sz w:val="16"/>
          <w:szCs w:val="16"/>
          <w:lang w:val="es-MX"/>
        </w:rPr>
        <w:t>.</w:t>
      </w:r>
    </w:p>
  </w:footnote>
  <w:footnote w:id="110">
    <w:p w14:paraId="26D81D9A" w14:textId="35FED0C4"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Acta de embargo preventivo, Juzgado de lo Civil del Distrito de Bluefields, 15 de mayo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568</w:t>
      </w:r>
      <w:r>
        <w:rPr>
          <w:rFonts w:ascii="Verdana" w:hAnsi="Verdana"/>
          <w:spacing w:val="-12"/>
          <w:sz w:val="16"/>
          <w:szCs w:val="16"/>
          <w:lang w:val="es-MX"/>
        </w:rPr>
        <w:t xml:space="preserve"> a </w:t>
      </w:r>
      <w:r w:rsidRPr="001F0A42">
        <w:rPr>
          <w:rFonts w:ascii="Verdana" w:hAnsi="Verdana"/>
          <w:spacing w:val="-12"/>
          <w:sz w:val="16"/>
          <w:szCs w:val="16"/>
          <w:lang w:val="es-MX"/>
        </w:rPr>
        <w:t>570)</w:t>
      </w:r>
      <w:r>
        <w:rPr>
          <w:rFonts w:ascii="Verdana" w:hAnsi="Verdana"/>
          <w:spacing w:val="-12"/>
          <w:sz w:val="16"/>
          <w:szCs w:val="16"/>
          <w:lang w:val="es-MX"/>
        </w:rPr>
        <w:t>.</w:t>
      </w:r>
    </w:p>
  </w:footnote>
  <w:footnote w:id="111">
    <w:p w14:paraId="4BF46A45" w14:textId="0FD2E9A7"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Demanda de daños y perjuicios presentada por el señor PMF ante el Juzgado Civil de Distrito de Bluefields, 30 de mayo de 2002 (expediente de prueba ff. 572</w:t>
      </w:r>
      <w:r>
        <w:rPr>
          <w:rFonts w:ascii="Verdana" w:hAnsi="Verdana"/>
          <w:spacing w:val="-12"/>
          <w:sz w:val="16"/>
          <w:szCs w:val="16"/>
          <w:lang w:val="es-MX"/>
        </w:rPr>
        <w:t xml:space="preserve"> a </w:t>
      </w:r>
      <w:r w:rsidRPr="001F0A42">
        <w:rPr>
          <w:rFonts w:ascii="Verdana" w:hAnsi="Verdana"/>
          <w:spacing w:val="-12"/>
          <w:sz w:val="16"/>
          <w:szCs w:val="16"/>
          <w:lang w:val="es-MX"/>
        </w:rPr>
        <w:t>575).</w:t>
      </w:r>
    </w:p>
  </w:footnote>
  <w:footnote w:id="112">
    <w:p w14:paraId="7A9DC449" w14:textId="618B96C9"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presentado por el representante de la señora Acosta ante el Juzgado Civil de Distrito de Bluefields, 26 de junio de 2002 (expediente de prueba ff. 577</w:t>
      </w:r>
      <w:r>
        <w:rPr>
          <w:rFonts w:ascii="Verdana" w:hAnsi="Verdana"/>
          <w:spacing w:val="-12"/>
          <w:sz w:val="16"/>
          <w:szCs w:val="16"/>
          <w:lang w:val="es-MX"/>
        </w:rPr>
        <w:t xml:space="preserve"> a </w:t>
      </w:r>
      <w:r w:rsidRPr="001F0A42">
        <w:rPr>
          <w:rFonts w:ascii="Verdana" w:hAnsi="Verdana"/>
          <w:spacing w:val="-12"/>
          <w:sz w:val="16"/>
          <w:szCs w:val="16"/>
          <w:lang w:val="es-MX"/>
        </w:rPr>
        <w:t>582).</w:t>
      </w:r>
    </w:p>
  </w:footnote>
  <w:footnote w:id="113">
    <w:p w14:paraId="118021F4" w14:textId="6E1DCBF9"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Escritos presentados por el representante de la señora Acosta ante el Juzgado Civil de Distrito de Bluefields, 1,</w:t>
      </w:r>
      <w:r>
        <w:rPr>
          <w:rFonts w:ascii="Verdana" w:hAnsi="Verdana"/>
          <w:spacing w:val="-12"/>
          <w:sz w:val="16"/>
          <w:szCs w:val="16"/>
          <w:lang w:val="es-MX"/>
        </w:rPr>
        <w:t xml:space="preserve"> </w:t>
      </w:r>
      <w:r w:rsidRPr="001F0A42">
        <w:rPr>
          <w:rFonts w:ascii="Verdana" w:hAnsi="Verdana"/>
          <w:spacing w:val="-12"/>
          <w:sz w:val="16"/>
          <w:szCs w:val="16"/>
          <w:lang w:val="es-MX"/>
        </w:rPr>
        <w:t>16 y 23 de octubre de 2002 (expediente de prueba ff. 584</w:t>
      </w:r>
      <w:r>
        <w:rPr>
          <w:rFonts w:ascii="Verdana" w:hAnsi="Verdana"/>
          <w:spacing w:val="-12"/>
          <w:sz w:val="16"/>
          <w:szCs w:val="16"/>
          <w:lang w:val="es-MX"/>
        </w:rPr>
        <w:t xml:space="preserve"> a </w:t>
      </w:r>
      <w:r w:rsidRPr="001F0A42">
        <w:rPr>
          <w:rFonts w:ascii="Verdana" w:hAnsi="Verdana"/>
          <w:spacing w:val="-12"/>
          <w:sz w:val="16"/>
          <w:szCs w:val="16"/>
          <w:lang w:val="es-MX"/>
        </w:rPr>
        <w:t>586).</w:t>
      </w:r>
    </w:p>
  </w:footnote>
  <w:footnote w:id="114">
    <w:p w14:paraId="7BA343CF" w14:textId="0826FB35"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 xml:space="preserve">Auto del Juzgado Civil de Distrito de Bluefields, 24 de octubre </w:t>
      </w:r>
      <w:r>
        <w:rPr>
          <w:rFonts w:ascii="Verdana" w:hAnsi="Verdana"/>
          <w:spacing w:val="-12"/>
          <w:sz w:val="16"/>
          <w:szCs w:val="16"/>
          <w:lang w:val="es-MX"/>
        </w:rPr>
        <w:t xml:space="preserve">de </w:t>
      </w:r>
      <w:r w:rsidRPr="001F0A42">
        <w:rPr>
          <w:rFonts w:ascii="Verdana" w:hAnsi="Verdana"/>
          <w:spacing w:val="-12"/>
          <w:sz w:val="16"/>
          <w:szCs w:val="16"/>
          <w:lang w:val="es-MX"/>
        </w:rPr>
        <w:t>2002 (expediente de prueba f.588).</w:t>
      </w:r>
    </w:p>
  </w:footnote>
  <w:footnote w:id="115">
    <w:p w14:paraId="416D68EA" w14:textId="76157127"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 xml:space="preserve">Auto del Juzgado Civil del Distrito de Bluefields, </w:t>
      </w:r>
      <w:r>
        <w:rPr>
          <w:rFonts w:ascii="Verdana" w:hAnsi="Verdana"/>
          <w:spacing w:val="-12"/>
          <w:sz w:val="16"/>
          <w:szCs w:val="16"/>
          <w:lang w:val="es-MX"/>
        </w:rPr>
        <w:t>27 de febrero de 2003</w:t>
      </w:r>
      <w:r w:rsidRPr="001F0A42">
        <w:rPr>
          <w:rFonts w:ascii="Verdana" w:hAnsi="Verdana"/>
          <w:spacing w:val="-12"/>
          <w:sz w:val="16"/>
          <w:szCs w:val="16"/>
          <w:lang w:val="es-MX"/>
        </w:rPr>
        <w:t xml:space="preserve"> (expediente de prueba f. 590)</w:t>
      </w:r>
      <w:r>
        <w:rPr>
          <w:rFonts w:ascii="Verdana" w:hAnsi="Verdana"/>
          <w:spacing w:val="-12"/>
          <w:sz w:val="16"/>
          <w:szCs w:val="16"/>
          <w:lang w:val="es-MX"/>
        </w:rPr>
        <w:t>.</w:t>
      </w:r>
    </w:p>
  </w:footnote>
  <w:footnote w:id="116">
    <w:p w14:paraId="1D5EB7A5" w14:textId="2FA2DE54"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presentado por PMF ante el ante el Juzgado Civil de Distrito de Bluefields, 5 de marzo de 2003 (expediente de prueba f. 592).</w:t>
      </w:r>
    </w:p>
  </w:footnote>
  <w:footnote w:id="117">
    <w:p w14:paraId="55B7F83A" w14:textId="16380B6B"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de la Sala Civil del Tribunal de Apelaciones, Circunscripción Atlántico Sur, 25 de marzo de 2003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594).</w:t>
      </w:r>
    </w:p>
  </w:footnote>
  <w:footnote w:id="118">
    <w:p w14:paraId="0DBAA742" w14:textId="7F1AC59C"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Recurso de retardación interpuesto por la señora Acosta ante la Corte Suprema de Justicia, 25 de agosto de 2004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596).</w:t>
      </w:r>
    </w:p>
  </w:footnote>
  <w:footnote w:id="119">
    <w:p w14:paraId="4CAF4ED1" w14:textId="663805D9"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presentado por PMF ante el ante el Juzgado de Distrito del Crimen de Bluefields, 2 de octubre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598</w:t>
      </w:r>
      <w:r>
        <w:rPr>
          <w:rFonts w:ascii="Verdana" w:hAnsi="Verdana"/>
          <w:spacing w:val="-12"/>
          <w:sz w:val="16"/>
          <w:szCs w:val="16"/>
          <w:lang w:val="es-MX"/>
        </w:rPr>
        <w:t xml:space="preserve"> y </w:t>
      </w:r>
      <w:r w:rsidRPr="001F0A42">
        <w:rPr>
          <w:rFonts w:ascii="Verdana" w:hAnsi="Verdana"/>
          <w:spacing w:val="-12"/>
          <w:sz w:val="16"/>
          <w:szCs w:val="16"/>
          <w:lang w:val="es-MX"/>
        </w:rPr>
        <w:t>599).</w:t>
      </w:r>
    </w:p>
  </w:footnote>
  <w:footnote w:id="120">
    <w:p w14:paraId="7C6F7878" w14:textId="5C34E0C8"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 xml:space="preserve">Auto del juzgado de Distrito del Crimen de Bluefields, 21 de octubre de 2002 </w:t>
      </w:r>
      <w:r>
        <w:rPr>
          <w:rFonts w:ascii="Verdana" w:hAnsi="Verdana"/>
          <w:spacing w:val="-12"/>
          <w:sz w:val="16"/>
          <w:szCs w:val="16"/>
          <w:lang w:val="es-MX"/>
        </w:rPr>
        <w:t>(</w:t>
      </w:r>
      <w:r w:rsidRPr="001F0A42">
        <w:rPr>
          <w:rFonts w:ascii="Verdana" w:hAnsi="Verdana"/>
          <w:spacing w:val="-12"/>
          <w:sz w:val="16"/>
          <w:szCs w:val="16"/>
          <w:lang w:val="es-MX"/>
        </w:rPr>
        <w:t>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601)</w:t>
      </w:r>
      <w:r>
        <w:rPr>
          <w:rFonts w:ascii="Verdana" w:hAnsi="Verdana"/>
          <w:spacing w:val="-12"/>
          <w:sz w:val="16"/>
          <w:szCs w:val="16"/>
          <w:lang w:val="es-MX"/>
        </w:rPr>
        <w:t>.</w:t>
      </w:r>
    </w:p>
  </w:footnote>
  <w:footnote w:id="121">
    <w:p w14:paraId="5B6D9DE9" w14:textId="683BD013"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interpuesto por la representante de la señora Acosta ante el Juez de Distrito de lo Civil y Penal del In por Ministerio de Ley de Bluefields, 14 de agosto de 2003 (escrito de prueba</w:t>
      </w:r>
      <w:r>
        <w:rPr>
          <w:rFonts w:ascii="Verdana" w:hAnsi="Verdana"/>
          <w:spacing w:val="-12"/>
          <w:sz w:val="16"/>
          <w:szCs w:val="16"/>
          <w:lang w:val="es-MX"/>
        </w:rPr>
        <w:t>, folios</w:t>
      </w:r>
      <w:r w:rsidRPr="001F0A42">
        <w:rPr>
          <w:rFonts w:ascii="Verdana" w:hAnsi="Verdana"/>
          <w:spacing w:val="-12"/>
          <w:sz w:val="16"/>
          <w:szCs w:val="16"/>
          <w:lang w:val="es-MX"/>
        </w:rPr>
        <w:t xml:space="preserve"> 603</w:t>
      </w:r>
      <w:r>
        <w:rPr>
          <w:rFonts w:ascii="Verdana" w:hAnsi="Verdana"/>
          <w:spacing w:val="-12"/>
          <w:sz w:val="16"/>
          <w:szCs w:val="16"/>
          <w:lang w:val="es-MX"/>
        </w:rPr>
        <w:t xml:space="preserve"> a </w:t>
      </w:r>
      <w:r w:rsidRPr="001F0A42">
        <w:rPr>
          <w:rFonts w:ascii="Verdana" w:hAnsi="Verdana"/>
          <w:spacing w:val="-12"/>
          <w:sz w:val="16"/>
          <w:szCs w:val="16"/>
          <w:lang w:val="es-MX"/>
        </w:rPr>
        <w:t>606).</w:t>
      </w:r>
    </w:p>
  </w:footnote>
  <w:footnote w:id="122">
    <w:p w14:paraId="174FD97A" w14:textId="59AA6A01"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del Juzgado de Distrito de lo Civil y Penal del In por Ministerio de Ley de Bluefields, 23 de agosto de 2004 (escrito de prueba</w:t>
      </w:r>
      <w:r>
        <w:rPr>
          <w:rFonts w:ascii="Verdana" w:hAnsi="Verdana"/>
          <w:spacing w:val="-12"/>
          <w:sz w:val="16"/>
          <w:szCs w:val="16"/>
          <w:lang w:val="es-MX"/>
        </w:rPr>
        <w:t xml:space="preserve">, folios </w:t>
      </w:r>
      <w:r w:rsidRPr="001F0A42">
        <w:rPr>
          <w:rFonts w:ascii="Verdana" w:hAnsi="Verdana"/>
          <w:spacing w:val="-12"/>
          <w:sz w:val="16"/>
          <w:szCs w:val="16"/>
          <w:lang w:val="es-MX"/>
        </w:rPr>
        <w:t>608</w:t>
      </w:r>
      <w:r>
        <w:rPr>
          <w:rFonts w:ascii="Verdana" w:hAnsi="Verdana"/>
          <w:spacing w:val="-12"/>
          <w:sz w:val="16"/>
          <w:szCs w:val="16"/>
          <w:lang w:val="es-MX"/>
        </w:rPr>
        <w:t xml:space="preserve"> y 2919</w:t>
      </w:r>
      <w:r w:rsidRPr="001F0A42">
        <w:rPr>
          <w:rFonts w:ascii="Verdana" w:hAnsi="Verdana"/>
          <w:spacing w:val="-12"/>
          <w:sz w:val="16"/>
          <w:szCs w:val="16"/>
          <w:lang w:val="es-MX"/>
        </w:rPr>
        <w:t>).</w:t>
      </w:r>
    </w:p>
  </w:footnote>
  <w:footnote w:id="123">
    <w:p w14:paraId="6D56CB06" w14:textId="79B180ED"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Recurso de Apelación interpuesto por PMF ante el Juez de Distrito de lo Civil y Penal del In por Ministerio de Ley de Bluefields, 30 de septiembre de 2004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610 y 2920).</w:t>
      </w:r>
    </w:p>
  </w:footnote>
  <w:footnote w:id="124">
    <w:p w14:paraId="35B79DBE" w14:textId="457323A3"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Auto de la Sala Penal del Tribunal de Apelaciones, Circunscripción Atlántico Sur, 18 de octubre de 2004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612 y 2917</w:t>
      </w:r>
      <w:r>
        <w:rPr>
          <w:rFonts w:ascii="Verdana" w:hAnsi="Verdana"/>
          <w:spacing w:val="-12"/>
          <w:sz w:val="16"/>
          <w:szCs w:val="16"/>
          <w:lang w:val="es-MX"/>
        </w:rPr>
        <w:t xml:space="preserve"> a </w:t>
      </w:r>
      <w:r w:rsidRPr="001F0A42">
        <w:rPr>
          <w:rFonts w:ascii="Verdana" w:hAnsi="Verdana"/>
          <w:spacing w:val="-12"/>
          <w:sz w:val="16"/>
          <w:szCs w:val="16"/>
          <w:lang w:val="es-MX"/>
        </w:rPr>
        <w:t>2918)</w:t>
      </w:r>
      <w:r>
        <w:rPr>
          <w:rFonts w:ascii="Verdana" w:hAnsi="Verdana"/>
          <w:spacing w:val="-12"/>
          <w:sz w:val="16"/>
          <w:szCs w:val="16"/>
          <w:lang w:val="es-MX"/>
        </w:rPr>
        <w:t>.</w:t>
      </w:r>
    </w:p>
  </w:footnote>
  <w:footnote w:id="125">
    <w:p w14:paraId="76316FD7" w14:textId="23BAA3C5"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de queja presentado por la señora Acosta ante la Comisión de Régimen Disciplinario de la Corte Suprema de Justicia, 10 de mayo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614</w:t>
      </w:r>
      <w:r>
        <w:rPr>
          <w:rFonts w:ascii="Verdana" w:hAnsi="Verdana"/>
          <w:spacing w:val="-12"/>
          <w:sz w:val="16"/>
          <w:szCs w:val="16"/>
          <w:lang w:val="es-MX"/>
        </w:rPr>
        <w:t xml:space="preserve"> a </w:t>
      </w:r>
      <w:r w:rsidRPr="001F0A42">
        <w:rPr>
          <w:rFonts w:ascii="Verdana" w:hAnsi="Verdana"/>
          <w:spacing w:val="-12"/>
          <w:sz w:val="16"/>
          <w:szCs w:val="16"/>
          <w:lang w:val="es-MX"/>
        </w:rPr>
        <w:t>618)</w:t>
      </w:r>
      <w:r>
        <w:rPr>
          <w:rFonts w:ascii="Verdana" w:hAnsi="Verdana"/>
          <w:spacing w:val="-12"/>
          <w:sz w:val="16"/>
          <w:szCs w:val="16"/>
          <w:lang w:val="es-MX"/>
        </w:rPr>
        <w:t>.</w:t>
      </w:r>
    </w:p>
  </w:footnote>
  <w:footnote w:id="126">
    <w:p w14:paraId="619C7BB9" w14:textId="629D9279"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Pr>
          <w:rFonts w:ascii="Verdana" w:hAnsi="Verdana"/>
          <w:i/>
          <w:iCs/>
          <w:spacing w:val="-12"/>
          <w:sz w:val="16"/>
          <w:szCs w:val="16"/>
          <w:lang w:val="es-CR"/>
        </w:rPr>
        <w:t xml:space="preserve">Cfr. </w:t>
      </w:r>
      <w:r>
        <w:rPr>
          <w:rFonts w:ascii="Verdana" w:hAnsi="Verdana"/>
          <w:spacing w:val="-12"/>
          <w:sz w:val="16"/>
          <w:szCs w:val="16"/>
          <w:lang w:val="es-CR"/>
        </w:rPr>
        <w:t xml:space="preserve">Escrito presentado por la señora Acosta ante la Comisión de Régimen Disciplinario de la Corte Suprema de Justicia, expediente Queja 362 - 2002, 13 de mayo de 2002. (expediente de </w:t>
      </w:r>
      <w:r w:rsidRPr="001F0A42">
        <w:rPr>
          <w:rFonts w:ascii="Verdana" w:hAnsi="Verdana"/>
          <w:spacing w:val="-12"/>
          <w:sz w:val="16"/>
          <w:szCs w:val="16"/>
          <w:lang w:val="es-CR"/>
        </w:rPr>
        <w:t>prueba</w:t>
      </w:r>
      <w:r>
        <w:rPr>
          <w:rFonts w:ascii="Verdana" w:hAnsi="Verdana"/>
          <w:spacing w:val="-12"/>
          <w:sz w:val="16"/>
          <w:szCs w:val="16"/>
          <w:lang w:val="es-CR"/>
        </w:rPr>
        <w:t xml:space="preserve">, folio </w:t>
      </w:r>
      <w:r w:rsidRPr="001F0A42">
        <w:rPr>
          <w:rFonts w:ascii="Verdana" w:hAnsi="Verdana"/>
          <w:spacing w:val="-12"/>
          <w:sz w:val="16"/>
          <w:szCs w:val="16"/>
          <w:lang w:val="es-CR"/>
        </w:rPr>
        <w:t>138</w:t>
      </w:r>
      <w:r>
        <w:rPr>
          <w:rFonts w:ascii="Verdana" w:hAnsi="Verdana"/>
          <w:spacing w:val="-12"/>
          <w:sz w:val="16"/>
          <w:szCs w:val="16"/>
          <w:lang w:val="es-CR"/>
        </w:rPr>
        <w:t xml:space="preserve">8); y artículo periodístico publicado en el diario “La Prensa” el 12 de mayo de 2002, titulado “Juez Acuña llamado por la Comisión Disciplinaria de la CSJ” (expediente de </w:t>
      </w:r>
      <w:r w:rsidRPr="001F0A42">
        <w:rPr>
          <w:rFonts w:ascii="Verdana" w:hAnsi="Verdana"/>
          <w:spacing w:val="-12"/>
          <w:sz w:val="16"/>
          <w:szCs w:val="16"/>
          <w:lang w:val="es-CR"/>
        </w:rPr>
        <w:t>prueba</w:t>
      </w:r>
      <w:r>
        <w:rPr>
          <w:rFonts w:ascii="Verdana" w:hAnsi="Verdana"/>
          <w:spacing w:val="-12"/>
          <w:sz w:val="16"/>
          <w:szCs w:val="16"/>
          <w:lang w:val="es-CR"/>
        </w:rPr>
        <w:t xml:space="preserve">, folio </w:t>
      </w:r>
      <w:r w:rsidRPr="001F0A42">
        <w:rPr>
          <w:rFonts w:ascii="Verdana" w:hAnsi="Verdana"/>
          <w:spacing w:val="-12"/>
          <w:sz w:val="16"/>
          <w:szCs w:val="16"/>
          <w:lang w:val="es-CR"/>
        </w:rPr>
        <w:t>138</w:t>
      </w:r>
      <w:r>
        <w:rPr>
          <w:rFonts w:ascii="Verdana" w:hAnsi="Verdana"/>
          <w:spacing w:val="-12"/>
          <w:sz w:val="16"/>
          <w:szCs w:val="16"/>
          <w:lang w:val="es-CR"/>
        </w:rPr>
        <w:t>9).</w:t>
      </w:r>
    </w:p>
  </w:footnote>
  <w:footnote w:id="127">
    <w:p w14:paraId="4B434258" w14:textId="17A134DA"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de queja presentado por la señora Acosta ante la Comisión de Régimen Disciplinario de la Corte Suprema de Justicia, 4 de octubre de 2002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62</w:t>
      </w:r>
      <w:r>
        <w:rPr>
          <w:rFonts w:ascii="Verdana" w:hAnsi="Verdana"/>
          <w:spacing w:val="-12"/>
          <w:sz w:val="16"/>
          <w:szCs w:val="16"/>
          <w:lang w:val="es-MX"/>
        </w:rPr>
        <w:t xml:space="preserve">0 y </w:t>
      </w:r>
      <w:r w:rsidRPr="001F0A42">
        <w:rPr>
          <w:rFonts w:ascii="Verdana" w:hAnsi="Verdana"/>
          <w:spacing w:val="-12"/>
          <w:sz w:val="16"/>
          <w:szCs w:val="16"/>
          <w:lang w:val="es-MX"/>
        </w:rPr>
        <w:t>62</w:t>
      </w:r>
      <w:r>
        <w:rPr>
          <w:rFonts w:ascii="Verdana" w:hAnsi="Verdana"/>
          <w:spacing w:val="-12"/>
          <w:sz w:val="16"/>
          <w:szCs w:val="16"/>
          <w:lang w:val="es-MX"/>
        </w:rPr>
        <w:t>1</w:t>
      </w:r>
      <w:r w:rsidRPr="001F0A42">
        <w:rPr>
          <w:rFonts w:ascii="Verdana" w:hAnsi="Verdana"/>
          <w:spacing w:val="-12"/>
          <w:sz w:val="16"/>
          <w:szCs w:val="16"/>
          <w:lang w:val="es-MX"/>
        </w:rPr>
        <w:t>)</w:t>
      </w:r>
      <w:r>
        <w:rPr>
          <w:rFonts w:ascii="Verdana" w:hAnsi="Verdana"/>
          <w:spacing w:val="-12"/>
          <w:sz w:val="16"/>
          <w:szCs w:val="16"/>
          <w:lang w:val="es-MX"/>
        </w:rPr>
        <w:t>.</w:t>
      </w:r>
    </w:p>
  </w:footnote>
  <w:footnote w:id="128">
    <w:p w14:paraId="6E551783" w14:textId="1E7544C5"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de queja presentado por la señora Acosta ante la Comisión de Régimen Disciplinario de la Corte Suprema de Justicia, 31 de octubre de 2003 (expediente de prueba</w:t>
      </w:r>
      <w:r>
        <w:rPr>
          <w:rFonts w:ascii="Verdana" w:hAnsi="Verdana"/>
          <w:spacing w:val="-12"/>
          <w:sz w:val="16"/>
          <w:szCs w:val="16"/>
          <w:lang w:val="es-MX"/>
        </w:rPr>
        <w:t>, folios 630 a 635</w:t>
      </w:r>
      <w:r w:rsidRPr="001F0A42">
        <w:rPr>
          <w:rFonts w:ascii="Verdana" w:hAnsi="Verdana"/>
          <w:spacing w:val="-12"/>
          <w:sz w:val="16"/>
          <w:szCs w:val="16"/>
          <w:lang w:val="es-MX"/>
        </w:rPr>
        <w:t>).</w:t>
      </w:r>
    </w:p>
  </w:footnote>
  <w:footnote w:id="129">
    <w:p w14:paraId="5173EBDC" w14:textId="13DC0E8A"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de queja presentado por la señora Acosta ante la Comisión de Régimen Disciplinario de la Corte Suprema de Justicia, 4 de abril de 2003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623)</w:t>
      </w:r>
      <w:r>
        <w:rPr>
          <w:rFonts w:ascii="Verdana" w:hAnsi="Verdana"/>
          <w:spacing w:val="-12"/>
          <w:sz w:val="16"/>
          <w:szCs w:val="16"/>
          <w:lang w:val="es-MX"/>
        </w:rPr>
        <w:t>.</w:t>
      </w:r>
    </w:p>
  </w:footnote>
  <w:footnote w:id="130">
    <w:p w14:paraId="672C26B8" w14:textId="30FA7F74"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Resolución Final de 6 de octubre de 2003 de la Procuraduría para la Defensa de los Derechos Humanos, Expediente No. 154-2003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637</w:t>
      </w:r>
      <w:r>
        <w:rPr>
          <w:rFonts w:ascii="Verdana" w:hAnsi="Verdana"/>
          <w:spacing w:val="-12"/>
          <w:sz w:val="16"/>
          <w:szCs w:val="16"/>
          <w:lang w:val="es-MX"/>
        </w:rPr>
        <w:t xml:space="preserve"> a </w:t>
      </w:r>
      <w:r w:rsidRPr="001F0A42">
        <w:rPr>
          <w:rFonts w:ascii="Verdana" w:hAnsi="Verdana"/>
          <w:spacing w:val="-12"/>
          <w:sz w:val="16"/>
          <w:szCs w:val="16"/>
          <w:lang w:val="es-MX"/>
        </w:rPr>
        <w:t>640).</w:t>
      </w:r>
    </w:p>
  </w:footnote>
  <w:footnote w:id="131">
    <w:p w14:paraId="23D64BD8" w14:textId="15134F5F"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de queja presentado por la señora Acosta ante la Comisión de Régimen Disciplinario de la Corte Suprema de Justicia, 13 de junio de 2003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625</w:t>
      </w:r>
      <w:r>
        <w:rPr>
          <w:rFonts w:ascii="Verdana" w:hAnsi="Verdana"/>
          <w:spacing w:val="-12"/>
          <w:sz w:val="16"/>
          <w:szCs w:val="16"/>
          <w:lang w:val="es-MX"/>
        </w:rPr>
        <w:t xml:space="preserve"> a </w:t>
      </w:r>
      <w:r w:rsidRPr="001F0A42">
        <w:rPr>
          <w:rFonts w:ascii="Verdana" w:hAnsi="Verdana"/>
          <w:spacing w:val="-12"/>
          <w:sz w:val="16"/>
          <w:szCs w:val="16"/>
          <w:lang w:val="es-MX"/>
        </w:rPr>
        <w:t>628).</w:t>
      </w:r>
    </w:p>
  </w:footnote>
  <w:footnote w:id="132">
    <w:p w14:paraId="6F285FA1" w14:textId="31FFF4F0"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Escrito de queja presentado por la señora Acosta ante la Comisión de Régimen Disciplinario de la Corte Suprema de Justicia, 31 de octubre de 2003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630</w:t>
      </w:r>
      <w:r>
        <w:rPr>
          <w:rFonts w:ascii="Verdana" w:hAnsi="Verdana"/>
          <w:spacing w:val="-12"/>
          <w:sz w:val="16"/>
          <w:szCs w:val="16"/>
          <w:lang w:val="es-MX"/>
        </w:rPr>
        <w:t xml:space="preserve"> a </w:t>
      </w:r>
      <w:r w:rsidRPr="001F0A42">
        <w:rPr>
          <w:rFonts w:ascii="Verdana" w:hAnsi="Verdana"/>
          <w:spacing w:val="-12"/>
          <w:sz w:val="16"/>
          <w:szCs w:val="16"/>
          <w:lang w:val="es-MX"/>
        </w:rPr>
        <w:t>635).</w:t>
      </w:r>
    </w:p>
  </w:footnote>
  <w:footnote w:id="133">
    <w:p w14:paraId="7AE98C3C" w14:textId="7CC2A38D"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Resolución de la Procuraduría para la Defensa de los Derechos Humanos, expediente 154-2003, 6 de octubre de 2003 (expediente de prueba</w:t>
      </w:r>
      <w:r>
        <w:rPr>
          <w:rFonts w:ascii="Verdana" w:hAnsi="Verdana"/>
          <w:spacing w:val="-12"/>
          <w:sz w:val="16"/>
          <w:szCs w:val="16"/>
          <w:lang w:val="es-MX"/>
        </w:rPr>
        <w:t>, folios</w:t>
      </w:r>
      <w:r w:rsidRPr="001F0A42">
        <w:rPr>
          <w:rFonts w:ascii="Verdana" w:hAnsi="Verdana"/>
          <w:spacing w:val="-12"/>
          <w:sz w:val="16"/>
          <w:szCs w:val="16"/>
          <w:lang w:val="es-MX"/>
        </w:rPr>
        <w:t xml:space="preserve"> 637</w:t>
      </w:r>
      <w:r>
        <w:rPr>
          <w:rFonts w:ascii="Verdana" w:hAnsi="Verdana"/>
          <w:spacing w:val="-12"/>
          <w:sz w:val="16"/>
          <w:szCs w:val="16"/>
          <w:lang w:val="es-MX"/>
        </w:rPr>
        <w:t xml:space="preserve"> a </w:t>
      </w:r>
      <w:r w:rsidRPr="001F0A42">
        <w:rPr>
          <w:rFonts w:ascii="Verdana" w:hAnsi="Verdana"/>
          <w:spacing w:val="-12"/>
          <w:sz w:val="16"/>
          <w:szCs w:val="16"/>
          <w:lang w:val="es-MX"/>
        </w:rPr>
        <w:t>640)</w:t>
      </w:r>
    </w:p>
  </w:footnote>
  <w:footnote w:id="134">
    <w:p w14:paraId="6CB5D799" w14:textId="52095F18"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sidRPr="001F0A42">
        <w:rPr>
          <w:rFonts w:ascii="Verdana" w:hAnsi="Verdana"/>
          <w:spacing w:val="-12"/>
          <w:sz w:val="16"/>
          <w:szCs w:val="16"/>
          <w:lang w:val="es-MX"/>
        </w:rPr>
        <w:t>Resolución de la Procuraduría para la Defensa de los Derechos Humanos de 10 de junio de 2004, Informe Final de Seguimiento Expediente No. 154-2003 (expediente de prueba</w:t>
      </w:r>
      <w:r>
        <w:rPr>
          <w:rFonts w:ascii="Verdana" w:hAnsi="Verdana"/>
          <w:spacing w:val="-12"/>
          <w:sz w:val="16"/>
          <w:szCs w:val="16"/>
          <w:lang w:val="es-MX"/>
        </w:rPr>
        <w:t>, folio</w:t>
      </w:r>
      <w:r w:rsidRPr="001F0A42">
        <w:rPr>
          <w:rFonts w:ascii="Verdana" w:hAnsi="Verdana"/>
          <w:spacing w:val="-12"/>
          <w:sz w:val="16"/>
          <w:szCs w:val="16"/>
          <w:lang w:val="es-MX"/>
        </w:rPr>
        <w:t xml:space="preserve"> 642)</w:t>
      </w:r>
      <w:r>
        <w:rPr>
          <w:rFonts w:ascii="Verdana" w:hAnsi="Verdana"/>
          <w:spacing w:val="-12"/>
          <w:sz w:val="16"/>
          <w:szCs w:val="16"/>
          <w:lang w:val="es-MX"/>
        </w:rPr>
        <w:t>.</w:t>
      </w:r>
    </w:p>
  </w:footnote>
  <w:footnote w:id="135">
    <w:p w14:paraId="171D07E3" w14:textId="6D1DE0BE"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Pr>
          <w:rFonts w:ascii="Verdana" w:hAnsi="Verdana"/>
          <w:spacing w:val="-12"/>
          <w:sz w:val="16"/>
          <w:szCs w:val="16"/>
          <w:lang w:val="es-MX"/>
        </w:rPr>
        <w:t>Cédula de notificación de la Dirección General de Inspectoría Judicial de la Corte Suprema de Justicia, de las 4:15 del 28 de septiembre de 2016 (expediente de fondo, folio 780.2)</w:t>
      </w:r>
      <w:r w:rsidRPr="001F0A42">
        <w:rPr>
          <w:rFonts w:ascii="Verdana" w:hAnsi="Verdana"/>
          <w:spacing w:val="-12"/>
          <w:sz w:val="16"/>
          <w:szCs w:val="16"/>
          <w:lang w:val="es-MX"/>
        </w:rPr>
        <w:t>.</w:t>
      </w:r>
    </w:p>
  </w:footnote>
  <w:footnote w:id="136">
    <w:p w14:paraId="4FC45A51" w14:textId="6E1F84C3"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Pr>
          <w:rFonts w:ascii="Verdana" w:hAnsi="Verdana"/>
          <w:i/>
          <w:iCs/>
          <w:spacing w:val="-12"/>
          <w:sz w:val="16"/>
          <w:szCs w:val="16"/>
          <w:lang w:val="es-MX"/>
        </w:rPr>
        <w:t xml:space="preserve">Cfr. </w:t>
      </w:r>
      <w:r>
        <w:rPr>
          <w:rFonts w:ascii="Verdana" w:hAnsi="Verdana"/>
          <w:spacing w:val="-12"/>
          <w:sz w:val="16"/>
          <w:szCs w:val="16"/>
          <w:lang w:val="es-MX"/>
        </w:rPr>
        <w:t>Cédula de notificación de la Dirección General de Inspectoría Judicial de la Corte Suprema de Justicia, de las 4:20 del 28 de septiembre de 2016 (expediente de fondo, folio 780.3)</w:t>
      </w:r>
      <w:r w:rsidRPr="001F0A42">
        <w:rPr>
          <w:rFonts w:ascii="Verdana" w:hAnsi="Verdana"/>
          <w:spacing w:val="-12"/>
          <w:sz w:val="16"/>
          <w:szCs w:val="16"/>
          <w:lang w:val="es-MX"/>
        </w:rPr>
        <w:t>.</w:t>
      </w:r>
    </w:p>
  </w:footnote>
  <w:footnote w:id="137">
    <w:p w14:paraId="3DE5AF6D" w14:textId="77777777" w:rsidR="00D93B58" w:rsidRPr="00B12A37" w:rsidRDefault="00D93B58" w:rsidP="00C10D2F">
      <w:pPr>
        <w:pStyle w:val="Textonotapie"/>
        <w:spacing w:before="120" w:after="120"/>
        <w:jc w:val="both"/>
        <w:rPr>
          <w:rFonts w:ascii="Verdana" w:hAnsi="Verdana"/>
          <w:sz w:val="16"/>
          <w:szCs w:val="16"/>
          <w:lang w:val="es-MX"/>
        </w:rPr>
      </w:pPr>
      <w:r w:rsidRPr="00B12A37">
        <w:rPr>
          <w:rStyle w:val="Refdenotaalpie"/>
          <w:rFonts w:ascii="Verdana" w:hAnsi="Verdana"/>
          <w:sz w:val="16"/>
          <w:szCs w:val="16"/>
          <w:lang w:val="es-MX"/>
        </w:rPr>
        <w:footnoteRef/>
      </w:r>
      <w:r w:rsidRPr="00B12A37">
        <w:rPr>
          <w:rFonts w:ascii="Verdana" w:hAnsi="Verdana"/>
          <w:sz w:val="16"/>
          <w:szCs w:val="16"/>
          <w:lang w:val="es-MX"/>
        </w:rPr>
        <w:t xml:space="preserve"> </w:t>
      </w:r>
      <w:r w:rsidRPr="00B12A37">
        <w:rPr>
          <w:rFonts w:ascii="Verdana" w:hAnsi="Verdana"/>
          <w:spacing w:val="-12"/>
          <w:sz w:val="16"/>
          <w:szCs w:val="16"/>
          <w:lang w:val="es-MX"/>
        </w:rPr>
        <w:tab/>
        <w:t>El artículo 1.1 de la Convención dice: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38">
    <w:p w14:paraId="5AFD0A8A" w14:textId="77777777" w:rsidR="00D93B58" w:rsidRPr="001F0A42" w:rsidRDefault="00D93B58" w:rsidP="00C10D2F">
      <w:pPr>
        <w:pStyle w:val="NormalWeb"/>
        <w:spacing w:before="120" w:beforeAutospacing="0" w:after="120" w:afterAutospacing="0"/>
        <w:ind w:right="74"/>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t>El artículo 8 de la Convención señala: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Toda persona inculpada de delito tiene derecho a que se presuma su inocencia mientras no se establezca legalmente su culpabilidad.  Durante el proceso, toda persona tiene derecho, en plena igualdad, a las siguientes garantías mínimas: a) derecho del inculpado de ser asistido gratuitamente por el traductor o intérprete, si no comprende o no habla el idioma del juzgado o tribunal; b) comunicación previa y detallada al inculpado de la acusación formulada; c) concesión al inculpado del tiempo y de los medios adecuados para la preparación de su defensa; d) derecho del inculpado de defenderse personalmente o de ser asistido por un defensor de su elección y de comunicarse libre y privadamente con su defensor; e) derecho irrenunciable de ser asistido por un defensor proporcionado por el Estado, remunerado o no según la legislación interna, si el inculpado no se defendiere por sí mismo ni nombrare defensor dentro del plazo establecido por la ley; f) derecho de la defensa de interrogar a los testigos presentes en el tribunal y de obtener la comparecencia, como testigos o peritos, de otras personas que puedan arrojar luz sobre los hechos; g) derecho a no ser obligado a declarar contra sí mismo ni a declararse culpable, y h) derecho de recurrir del fallo ante juez o tribunal superior. 3. La confesión del inculpado solamente es válida si es hecha sin coacción de ninguna naturaleza. 4. El inculpado absuelto por una sentencia firme no podrá ser sometido a nuevo juicio por los mismos hechos. 5. El proceso penal debe ser público, salvo en lo que sea necesario para preservar los intereses de la justicia”.</w:t>
      </w:r>
    </w:p>
  </w:footnote>
  <w:footnote w:id="139">
    <w:p w14:paraId="388A4492" w14:textId="77777777" w:rsidR="00D93B58" w:rsidRPr="001F0A42" w:rsidRDefault="00D93B58" w:rsidP="00C10D2F">
      <w:pPr>
        <w:pStyle w:val="NormalWeb"/>
        <w:spacing w:before="120" w:beforeAutospacing="0" w:after="120" w:afterAutospacing="0"/>
        <w:ind w:right="74"/>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t>El artículo 25 de la Convención expresa: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footnote>
  <w:footnote w:id="140">
    <w:p w14:paraId="0970504E" w14:textId="581E9572" w:rsidR="00D93B58" w:rsidRPr="001F0A42" w:rsidRDefault="00D93B58" w:rsidP="00D15FA3">
      <w:pPr>
        <w:spacing w:before="120" w:after="120" w:line="240" w:lineRule="auto"/>
        <w:ind w:right="6"/>
        <w:contextualSpacing/>
        <w:jc w:val="both"/>
        <w:rPr>
          <w:rFonts w:ascii="Verdana" w:hAnsi="Verdana"/>
          <w:i/>
          <w:spacing w:val="-12"/>
          <w:sz w:val="16"/>
          <w:szCs w:val="16"/>
          <w:lang w:val="es-GT"/>
        </w:rPr>
      </w:pPr>
      <w:r w:rsidRPr="001F0A42">
        <w:rPr>
          <w:rStyle w:val="Refdenotaalpie"/>
          <w:rFonts w:ascii="Verdana" w:hAnsi="Verdana"/>
          <w:spacing w:val="-12"/>
          <w:sz w:val="16"/>
          <w:szCs w:val="16"/>
        </w:rPr>
        <w:footnoteRef/>
      </w:r>
      <w:r w:rsidRPr="001F0A42">
        <w:rPr>
          <w:rFonts w:ascii="Verdana" w:hAnsi="Verdana"/>
          <w:spacing w:val="-12"/>
          <w:sz w:val="16"/>
          <w:szCs w:val="16"/>
          <w:lang w:val="es-ES"/>
        </w:rPr>
        <w:t xml:space="preserve"> </w:t>
      </w:r>
      <w:r w:rsidRPr="001F0A42">
        <w:rPr>
          <w:rFonts w:ascii="Verdana" w:hAnsi="Verdana"/>
          <w:spacing w:val="-12"/>
          <w:sz w:val="16"/>
          <w:szCs w:val="16"/>
          <w:lang w:val="es-ES"/>
        </w:rPr>
        <w:tab/>
      </w:r>
      <w:r w:rsidRPr="001F0A42">
        <w:rPr>
          <w:rFonts w:ascii="Verdana" w:hAnsi="Verdana"/>
          <w:i/>
          <w:spacing w:val="-12"/>
          <w:sz w:val="16"/>
          <w:szCs w:val="16"/>
          <w:lang w:val="es-GT"/>
        </w:rPr>
        <w:t>Cfr.</w:t>
      </w:r>
      <w:r w:rsidRPr="001F0A42">
        <w:rPr>
          <w:rFonts w:ascii="Verdana" w:hAnsi="Verdana"/>
          <w:spacing w:val="-12"/>
          <w:sz w:val="16"/>
          <w:szCs w:val="16"/>
          <w:lang w:val="es-GT"/>
        </w:rPr>
        <w:t xml:space="preserve"> </w:t>
      </w:r>
      <w:r w:rsidRPr="001F0A42">
        <w:rPr>
          <w:rFonts w:ascii="Verdana" w:hAnsi="Verdana"/>
          <w:i/>
          <w:spacing w:val="-12"/>
          <w:sz w:val="16"/>
          <w:szCs w:val="16"/>
        </w:rPr>
        <w:t xml:space="preserve">Caso Fairén Garbi y Solís Corrales Vs. Honduras. Excepciones Preliminares. </w:t>
      </w:r>
      <w:r w:rsidRPr="00A03FFA">
        <w:rPr>
          <w:rFonts w:ascii="Verdana" w:hAnsi="Verdana"/>
          <w:spacing w:val="-12"/>
          <w:sz w:val="16"/>
          <w:szCs w:val="16"/>
        </w:rPr>
        <w:t>Sentencia de 26 de junio de 1987. Serie C No. 2, párr. 90 y</w:t>
      </w:r>
      <w:r w:rsidRPr="00A03FFA">
        <w:rPr>
          <w:rFonts w:ascii="Verdana" w:hAnsi="Verdana"/>
          <w:i/>
          <w:spacing w:val="-12"/>
          <w:sz w:val="16"/>
          <w:szCs w:val="16"/>
        </w:rPr>
        <w:t xml:space="preserve"> Caso I.V. Vs. Bolivia. Excepciones Preliminares, Fondo, Reparaciones y Costas. </w:t>
      </w:r>
      <w:r w:rsidRPr="00A03FFA">
        <w:rPr>
          <w:rFonts w:ascii="Verdana" w:hAnsi="Verdana"/>
          <w:spacing w:val="-12"/>
          <w:sz w:val="16"/>
          <w:szCs w:val="16"/>
        </w:rPr>
        <w:t>Sentencia de 30 de noviembre de 2016. Serie C No. 329, párr. 292</w:t>
      </w:r>
      <w:r w:rsidRPr="00A03FFA">
        <w:rPr>
          <w:rFonts w:ascii="Verdana" w:hAnsi="Verdana"/>
          <w:i/>
          <w:spacing w:val="-12"/>
          <w:sz w:val="16"/>
          <w:szCs w:val="16"/>
        </w:rPr>
        <w:t>.</w:t>
      </w:r>
    </w:p>
  </w:footnote>
  <w:footnote w:id="141">
    <w:p w14:paraId="3EEAEE22" w14:textId="3DF93266" w:rsidR="00D93B58" w:rsidRPr="001F0A42" w:rsidRDefault="00D93B58" w:rsidP="00C10D2F">
      <w:pPr>
        <w:widowControl w:val="0"/>
        <w:tabs>
          <w:tab w:val="left" w:pos="720"/>
        </w:tabs>
        <w:autoSpaceDE w:val="0"/>
        <w:autoSpaceDN w:val="0"/>
        <w:adjustRightInd w:val="0"/>
        <w:spacing w:before="120" w:after="120" w:line="240" w:lineRule="auto"/>
        <w:ind w:right="6"/>
        <w:jc w:val="both"/>
        <w:rPr>
          <w:rFonts w:ascii="Verdana" w:hAnsi="Verdana" w:cs="Verdana"/>
          <w:spacing w:val="-12"/>
          <w:sz w:val="16"/>
          <w:szCs w:val="16"/>
          <w:lang w:val="es-ES"/>
        </w:rPr>
      </w:pPr>
      <w:r w:rsidRPr="001F0A42">
        <w:rPr>
          <w:rStyle w:val="Refdenotaalpie"/>
          <w:rFonts w:ascii="Verdana" w:hAnsi="Verdana"/>
          <w:spacing w:val="-12"/>
          <w:sz w:val="16"/>
          <w:szCs w:val="16"/>
        </w:rPr>
        <w:footnoteRef/>
      </w:r>
      <w:r w:rsidRPr="001F0A42">
        <w:rPr>
          <w:rFonts w:ascii="Verdana" w:hAnsi="Verdana"/>
          <w:spacing w:val="-12"/>
          <w:sz w:val="16"/>
          <w:szCs w:val="16"/>
          <w:lang w:val="es-GT"/>
        </w:rPr>
        <w:t xml:space="preserve"> </w:t>
      </w:r>
      <w:r w:rsidRPr="001F0A42">
        <w:rPr>
          <w:rFonts w:ascii="Verdana" w:hAnsi="Verdana"/>
          <w:spacing w:val="-12"/>
          <w:sz w:val="16"/>
          <w:szCs w:val="16"/>
          <w:lang w:val="es-GT"/>
        </w:rPr>
        <w:tab/>
      </w:r>
      <w:r w:rsidRPr="001F0A42">
        <w:rPr>
          <w:rFonts w:ascii="Verdana" w:hAnsi="Verdana"/>
          <w:i/>
          <w:spacing w:val="-12"/>
          <w:sz w:val="16"/>
          <w:szCs w:val="16"/>
          <w:lang w:val="es-GT"/>
        </w:rPr>
        <w:t xml:space="preserve">Cfr. </w:t>
      </w:r>
      <w:r w:rsidRPr="001F0A42">
        <w:rPr>
          <w:rFonts w:ascii="Verdana" w:hAnsi="Verdana"/>
          <w:i/>
          <w:spacing w:val="-12"/>
          <w:sz w:val="16"/>
          <w:szCs w:val="16"/>
        </w:rPr>
        <w:t>Caso Velásquez Rodríguez. Fondo</w:t>
      </w:r>
      <w:r w:rsidRPr="001F0A42">
        <w:rPr>
          <w:rFonts w:ascii="Verdana" w:hAnsi="Verdana"/>
          <w:spacing w:val="-12"/>
          <w:sz w:val="16"/>
          <w:szCs w:val="16"/>
        </w:rPr>
        <w:t xml:space="preserve">, </w:t>
      </w:r>
      <w:r w:rsidRPr="001F0A42">
        <w:rPr>
          <w:rFonts w:ascii="Verdana" w:hAnsi="Verdana"/>
          <w:i/>
          <w:spacing w:val="-12"/>
          <w:sz w:val="16"/>
          <w:szCs w:val="16"/>
        </w:rPr>
        <w:t>supra</w:t>
      </w:r>
      <w:r>
        <w:rPr>
          <w:rFonts w:ascii="Verdana" w:hAnsi="Verdana"/>
          <w:spacing w:val="-12"/>
          <w:sz w:val="16"/>
          <w:szCs w:val="16"/>
        </w:rPr>
        <w:t>, párr. 177;</w:t>
      </w:r>
      <w:r w:rsidRPr="001F0A42">
        <w:rPr>
          <w:rFonts w:ascii="Verdana" w:hAnsi="Verdana"/>
          <w:spacing w:val="-12"/>
          <w:sz w:val="16"/>
          <w:szCs w:val="16"/>
        </w:rPr>
        <w:t xml:space="preserve"> </w:t>
      </w:r>
      <w:r w:rsidRPr="00A03FFA">
        <w:rPr>
          <w:rFonts w:ascii="Verdana" w:hAnsi="Verdana"/>
          <w:spacing w:val="-12"/>
          <w:sz w:val="16"/>
          <w:szCs w:val="16"/>
        </w:rPr>
        <w:t xml:space="preserve">y </w:t>
      </w:r>
      <w:r w:rsidRPr="00A03FFA">
        <w:rPr>
          <w:rFonts w:ascii="Verdana" w:hAnsi="Verdana"/>
          <w:i/>
          <w:spacing w:val="-12"/>
          <w:sz w:val="16"/>
          <w:szCs w:val="16"/>
        </w:rPr>
        <w:t>Caso García y familiares Vs. Guatemala. Fondo Reparaciones y Costas.</w:t>
      </w:r>
      <w:r w:rsidRPr="00A03FFA">
        <w:rPr>
          <w:rFonts w:ascii="Verdana" w:hAnsi="Verdana"/>
          <w:spacing w:val="-12"/>
          <w:sz w:val="16"/>
          <w:szCs w:val="16"/>
        </w:rPr>
        <w:t xml:space="preserve"> Sentencia de 29 noviembre de 2012 Serie C No. 258, párr. 135.</w:t>
      </w:r>
    </w:p>
  </w:footnote>
  <w:footnote w:id="142">
    <w:p w14:paraId="0EE7067F" w14:textId="67DE9FFC"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i/>
          <w:spacing w:val="-12"/>
          <w:sz w:val="16"/>
          <w:szCs w:val="16"/>
          <w:lang w:val="es-ES"/>
        </w:rPr>
        <w:t>Cfr. Caso Gar</w:t>
      </w:r>
      <w:r>
        <w:rPr>
          <w:rFonts w:ascii="Verdana" w:hAnsi="Verdana"/>
          <w:i/>
          <w:spacing w:val="-12"/>
          <w:sz w:val="16"/>
          <w:szCs w:val="16"/>
          <w:lang w:val="es-ES"/>
        </w:rPr>
        <w:t>cía Ibarra y otros vs. Ecuador</w:t>
      </w:r>
      <w:r w:rsidRPr="00190B34">
        <w:rPr>
          <w:rFonts w:ascii="Verdana" w:hAnsi="Verdana"/>
          <w:spacing w:val="-12"/>
          <w:sz w:val="16"/>
          <w:szCs w:val="16"/>
          <w:lang w:val="es-ES"/>
        </w:rPr>
        <w:t xml:space="preserve">. </w:t>
      </w:r>
      <w:r w:rsidRPr="00190B34">
        <w:rPr>
          <w:rFonts w:ascii="Verdana" w:hAnsi="Verdana"/>
          <w:i/>
          <w:spacing w:val="-12"/>
          <w:sz w:val="16"/>
          <w:szCs w:val="16"/>
          <w:lang w:val="es-ES"/>
        </w:rPr>
        <w:t>Excepciones Preliminares, Fondo, Reparaciones y Costas</w:t>
      </w:r>
      <w:r w:rsidRPr="00190B34">
        <w:rPr>
          <w:rFonts w:ascii="Verdana" w:hAnsi="Verdana"/>
          <w:spacing w:val="-12"/>
          <w:sz w:val="16"/>
          <w:szCs w:val="16"/>
          <w:lang w:val="es-ES"/>
        </w:rPr>
        <w:t>. Sentencia de 17 de noviembre de 2015. Serie C No. 306,</w:t>
      </w:r>
      <w:r w:rsidRPr="001F0A42">
        <w:rPr>
          <w:rFonts w:ascii="Verdana" w:hAnsi="Verdana"/>
          <w:i/>
          <w:spacing w:val="-12"/>
          <w:sz w:val="16"/>
          <w:szCs w:val="16"/>
          <w:lang w:val="es-ES"/>
        </w:rPr>
        <w:t xml:space="preserve"> </w:t>
      </w:r>
      <w:r w:rsidRPr="001F0A42">
        <w:rPr>
          <w:rFonts w:ascii="Verdana" w:hAnsi="Verdana"/>
          <w:spacing w:val="-12"/>
          <w:sz w:val="16"/>
          <w:szCs w:val="16"/>
          <w:lang w:val="es-ES"/>
        </w:rPr>
        <w:t>párrs. 156 y 157</w:t>
      </w:r>
      <w:r>
        <w:rPr>
          <w:rFonts w:ascii="Verdana" w:hAnsi="Verdana"/>
          <w:spacing w:val="-12"/>
          <w:sz w:val="16"/>
          <w:szCs w:val="16"/>
          <w:lang w:val="es-ES"/>
        </w:rPr>
        <w:t>.</w:t>
      </w:r>
    </w:p>
  </w:footnote>
  <w:footnote w:id="143">
    <w:p w14:paraId="08A5875E" w14:textId="5EB521CC" w:rsidR="00D93B58" w:rsidRPr="001F0A42" w:rsidRDefault="00D93B58" w:rsidP="00C10D2F">
      <w:pPr>
        <w:pStyle w:val="Textonotapie"/>
        <w:tabs>
          <w:tab w:val="left" w:pos="709"/>
        </w:tabs>
        <w:spacing w:before="120" w:after="120"/>
        <w:jc w:val="both"/>
        <w:rPr>
          <w:rFonts w:ascii="Verdana" w:hAnsi="Verdana"/>
          <w:i/>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i/>
          <w:spacing w:val="-12"/>
          <w:sz w:val="16"/>
          <w:szCs w:val="16"/>
          <w:lang w:val="es-CR"/>
        </w:rPr>
        <w:t xml:space="preserve">Cfr. </w:t>
      </w:r>
      <w:r w:rsidRPr="001F0A42">
        <w:rPr>
          <w:rFonts w:ascii="Verdana" w:hAnsi="Verdana"/>
          <w:i/>
          <w:spacing w:val="-12"/>
          <w:sz w:val="16"/>
          <w:szCs w:val="16"/>
          <w:lang w:val="es-ES"/>
        </w:rPr>
        <w:t xml:space="preserve">Caso Suárez Rosero Vs. Ecuador. Fondo. </w:t>
      </w:r>
      <w:r w:rsidRPr="001F0A42">
        <w:rPr>
          <w:rFonts w:ascii="Verdana" w:hAnsi="Verdana"/>
          <w:spacing w:val="-12"/>
          <w:sz w:val="16"/>
          <w:szCs w:val="16"/>
          <w:lang w:val="es-ES"/>
        </w:rPr>
        <w:t xml:space="preserve">Sentencia de 12 de noviembre de 1997. Serie C No. 35, párr. 37, </w:t>
      </w:r>
      <w:r w:rsidRPr="001F0A42">
        <w:rPr>
          <w:rFonts w:ascii="Verdana" w:hAnsi="Verdana"/>
          <w:spacing w:val="-12"/>
          <w:sz w:val="16"/>
          <w:szCs w:val="16"/>
          <w:lang w:val="es-CR"/>
        </w:rPr>
        <w:t xml:space="preserve">y </w:t>
      </w:r>
      <w:r w:rsidRPr="001F0A42">
        <w:rPr>
          <w:rFonts w:ascii="Verdana" w:hAnsi="Verdana"/>
          <w:i/>
          <w:spacing w:val="-12"/>
          <w:sz w:val="16"/>
          <w:szCs w:val="16"/>
          <w:lang w:val="es-MX"/>
        </w:rPr>
        <w:t xml:space="preserve">Caso Pollo Rivera y otros </w:t>
      </w:r>
      <w:r>
        <w:rPr>
          <w:rFonts w:ascii="Verdana" w:hAnsi="Verdana"/>
          <w:i/>
          <w:spacing w:val="-12"/>
          <w:sz w:val="16"/>
          <w:szCs w:val="16"/>
          <w:lang w:val="es-MX"/>
        </w:rPr>
        <w:t>Vs.</w:t>
      </w:r>
      <w:r w:rsidRPr="001F0A42">
        <w:rPr>
          <w:rFonts w:ascii="Verdana" w:hAnsi="Verdana"/>
          <w:i/>
          <w:spacing w:val="-12"/>
          <w:sz w:val="16"/>
          <w:szCs w:val="16"/>
          <w:lang w:val="es-MX"/>
        </w:rPr>
        <w:t xml:space="preserve"> Perú, supra, </w:t>
      </w:r>
      <w:r w:rsidRPr="001F0A42">
        <w:rPr>
          <w:rFonts w:ascii="Verdana" w:hAnsi="Verdana"/>
          <w:spacing w:val="-12"/>
          <w:sz w:val="16"/>
          <w:szCs w:val="16"/>
          <w:lang w:val="es-MX"/>
        </w:rPr>
        <w:t>párr.</w:t>
      </w:r>
      <w:r>
        <w:rPr>
          <w:rFonts w:ascii="Verdana" w:hAnsi="Verdana"/>
          <w:spacing w:val="-12"/>
          <w:sz w:val="16"/>
          <w:szCs w:val="16"/>
          <w:lang w:val="es-MX"/>
        </w:rPr>
        <w:t xml:space="preserve"> 216</w:t>
      </w:r>
      <w:r w:rsidRPr="001F0A42">
        <w:rPr>
          <w:rFonts w:ascii="Verdana" w:hAnsi="Verdana"/>
          <w:spacing w:val="-12"/>
          <w:sz w:val="16"/>
          <w:szCs w:val="16"/>
          <w:lang w:val="es-CR"/>
        </w:rPr>
        <w:t>.</w:t>
      </w:r>
    </w:p>
  </w:footnote>
  <w:footnote w:id="144">
    <w:p w14:paraId="728A35B2" w14:textId="5115A6C6" w:rsidR="00D93B58" w:rsidRPr="00166EE6"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bCs/>
          <w:i/>
          <w:spacing w:val="-12"/>
          <w:sz w:val="16"/>
          <w:szCs w:val="16"/>
          <w:lang w:val="es-CR"/>
        </w:rPr>
        <w:t>Cfr.</w:t>
      </w:r>
      <w:r w:rsidRPr="001F0A42">
        <w:rPr>
          <w:rFonts w:ascii="Verdana" w:hAnsi="Verdana"/>
          <w:bCs/>
          <w:spacing w:val="-12"/>
          <w:sz w:val="16"/>
          <w:szCs w:val="16"/>
          <w:lang w:val="es-CR"/>
        </w:rPr>
        <w:t xml:space="preserve"> </w:t>
      </w:r>
      <w:r w:rsidRPr="001F0A42">
        <w:rPr>
          <w:rFonts w:ascii="Verdana" w:hAnsi="Verdana"/>
          <w:i/>
          <w:spacing w:val="-12"/>
          <w:sz w:val="16"/>
          <w:szCs w:val="16"/>
          <w:lang w:val="es-CR"/>
        </w:rPr>
        <w:t>Caso Servellón García y otros Vs. Honduras, supra,</w:t>
      </w:r>
      <w:r w:rsidRPr="001F0A42">
        <w:rPr>
          <w:rFonts w:ascii="Verdana" w:hAnsi="Verdana"/>
          <w:spacing w:val="-12"/>
          <w:sz w:val="16"/>
          <w:szCs w:val="16"/>
          <w:lang w:val="es-CR"/>
        </w:rPr>
        <w:t xml:space="preserve"> </w:t>
      </w:r>
      <w:r w:rsidRPr="001F0A42">
        <w:rPr>
          <w:rFonts w:ascii="Verdana" w:hAnsi="Verdana"/>
          <w:bCs/>
          <w:spacing w:val="-12"/>
          <w:sz w:val="16"/>
          <w:szCs w:val="16"/>
          <w:lang w:val="es-CR"/>
        </w:rPr>
        <w:t>párr. 120</w:t>
      </w:r>
      <w:r>
        <w:rPr>
          <w:rFonts w:ascii="Verdana" w:hAnsi="Verdana"/>
          <w:bCs/>
          <w:spacing w:val="-12"/>
          <w:sz w:val="16"/>
          <w:szCs w:val="16"/>
          <w:lang w:val="es-CR"/>
        </w:rPr>
        <w:t xml:space="preserve">, y </w:t>
      </w:r>
      <w:r w:rsidRPr="00A03FFA">
        <w:rPr>
          <w:rFonts w:ascii="Verdana" w:hAnsi="Verdana"/>
          <w:bCs/>
          <w:i/>
          <w:spacing w:val="-12"/>
          <w:sz w:val="16"/>
          <w:szCs w:val="16"/>
          <w:lang w:val="es-CR"/>
        </w:rPr>
        <w:t>Caso García Ibarra Vs. Ecuador</w:t>
      </w:r>
      <w:r>
        <w:rPr>
          <w:rFonts w:ascii="Verdana" w:hAnsi="Verdana"/>
          <w:bCs/>
          <w:spacing w:val="-12"/>
          <w:sz w:val="16"/>
          <w:szCs w:val="16"/>
          <w:lang w:val="es-CR"/>
        </w:rPr>
        <w:t xml:space="preserve">, </w:t>
      </w:r>
      <w:r>
        <w:rPr>
          <w:rFonts w:ascii="Verdana" w:hAnsi="Verdana"/>
          <w:bCs/>
          <w:i/>
          <w:iCs/>
          <w:spacing w:val="-12"/>
          <w:sz w:val="16"/>
          <w:szCs w:val="16"/>
          <w:lang w:val="es-CR"/>
        </w:rPr>
        <w:t>supra</w:t>
      </w:r>
      <w:r>
        <w:rPr>
          <w:rFonts w:ascii="Verdana" w:hAnsi="Verdana"/>
          <w:bCs/>
          <w:spacing w:val="-12"/>
          <w:sz w:val="16"/>
          <w:szCs w:val="16"/>
          <w:lang w:val="es-CR"/>
        </w:rPr>
        <w:t>, párrs. 137 y 138.</w:t>
      </w:r>
    </w:p>
  </w:footnote>
  <w:footnote w:id="145">
    <w:p w14:paraId="69ECD374" w14:textId="16DBC724"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i/>
          <w:iCs/>
          <w:spacing w:val="-12"/>
          <w:sz w:val="16"/>
          <w:szCs w:val="16"/>
          <w:lang w:val="es-CR"/>
        </w:rPr>
        <w:t>Cfr. Caso Juan Humberto Sánchez</w:t>
      </w:r>
      <w:r>
        <w:rPr>
          <w:rFonts w:ascii="Verdana" w:hAnsi="Verdana"/>
          <w:i/>
          <w:iCs/>
          <w:spacing w:val="-12"/>
          <w:sz w:val="16"/>
          <w:szCs w:val="16"/>
          <w:lang w:val="es-CR"/>
        </w:rPr>
        <w:t xml:space="preserve"> vs. Honduras</w:t>
      </w:r>
      <w:r w:rsidRPr="00DD2121">
        <w:rPr>
          <w:rFonts w:ascii="Verdana" w:hAnsi="Verdana"/>
          <w:spacing w:val="-12"/>
          <w:sz w:val="16"/>
          <w:szCs w:val="16"/>
          <w:lang w:val="es-CR"/>
        </w:rPr>
        <w:t>. Excepción Preliminar, Fondo, Reparaciones y Costas. Sentencia de 7 de junio de 2003. Serie C No. 99, p</w:t>
      </w:r>
      <w:r>
        <w:rPr>
          <w:rFonts w:ascii="Verdana" w:hAnsi="Verdana"/>
          <w:spacing w:val="-12"/>
          <w:sz w:val="16"/>
          <w:szCs w:val="16"/>
          <w:lang w:val="es-CR"/>
        </w:rPr>
        <w:t>árr. 127;</w:t>
      </w:r>
      <w:r w:rsidRPr="001F0A42">
        <w:rPr>
          <w:rFonts w:ascii="Verdana" w:hAnsi="Verdana"/>
          <w:spacing w:val="-12"/>
          <w:sz w:val="16"/>
          <w:szCs w:val="16"/>
          <w:lang w:val="es-CR"/>
        </w:rPr>
        <w:t xml:space="preserve"> </w:t>
      </w:r>
      <w:r w:rsidRPr="001F0A42">
        <w:rPr>
          <w:rFonts w:ascii="Verdana" w:hAnsi="Verdana"/>
          <w:i/>
          <w:spacing w:val="-12"/>
          <w:sz w:val="16"/>
          <w:szCs w:val="16"/>
          <w:lang w:val="es-CR"/>
        </w:rPr>
        <w:t>Caso Hermanos Landaeta Mejías y otros vs. Venezuela</w:t>
      </w:r>
      <w:r>
        <w:rPr>
          <w:rFonts w:ascii="Verdana" w:hAnsi="Verdana"/>
          <w:spacing w:val="-12"/>
          <w:sz w:val="16"/>
          <w:szCs w:val="16"/>
          <w:lang w:val="es-CR"/>
        </w:rPr>
        <w:t xml:space="preserve">. </w:t>
      </w:r>
      <w:r w:rsidRPr="00DD2121">
        <w:rPr>
          <w:rFonts w:ascii="Verdana" w:hAnsi="Verdana"/>
          <w:spacing w:val="-12"/>
          <w:sz w:val="16"/>
          <w:szCs w:val="16"/>
          <w:lang w:val="es-CR"/>
        </w:rPr>
        <w:t>Excepciones Preliminares, Fondo, Reparaciones y Costas. Sentencia de 27 de agosto de 2014. Serie C No. 281</w:t>
      </w:r>
      <w:r>
        <w:rPr>
          <w:rFonts w:ascii="Verdana" w:hAnsi="Verdana"/>
          <w:spacing w:val="-12"/>
          <w:sz w:val="16"/>
          <w:szCs w:val="16"/>
          <w:lang w:val="es-CR"/>
        </w:rPr>
        <w:t>,</w:t>
      </w:r>
      <w:r w:rsidRPr="001F0A42">
        <w:rPr>
          <w:rFonts w:ascii="Verdana" w:hAnsi="Verdana"/>
          <w:spacing w:val="-12"/>
          <w:sz w:val="16"/>
          <w:szCs w:val="16"/>
          <w:lang w:val="es-CR"/>
        </w:rPr>
        <w:t xml:space="preserve"> párr. 216; </w:t>
      </w:r>
      <w:r w:rsidRPr="00C24E95">
        <w:rPr>
          <w:rFonts w:ascii="Verdana" w:hAnsi="Verdana"/>
          <w:i/>
          <w:spacing w:val="-12"/>
          <w:sz w:val="16"/>
          <w:szCs w:val="16"/>
          <w:lang w:val="es-CR"/>
        </w:rPr>
        <w:t>Caso C</w:t>
      </w:r>
      <w:r>
        <w:rPr>
          <w:rFonts w:ascii="Verdana" w:hAnsi="Verdana"/>
          <w:i/>
          <w:spacing w:val="-12"/>
          <w:sz w:val="16"/>
          <w:szCs w:val="16"/>
          <w:lang w:val="es-CR"/>
        </w:rPr>
        <w:t>astillo Gonzalez vs. Venezuela</w:t>
      </w:r>
      <w:r w:rsidRPr="00DD2121">
        <w:rPr>
          <w:rFonts w:ascii="Verdana" w:hAnsi="Verdana"/>
          <w:spacing w:val="-12"/>
          <w:sz w:val="16"/>
          <w:szCs w:val="16"/>
          <w:lang w:val="es-CR"/>
        </w:rPr>
        <w:t>. Fondo. Sentencia de 27 de noviembre de 2012. Serie C No. 256</w:t>
      </w:r>
      <w:r>
        <w:rPr>
          <w:rFonts w:ascii="Verdana" w:hAnsi="Verdana"/>
          <w:spacing w:val="-12"/>
          <w:sz w:val="16"/>
          <w:szCs w:val="16"/>
          <w:lang w:val="es-CR"/>
        </w:rPr>
        <w:t>,</w:t>
      </w:r>
      <w:r w:rsidRPr="001F0A42">
        <w:rPr>
          <w:rFonts w:ascii="Verdana" w:hAnsi="Verdana"/>
          <w:spacing w:val="-12"/>
          <w:sz w:val="16"/>
          <w:szCs w:val="16"/>
          <w:lang w:val="es-CR"/>
        </w:rPr>
        <w:t xml:space="preserve"> </w:t>
      </w:r>
      <w:r>
        <w:rPr>
          <w:rFonts w:ascii="Verdana" w:hAnsi="Verdana"/>
          <w:spacing w:val="-12"/>
          <w:sz w:val="16"/>
          <w:szCs w:val="16"/>
          <w:lang w:val="es-CR"/>
        </w:rPr>
        <w:t xml:space="preserve">párr. 152; </w:t>
      </w:r>
      <w:r w:rsidRPr="00C24E95">
        <w:rPr>
          <w:rFonts w:ascii="Verdana" w:hAnsi="Verdana"/>
          <w:i/>
          <w:spacing w:val="-12"/>
          <w:sz w:val="16"/>
          <w:szCs w:val="16"/>
          <w:lang w:val="es-CR"/>
        </w:rPr>
        <w:t>Caso Luna López</w:t>
      </w:r>
      <w:r w:rsidRPr="001F0A42">
        <w:rPr>
          <w:rFonts w:ascii="Verdana" w:hAnsi="Verdana"/>
          <w:spacing w:val="-12"/>
          <w:sz w:val="16"/>
          <w:szCs w:val="16"/>
          <w:lang w:val="es-CR"/>
        </w:rPr>
        <w:t xml:space="preserve"> </w:t>
      </w:r>
      <w:r>
        <w:rPr>
          <w:rFonts w:ascii="Verdana" w:hAnsi="Verdana"/>
          <w:i/>
          <w:iCs/>
          <w:spacing w:val="-12"/>
          <w:sz w:val="16"/>
          <w:szCs w:val="16"/>
          <w:lang w:val="es-CR"/>
        </w:rPr>
        <w:t>vs. Honduras.</w:t>
      </w:r>
      <w:r w:rsidRPr="00DD2121">
        <w:rPr>
          <w:rFonts w:ascii="Verdana" w:hAnsi="Verdana"/>
          <w:i/>
          <w:spacing w:val="-12"/>
          <w:sz w:val="16"/>
          <w:szCs w:val="16"/>
        </w:rPr>
        <w:t xml:space="preserve"> </w:t>
      </w:r>
      <w:r w:rsidRPr="001F0A42">
        <w:rPr>
          <w:rFonts w:ascii="Verdana" w:hAnsi="Verdana"/>
          <w:i/>
          <w:spacing w:val="-12"/>
          <w:sz w:val="16"/>
          <w:szCs w:val="16"/>
        </w:rPr>
        <w:t xml:space="preserve">Fondo, Reparaciones y Costas. </w:t>
      </w:r>
      <w:r w:rsidRPr="001F0A42">
        <w:rPr>
          <w:rFonts w:ascii="Verdana" w:hAnsi="Verdana"/>
          <w:spacing w:val="-12"/>
          <w:sz w:val="16"/>
          <w:szCs w:val="16"/>
        </w:rPr>
        <w:t>Sentencia de 10 de octubre de 2013. Serie C No. 269</w:t>
      </w:r>
      <w:r>
        <w:rPr>
          <w:rFonts w:ascii="Verdana" w:hAnsi="Verdana"/>
          <w:i/>
          <w:iCs/>
          <w:spacing w:val="-12"/>
          <w:sz w:val="16"/>
          <w:szCs w:val="16"/>
          <w:lang w:val="es-CR"/>
        </w:rPr>
        <w:t xml:space="preserve">, </w:t>
      </w:r>
      <w:r>
        <w:rPr>
          <w:rFonts w:ascii="Verdana" w:hAnsi="Verdana"/>
          <w:spacing w:val="-12"/>
          <w:sz w:val="16"/>
          <w:szCs w:val="16"/>
          <w:lang w:val="es-CR"/>
        </w:rPr>
        <w:t>párr. 159;</w:t>
      </w:r>
      <w:r w:rsidRPr="001F0A42">
        <w:rPr>
          <w:rFonts w:ascii="Verdana" w:hAnsi="Verdana"/>
          <w:spacing w:val="-12"/>
          <w:sz w:val="16"/>
          <w:szCs w:val="16"/>
          <w:lang w:val="es-CR"/>
        </w:rPr>
        <w:t xml:space="preserve"> y </w:t>
      </w:r>
      <w:r w:rsidRPr="001F0A42">
        <w:rPr>
          <w:rFonts w:ascii="Verdana" w:hAnsi="Verdana"/>
          <w:i/>
          <w:spacing w:val="-12"/>
          <w:sz w:val="16"/>
          <w:szCs w:val="16"/>
          <w:lang w:val="es-CR"/>
        </w:rPr>
        <w:t>caso</w:t>
      </w:r>
      <w:r w:rsidRPr="001F0A42">
        <w:rPr>
          <w:rFonts w:ascii="Verdana" w:hAnsi="Verdana"/>
          <w:spacing w:val="-12"/>
          <w:sz w:val="16"/>
          <w:szCs w:val="16"/>
          <w:lang w:val="es-CR"/>
        </w:rPr>
        <w:t xml:space="preserve"> </w:t>
      </w:r>
      <w:r w:rsidRPr="001F0A42">
        <w:rPr>
          <w:rFonts w:ascii="Verdana" w:hAnsi="Verdana"/>
          <w:i/>
          <w:spacing w:val="-12"/>
          <w:sz w:val="16"/>
          <w:szCs w:val="16"/>
          <w:lang w:val="es-CR"/>
        </w:rPr>
        <w:t>García Ibarra vs. Ecuador, supra</w:t>
      </w:r>
      <w:r w:rsidRPr="001F0A42">
        <w:rPr>
          <w:rFonts w:ascii="Verdana" w:hAnsi="Verdana"/>
          <w:spacing w:val="-12"/>
          <w:sz w:val="16"/>
          <w:szCs w:val="16"/>
          <w:lang w:val="es-CR"/>
        </w:rPr>
        <w:t xml:space="preserve">, párrs. 137 y 138. </w:t>
      </w:r>
    </w:p>
  </w:footnote>
  <w:footnote w:id="146">
    <w:p w14:paraId="31B8F85C" w14:textId="47D5AAF1"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bCs/>
          <w:i/>
          <w:spacing w:val="-12"/>
          <w:sz w:val="16"/>
          <w:szCs w:val="16"/>
          <w:lang w:val="es-CR"/>
        </w:rPr>
        <w:t>Caso Velásquez Rodríguez</w:t>
      </w:r>
      <w:r>
        <w:rPr>
          <w:rFonts w:ascii="Verdana" w:hAnsi="Verdana"/>
          <w:bCs/>
          <w:i/>
          <w:spacing w:val="-12"/>
          <w:sz w:val="16"/>
          <w:szCs w:val="16"/>
          <w:lang w:val="es-CR"/>
        </w:rPr>
        <w:t xml:space="preserve"> Vs. Honduras</w:t>
      </w:r>
      <w:r w:rsidRPr="001F0A42">
        <w:rPr>
          <w:rFonts w:ascii="Verdana" w:hAnsi="Verdana"/>
          <w:bCs/>
          <w:i/>
          <w:spacing w:val="-12"/>
          <w:sz w:val="16"/>
          <w:szCs w:val="16"/>
          <w:lang w:val="es-CR"/>
        </w:rPr>
        <w:t>, Fondo, supra</w:t>
      </w:r>
      <w:r w:rsidRPr="001F0A42">
        <w:rPr>
          <w:rFonts w:ascii="Verdana" w:hAnsi="Verdana"/>
          <w:i/>
          <w:spacing w:val="-12"/>
          <w:sz w:val="16"/>
          <w:szCs w:val="16"/>
          <w:lang w:val="es-CR"/>
        </w:rPr>
        <w:t xml:space="preserve">, </w:t>
      </w:r>
      <w:r w:rsidRPr="001F0A42">
        <w:rPr>
          <w:rFonts w:ascii="Verdana" w:hAnsi="Verdana"/>
          <w:spacing w:val="-12"/>
          <w:sz w:val="16"/>
          <w:szCs w:val="16"/>
          <w:lang w:val="es-CR"/>
        </w:rPr>
        <w:t xml:space="preserve">párr. 177, y </w:t>
      </w:r>
      <w:r w:rsidRPr="00A03FFA">
        <w:rPr>
          <w:rFonts w:ascii="Verdana" w:hAnsi="Verdana"/>
          <w:i/>
          <w:spacing w:val="-12"/>
          <w:sz w:val="16"/>
          <w:szCs w:val="16"/>
          <w:lang w:val="es-CR"/>
        </w:rPr>
        <w:t>Caso</w:t>
      </w:r>
      <w:r>
        <w:rPr>
          <w:rFonts w:ascii="Verdana" w:hAnsi="Verdana"/>
          <w:spacing w:val="-12"/>
          <w:sz w:val="16"/>
          <w:szCs w:val="16"/>
          <w:lang w:val="es-CR"/>
        </w:rPr>
        <w:t xml:space="preserve"> </w:t>
      </w:r>
      <w:r w:rsidRPr="001F0A42">
        <w:rPr>
          <w:rFonts w:ascii="Verdana" w:hAnsi="Verdana"/>
          <w:i/>
          <w:spacing w:val="-12"/>
          <w:sz w:val="16"/>
          <w:szCs w:val="16"/>
          <w:lang w:val="es-CR"/>
        </w:rPr>
        <w:t>Veliz Franco y otros</w:t>
      </w:r>
      <w:r>
        <w:rPr>
          <w:rFonts w:ascii="Verdana" w:hAnsi="Verdana"/>
          <w:i/>
          <w:spacing w:val="-12"/>
          <w:sz w:val="16"/>
          <w:szCs w:val="16"/>
          <w:lang w:val="es-CR"/>
        </w:rPr>
        <w:t xml:space="preserve"> Vs. Guatemala</w:t>
      </w:r>
      <w:r w:rsidRPr="001F0A42">
        <w:rPr>
          <w:rFonts w:ascii="Verdana" w:hAnsi="Verdana"/>
          <w:i/>
          <w:spacing w:val="-12"/>
          <w:sz w:val="16"/>
          <w:szCs w:val="16"/>
          <w:lang w:val="es-CR"/>
        </w:rPr>
        <w:t>, supra,</w:t>
      </w:r>
      <w:r w:rsidRPr="001F0A42">
        <w:rPr>
          <w:rFonts w:ascii="Verdana" w:hAnsi="Verdana"/>
          <w:spacing w:val="-12"/>
          <w:sz w:val="16"/>
          <w:szCs w:val="16"/>
          <w:lang w:val="es-CR"/>
        </w:rPr>
        <w:t xml:space="preserve"> párr. 183.  </w:t>
      </w:r>
    </w:p>
  </w:footnote>
  <w:footnote w:id="147">
    <w:p w14:paraId="6EA3545C" w14:textId="37642CEB" w:rsidR="00D93B58" w:rsidRPr="001F0A42" w:rsidRDefault="00D93B58" w:rsidP="00C10D2F">
      <w:pPr>
        <w:autoSpaceDE w:val="0"/>
        <w:autoSpaceDN w:val="0"/>
        <w:adjustRightInd w:val="0"/>
        <w:spacing w:before="120" w:after="120" w:line="240" w:lineRule="auto"/>
        <w:jc w:val="both"/>
        <w:rPr>
          <w:rFonts w:ascii="Verdana" w:hAnsi="Verdana" w:cs="Cambri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i/>
          <w:spacing w:val="-12"/>
          <w:sz w:val="16"/>
          <w:szCs w:val="16"/>
          <w:lang w:val="es-CO"/>
        </w:rPr>
        <w:t>Cfr. Caso Luna López Vs. Honduras</w:t>
      </w:r>
      <w:r>
        <w:rPr>
          <w:rFonts w:ascii="Verdana" w:hAnsi="Verdana"/>
          <w:i/>
          <w:spacing w:val="-12"/>
          <w:sz w:val="16"/>
          <w:szCs w:val="16"/>
          <w:lang w:val="es-CO"/>
        </w:rPr>
        <w:t>. supra</w:t>
      </w:r>
      <w:r w:rsidRPr="001F0A42">
        <w:rPr>
          <w:rFonts w:ascii="Verdana" w:hAnsi="Verdana"/>
          <w:spacing w:val="-12"/>
          <w:sz w:val="16"/>
          <w:szCs w:val="16"/>
          <w:lang w:val="es-CO"/>
        </w:rPr>
        <w:t xml:space="preserve">, párr. 122; y </w:t>
      </w:r>
      <w:r w:rsidRPr="001F0A42">
        <w:rPr>
          <w:rFonts w:ascii="Verdana" w:hAnsi="Verdana"/>
          <w:i/>
          <w:spacing w:val="-12"/>
          <w:sz w:val="16"/>
          <w:szCs w:val="16"/>
          <w:lang w:val="es-CO"/>
        </w:rPr>
        <w:t xml:space="preserve">Caso Defensor de Derechos Humanos </w:t>
      </w:r>
      <w:r>
        <w:rPr>
          <w:rFonts w:ascii="Verdana" w:hAnsi="Verdana"/>
          <w:i/>
          <w:spacing w:val="-12"/>
          <w:sz w:val="16"/>
          <w:szCs w:val="16"/>
          <w:lang w:val="es-CO"/>
        </w:rPr>
        <w:t>Vs</w:t>
      </w:r>
      <w:r w:rsidRPr="001F0A42">
        <w:rPr>
          <w:rFonts w:ascii="Verdana" w:hAnsi="Verdana"/>
          <w:i/>
          <w:spacing w:val="-12"/>
          <w:sz w:val="16"/>
          <w:szCs w:val="16"/>
          <w:lang w:val="es-CO"/>
        </w:rPr>
        <w:t xml:space="preserve">. Guatemala, supra, </w:t>
      </w:r>
      <w:r w:rsidRPr="001F0A42">
        <w:rPr>
          <w:rFonts w:ascii="Verdana" w:hAnsi="Verdana"/>
          <w:spacing w:val="-12"/>
          <w:sz w:val="16"/>
          <w:szCs w:val="16"/>
          <w:lang w:val="es-CO"/>
        </w:rPr>
        <w:t>párr. 129.</w:t>
      </w:r>
      <w:r w:rsidRPr="001F0A42">
        <w:rPr>
          <w:rFonts w:ascii="Verdana" w:hAnsi="Verdana"/>
          <w:i/>
          <w:spacing w:val="-12"/>
          <w:sz w:val="16"/>
          <w:szCs w:val="16"/>
          <w:lang w:val="es-CO"/>
        </w:rPr>
        <w:t xml:space="preserve">  </w:t>
      </w:r>
      <w:r w:rsidRPr="001F0A42">
        <w:rPr>
          <w:rFonts w:ascii="Verdana" w:hAnsi="Verdana" w:cs="Cambria"/>
          <w:spacing w:val="-12"/>
          <w:sz w:val="16"/>
          <w:szCs w:val="16"/>
        </w:rPr>
        <w:t xml:space="preserve">De acuerdo con la </w:t>
      </w:r>
      <w:r w:rsidRPr="001F0A42">
        <w:rPr>
          <w:rFonts w:ascii="Verdana" w:hAnsi="Verdana" w:cs="Cambria-Italic"/>
          <w:i/>
          <w:iCs/>
          <w:spacing w:val="-12"/>
          <w:sz w:val="16"/>
          <w:szCs w:val="16"/>
        </w:rPr>
        <w:t xml:space="preserve">Oficina del Alto Comisionado de Naciones Unidas para los Derechos Humanos </w:t>
      </w:r>
      <w:r w:rsidRPr="001F0A42">
        <w:rPr>
          <w:rFonts w:ascii="Verdana" w:hAnsi="Verdana" w:cs="Cambria"/>
          <w:spacing w:val="-12"/>
          <w:sz w:val="16"/>
          <w:szCs w:val="16"/>
        </w:rPr>
        <w:t xml:space="preserve">el criterio identificador de quién debería ser considerado defensor o defensora de derechos humanos es la actividad desarrollada por la persona y no otras calidades. Así: “pueden ser defensores cualesquiera personas o grupo de personas que se esfuercen en promover los derechos humanos, desde organizaciones intergubernamentales asentadas en las mayores ciudades del mundo hasta individuos que trabajan en sus comunidades locales. Los defensores pueden ser de cualquier género, tener distintas edades, proceder de cualquier parte del mundo y tener cualesquiera antecedentes profesionales o de otro tipo. Es importante observar, en particular que los defensores de los derechos humanos no sólo desarrollan su actividad en ONG y organizaciones intergubernamentales, sino que, en algunos casos, también pueden ser empleados del Estado, funcionarios públicos o miembros del sector privado”. Inclusive “no es fundamental que la persona de que se trate sea conocida como “activista de los derechos humanos” o que trabaje en una organización cuyo nombre incluya las palabras “derechos humanos” para que pueda calificarse de defensora”. Ver </w:t>
      </w:r>
      <w:r w:rsidRPr="001F0A42">
        <w:rPr>
          <w:rFonts w:ascii="Verdana" w:hAnsi="Verdana" w:cs="Cambria"/>
          <w:color w:val="000000"/>
          <w:spacing w:val="-12"/>
          <w:sz w:val="16"/>
          <w:szCs w:val="16"/>
        </w:rPr>
        <w:t xml:space="preserve">OACNUDH. Folleto informativo No. 29: Los Defensores de Derechos Humanos: Protección del Derecho a Defender los Derechos, Ginebra 2004. Pág. 7. Disponible en: </w:t>
      </w:r>
      <w:hyperlink r:id="rId10" w:history="1">
        <w:r w:rsidRPr="001F0A42">
          <w:rPr>
            <w:rStyle w:val="Hipervnculo"/>
            <w:rFonts w:ascii="Verdana" w:hAnsi="Verdana" w:cs="Cambria"/>
            <w:spacing w:val="-12"/>
            <w:sz w:val="16"/>
            <w:szCs w:val="16"/>
          </w:rPr>
          <w:t>http://www.ohchr.org/Documents/Publications/FactSheet29sp.pdf</w:t>
        </w:r>
      </w:hyperlink>
      <w:r w:rsidRPr="001F0A42">
        <w:rPr>
          <w:rFonts w:ascii="Verdana" w:hAnsi="Verdana" w:cs="Cambria"/>
          <w:spacing w:val="-12"/>
          <w:sz w:val="16"/>
          <w:szCs w:val="16"/>
        </w:rPr>
        <w:t xml:space="preserve"> ). Ver también CIDH, Segundo Informe sobre la Situación de las Defensoras y Defensores de Derechos Humanos, 31 de diciembre de 2011, párr. 19. Disponible en: </w:t>
      </w:r>
      <w:hyperlink r:id="rId11" w:history="1">
        <w:r w:rsidRPr="001F0A42">
          <w:rPr>
            <w:rStyle w:val="Hipervnculo"/>
            <w:rFonts w:ascii="Verdana" w:hAnsi="Verdana" w:cs="Cambria"/>
            <w:spacing w:val="-12"/>
            <w:sz w:val="16"/>
            <w:szCs w:val="16"/>
          </w:rPr>
          <w:t>http://www.oas.org/es/cidh/defensores/docs/pdf/defensores2011.pdf</w:t>
        </w:r>
      </w:hyperlink>
      <w:r w:rsidRPr="001F0A42">
        <w:rPr>
          <w:rFonts w:ascii="Verdana" w:hAnsi="Verdana" w:cs="Cambria"/>
          <w:spacing w:val="-12"/>
          <w:sz w:val="16"/>
          <w:szCs w:val="16"/>
        </w:rPr>
        <w:t xml:space="preserve"> .</w:t>
      </w:r>
    </w:p>
  </w:footnote>
  <w:footnote w:id="148">
    <w:p w14:paraId="6AF9AF2B" w14:textId="77777777" w:rsidR="00D93B58" w:rsidRPr="001F0A42" w:rsidRDefault="00D93B58" w:rsidP="00C10D2F">
      <w:pPr>
        <w:pStyle w:val="Textonotapie"/>
        <w:spacing w:before="120" w:after="120"/>
        <w:jc w:val="both"/>
        <w:rPr>
          <w:rFonts w:ascii="Verdana" w:hAnsi="Verdana"/>
          <w:spacing w:val="-12"/>
          <w:sz w:val="16"/>
          <w:szCs w:val="16"/>
          <w:lang w:eastAsia="x-none"/>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i/>
          <w:spacing w:val="-12"/>
          <w:sz w:val="16"/>
          <w:szCs w:val="16"/>
        </w:rPr>
        <w:t>Cfr.</w:t>
      </w:r>
      <w:r w:rsidRPr="001F0A42">
        <w:rPr>
          <w:rFonts w:ascii="Verdana" w:hAnsi="Verdana"/>
          <w:spacing w:val="-12"/>
          <w:sz w:val="16"/>
          <w:szCs w:val="16"/>
        </w:rPr>
        <w:t xml:space="preserve"> </w:t>
      </w:r>
      <w:r w:rsidRPr="001F0A42">
        <w:rPr>
          <w:rFonts w:ascii="Verdana" w:eastAsia="Batang" w:hAnsi="Verdana"/>
          <w:iCs/>
          <w:spacing w:val="-12"/>
          <w:sz w:val="16"/>
          <w:szCs w:val="16"/>
        </w:rPr>
        <w:t>CIDH</w:t>
      </w:r>
      <w:r w:rsidRPr="001F0A42">
        <w:rPr>
          <w:rFonts w:ascii="Verdana" w:eastAsia="Batang" w:hAnsi="Verdana"/>
          <w:i/>
          <w:iCs/>
          <w:spacing w:val="-12"/>
          <w:sz w:val="16"/>
          <w:szCs w:val="16"/>
        </w:rPr>
        <w:t xml:space="preserve">, Informe sobre la Situación de las Defensoras y Defensores de Derechos Humanos en las Américas, supra, </w:t>
      </w:r>
      <w:r w:rsidRPr="001F0A42">
        <w:rPr>
          <w:rFonts w:ascii="Verdana" w:eastAsia="Batang" w:hAnsi="Verdana"/>
          <w:iCs/>
          <w:spacing w:val="-12"/>
          <w:sz w:val="16"/>
          <w:szCs w:val="16"/>
        </w:rPr>
        <w:t>párr. 46</w:t>
      </w:r>
      <w:r w:rsidRPr="001F0A42">
        <w:rPr>
          <w:rStyle w:val="apple-style-span"/>
          <w:rFonts w:ascii="Verdana" w:hAnsi="Verdana"/>
          <w:color w:val="000000"/>
          <w:spacing w:val="-12"/>
          <w:sz w:val="16"/>
          <w:szCs w:val="16"/>
        </w:rPr>
        <w:t>.</w:t>
      </w:r>
    </w:p>
  </w:footnote>
  <w:footnote w:id="149">
    <w:p w14:paraId="502514C6" w14:textId="58F98596" w:rsidR="00D93B58" w:rsidRPr="001F0A42" w:rsidRDefault="00D93B58" w:rsidP="00C10D2F">
      <w:pPr>
        <w:autoSpaceDE w:val="0"/>
        <w:autoSpaceDN w:val="0"/>
        <w:adjustRightInd w:val="0"/>
        <w:spacing w:before="120" w:after="120" w:line="240" w:lineRule="auto"/>
        <w:jc w:val="both"/>
        <w:rPr>
          <w:rFonts w:ascii="Verdana" w:hAnsi="Verdana"/>
          <w:spacing w:val="-12"/>
          <w:sz w:val="16"/>
          <w:szCs w:val="16"/>
          <w:lang w:val="es-PR"/>
        </w:rPr>
      </w:pPr>
      <w:r w:rsidRPr="001F0A42">
        <w:rPr>
          <w:rStyle w:val="Refdenotaalpie"/>
          <w:rFonts w:ascii="Verdana" w:eastAsia="MS Gothic" w:hAnsi="Verdana"/>
          <w:spacing w:val="-12"/>
          <w:sz w:val="16"/>
          <w:szCs w:val="16"/>
        </w:rPr>
        <w:footnoteRef/>
      </w:r>
      <w:r w:rsidRPr="001F0A42">
        <w:rPr>
          <w:rFonts w:ascii="Verdana" w:hAnsi="Verdana"/>
          <w:spacing w:val="-12"/>
          <w:sz w:val="16"/>
          <w:szCs w:val="16"/>
          <w:lang w:val="pt-BR"/>
        </w:rPr>
        <w:tab/>
      </w:r>
      <w:r w:rsidRPr="001F0A42">
        <w:rPr>
          <w:rFonts w:ascii="Verdana" w:hAnsi="Verdana"/>
          <w:i/>
          <w:spacing w:val="-12"/>
          <w:sz w:val="16"/>
          <w:szCs w:val="16"/>
          <w:lang w:val="pt-BR"/>
        </w:rPr>
        <w:t>Cfr.</w:t>
      </w:r>
      <w:r w:rsidRPr="001F0A42">
        <w:rPr>
          <w:rFonts w:ascii="Verdana" w:hAnsi="Verdana"/>
          <w:spacing w:val="-12"/>
          <w:sz w:val="16"/>
          <w:szCs w:val="16"/>
          <w:lang w:val="pt-BR"/>
        </w:rPr>
        <w:t xml:space="preserve"> </w:t>
      </w:r>
      <w:r w:rsidRPr="001F0A42">
        <w:rPr>
          <w:rFonts w:ascii="Verdana" w:hAnsi="Verdana"/>
          <w:i/>
          <w:spacing w:val="-12"/>
          <w:sz w:val="16"/>
          <w:szCs w:val="16"/>
          <w:lang w:val="pt-BR"/>
        </w:rPr>
        <w:t xml:space="preserve">Caso Nogueira de Carvalho y otro Vs. Brasil. Excepciones Preliminares y Fondo. </w:t>
      </w:r>
      <w:r w:rsidRPr="001F0A42">
        <w:rPr>
          <w:rFonts w:ascii="Verdana" w:hAnsi="Verdana"/>
          <w:spacing w:val="-12"/>
          <w:sz w:val="16"/>
          <w:szCs w:val="16"/>
          <w:lang w:val="pt-BR"/>
        </w:rPr>
        <w:t xml:space="preserve">Sentencia de 28 de Noviembre de 2006. Serie C No. 161, párr. </w:t>
      </w:r>
      <w:r w:rsidRPr="001F0A42">
        <w:rPr>
          <w:rFonts w:ascii="Verdana" w:hAnsi="Verdana"/>
          <w:spacing w:val="-12"/>
          <w:sz w:val="16"/>
          <w:szCs w:val="16"/>
          <w:lang w:val="es-ES"/>
        </w:rPr>
        <w:t xml:space="preserve">77, y </w:t>
      </w:r>
      <w:r w:rsidRPr="001F0A42">
        <w:rPr>
          <w:rFonts w:ascii="Verdana" w:hAnsi="Verdana"/>
          <w:i/>
          <w:spacing w:val="-12"/>
          <w:sz w:val="16"/>
          <w:szCs w:val="16"/>
          <w:lang w:val="es-CO"/>
        </w:rPr>
        <w:t xml:space="preserve">Caso Defensor de Derechos Humanos vs. Guatemala, </w:t>
      </w:r>
      <w:r w:rsidRPr="001F0A42">
        <w:rPr>
          <w:rFonts w:ascii="Verdana" w:hAnsi="Verdana"/>
          <w:i/>
          <w:spacing w:val="-12"/>
          <w:sz w:val="16"/>
          <w:szCs w:val="16"/>
          <w:lang w:val="es-ES"/>
        </w:rPr>
        <w:t>supra,</w:t>
      </w:r>
      <w:r w:rsidRPr="001F0A42">
        <w:rPr>
          <w:rFonts w:ascii="Verdana" w:hAnsi="Verdana"/>
          <w:spacing w:val="-12"/>
          <w:sz w:val="16"/>
          <w:szCs w:val="16"/>
          <w:lang w:val="es-ES"/>
        </w:rPr>
        <w:t xml:space="preserve"> </w:t>
      </w:r>
      <w:r w:rsidRPr="001F0A42">
        <w:rPr>
          <w:rFonts w:ascii="Verdana" w:hAnsi="Verdana"/>
          <w:spacing w:val="-12"/>
          <w:sz w:val="16"/>
          <w:szCs w:val="16"/>
          <w:lang w:val="es-GT"/>
        </w:rPr>
        <w:t>párr. 129</w:t>
      </w:r>
      <w:r w:rsidRPr="001F0A42">
        <w:rPr>
          <w:rFonts w:ascii="Verdana" w:hAnsi="Verdana"/>
          <w:spacing w:val="-12"/>
          <w:sz w:val="16"/>
          <w:szCs w:val="16"/>
          <w:lang w:val="es-ES"/>
        </w:rPr>
        <w:t xml:space="preserve">. Véase, además,  ONU, </w:t>
      </w:r>
      <w:r w:rsidRPr="001F0A42">
        <w:rPr>
          <w:rFonts w:ascii="Verdana" w:hAnsi="Verdana"/>
          <w:i/>
          <w:spacing w:val="-12"/>
          <w:sz w:val="16"/>
          <w:szCs w:val="16"/>
          <w:lang w:val="es-ES"/>
        </w:rPr>
        <w:t>Declaración sobre el derecho y el deber de los individuos, los grupos y las instituciones de promover y proteger los derechos humanos y las libertades fundamentales universalmente reconocidos</w:t>
      </w:r>
      <w:r w:rsidRPr="001F0A42">
        <w:rPr>
          <w:rFonts w:ascii="Verdana" w:hAnsi="Verdana"/>
          <w:spacing w:val="-12"/>
          <w:sz w:val="16"/>
          <w:szCs w:val="16"/>
          <w:lang w:val="es-ES"/>
        </w:rPr>
        <w:t xml:space="preserve">, </w:t>
      </w:r>
      <w:r w:rsidRPr="001F0A42">
        <w:rPr>
          <w:rFonts w:ascii="Verdana" w:hAnsi="Verdana"/>
          <w:i/>
          <w:spacing w:val="-12"/>
          <w:sz w:val="16"/>
          <w:szCs w:val="16"/>
          <w:lang w:val="es-ES"/>
        </w:rPr>
        <w:t>supra</w:t>
      </w:r>
      <w:r w:rsidRPr="001F0A42">
        <w:rPr>
          <w:rFonts w:ascii="Verdana" w:hAnsi="Verdana"/>
          <w:spacing w:val="-12"/>
          <w:sz w:val="16"/>
          <w:szCs w:val="16"/>
          <w:lang w:val="es-ES"/>
        </w:rPr>
        <w:t>, artículo 12.2; y Resoluciones 1818/01 de 17 de mayo de 2001 y 1842/02 de 4 de junio de 2002 de la Asamblea General de la Organización de Estados Americanos</w:t>
      </w:r>
      <w:r w:rsidRPr="001F0A42">
        <w:rPr>
          <w:rFonts w:ascii="Verdana" w:hAnsi="Verdana"/>
          <w:i/>
          <w:iCs/>
          <w:spacing w:val="-12"/>
          <w:sz w:val="16"/>
          <w:szCs w:val="16"/>
          <w:lang w:val="es-ES"/>
        </w:rPr>
        <w:t>, Defensores de derechos humanos en las Américas: Apoyo a las tareas que desarrollan las personas, grupos y organizaciones de la sociedad civil para la promoción y protección de los derechos humanos en las Américas</w:t>
      </w:r>
      <w:r w:rsidRPr="001F0A42">
        <w:rPr>
          <w:rFonts w:ascii="Verdana" w:hAnsi="Verdana"/>
          <w:spacing w:val="-12"/>
          <w:sz w:val="16"/>
          <w:szCs w:val="16"/>
          <w:lang w:val="es-ES"/>
        </w:rPr>
        <w:t>.</w:t>
      </w:r>
    </w:p>
  </w:footnote>
  <w:footnote w:id="150">
    <w:p w14:paraId="1A4491A6" w14:textId="353B9D52" w:rsidR="00D93B58" w:rsidRPr="001F0A42" w:rsidRDefault="00D93B58" w:rsidP="00C10D2F">
      <w:pPr>
        <w:pStyle w:val="Textonotapie"/>
        <w:spacing w:before="120" w:after="120"/>
        <w:jc w:val="both"/>
        <w:rPr>
          <w:rFonts w:ascii="Verdana" w:hAnsi="Verdana" w:cs="Arial"/>
          <w:noProof/>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cs="Arial"/>
          <w:noProof/>
          <w:spacing w:val="-12"/>
          <w:sz w:val="16"/>
          <w:szCs w:val="16"/>
        </w:rPr>
        <w:t>Según señaló el Estado, en este tipo de proceso inquisitivo</w:t>
      </w:r>
      <w:r w:rsidRPr="001F0A42">
        <w:rPr>
          <w:rFonts w:ascii="Verdana" w:hAnsi="Verdana" w:cs="Arial"/>
          <w:noProof/>
          <w:spacing w:val="-12"/>
          <w:sz w:val="16"/>
          <w:szCs w:val="16"/>
          <w:lang w:val="es-CR"/>
        </w:rPr>
        <w:t xml:space="preserve"> que tenía Nicaragua en la época de los hechos</w:t>
      </w:r>
      <w:r w:rsidRPr="001F0A42">
        <w:rPr>
          <w:rFonts w:ascii="Verdana" w:hAnsi="Verdana" w:cs="Arial"/>
          <w:noProof/>
          <w:spacing w:val="-12"/>
          <w:sz w:val="16"/>
          <w:szCs w:val="16"/>
        </w:rPr>
        <w:t>, “con base la investigación policial, las solicitudes de las partes o lo que se derivaba de las declaraciones ad-inquirendum, testificales, indagatorias y periciales, [el juez] podía reproducir o</w:t>
      </w:r>
      <w:r>
        <w:rPr>
          <w:rFonts w:ascii="Verdana" w:hAnsi="Verdana" w:cs="Arial"/>
          <w:noProof/>
          <w:spacing w:val="-12"/>
          <w:sz w:val="16"/>
          <w:szCs w:val="16"/>
        </w:rPr>
        <w:t xml:space="preserve"> ampliar las investigaciones”. Por otro lado, l</w:t>
      </w:r>
      <w:r w:rsidRPr="001F0A42">
        <w:rPr>
          <w:rFonts w:ascii="Verdana" w:hAnsi="Verdana" w:cs="Arial"/>
          <w:noProof/>
          <w:spacing w:val="-12"/>
          <w:sz w:val="16"/>
          <w:szCs w:val="16"/>
        </w:rPr>
        <w:t xml:space="preserve">a </w:t>
      </w:r>
      <w:r w:rsidRPr="001F0A42">
        <w:rPr>
          <w:rFonts w:ascii="Verdana" w:hAnsi="Verdana" w:cs="Arial"/>
          <w:noProof/>
          <w:spacing w:val="-12"/>
          <w:sz w:val="16"/>
          <w:szCs w:val="16"/>
          <w:lang w:val="es-CR"/>
        </w:rPr>
        <w:t>perita Buitrago resaltó que recaía en cabeza del juez en la etapa de instrucción, disponer prueba de oficio para esclarecer los hechos y poder realizar las acusaciones correspondientes. De esta forma, las omisiones en esta etapa eran especialmente relevantes pues esto no sólo generaba una afectación al derecho a la verdad, sino podría permitir que el caso quedara en la impunidad</w:t>
      </w:r>
      <w:r>
        <w:rPr>
          <w:rFonts w:ascii="Verdana" w:hAnsi="Verdana" w:cs="Arial"/>
          <w:noProof/>
          <w:spacing w:val="-12"/>
          <w:sz w:val="16"/>
          <w:szCs w:val="16"/>
          <w:lang w:val="es-CR"/>
        </w:rPr>
        <w:t xml:space="preserve"> (expediente de prueba, folios 3606 a 3657)</w:t>
      </w:r>
      <w:r w:rsidRPr="001F0A42">
        <w:rPr>
          <w:rFonts w:ascii="Verdana" w:hAnsi="Verdana" w:cs="Arial"/>
          <w:noProof/>
          <w:spacing w:val="-12"/>
          <w:sz w:val="16"/>
          <w:szCs w:val="16"/>
          <w:lang w:val="es-CR"/>
        </w:rPr>
        <w:t>.</w:t>
      </w:r>
    </w:p>
  </w:footnote>
  <w:footnote w:id="151">
    <w:p w14:paraId="7A4232AE" w14:textId="3DAABE2A"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i/>
          <w:spacing w:val="-12"/>
          <w:sz w:val="16"/>
          <w:szCs w:val="16"/>
          <w:lang w:val="es-CR"/>
        </w:rPr>
        <w:t>Cfr.</w:t>
      </w:r>
      <w:r w:rsidRPr="001F0A42">
        <w:rPr>
          <w:rFonts w:ascii="Verdana" w:hAnsi="Verdana"/>
          <w:spacing w:val="-12"/>
          <w:sz w:val="16"/>
          <w:szCs w:val="16"/>
          <w:lang w:val="es-CR"/>
        </w:rPr>
        <w:t xml:space="preserve"> </w:t>
      </w:r>
      <w:r w:rsidRPr="001F0A42">
        <w:rPr>
          <w:rFonts w:ascii="Verdana" w:hAnsi="Verdana"/>
          <w:i/>
          <w:spacing w:val="-12"/>
          <w:sz w:val="16"/>
          <w:szCs w:val="16"/>
          <w:lang w:val="es-CR"/>
        </w:rPr>
        <w:t>Caso Castillo</w:t>
      </w:r>
      <w:r>
        <w:rPr>
          <w:rFonts w:ascii="Verdana" w:hAnsi="Verdana"/>
          <w:i/>
          <w:spacing w:val="-12"/>
          <w:sz w:val="16"/>
          <w:szCs w:val="16"/>
          <w:lang w:val="es-CR"/>
        </w:rPr>
        <w:t xml:space="preserve"> González y otros Vs. Venezuela</w:t>
      </w:r>
      <w:r w:rsidRPr="001F0A42">
        <w:rPr>
          <w:rFonts w:ascii="Verdana" w:hAnsi="Verdana"/>
          <w:spacing w:val="-12"/>
          <w:sz w:val="16"/>
          <w:szCs w:val="16"/>
          <w:lang w:val="es-CR"/>
        </w:rPr>
        <w:t xml:space="preserve">, </w:t>
      </w:r>
      <w:r w:rsidRPr="001F0A42">
        <w:rPr>
          <w:rFonts w:ascii="Verdana" w:hAnsi="Verdana"/>
          <w:i/>
          <w:spacing w:val="-12"/>
          <w:sz w:val="16"/>
          <w:szCs w:val="16"/>
          <w:lang w:val="es-CR"/>
        </w:rPr>
        <w:t>supra</w:t>
      </w:r>
      <w:r w:rsidRPr="001F0A42">
        <w:rPr>
          <w:rFonts w:ascii="Verdana" w:hAnsi="Verdana"/>
          <w:spacing w:val="-12"/>
          <w:sz w:val="16"/>
          <w:szCs w:val="16"/>
          <w:lang w:val="es-CR"/>
        </w:rPr>
        <w:t>, párr. 153</w:t>
      </w:r>
      <w:r>
        <w:rPr>
          <w:rFonts w:ascii="Verdana" w:hAnsi="Verdana"/>
          <w:spacing w:val="-12"/>
          <w:sz w:val="16"/>
          <w:szCs w:val="16"/>
          <w:lang w:val="es-CR"/>
        </w:rPr>
        <w:t>,</w:t>
      </w:r>
      <w:r w:rsidRPr="001F0A42">
        <w:rPr>
          <w:rFonts w:ascii="Verdana" w:hAnsi="Verdana"/>
          <w:spacing w:val="-12"/>
          <w:sz w:val="16"/>
          <w:szCs w:val="16"/>
          <w:lang w:val="es-CR"/>
        </w:rPr>
        <w:t xml:space="preserve"> y </w:t>
      </w:r>
      <w:r w:rsidRPr="001F0A42">
        <w:rPr>
          <w:rFonts w:ascii="Verdana" w:hAnsi="Verdana"/>
          <w:i/>
          <w:spacing w:val="-12"/>
          <w:sz w:val="16"/>
          <w:szCs w:val="16"/>
          <w:lang w:val="es-CR"/>
        </w:rPr>
        <w:t>Caso</w:t>
      </w:r>
      <w:r w:rsidRPr="001F0A42">
        <w:rPr>
          <w:rFonts w:ascii="Verdana" w:hAnsi="Verdana"/>
          <w:spacing w:val="-12"/>
          <w:sz w:val="16"/>
          <w:szCs w:val="16"/>
          <w:lang w:val="es-CR"/>
        </w:rPr>
        <w:t xml:space="preserve"> </w:t>
      </w:r>
      <w:r w:rsidRPr="001F0A42">
        <w:rPr>
          <w:rFonts w:ascii="Verdana" w:hAnsi="Verdana"/>
          <w:i/>
          <w:spacing w:val="-12"/>
          <w:sz w:val="16"/>
          <w:szCs w:val="16"/>
          <w:lang w:val="es-CR"/>
        </w:rPr>
        <w:t xml:space="preserve">Tarazona Arrieta y otros vs. Perú, supra, </w:t>
      </w:r>
      <w:r w:rsidRPr="001F0A42">
        <w:rPr>
          <w:rFonts w:ascii="Verdana" w:hAnsi="Verdana"/>
          <w:spacing w:val="-12"/>
          <w:sz w:val="16"/>
          <w:szCs w:val="16"/>
          <w:lang w:val="es-CR"/>
        </w:rPr>
        <w:t xml:space="preserve">párr. 124. </w:t>
      </w:r>
    </w:p>
  </w:footnote>
  <w:footnote w:id="152">
    <w:p w14:paraId="3289FD0F" w14:textId="6732CDCC"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i/>
          <w:spacing w:val="-12"/>
          <w:sz w:val="16"/>
          <w:szCs w:val="16"/>
          <w:lang w:val="es-CR"/>
        </w:rPr>
        <w:t>Cfr.</w:t>
      </w:r>
      <w:r w:rsidRPr="001F0A42">
        <w:rPr>
          <w:rFonts w:ascii="Verdana" w:hAnsi="Verdana"/>
          <w:spacing w:val="-12"/>
          <w:sz w:val="16"/>
          <w:szCs w:val="16"/>
          <w:lang w:val="es-CR"/>
        </w:rPr>
        <w:t xml:space="preserve"> </w:t>
      </w:r>
      <w:r w:rsidRPr="001F0A42">
        <w:rPr>
          <w:rFonts w:ascii="Verdana" w:hAnsi="Verdana"/>
          <w:i/>
          <w:spacing w:val="-12"/>
          <w:sz w:val="16"/>
          <w:szCs w:val="16"/>
          <w:lang w:val="es-CR"/>
        </w:rPr>
        <w:t>Caso Luna López Vs. Honduras</w:t>
      </w:r>
      <w:r w:rsidRPr="001F0A42">
        <w:rPr>
          <w:rFonts w:ascii="Verdana" w:hAnsi="Verdana"/>
          <w:spacing w:val="-12"/>
          <w:sz w:val="16"/>
          <w:szCs w:val="16"/>
          <w:lang w:val="es-CR"/>
        </w:rPr>
        <w:t xml:space="preserve">, párr. 167; </w:t>
      </w:r>
      <w:r w:rsidRPr="000F7135">
        <w:rPr>
          <w:rFonts w:ascii="Verdana" w:hAnsi="Verdana"/>
          <w:spacing w:val="-12"/>
          <w:sz w:val="16"/>
          <w:szCs w:val="16"/>
          <w:lang w:val="es-CR"/>
        </w:rPr>
        <w:t>y</w:t>
      </w:r>
      <w:r>
        <w:rPr>
          <w:rFonts w:ascii="Verdana" w:hAnsi="Verdana"/>
          <w:i/>
          <w:spacing w:val="-12"/>
          <w:sz w:val="16"/>
          <w:szCs w:val="16"/>
          <w:lang w:val="es-CR"/>
        </w:rPr>
        <w:t xml:space="preserve"> Caso </w:t>
      </w:r>
      <w:r w:rsidRPr="001F0A42">
        <w:rPr>
          <w:rFonts w:ascii="Verdana" w:hAnsi="Verdana"/>
          <w:i/>
          <w:spacing w:val="-12"/>
          <w:sz w:val="16"/>
          <w:szCs w:val="16"/>
          <w:lang w:val="es-CR"/>
        </w:rPr>
        <w:t>García Ibarra vs. Ecuador, supra</w:t>
      </w:r>
      <w:r w:rsidRPr="001F0A42">
        <w:rPr>
          <w:rFonts w:ascii="Verdana" w:hAnsi="Verdana"/>
          <w:spacing w:val="-12"/>
          <w:sz w:val="16"/>
          <w:szCs w:val="16"/>
          <w:lang w:val="es-CR"/>
        </w:rPr>
        <w:t>, párr. 139.</w:t>
      </w:r>
    </w:p>
  </w:footnote>
  <w:footnote w:id="153">
    <w:p w14:paraId="412C810C" w14:textId="115A3D50"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lang w:val="pt-BR"/>
        </w:rPr>
        <w:t xml:space="preserve"> </w:t>
      </w:r>
      <w:r w:rsidRPr="001F0A42">
        <w:rPr>
          <w:rFonts w:ascii="Verdana" w:hAnsi="Verdana"/>
          <w:spacing w:val="-12"/>
          <w:sz w:val="16"/>
          <w:szCs w:val="16"/>
          <w:lang w:val="pt-BR"/>
        </w:rPr>
        <w:tab/>
      </w:r>
      <w:r w:rsidRPr="001F0A42">
        <w:rPr>
          <w:rFonts w:ascii="Verdana" w:hAnsi="Verdana"/>
          <w:i/>
          <w:spacing w:val="-12"/>
          <w:sz w:val="16"/>
          <w:szCs w:val="16"/>
          <w:lang w:val="pt-BR"/>
        </w:rPr>
        <w:t>C</w:t>
      </w:r>
      <w:r>
        <w:rPr>
          <w:rFonts w:ascii="Verdana" w:hAnsi="Verdana"/>
          <w:i/>
          <w:spacing w:val="-12"/>
          <w:sz w:val="16"/>
          <w:szCs w:val="16"/>
          <w:lang w:val="pt-BR"/>
        </w:rPr>
        <w:t>fr. C</w:t>
      </w:r>
      <w:r w:rsidRPr="001F0A42">
        <w:rPr>
          <w:rFonts w:ascii="Verdana" w:hAnsi="Verdana"/>
          <w:i/>
          <w:spacing w:val="-12"/>
          <w:sz w:val="16"/>
          <w:szCs w:val="16"/>
          <w:lang w:val="pt-BR"/>
        </w:rPr>
        <w:t xml:space="preserve">aso Kawas Fernández Vs. </w:t>
      </w:r>
      <w:r w:rsidRPr="001F0A42">
        <w:rPr>
          <w:rFonts w:ascii="Verdana" w:hAnsi="Verdana"/>
          <w:i/>
          <w:spacing w:val="-12"/>
          <w:sz w:val="16"/>
          <w:szCs w:val="16"/>
        </w:rPr>
        <w:t>Honduras</w:t>
      </w:r>
      <w:r w:rsidRPr="001F0A42">
        <w:rPr>
          <w:rFonts w:ascii="Verdana" w:hAnsi="Verdana"/>
          <w:spacing w:val="-12"/>
          <w:sz w:val="16"/>
          <w:szCs w:val="16"/>
        </w:rPr>
        <w:t xml:space="preserve">. Fondo, Reparaciones y Costas. Sentencia de 3 de abril de </w:t>
      </w:r>
      <w:r>
        <w:rPr>
          <w:rFonts w:ascii="Verdana" w:hAnsi="Verdana"/>
          <w:spacing w:val="-12"/>
          <w:sz w:val="16"/>
          <w:szCs w:val="16"/>
        </w:rPr>
        <w:t>2009. Serie C No. 196, párr.112;</w:t>
      </w:r>
      <w:r w:rsidRPr="001F0A42">
        <w:rPr>
          <w:rFonts w:ascii="Verdana" w:hAnsi="Verdana"/>
          <w:spacing w:val="-12"/>
          <w:sz w:val="16"/>
          <w:szCs w:val="16"/>
        </w:rPr>
        <w:t xml:space="preserve"> </w:t>
      </w:r>
      <w:hyperlink r:id="rId12" w:history="1">
        <w:r w:rsidRPr="00DD2120">
          <w:rPr>
            <w:rFonts w:ascii="Verdana" w:hAnsi="Verdana"/>
            <w:i/>
            <w:spacing w:val="-12"/>
            <w:sz w:val="16"/>
            <w:szCs w:val="16"/>
          </w:rPr>
          <w:t>Caso González Medina y familiares Vs. República Dominicana. Excepciones Preliminares, Fondo, Reparaciones y Costas</w:t>
        </w:r>
        <w:r w:rsidRPr="001F0A42">
          <w:rPr>
            <w:rFonts w:ascii="Verdana" w:hAnsi="Verdana"/>
            <w:spacing w:val="-12"/>
            <w:sz w:val="16"/>
            <w:szCs w:val="16"/>
          </w:rPr>
          <w:t>. Sentencia de 27 de febrero de 2012 Serie C No. 240</w:t>
        </w:r>
      </w:hyperlink>
      <w:r w:rsidRPr="001F0A42">
        <w:rPr>
          <w:rFonts w:ascii="Verdana" w:hAnsi="Verdana"/>
          <w:spacing w:val="-12"/>
          <w:sz w:val="16"/>
          <w:szCs w:val="16"/>
        </w:rPr>
        <w:t xml:space="preserve">, párr. 115. </w:t>
      </w:r>
    </w:p>
  </w:footnote>
  <w:footnote w:id="154">
    <w:p w14:paraId="635F7449" w14:textId="64D74108"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lang w:val="es-ES"/>
        </w:rPr>
        <w:footnoteRef/>
      </w:r>
      <w:r w:rsidRPr="001F0A42">
        <w:rPr>
          <w:rFonts w:ascii="Verdana" w:hAnsi="Verdana"/>
          <w:spacing w:val="-12"/>
          <w:sz w:val="16"/>
          <w:szCs w:val="16"/>
          <w:lang w:val="es-ES"/>
        </w:rPr>
        <w:t xml:space="preserve">  </w:t>
      </w:r>
      <w:r w:rsidRPr="001F0A42">
        <w:rPr>
          <w:rFonts w:ascii="Verdana" w:hAnsi="Verdana"/>
          <w:spacing w:val="-12"/>
          <w:sz w:val="16"/>
          <w:szCs w:val="16"/>
          <w:lang w:val="es-ES"/>
        </w:rPr>
        <w:tab/>
      </w:r>
      <w:r w:rsidRPr="007F190F">
        <w:rPr>
          <w:rFonts w:ascii="Verdana" w:hAnsi="Verdana"/>
          <w:i/>
          <w:spacing w:val="-12"/>
          <w:sz w:val="16"/>
          <w:szCs w:val="16"/>
        </w:rPr>
        <w:t>C</w:t>
      </w:r>
      <w:r>
        <w:rPr>
          <w:rFonts w:ascii="Verdana" w:hAnsi="Verdana"/>
          <w:i/>
          <w:spacing w:val="-12"/>
          <w:sz w:val="16"/>
          <w:szCs w:val="16"/>
        </w:rPr>
        <w:t>fr. C</w:t>
      </w:r>
      <w:r w:rsidRPr="007F190F">
        <w:rPr>
          <w:rFonts w:ascii="Verdana" w:hAnsi="Verdana"/>
          <w:i/>
          <w:spacing w:val="-12"/>
          <w:sz w:val="16"/>
          <w:szCs w:val="16"/>
        </w:rPr>
        <w:t xml:space="preserve">aso Defensor de Derechos Humanos vs. Guatemala, supra, </w:t>
      </w:r>
      <w:r w:rsidRPr="007F190F">
        <w:rPr>
          <w:rFonts w:ascii="Verdana" w:hAnsi="Verdana"/>
          <w:spacing w:val="-12"/>
          <w:sz w:val="16"/>
          <w:szCs w:val="16"/>
        </w:rPr>
        <w:t>párrs. 131</w:t>
      </w:r>
      <w:r w:rsidRPr="001F0A42">
        <w:rPr>
          <w:rFonts w:ascii="Verdana" w:hAnsi="Verdana"/>
          <w:spacing w:val="-12"/>
          <w:sz w:val="16"/>
          <w:szCs w:val="16"/>
        </w:rPr>
        <w:t>, 216, 219 y 220. Al respecto, la perita Ángela Buitrago indicó que, para la autoridad investigadora, existe una suerte de presunción de que el delito contra el defensor o su familiar pudo constituir una represalia de sus labores, lo que necesariamente implica analizar dicho posible móvil del delito (</w:t>
      </w:r>
      <w:r w:rsidRPr="00C10D2F">
        <w:rPr>
          <w:rFonts w:ascii="Verdana" w:hAnsi="Verdana"/>
          <w:i/>
          <w:spacing w:val="-12"/>
          <w:sz w:val="16"/>
          <w:szCs w:val="16"/>
        </w:rPr>
        <w:t>Cfr</w:t>
      </w:r>
      <w:r>
        <w:rPr>
          <w:rFonts w:ascii="Verdana" w:hAnsi="Verdana"/>
          <w:spacing w:val="-12"/>
          <w:sz w:val="16"/>
          <w:szCs w:val="16"/>
        </w:rPr>
        <w:t xml:space="preserve">. </w:t>
      </w:r>
      <w:r>
        <w:rPr>
          <w:rFonts w:ascii="Verdana" w:hAnsi="Verdana" w:cs="Arial"/>
          <w:noProof/>
          <w:spacing w:val="-12"/>
          <w:sz w:val="16"/>
          <w:szCs w:val="16"/>
          <w:lang w:val="es-CR"/>
        </w:rPr>
        <w:t xml:space="preserve">Dictamen de la perita Angela Buitrago de 27 de septiembre de 2016, </w:t>
      </w:r>
      <w:r w:rsidRPr="001F0A42">
        <w:rPr>
          <w:rFonts w:ascii="Verdana" w:hAnsi="Verdana"/>
          <w:spacing w:val="-12"/>
          <w:sz w:val="16"/>
          <w:szCs w:val="16"/>
          <w:lang w:val="es-MX"/>
        </w:rPr>
        <w:t>expediente de prueba f</w:t>
      </w:r>
      <w:r>
        <w:rPr>
          <w:rFonts w:ascii="Verdana" w:hAnsi="Verdana"/>
          <w:spacing w:val="-12"/>
          <w:sz w:val="16"/>
          <w:szCs w:val="16"/>
          <w:lang w:val="es-MX"/>
        </w:rPr>
        <w:t>. 3634</w:t>
      </w:r>
      <w:r w:rsidRPr="00AA6B80">
        <w:rPr>
          <w:rFonts w:ascii="Verdana" w:hAnsi="Verdana"/>
          <w:spacing w:val="-12"/>
          <w:sz w:val="16"/>
          <w:szCs w:val="16"/>
        </w:rPr>
        <w:t>)</w:t>
      </w:r>
      <w:r w:rsidRPr="001F0A42">
        <w:rPr>
          <w:rFonts w:ascii="Verdana" w:hAnsi="Verdana" w:cs="Cambria"/>
          <w:spacing w:val="-12"/>
          <w:sz w:val="16"/>
          <w:szCs w:val="16"/>
        </w:rPr>
        <w:t xml:space="preserve"> </w:t>
      </w:r>
      <w:r w:rsidRPr="001F0A42">
        <w:rPr>
          <w:rFonts w:ascii="Verdana" w:hAnsi="Verdana"/>
          <w:spacing w:val="-12"/>
          <w:sz w:val="16"/>
          <w:szCs w:val="16"/>
        </w:rPr>
        <w:t xml:space="preserve"> </w:t>
      </w:r>
      <w:r w:rsidRPr="000F7135">
        <w:rPr>
          <w:rFonts w:ascii="Verdana" w:hAnsi="Verdana"/>
          <w:spacing w:val="-12"/>
          <w:sz w:val="16"/>
          <w:szCs w:val="16"/>
        </w:rPr>
        <w:t xml:space="preserve">Ver también CIDH, </w:t>
      </w:r>
      <w:r w:rsidRPr="000F7135">
        <w:rPr>
          <w:rFonts w:ascii="Verdana" w:hAnsi="Verdana"/>
          <w:i/>
          <w:spacing w:val="-12"/>
          <w:sz w:val="16"/>
          <w:szCs w:val="16"/>
        </w:rPr>
        <w:t>Segundo Informe sobre la Situación de Defensoras y Defensores en la Américas</w:t>
      </w:r>
      <w:r w:rsidRPr="000F7135">
        <w:rPr>
          <w:rFonts w:ascii="Verdana" w:hAnsi="Verdana"/>
          <w:spacing w:val="-12"/>
          <w:sz w:val="16"/>
          <w:szCs w:val="16"/>
        </w:rPr>
        <w:t>, 31 de diciembre de 2011, párr. 236.</w:t>
      </w:r>
    </w:p>
  </w:footnote>
  <w:footnote w:id="155">
    <w:p w14:paraId="6922026F" w14:textId="1D820E53" w:rsidR="00D93B58" w:rsidRPr="001F0A42" w:rsidRDefault="00D93B58" w:rsidP="00C10D2F">
      <w:pPr>
        <w:pStyle w:val="Textonotapie"/>
        <w:spacing w:before="120" w:after="120"/>
        <w:jc w:val="both"/>
        <w:rPr>
          <w:rFonts w:ascii="Verdana" w:hAnsi="Verdana"/>
          <w:spacing w:val="-12"/>
          <w:sz w:val="16"/>
          <w:szCs w:val="16"/>
          <w:lang w:val="es-ES_tradnl"/>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t>Indicó que deben establecerse las razones por las que aparecen los presuntos autores, su origen, razones para haber ingresado a la vida de la persona agredida, su oficina o habitación; la información que tenía o manejaba la defensora de derechos humanos y a quien pudiera interesar; si pudiese guardarse rencor, odio, vergüenza, respecto de personas que hubiesen sido sancionadas con ocasión de las actividades del defensor.</w:t>
      </w:r>
      <w:r>
        <w:rPr>
          <w:rFonts w:ascii="Verdana" w:hAnsi="Verdana"/>
          <w:spacing w:val="-12"/>
          <w:sz w:val="16"/>
          <w:szCs w:val="16"/>
        </w:rPr>
        <w:t xml:space="preserve"> </w:t>
      </w:r>
      <w:r w:rsidRPr="00C10D2F">
        <w:rPr>
          <w:rFonts w:ascii="Verdana" w:hAnsi="Verdana"/>
          <w:i/>
          <w:spacing w:val="-12"/>
          <w:sz w:val="16"/>
          <w:szCs w:val="16"/>
        </w:rPr>
        <w:t>Cfr</w:t>
      </w:r>
      <w:r>
        <w:rPr>
          <w:rFonts w:ascii="Verdana" w:hAnsi="Verdana"/>
          <w:spacing w:val="-12"/>
          <w:sz w:val="16"/>
          <w:szCs w:val="16"/>
        </w:rPr>
        <w:t xml:space="preserve">. </w:t>
      </w:r>
      <w:r>
        <w:rPr>
          <w:rFonts w:ascii="Verdana" w:hAnsi="Verdana" w:cs="Arial"/>
          <w:noProof/>
          <w:spacing w:val="-12"/>
          <w:sz w:val="16"/>
          <w:szCs w:val="16"/>
          <w:lang w:val="es-CR"/>
        </w:rPr>
        <w:t>Dictamen de la perita Angela Buitrago de 27 de septiembre de 2016 (</w:t>
      </w:r>
      <w:r w:rsidRPr="001F0A42">
        <w:rPr>
          <w:rFonts w:ascii="Verdana" w:hAnsi="Verdana"/>
          <w:spacing w:val="-12"/>
          <w:sz w:val="16"/>
          <w:szCs w:val="16"/>
          <w:lang w:val="es-MX"/>
        </w:rPr>
        <w:t>expediente de prueba f</w:t>
      </w:r>
      <w:r>
        <w:rPr>
          <w:rFonts w:ascii="Verdana" w:hAnsi="Verdana"/>
          <w:spacing w:val="-12"/>
          <w:sz w:val="16"/>
          <w:szCs w:val="16"/>
          <w:lang w:val="es-MX"/>
        </w:rPr>
        <w:t>. 3634).</w:t>
      </w:r>
    </w:p>
  </w:footnote>
  <w:footnote w:id="156">
    <w:p w14:paraId="13CB0831" w14:textId="2B9A7A8A" w:rsidR="00D93B58" w:rsidRPr="001F0A42" w:rsidRDefault="00D93B58" w:rsidP="00C10D2F">
      <w:pPr>
        <w:pStyle w:val="Prrafodelista"/>
        <w:autoSpaceDE w:val="0"/>
        <w:autoSpaceDN w:val="0"/>
        <w:adjustRightInd w:val="0"/>
        <w:spacing w:before="120" w:after="120"/>
        <w:ind w:left="0" w:right="34"/>
        <w:jc w:val="both"/>
        <w:rPr>
          <w:rFonts w:ascii="Verdana" w:hAnsi="Verdana" w:cs="Arial"/>
          <w:noProof/>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cs="Arial"/>
          <w:noProof/>
          <w:spacing w:val="-12"/>
          <w:sz w:val="16"/>
          <w:szCs w:val="16"/>
          <w:lang w:val="es-CR"/>
        </w:rPr>
        <w:t>Al respecto, el Estado alegó que la perita omitió indicar, valorar o acreditar la calificación de Nicaragua y el grado de violencia e institucionalización de derechos humanos, pues eso no ocurría en la época del asesinato del señor García Valle,</w:t>
      </w:r>
      <w:r>
        <w:rPr>
          <w:rFonts w:ascii="Verdana" w:hAnsi="Verdana" w:cs="Arial"/>
          <w:noProof/>
          <w:spacing w:val="-12"/>
          <w:sz w:val="16"/>
          <w:szCs w:val="16"/>
          <w:lang w:val="es-CR"/>
        </w:rPr>
        <w:t xml:space="preserve"> lo cual fue un hecho aislado</w:t>
      </w:r>
      <w:r w:rsidRPr="001F0A42">
        <w:rPr>
          <w:rFonts w:ascii="Verdana" w:hAnsi="Verdana" w:cs="Arial"/>
          <w:noProof/>
          <w:spacing w:val="-12"/>
          <w:sz w:val="16"/>
          <w:szCs w:val="16"/>
          <w:lang w:val="es-CR"/>
        </w:rPr>
        <w:t xml:space="preserve">. Al respecto, es claro que el peritaje se refiere a los aspectos que las autoridades judiciales o encargadas de las investigaciones debieron analizar al momento de investigar los hechos, por lo cual </w:t>
      </w:r>
      <w:r>
        <w:rPr>
          <w:rFonts w:ascii="Verdana" w:hAnsi="Verdana" w:cs="Arial"/>
          <w:noProof/>
          <w:spacing w:val="-12"/>
          <w:sz w:val="16"/>
          <w:szCs w:val="16"/>
          <w:lang w:val="es-CR"/>
        </w:rPr>
        <w:t xml:space="preserve">la Corte considera que </w:t>
      </w:r>
      <w:r w:rsidRPr="001F0A42">
        <w:rPr>
          <w:rFonts w:ascii="Verdana" w:hAnsi="Verdana" w:cs="Arial"/>
          <w:noProof/>
          <w:spacing w:val="-12"/>
          <w:sz w:val="16"/>
          <w:szCs w:val="16"/>
          <w:lang w:val="es-CR"/>
        </w:rPr>
        <w:t>la falta de calificación de esos aspectos por parte de la perita no descalifica ni desvirtúa su dictamen.</w:t>
      </w:r>
    </w:p>
  </w:footnote>
  <w:footnote w:id="157">
    <w:p w14:paraId="346BDF07" w14:textId="6B52351A"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cs="Arial"/>
          <w:noProof/>
          <w:spacing w:val="-12"/>
          <w:sz w:val="16"/>
          <w:szCs w:val="16"/>
          <w:lang w:val="es-CR"/>
        </w:rPr>
        <w:t>En particular, era claro que los intereses de dos personas señaladas como autores intelectuales podían verse afectados en distintos litigios administrativos y judiciales activados en su contra por pueblos indígenas de la Cuenca de Laguna de Perlas, representados legalmente por la señora Acosta, cuya labor generó que PT fuera prevenido varias veces de ser sancionado por las vías civil y penal en caso de que siguiera “perturbando” las propiedades comunales y ocasionó que se hiciera de conocimiento público la actuación de policías como vigilantes privados al servicio de aquél en  tierras comunales. Además, menos de un mes antes del asesinato, ella había asumido la representación legal de diversas comunidades en casos relacionados con  un amparo y una demanda de restitución de 80 manzanas del territorio indígena Ram</w:t>
      </w:r>
      <w:r>
        <w:rPr>
          <w:rFonts w:ascii="Verdana" w:hAnsi="Verdana" w:cs="Arial"/>
          <w:noProof/>
          <w:spacing w:val="-12"/>
          <w:sz w:val="16"/>
          <w:szCs w:val="16"/>
          <w:lang w:val="es-CR"/>
        </w:rPr>
        <w:t xml:space="preserve">a, en ese entonces en poder de </w:t>
      </w:r>
      <w:r w:rsidRPr="001F0A42">
        <w:rPr>
          <w:rFonts w:ascii="Verdana" w:hAnsi="Verdana" w:cs="Arial"/>
          <w:noProof/>
          <w:spacing w:val="-12"/>
          <w:sz w:val="16"/>
          <w:szCs w:val="16"/>
          <w:lang w:val="es-CR"/>
        </w:rPr>
        <w:t>PT.</w:t>
      </w:r>
    </w:p>
  </w:footnote>
  <w:footnote w:id="158">
    <w:p w14:paraId="13D58D26" w14:textId="6FB9CA79"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MX"/>
        </w:rPr>
        <w:t xml:space="preserve"> </w:t>
      </w:r>
      <w:r w:rsidRPr="001F0A42">
        <w:rPr>
          <w:rFonts w:ascii="Verdana" w:eastAsiaTheme="minorHAnsi" w:hAnsi="Verdana" w:cs="Cambria"/>
          <w:spacing w:val="-12"/>
          <w:sz w:val="16"/>
          <w:szCs w:val="16"/>
          <w:lang w:val="es-CR"/>
        </w:rPr>
        <w:tab/>
        <w:t xml:space="preserve">En cuanto a la falta de designación de un defensor de oficio, tal actuación contrasta con la llevada a cabo respecto de otros procesados en la misma causa, a saber: al imputado </w:t>
      </w:r>
      <w:r>
        <w:rPr>
          <w:rFonts w:ascii="Verdana" w:eastAsiaTheme="minorHAnsi" w:hAnsi="Verdana" w:cs="Cambria"/>
          <w:spacing w:val="-12"/>
          <w:sz w:val="16"/>
          <w:szCs w:val="16"/>
          <w:lang w:val="es-CR"/>
        </w:rPr>
        <w:t>CJP</w:t>
      </w:r>
      <w:r w:rsidRPr="001F0A42">
        <w:rPr>
          <w:rFonts w:ascii="Verdana" w:eastAsiaTheme="minorHAnsi" w:hAnsi="Verdana" w:cs="Cambria"/>
          <w:spacing w:val="-12"/>
          <w:sz w:val="16"/>
          <w:szCs w:val="16"/>
          <w:lang w:val="es-CR"/>
        </w:rPr>
        <w:t xml:space="preserve"> se le nombró un abogado de oficio y al imputado Argüello se le nombró defensor cuando su abogado tuvo problemas de salud.</w:t>
      </w:r>
    </w:p>
  </w:footnote>
  <w:footnote w:id="159">
    <w:p w14:paraId="68F04A5A" w14:textId="05D39825" w:rsidR="00D93B58" w:rsidRPr="001F0A42" w:rsidRDefault="00D93B58" w:rsidP="00C10D2F">
      <w:pPr>
        <w:autoSpaceDE w:val="0"/>
        <w:autoSpaceDN w:val="0"/>
        <w:adjustRightInd w:val="0"/>
        <w:spacing w:before="120" w:after="120" w:line="240" w:lineRule="auto"/>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cs="Cambria-Italic"/>
          <w:i/>
          <w:iCs/>
          <w:spacing w:val="-12"/>
          <w:sz w:val="16"/>
          <w:szCs w:val="16"/>
        </w:rPr>
        <w:t>C</w:t>
      </w:r>
      <w:r>
        <w:rPr>
          <w:rFonts w:ascii="Verdana" w:hAnsi="Verdana" w:cs="Cambria-Italic"/>
          <w:i/>
          <w:iCs/>
          <w:spacing w:val="-12"/>
          <w:sz w:val="16"/>
          <w:szCs w:val="16"/>
        </w:rPr>
        <w:t>fr. C</w:t>
      </w:r>
      <w:r w:rsidRPr="001F0A42">
        <w:rPr>
          <w:rFonts w:ascii="Verdana" w:hAnsi="Verdana" w:cs="Cambria-Italic"/>
          <w:i/>
          <w:iCs/>
          <w:spacing w:val="-12"/>
          <w:sz w:val="16"/>
          <w:szCs w:val="16"/>
        </w:rPr>
        <w:t>aso de la Comunidad Moiwana Vs. Surinam</w:t>
      </w:r>
      <w:r w:rsidRPr="001F0A42">
        <w:rPr>
          <w:rFonts w:ascii="Verdana" w:hAnsi="Verdana" w:cs="Cambria"/>
          <w:spacing w:val="-12"/>
          <w:sz w:val="16"/>
          <w:szCs w:val="16"/>
        </w:rPr>
        <w:t xml:space="preserve">. </w:t>
      </w:r>
      <w:r w:rsidRPr="00EC69C6">
        <w:rPr>
          <w:rFonts w:ascii="Verdana" w:hAnsi="Verdana" w:cs="Cambria"/>
          <w:i/>
          <w:spacing w:val="-12"/>
          <w:sz w:val="16"/>
          <w:szCs w:val="16"/>
        </w:rPr>
        <w:t>Excepciones Preliminares, Fondo, Reparaciones y Costas</w:t>
      </w:r>
      <w:r w:rsidRPr="001F0A42">
        <w:rPr>
          <w:rFonts w:ascii="Verdana" w:hAnsi="Verdana" w:cs="Cambria"/>
          <w:spacing w:val="-12"/>
          <w:sz w:val="16"/>
          <w:szCs w:val="16"/>
        </w:rPr>
        <w:t>. Sentencia de 15 de junio de 2005, Serie C No.</w:t>
      </w:r>
      <w:r>
        <w:rPr>
          <w:rFonts w:ascii="Verdana" w:hAnsi="Verdana" w:cs="Cambria"/>
          <w:spacing w:val="-12"/>
          <w:sz w:val="16"/>
          <w:szCs w:val="16"/>
        </w:rPr>
        <w:t xml:space="preserve"> 124. párr. 147; y </w:t>
      </w:r>
      <w:r w:rsidRPr="001F0A42">
        <w:rPr>
          <w:rFonts w:ascii="Verdana" w:hAnsi="Verdana" w:cs="Cambria-Italic"/>
          <w:i/>
          <w:iCs/>
          <w:spacing w:val="-12"/>
          <w:sz w:val="16"/>
          <w:szCs w:val="16"/>
        </w:rPr>
        <w:t>Caso de las Hermanas Serrano Cruz</w:t>
      </w:r>
      <w:r>
        <w:rPr>
          <w:rFonts w:ascii="Verdana" w:hAnsi="Verdana" w:cs="Cambria-Italic"/>
          <w:i/>
          <w:iCs/>
          <w:spacing w:val="-12"/>
          <w:sz w:val="16"/>
          <w:szCs w:val="16"/>
        </w:rPr>
        <w:t xml:space="preserve"> Vs. El Salvador. Fondo, Reparaciones y Costas.</w:t>
      </w:r>
      <w:r w:rsidRPr="001F0A42">
        <w:rPr>
          <w:rFonts w:ascii="Verdana" w:hAnsi="Verdana" w:cs="Cambria"/>
          <w:spacing w:val="-12"/>
          <w:sz w:val="16"/>
          <w:szCs w:val="16"/>
        </w:rPr>
        <w:t xml:space="preserve"> Sentencia de 1 de marzo de 2005. Serie C No. 120, párr. 63.</w:t>
      </w:r>
    </w:p>
  </w:footnote>
  <w:footnote w:id="160">
    <w:p w14:paraId="1532417F" w14:textId="48A9777B"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Pr>
          <w:rFonts w:ascii="Verdana" w:hAnsi="Verdana"/>
          <w:spacing w:val="-12"/>
          <w:sz w:val="16"/>
          <w:szCs w:val="16"/>
          <w:lang w:val="es-CR"/>
        </w:rPr>
        <w:tab/>
        <w:t>Además, e</w:t>
      </w:r>
      <w:r w:rsidRPr="001F0A42">
        <w:rPr>
          <w:rFonts w:ascii="Verdana" w:hAnsi="Verdana"/>
          <w:spacing w:val="-12"/>
          <w:sz w:val="16"/>
          <w:szCs w:val="16"/>
          <w:lang w:val="es-CR"/>
        </w:rPr>
        <w:t xml:space="preserve">l art. 187 del </w:t>
      </w:r>
      <w:r w:rsidRPr="001F0A42">
        <w:rPr>
          <w:rFonts w:ascii="Verdana" w:hAnsi="Verdana" w:cs="Cambria"/>
          <w:spacing w:val="-12"/>
          <w:sz w:val="16"/>
          <w:szCs w:val="16"/>
          <w:lang w:val="es-MX"/>
        </w:rPr>
        <w:t xml:space="preserve">Código de Instrucción Criminal de Nicaragua establecía </w:t>
      </w:r>
      <w:r w:rsidRPr="001F0A42">
        <w:rPr>
          <w:rFonts w:ascii="Verdana" w:hAnsi="Verdana"/>
          <w:spacing w:val="-12"/>
          <w:sz w:val="16"/>
          <w:szCs w:val="16"/>
          <w:lang w:val="es-CR"/>
        </w:rPr>
        <w:t>otros supuestos de procedencia del sobreseimiento definitivo que no son relevantes en este caso</w:t>
      </w:r>
      <w:r>
        <w:rPr>
          <w:rFonts w:ascii="Verdana" w:hAnsi="Verdana"/>
          <w:spacing w:val="-12"/>
          <w:sz w:val="16"/>
          <w:szCs w:val="16"/>
          <w:lang w:val="es-CR"/>
        </w:rPr>
        <w:t xml:space="preserve">, a saber, </w:t>
      </w:r>
      <w:r w:rsidRPr="001F0A42">
        <w:rPr>
          <w:rFonts w:ascii="Verdana" w:hAnsi="Verdana"/>
          <w:spacing w:val="-12"/>
          <w:sz w:val="16"/>
          <w:szCs w:val="16"/>
          <w:lang w:val="es-CR"/>
        </w:rPr>
        <w:t>fallecimiento del imputado, que lo favorezca un indulto o amnistía; prescrip</w:t>
      </w:r>
      <w:r>
        <w:rPr>
          <w:rFonts w:ascii="Verdana" w:hAnsi="Verdana"/>
          <w:spacing w:val="-12"/>
          <w:sz w:val="16"/>
          <w:szCs w:val="16"/>
          <w:lang w:val="es-CR"/>
        </w:rPr>
        <w:t>ción de la pena o acción penal</w:t>
      </w:r>
      <w:r w:rsidRPr="001F0A42">
        <w:rPr>
          <w:rFonts w:ascii="Verdana" w:hAnsi="Verdana"/>
          <w:spacing w:val="-12"/>
          <w:sz w:val="16"/>
          <w:szCs w:val="16"/>
          <w:lang w:val="es-CR"/>
        </w:rPr>
        <w:t>.</w:t>
      </w:r>
    </w:p>
  </w:footnote>
  <w:footnote w:id="161">
    <w:p w14:paraId="3336608C" w14:textId="2180871B"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lang w:val="es-CR"/>
        </w:rPr>
        <w:tab/>
      </w:r>
      <w:r w:rsidRPr="00C10D2F">
        <w:rPr>
          <w:rFonts w:ascii="Verdana" w:hAnsi="Verdana"/>
          <w:i/>
          <w:spacing w:val="-12"/>
          <w:sz w:val="16"/>
          <w:szCs w:val="16"/>
        </w:rPr>
        <w:t>Cfr</w:t>
      </w:r>
      <w:r>
        <w:rPr>
          <w:rFonts w:ascii="Verdana" w:hAnsi="Verdana"/>
          <w:spacing w:val="-12"/>
          <w:sz w:val="16"/>
          <w:szCs w:val="16"/>
        </w:rPr>
        <w:t xml:space="preserve">. </w:t>
      </w:r>
      <w:r>
        <w:rPr>
          <w:rFonts w:ascii="Verdana" w:hAnsi="Verdana" w:cs="Arial"/>
          <w:noProof/>
          <w:spacing w:val="-12"/>
          <w:sz w:val="16"/>
          <w:szCs w:val="16"/>
          <w:lang w:val="es-CR"/>
        </w:rPr>
        <w:t>Dictamen de la perita Angela Buitrago de 27 de septiembre de 2016 (</w:t>
      </w:r>
      <w:r w:rsidRPr="001F0A42">
        <w:rPr>
          <w:rFonts w:ascii="Verdana" w:hAnsi="Verdana"/>
          <w:spacing w:val="-12"/>
          <w:sz w:val="16"/>
          <w:szCs w:val="16"/>
          <w:lang w:val="es-MX"/>
        </w:rPr>
        <w:t>expediente de prueba</w:t>
      </w:r>
      <w:r>
        <w:rPr>
          <w:rFonts w:ascii="Verdana" w:hAnsi="Verdana"/>
          <w:spacing w:val="-12"/>
          <w:sz w:val="16"/>
          <w:szCs w:val="16"/>
          <w:lang w:val="es-MX"/>
        </w:rPr>
        <w:t>,</w:t>
      </w:r>
      <w:r w:rsidRPr="001F0A42">
        <w:rPr>
          <w:rFonts w:ascii="Verdana" w:hAnsi="Verdana"/>
          <w:spacing w:val="-12"/>
          <w:sz w:val="16"/>
          <w:szCs w:val="16"/>
          <w:lang w:val="es-MX"/>
        </w:rPr>
        <w:t xml:space="preserve"> f</w:t>
      </w:r>
      <w:r>
        <w:rPr>
          <w:rFonts w:ascii="Verdana" w:hAnsi="Verdana"/>
          <w:spacing w:val="-12"/>
          <w:sz w:val="16"/>
          <w:szCs w:val="16"/>
          <w:lang w:val="es-MX"/>
        </w:rPr>
        <w:t>. 3634).</w:t>
      </w:r>
    </w:p>
  </w:footnote>
  <w:footnote w:id="162">
    <w:p w14:paraId="4B6EDA78" w14:textId="3141741D"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EC69C6">
        <w:rPr>
          <w:rFonts w:ascii="Verdana" w:hAnsi="Verdana"/>
          <w:i/>
          <w:iCs/>
          <w:spacing w:val="-12"/>
          <w:sz w:val="16"/>
          <w:szCs w:val="16"/>
        </w:rPr>
        <w:t>C</w:t>
      </w:r>
      <w:r>
        <w:rPr>
          <w:rFonts w:ascii="Verdana" w:hAnsi="Verdana"/>
          <w:i/>
          <w:iCs/>
          <w:spacing w:val="-12"/>
          <w:sz w:val="16"/>
          <w:szCs w:val="16"/>
        </w:rPr>
        <w:t>fr. C</w:t>
      </w:r>
      <w:r w:rsidRPr="00EC69C6">
        <w:rPr>
          <w:rFonts w:ascii="Verdana" w:hAnsi="Verdana"/>
          <w:i/>
          <w:iCs/>
          <w:spacing w:val="-12"/>
          <w:sz w:val="16"/>
          <w:szCs w:val="16"/>
        </w:rPr>
        <w:t>aso Castillo Petruzzi y otros</w:t>
      </w:r>
      <w:r>
        <w:rPr>
          <w:rFonts w:ascii="Verdana" w:hAnsi="Verdana"/>
          <w:i/>
          <w:iCs/>
          <w:spacing w:val="-12"/>
          <w:sz w:val="16"/>
          <w:szCs w:val="16"/>
        </w:rPr>
        <w:t xml:space="preserve"> Vs. Perú. Fondo, Reparaciones y Costas</w:t>
      </w:r>
      <w:r w:rsidRPr="001F0A42">
        <w:rPr>
          <w:rFonts w:ascii="Verdana" w:hAnsi="Verdana"/>
          <w:spacing w:val="-12"/>
          <w:sz w:val="16"/>
          <w:szCs w:val="16"/>
        </w:rPr>
        <w:t>.</w:t>
      </w:r>
      <w:r>
        <w:rPr>
          <w:rFonts w:ascii="Verdana" w:hAnsi="Verdana"/>
          <w:spacing w:val="-12"/>
          <w:sz w:val="16"/>
          <w:szCs w:val="16"/>
        </w:rPr>
        <w:t xml:space="preserve"> </w:t>
      </w:r>
      <w:r w:rsidRPr="001F0A42">
        <w:rPr>
          <w:rFonts w:ascii="Verdana" w:hAnsi="Verdana"/>
          <w:spacing w:val="-12"/>
          <w:sz w:val="16"/>
          <w:szCs w:val="16"/>
        </w:rPr>
        <w:t xml:space="preserve"> Sentencia de 30 de mayo de 1999. Serie C No. 52, párr. 61</w:t>
      </w:r>
      <w:r>
        <w:rPr>
          <w:rFonts w:ascii="Verdana" w:hAnsi="Verdana"/>
          <w:spacing w:val="-12"/>
          <w:sz w:val="16"/>
          <w:szCs w:val="16"/>
        </w:rPr>
        <w:t>, y</w:t>
      </w:r>
      <w:r w:rsidRPr="001F0A42">
        <w:rPr>
          <w:rFonts w:ascii="Verdana" w:hAnsi="Verdana"/>
          <w:i/>
          <w:iCs/>
          <w:spacing w:val="-12"/>
          <w:sz w:val="16"/>
          <w:szCs w:val="16"/>
          <w:lang w:val="es-MX"/>
        </w:rPr>
        <w:t xml:space="preserve"> Caso </w:t>
      </w:r>
      <w:r>
        <w:rPr>
          <w:rFonts w:ascii="Verdana" w:hAnsi="Verdana"/>
          <w:i/>
          <w:iCs/>
          <w:spacing w:val="-12"/>
          <w:sz w:val="16"/>
          <w:szCs w:val="16"/>
          <w:lang w:val="es-MX"/>
        </w:rPr>
        <w:t>de la “Panel Blanca” (</w:t>
      </w:r>
      <w:r w:rsidRPr="001F0A42">
        <w:rPr>
          <w:rFonts w:ascii="Verdana" w:hAnsi="Verdana"/>
          <w:i/>
          <w:iCs/>
          <w:spacing w:val="-12"/>
          <w:sz w:val="16"/>
          <w:szCs w:val="16"/>
          <w:lang w:val="es-MX"/>
        </w:rPr>
        <w:t>Paniagua Morales y otros</w:t>
      </w:r>
      <w:r>
        <w:rPr>
          <w:rFonts w:ascii="Verdana" w:hAnsi="Verdana"/>
          <w:i/>
          <w:iCs/>
          <w:spacing w:val="-12"/>
          <w:sz w:val="16"/>
          <w:szCs w:val="16"/>
          <w:lang w:val="es-MX"/>
        </w:rPr>
        <w:t>) Vs. Guatemala. Fondo.</w:t>
      </w:r>
      <w:r w:rsidRPr="001F0A42">
        <w:rPr>
          <w:rFonts w:ascii="Verdana" w:hAnsi="Verdana"/>
          <w:spacing w:val="-12"/>
          <w:sz w:val="16"/>
          <w:szCs w:val="16"/>
          <w:lang w:val="es-MX"/>
        </w:rPr>
        <w:t xml:space="preserve"> Sentencia de 8 de marzo de 1998. Serie C No. 37, párr. 70.</w:t>
      </w:r>
    </w:p>
  </w:footnote>
  <w:footnote w:id="163">
    <w:p w14:paraId="76BFFD77" w14:textId="37103B8D"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EC69C6">
        <w:rPr>
          <w:rFonts w:ascii="Verdana" w:hAnsi="Verdana"/>
          <w:i/>
          <w:iCs/>
          <w:spacing w:val="-12"/>
          <w:sz w:val="16"/>
          <w:szCs w:val="16"/>
        </w:rPr>
        <w:t>C</w:t>
      </w:r>
      <w:r>
        <w:rPr>
          <w:rFonts w:ascii="Verdana" w:hAnsi="Verdana"/>
          <w:i/>
          <w:iCs/>
          <w:spacing w:val="-12"/>
          <w:sz w:val="16"/>
          <w:szCs w:val="16"/>
        </w:rPr>
        <w:t xml:space="preserve">fr. </w:t>
      </w:r>
      <w:r w:rsidRPr="00EC69C6">
        <w:rPr>
          <w:rFonts w:ascii="Verdana" w:hAnsi="Verdana"/>
          <w:i/>
          <w:iCs/>
          <w:spacing w:val="-12"/>
          <w:sz w:val="16"/>
          <w:szCs w:val="16"/>
          <w:lang w:val="es-MX"/>
        </w:rPr>
        <w:t>Caso Godínez Cruz Vs</w:t>
      </w:r>
      <w:r w:rsidRPr="00E64C71">
        <w:rPr>
          <w:rFonts w:ascii="Verdana" w:hAnsi="Verdana"/>
          <w:i/>
          <w:iCs/>
          <w:spacing w:val="-12"/>
          <w:sz w:val="16"/>
          <w:szCs w:val="16"/>
          <w:lang w:val="es-MX"/>
        </w:rPr>
        <w:t>. Honduras</w:t>
      </w:r>
      <w:r w:rsidRPr="00EC69C6">
        <w:rPr>
          <w:rFonts w:ascii="Verdana" w:hAnsi="Verdana"/>
          <w:i/>
          <w:iCs/>
          <w:spacing w:val="-12"/>
          <w:sz w:val="16"/>
          <w:szCs w:val="16"/>
          <w:lang w:val="es-MX"/>
        </w:rPr>
        <w:t>. Fondo</w:t>
      </w:r>
      <w:r w:rsidRPr="001F0A42">
        <w:rPr>
          <w:rFonts w:ascii="Verdana" w:hAnsi="Verdana"/>
          <w:i/>
          <w:spacing w:val="-12"/>
          <w:sz w:val="16"/>
          <w:szCs w:val="16"/>
          <w:lang w:val="es-MX"/>
        </w:rPr>
        <w:t xml:space="preserve">. </w:t>
      </w:r>
      <w:r w:rsidRPr="001F0A42">
        <w:rPr>
          <w:rFonts w:ascii="Verdana" w:hAnsi="Verdana"/>
          <w:spacing w:val="-12"/>
          <w:sz w:val="16"/>
          <w:szCs w:val="16"/>
          <w:lang w:val="es-MX"/>
        </w:rPr>
        <w:t>Sentencia de 20 de enero de 1989. Serie C No. 5. párr. 71.</w:t>
      </w:r>
    </w:p>
  </w:footnote>
  <w:footnote w:id="164">
    <w:p w14:paraId="3E6BB032" w14:textId="3C952964"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EC69C6">
        <w:rPr>
          <w:rFonts w:ascii="Verdana" w:hAnsi="Verdana"/>
          <w:i/>
          <w:iCs/>
          <w:spacing w:val="-12"/>
          <w:sz w:val="16"/>
          <w:szCs w:val="16"/>
        </w:rPr>
        <w:t>C</w:t>
      </w:r>
      <w:r>
        <w:rPr>
          <w:rFonts w:ascii="Verdana" w:hAnsi="Verdana"/>
          <w:i/>
          <w:iCs/>
          <w:spacing w:val="-12"/>
          <w:sz w:val="16"/>
          <w:szCs w:val="16"/>
        </w:rPr>
        <w:t xml:space="preserve">fr. </w:t>
      </w:r>
      <w:r w:rsidRPr="00EC69C6">
        <w:rPr>
          <w:rFonts w:ascii="Verdana" w:hAnsi="Verdana" w:cs="Verdana"/>
          <w:bCs/>
          <w:i/>
          <w:iCs/>
          <w:spacing w:val="-12"/>
          <w:sz w:val="16"/>
          <w:szCs w:val="16"/>
          <w:lang w:bidi="en-US"/>
        </w:rPr>
        <w:t>Caso Trabajadores Cesados del Congreso (Aguado Alfaro y otros) Vs. Perú. Excepciones Preliminares, Fondo, Reparaciones y Costas</w:t>
      </w:r>
      <w:r w:rsidRPr="001F0A42">
        <w:rPr>
          <w:rFonts w:ascii="Verdana" w:hAnsi="Verdana" w:cs="Verdana"/>
          <w:bCs/>
          <w:spacing w:val="-12"/>
          <w:sz w:val="16"/>
          <w:szCs w:val="16"/>
          <w:lang w:bidi="en-US"/>
        </w:rPr>
        <w:t>. Sentencia de 24 de Noviembre de 2006. Serie C No. 158</w:t>
      </w:r>
      <w:r>
        <w:rPr>
          <w:rFonts w:ascii="Verdana" w:hAnsi="Verdana" w:cs="Verdana"/>
          <w:bCs/>
          <w:spacing w:val="-12"/>
          <w:sz w:val="16"/>
          <w:szCs w:val="16"/>
          <w:lang w:bidi="en-US"/>
        </w:rPr>
        <w:t>,</w:t>
      </w:r>
      <w:r w:rsidRPr="001F0A42">
        <w:rPr>
          <w:rFonts w:ascii="Verdana" w:hAnsi="Verdana" w:cs="Verdana"/>
          <w:bCs/>
          <w:spacing w:val="-12"/>
          <w:sz w:val="16"/>
          <w:szCs w:val="16"/>
          <w:lang w:bidi="en-US"/>
        </w:rPr>
        <w:t xml:space="preserve"> </w:t>
      </w:r>
      <w:r>
        <w:rPr>
          <w:rFonts w:ascii="Verdana" w:hAnsi="Verdana" w:cs="Verdana"/>
          <w:bCs/>
          <w:spacing w:val="-12"/>
          <w:sz w:val="16"/>
          <w:szCs w:val="16"/>
          <w:lang w:bidi="en-US"/>
        </w:rPr>
        <w:t>párrs</w:t>
      </w:r>
      <w:r w:rsidRPr="001F0A42">
        <w:rPr>
          <w:rFonts w:ascii="Verdana" w:hAnsi="Verdana" w:cs="Verdana"/>
          <w:bCs/>
          <w:spacing w:val="-12"/>
          <w:sz w:val="16"/>
          <w:szCs w:val="16"/>
          <w:lang w:bidi="en-US"/>
        </w:rPr>
        <w:t>. 126 y 127.</w:t>
      </w:r>
    </w:p>
  </w:footnote>
  <w:footnote w:id="165">
    <w:p w14:paraId="449F1BE0" w14:textId="3796B68F" w:rsidR="00D93B58" w:rsidRPr="001F0A42" w:rsidRDefault="00D93B58" w:rsidP="00C10D2F">
      <w:pPr>
        <w:autoSpaceDE w:val="0"/>
        <w:autoSpaceDN w:val="0"/>
        <w:adjustRightInd w:val="0"/>
        <w:spacing w:before="120" w:after="120" w:line="240" w:lineRule="auto"/>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EC69C6">
        <w:rPr>
          <w:rFonts w:ascii="Verdana" w:hAnsi="Verdana"/>
          <w:i/>
          <w:iCs/>
          <w:spacing w:val="-12"/>
          <w:sz w:val="16"/>
          <w:szCs w:val="16"/>
        </w:rPr>
        <w:t>C</w:t>
      </w:r>
      <w:r>
        <w:rPr>
          <w:rFonts w:ascii="Verdana" w:hAnsi="Verdana"/>
          <w:i/>
          <w:iCs/>
          <w:spacing w:val="-12"/>
          <w:sz w:val="16"/>
          <w:szCs w:val="16"/>
        </w:rPr>
        <w:t xml:space="preserve">fr. </w:t>
      </w:r>
      <w:r w:rsidRPr="00EC69C6">
        <w:rPr>
          <w:rFonts w:ascii="Verdana" w:hAnsi="Verdana" w:cs="Cambria"/>
          <w:i/>
          <w:iCs/>
          <w:spacing w:val="-12"/>
          <w:sz w:val="16"/>
          <w:szCs w:val="16"/>
        </w:rPr>
        <w:t>Caso Cantos Vs. Argentina. Fondo, Reparaciones y Costas</w:t>
      </w:r>
      <w:r w:rsidRPr="001F0A42">
        <w:rPr>
          <w:rFonts w:ascii="Verdana" w:hAnsi="Verdana" w:cs="Cambria"/>
          <w:spacing w:val="-12"/>
          <w:sz w:val="16"/>
          <w:szCs w:val="16"/>
        </w:rPr>
        <w:t>. Sentencia de 28 de noviembre de 2002. Serie C No. 97, párr. 50</w:t>
      </w:r>
      <w:r>
        <w:rPr>
          <w:rFonts w:ascii="Verdana" w:hAnsi="Verdana" w:cs="Cambria"/>
          <w:spacing w:val="-12"/>
          <w:sz w:val="16"/>
          <w:szCs w:val="16"/>
        </w:rPr>
        <w:t>.</w:t>
      </w:r>
    </w:p>
  </w:footnote>
  <w:footnote w:id="166">
    <w:p w14:paraId="7725BBDB" w14:textId="60DA8417"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Style w:val="Textoennegrita"/>
          <w:rFonts w:ascii="Verdana" w:hAnsi="Verdana"/>
          <w:b w:val="0"/>
          <w:spacing w:val="-12"/>
          <w:sz w:val="16"/>
          <w:szCs w:val="16"/>
          <w:shd w:val="clear" w:color="auto" w:fill="FFFFFF"/>
          <w:lang w:val="es-CR"/>
        </w:rPr>
        <w:t>El artículo 2045 Código de Procedimiento Civil disponía que los jueces están facultados para ordenar al secretario que exija de las partes el papel necesario para sacar copias al expediente y para imponer una multa al que se niegue a proveerlo. La misma norma dispone que el tercer día de requerida la multa, sin que el recurrente haya provisto el papel, el juez podrá dar por terminada la instancia.</w:t>
      </w:r>
    </w:p>
  </w:footnote>
  <w:footnote w:id="167">
    <w:p w14:paraId="099FE708" w14:textId="4D30F1EA" w:rsidR="00D93B58" w:rsidRPr="001F0A42" w:rsidRDefault="00D93B58" w:rsidP="00C10D2F">
      <w:pPr>
        <w:autoSpaceDE w:val="0"/>
        <w:autoSpaceDN w:val="0"/>
        <w:adjustRightInd w:val="0"/>
        <w:spacing w:before="120" w:after="120" w:line="240" w:lineRule="auto"/>
        <w:jc w:val="both"/>
        <w:rPr>
          <w:rStyle w:val="Textoennegrita"/>
          <w:rFonts w:ascii="Verdana" w:eastAsia="Times New Roman" w:hAnsi="Verdana" w:cs="Times New Roman"/>
          <w:b w:val="0"/>
          <w:spacing w:val="-12"/>
          <w:sz w:val="16"/>
          <w:szCs w:val="16"/>
          <w:shd w:val="clear" w:color="auto" w:fill="FFFFFF"/>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Style w:val="Textoennegrita"/>
          <w:rFonts w:ascii="Verdana" w:eastAsia="Times New Roman" w:hAnsi="Verdana" w:cs="Times New Roman"/>
          <w:b w:val="0"/>
          <w:spacing w:val="-12"/>
          <w:sz w:val="16"/>
          <w:szCs w:val="16"/>
          <w:shd w:val="clear" w:color="auto" w:fill="FFFFFF"/>
        </w:rPr>
        <w:t xml:space="preserve">Las representantes refirieron al art. 160 del Código de Procedimiento Civil, según el cual </w:t>
      </w:r>
      <w:r>
        <w:rPr>
          <w:rStyle w:val="Textoennegrita"/>
          <w:rFonts w:ascii="Verdana" w:eastAsia="Times New Roman" w:hAnsi="Verdana" w:cs="Times New Roman"/>
          <w:b w:val="0"/>
          <w:spacing w:val="-12"/>
          <w:sz w:val="16"/>
          <w:szCs w:val="16"/>
          <w:shd w:val="clear" w:color="auto" w:fill="FFFFFF"/>
        </w:rPr>
        <w:t>“los términos judiciales empezarán</w:t>
      </w:r>
      <w:r w:rsidRPr="001F0A42">
        <w:rPr>
          <w:rStyle w:val="Textoennegrita"/>
          <w:rFonts w:ascii="Verdana" w:eastAsia="Times New Roman" w:hAnsi="Verdana" w:cs="Times New Roman"/>
          <w:b w:val="0"/>
          <w:spacing w:val="-12"/>
          <w:sz w:val="16"/>
          <w:szCs w:val="16"/>
          <w:shd w:val="clear" w:color="auto" w:fill="FFFFFF"/>
        </w:rPr>
        <w:t xml:space="preserve"> a correr a partir </w:t>
      </w:r>
      <w:r>
        <w:rPr>
          <w:rStyle w:val="Textoennegrita"/>
          <w:rFonts w:ascii="Verdana" w:eastAsia="Times New Roman" w:hAnsi="Verdana" w:cs="Times New Roman"/>
          <w:b w:val="0"/>
          <w:spacing w:val="-12"/>
          <w:sz w:val="16"/>
          <w:szCs w:val="16"/>
          <w:shd w:val="clear" w:color="auto" w:fill="FFFFFF"/>
        </w:rPr>
        <w:t xml:space="preserve">desde </w:t>
      </w:r>
      <w:r w:rsidRPr="001F0A42">
        <w:rPr>
          <w:rStyle w:val="Textoennegrita"/>
          <w:rFonts w:ascii="Verdana" w:eastAsia="Times New Roman" w:hAnsi="Verdana" w:cs="Times New Roman"/>
          <w:b w:val="0"/>
          <w:spacing w:val="-12"/>
          <w:sz w:val="16"/>
          <w:szCs w:val="16"/>
          <w:shd w:val="clear" w:color="auto" w:fill="FFFFFF"/>
        </w:rPr>
        <w:t>el</w:t>
      </w:r>
      <w:r>
        <w:rPr>
          <w:rStyle w:val="Textoennegrita"/>
          <w:rFonts w:ascii="Verdana" w:eastAsia="Times New Roman" w:hAnsi="Verdana" w:cs="Times New Roman"/>
          <w:b w:val="0"/>
          <w:spacing w:val="-12"/>
          <w:sz w:val="16"/>
          <w:szCs w:val="16"/>
          <w:shd w:val="clear" w:color="auto" w:fill="FFFFFF"/>
        </w:rPr>
        <w:t xml:space="preserve"> día siguiente al que se hubiere</w:t>
      </w:r>
      <w:r w:rsidRPr="001F0A42">
        <w:rPr>
          <w:rStyle w:val="Textoennegrita"/>
          <w:rFonts w:ascii="Verdana" w:eastAsia="Times New Roman" w:hAnsi="Verdana" w:cs="Times New Roman"/>
          <w:b w:val="0"/>
          <w:spacing w:val="-12"/>
          <w:sz w:val="16"/>
          <w:szCs w:val="16"/>
          <w:shd w:val="clear" w:color="auto" w:fill="FFFFFF"/>
        </w:rPr>
        <w:t xml:space="preserve"> hecho </w:t>
      </w:r>
      <w:r>
        <w:rPr>
          <w:rStyle w:val="Textoennegrita"/>
          <w:rFonts w:ascii="Verdana" w:eastAsia="Times New Roman" w:hAnsi="Verdana" w:cs="Times New Roman"/>
          <w:b w:val="0"/>
          <w:spacing w:val="-12"/>
          <w:sz w:val="16"/>
          <w:szCs w:val="16"/>
          <w:shd w:val="clear" w:color="auto" w:fill="FFFFFF"/>
        </w:rPr>
        <w:t xml:space="preserve">el emplazamiento, citación o </w:t>
      </w:r>
      <w:r w:rsidRPr="001F0A42">
        <w:rPr>
          <w:rStyle w:val="Textoennegrita"/>
          <w:rFonts w:ascii="Verdana" w:eastAsia="Times New Roman" w:hAnsi="Verdana" w:cs="Times New Roman"/>
          <w:b w:val="0"/>
          <w:spacing w:val="-12"/>
          <w:sz w:val="16"/>
          <w:szCs w:val="16"/>
          <w:shd w:val="clear" w:color="auto" w:fill="FFFFFF"/>
        </w:rPr>
        <w:t xml:space="preserve">notificación”. </w:t>
      </w:r>
      <w:r>
        <w:rPr>
          <w:rStyle w:val="Textoennegrita"/>
          <w:rFonts w:ascii="Verdana" w:eastAsia="Times New Roman" w:hAnsi="Verdana" w:cs="Times New Roman"/>
          <w:b w:val="0"/>
          <w:spacing w:val="-12"/>
          <w:sz w:val="16"/>
          <w:szCs w:val="16"/>
          <w:shd w:val="clear" w:color="auto" w:fill="FFFFFF"/>
        </w:rPr>
        <w:t>Esta norma también fue citada por la Fiscal Auxiliar de la RAAS al solicitar la nulidad de tal actuación del juez, quien también se refirió al artículo 162 de dicho Código y al Código Civil para alegar que “el término para presentar el gasto del papel expiraba propiamente a las doce de la noche del día veintitrés de mayo de dos mil dos”.</w:t>
      </w:r>
    </w:p>
  </w:footnote>
  <w:footnote w:id="168">
    <w:p w14:paraId="2C0957FE" w14:textId="59ECB6E3" w:rsidR="00D93B58" w:rsidRPr="001F0A42" w:rsidRDefault="00D93B58" w:rsidP="00C10D2F">
      <w:pPr>
        <w:autoSpaceDE w:val="0"/>
        <w:autoSpaceDN w:val="0"/>
        <w:adjustRightInd w:val="0"/>
        <w:spacing w:before="120" w:after="120" w:line="240" w:lineRule="auto"/>
        <w:jc w:val="both"/>
        <w:rPr>
          <w:rStyle w:val="Textoennegrita"/>
          <w:rFonts w:ascii="Verdana" w:hAnsi="Verdana"/>
          <w:b w:val="0"/>
          <w:spacing w:val="-12"/>
          <w:sz w:val="16"/>
          <w:szCs w:val="16"/>
          <w:shd w:val="clear" w:color="auto" w:fill="FFFFFF"/>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Style w:val="Textoennegrita"/>
          <w:rFonts w:ascii="Verdana" w:hAnsi="Verdana"/>
          <w:spacing w:val="-12"/>
          <w:sz w:val="16"/>
          <w:szCs w:val="16"/>
          <w:shd w:val="clear" w:color="auto" w:fill="FFFFFF"/>
        </w:rPr>
        <w:tab/>
      </w:r>
      <w:r w:rsidRPr="001F0A42">
        <w:rPr>
          <w:rStyle w:val="Textoennegrita"/>
          <w:rFonts w:ascii="Verdana" w:eastAsia="Times New Roman" w:hAnsi="Verdana" w:cs="Times New Roman"/>
          <w:b w:val="0"/>
          <w:spacing w:val="-12"/>
          <w:sz w:val="16"/>
          <w:szCs w:val="16"/>
          <w:shd w:val="clear" w:color="auto" w:fill="FFFFFF"/>
        </w:rPr>
        <w:t>Art. 471 del Código de Procedimiento Civil: “La remisión del proceso se hará por el Juez a costa del apelante; y si este se niega a proveer para gastos dentro del término de veinticuatro horas que el Juez le señala al efecto, la parte contraria podrá pedir que se declare desierto el recurso, y el Juez lo declarará así, si es cierta la negativa”.</w:t>
      </w:r>
    </w:p>
  </w:footnote>
  <w:footnote w:id="169">
    <w:p w14:paraId="43C5D8C3" w14:textId="77777777"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i/>
          <w:spacing w:val="-12"/>
          <w:sz w:val="16"/>
          <w:szCs w:val="16"/>
          <w:lang w:val="es-CR"/>
        </w:rPr>
        <w:t xml:space="preserve">Cfr. </w:t>
      </w:r>
      <w:r w:rsidRPr="001F0A42">
        <w:rPr>
          <w:rStyle w:val="Textoennegrita"/>
          <w:rFonts w:ascii="Verdana" w:hAnsi="Verdana"/>
          <w:b w:val="0"/>
          <w:i/>
          <w:spacing w:val="-12"/>
          <w:sz w:val="16"/>
          <w:szCs w:val="16"/>
          <w:shd w:val="clear" w:color="auto" w:fill="FFFFFF"/>
          <w:lang w:val="es-CR"/>
        </w:rPr>
        <w:t>Caso Myrna Mack Chang Vs. Guatemala. Fondo, Reparaciones y Costas</w:t>
      </w:r>
      <w:r w:rsidRPr="001F0A42">
        <w:rPr>
          <w:rStyle w:val="Textoennegrita"/>
          <w:rFonts w:ascii="Verdana" w:hAnsi="Verdana"/>
          <w:b w:val="0"/>
          <w:spacing w:val="-12"/>
          <w:sz w:val="16"/>
          <w:szCs w:val="16"/>
          <w:shd w:val="clear" w:color="auto" w:fill="FFFFFF"/>
          <w:lang w:val="es-CR"/>
        </w:rPr>
        <w:t>. Sentencia de 25 de noviembre de 2003. Serie C No. 101,</w:t>
      </w:r>
      <w:r w:rsidRPr="001F0A42">
        <w:rPr>
          <w:rStyle w:val="Textoennegrita"/>
          <w:rFonts w:ascii="Verdana" w:hAnsi="Verdana"/>
          <w:spacing w:val="-12"/>
          <w:sz w:val="16"/>
          <w:szCs w:val="16"/>
          <w:shd w:val="clear" w:color="auto" w:fill="FFFFFF"/>
          <w:lang w:val="es-CR"/>
        </w:rPr>
        <w:t xml:space="preserve"> </w:t>
      </w:r>
      <w:r w:rsidRPr="001F0A42">
        <w:rPr>
          <w:rFonts w:ascii="Verdana" w:hAnsi="Verdana"/>
          <w:spacing w:val="-12"/>
          <w:sz w:val="16"/>
          <w:szCs w:val="16"/>
          <w:lang w:val="es-CR"/>
        </w:rPr>
        <w:t xml:space="preserve">párr. 211, y </w:t>
      </w:r>
      <w:r w:rsidRPr="001F0A42">
        <w:rPr>
          <w:rStyle w:val="Textoennegrita"/>
          <w:rFonts w:ascii="Verdana" w:hAnsi="Verdana"/>
          <w:b w:val="0"/>
          <w:i/>
          <w:spacing w:val="-12"/>
          <w:sz w:val="16"/>
          <w:szCs w:val="16"/>
          <w:shd w:val="clear" w:color="auto" w:fill="FFFFFF"/>
          <w:lang w:val="es-CR"/>
        </w:rPr>
        <w:t>Caso Luna López Vs. Honduras. Fondo, Reparaciones y Costas</w:t>
      </w:r>
      <w:r w:rsidRPr="001F0A42">
        <w:rPr>
          <w:rStyle w:val="Textoennegrita"/>
          <w:rFonts w:ascii="Verdana" w:hAnsi="Verdana"/>
          <w:b w:val="0"/>
          <w:spacing w:val="-12"/>
          <w:sz w:val="16"/>
          <w:szCs w:val="16"/>
          <w:shd w:val="clear" w:color="auto" w:fill="FFFFFF"/>
          <w:lang w:val="es-CR"/>
        </w:rPr>
        <w:t>. Sentencia de 10 de octubre de 2013. Serie C No. 269</w:t>
      </w:r>
      <w:r w:rsidRPr="001F0A42">
        <w:rPr>
          <w:rFonts w:ascii="Verdana" w:hAnsi="Verdana"/>
          <w:i/>
          <w:spacing w:val="-12"/>
          <w:sz w:val="16"/>
          <w:szCs w:val="16"/>
          <w:lang w:val="es-CR"/>
        </w:rPr>
        <w:t>,</w:t>
      </w:r>
      <w:r w:rsidRPr="001F0A42">
        <w:rPr>
          <w:rFonts w:ascii="Verdana" w:hAnsi="Verdana"/>
          <w:spacing w:val="-12"/>
          <w:sz w:val="16"/>
          <w:szCs w:val="16"/>
          <w:lang w:val="es-CR"/>
        </w:rPr>
        <w:t xml:space="preserve"> párr. 156.</w:t>
      </w:r>
    </w:p>
  </w:footnote>
  <w:footnote w:id="170">
    <w:p w14:paraId="509E29BE" w14:textId="5E7E44F9" w:rsidR="00D93B58" w:rsidRPr="001F0A42" w:rsidRDefault="00D93B58" w:rsidP="00C10D2F">
      <w:pPr>
        <w:pStyle w:val="Textonotapie"/>
        <w:spacing w:before="120" w:after="120"/>
        <w:jc w:val="both"/>
        <w:rPr>
          <w:rFonts w:ascii="Verdana" w:eastAsia="Batang" w:hAnsi="Verdana"/>
          <w:i/>
          <w:spacing w:val="-12"/>
          <w:sz w:val="16"/>
          <w:szCs w:val="16"/>
          <w:lang w:val="es-CL" w:eastAsia="es-ES"/>
        </w:rPr>
      </w:pPr>
      <w:r w:rsidRPr="001F0A42">
        <w:rPr>
          <w:rStyle w:val="Refdenotaalpie"/>
          <w:rFonts w:ascii="Verdana" w:hAnsi="Verdana"/>
          <w:spacing w:val="-12"/>
          <w:sz w:val="16"/>
          <w:szCs w:val="16"/>
        </w:rPr>
        <w:footnoteRef/>
      </w:r>
      <w:r w:rsidRPr="001F0A42">
        <w:rPr>
          <w:rFonts w:ascii="Verdana" w:hAnsi="Verdana"/>
          <w:spacing w:val="-12"/>
          <w:sz w:val="16"/>
          <w:szCs w:val="16"/>
          <w:lang w:val="es-CL"/>
        </w:rPr>
        <w:t xml:space="preserve"> </w:t>
      </w:r>
      <w:r w:rsidRPr="001F0A42">
        <w:rPr>
          <w:rFonts w:ascii="Verdana" w:hAnsi="Verdana"/>
          <w:spacing w:val="-12"/>
          <w:sz w:val="16"/>
          <w:szCs w:val="16"/>
          <w:lang w:val="es-CL"/>
        </w:rPr>
        <w:tab/>
      </w:r>
      <w:r w:rsidRPr="001F0A42">
        <w:rPr>
          <w:rFonts w:ascii="Verdana" w:hAnsi="Verdana"/>
          <w:i/>
          <w:spacing w:val="-12"/>
          <w:sz w:val="16"/>
          <w:szCs w:val="16"/>
          <w:lang w:val="es-CL"/>
        </w:rPr>
        <w:t>Cfr. Caso del Tribunal Constitucional Vs. Perú</w:t>
      </w:r>
      <w:r>
        <w:rPr>
          <w:rFonts w:ascii="Verdana" w:hAnsi="Verdana"/>
          <w:i/>
          <w:spacing w:val="-12"/>
          <w:sz w:val="16"/>
          <w:szCs w:val="16"/>
          <w:lang w:val="es-CL"/>
        </w:rPr>
        <w:t xml:space="preserve">. Fondo, Reparaciones y Costas. </w:t>
      </w:r>
      <w:r>
        <w:rPr>
          <w:rFonts w:ascii="Verdana" w:hAnsi="Verdana"/>
          <w:iCs/>
          <w:spacing w:val="-12"/>
          <w:sz w:val="16"/>
          <w:szCs w:val="16"/>
          <w:lang w:val="es-CL"/>
        </w:rPr>
        <w:t>Sentencia de 31 de enero de 2001. Serie C No. 71</w:t>
      </w:r>
      <w:r w:rsidRPr="001F0A42">
        <w:rPr>
          <w:rFonts w:ascii="Verdana" w:hAnsi="Verdana"/>
          <w:i/>
          <w:spacing w:val="-12"/>
          <w:sz w:val="16"/>
          <w:szCs w:val="16"/>
          <w:lang w:val="es-CL"/>
        </w:rPr>
        <w:t>,</w:t>
      </w:r>
      <w:r w:rsidRPr="001F0A42">
        <w:rPr>
          <w:rFonts w:ascii="Verdana" w:hAnsi="Verdana"/>
          <w:spacing w:val="-12"/>
          <w:sz w:val="16"/>
          <w:szCs w:val="16"/>
          <w:lang w:val="es-CL"/>
        </w:rPr>
        <w:t xml:space="preserve"> párr</w:t>
      </w:r>
      <w:r>
        <w:rPr>
          <w:rFonts w:ascii="Verdana" w:hAnsi="Verdana"/>
          <w:spacing w:val="-12"/>
          <w:sz w:val="16"/>
          <w:szCs w:val="16"/>
          <w:lang w:val="es-CL"/>
        </w:rPr>
        <w:t>s</w:t>
      </w:r>
      <w:r w:rsidRPr="001F0A42">
        <w:rPr>
          <w:rFonts w:ascii="Verdana" w:hAnsi="Verdana"/>
          <w:spacing w:val="-12"/>
          <w:sz w:val="16"/>
          <w:szCs w:val="16"/>
          <w:lang w:val="es-CL"/>
        </w:rPr>
        <w:t xml:space="preserve">. 73 y 75, </w:t>
      </w:r>
      <w:r>
        <w:rPr>
          <w:rFonts w:ascii="Verdana" w:hAnsi="Verdana"/>
          <w:spacing w:val="-12"/>
          <w:sz w:val="16"/>
          <w:szCs w:val="16"/>
          <w:lang w:val="es-CL"/>
        </w:rPr>
        <w:t xml:space="preserve">y </w:t>
      </w:r>
      <w:r w:rsidRPr="001F0A42">
        <w:rPr>
          <w:rFonts w:ascii="Verdana" w:hAnsi="Verdana"/>
          <w:i/>
          <w:spacing w:val="-12"/>
          <w:sz w:val="16"/>
          <w:szCs w:val="16"/>
        </w:rPr>
        <w:t>Caso Argüelles y otros vs. Argentina</w:t>
      </w:r>
      <w:r>
        <w:rPr>
          <w:rFonts w:ascii="Verdana" w:hAnsi="Verdana"/>
          <w:i/>
          <w:spacing w:val="-12"/>
          <w:sz w:val="16"/>
          <w:szCs w:val="16"/>
        </w:rPr>
        <w:t>. Excepciones Preliminares, Fondo, Reparaciones y Costas</w:t>
      </w:r>
      <w:r>
        <w:rPr>
          <w:rFonts w:ascii="Verdana" w:hAnsi="Verdana"/>
          <w:iCs/>
          <w:spacing w:val="-12"/>
          <w:sz w:val="16"/>
          <w:szCs w:val="16"/>
        </w:rPr>
        <w:t>. Sentencia de 20 de noviembre de 2014. Serie C no. 288</w:t>
      </w:r>
      <w:r w:rsidRPr="001F0A42">
        <w:rPr>
          <w:rFonts w:ascii="Verdana" w:hAnsi="Verdana"/>
          <w:i/>
          <w:spacing w:val="-12"/>
          <w:sz w:val="16"/>
          <w:szCs w:val="16"/>
        </w:rPr>
        <w:t xml:space="preserve">, </w:t>
      </w:r>
      <w:r w:rsidRPr="00EC69C6">
        <w:rPr>
          <w:rFonts w:ascii="Verdana" w:hAnsi="Verdana"/>
          <w:iCs/>
          <w:spacing w:val="-12"/>
          <w:sz w:val="16"/>
          <w:szCs w:val="16"/>
        </w:rPr>
        <w:t>párr. 147</w:t>
      </w:r>
      <w:r>
        <w:rPr>
          <w:rFonts w:ascii="Verdana" w:hAnsi="Verdana"/>
          <w:iCs/>
          <w:spacing w:val="-12"/>
          <w:sz w:val="16"/>
          <w:szCs w:val="16"/>
        </w:rPr>
        <w:t>.</w:t>
      </w:r>
    </w:p>
  </w:footnote>
  <w:footnote w:id="171">
    <w:p w14:paraId="31D20986" w14:textId="6092100E" w:rsidR="00D93B58" w:rsidRPr="00B168DE" w:rsidRDefault="00D93B58" w:rsidP="00C10D2F">
      <w:pPr>
        <w:pStyle w:val="Textonotapie"/>
        <w:tabs>
          <w:tab w:val="left" w:pos="426"/>
        </w:tabs>
        <w:spacing w:before="120" w:after="120"/>
        <w:jc w:val="both"/>
        <w:rPr>
          <w:rFonts w:ascii="Verdana" w:eastAsia="Calibri" w:hAnsi="Verdana" w:cs="Verdana"/>
          <w:spacing w:val="-4"/>
          <w:sz w:val="16"/>
          <w:szCs w:val="16"/>
          <w:lang w:val="es-ES_tradnl" w:eastAsia="es-ES"/>
        </w:rPr>
      </w:pPr>
      <w:r w:rsidRPr="00B168DE">
        <w:rPr>
          <w:rStyle w:val="Refdenotaalpie"/>
          <w:rFonts w:ascii="Verdana" w:hAnsi="Verdana"/>
          <w:spacing w:val="-4"/>
          <w:sz w:val="16"/>
          <w:szCs w:val="16"/>
        </w:rPr>
        <w:footnoteRef/>
      </w:r>
      <w:r w:rsidRPr="00B168DE">
        <w:rPr>
          <w:rFonts w:ascii="Verdana" w:hAnsi="Verdana"/>
          <w:spacing w:val="-4"/>
          <w:sz w:val="16"/>
          <w:szCs w:val="16"/>
        </w:rPr>
        <w:t xml:space="preserve"> </w:t>
      </w:r>
      <w:r w:rsidRPr="00B168DE">
        <w:rPr>
          <w:rFonts w:ascii="Verdana" w:hAnsi="Verdana"/>
          <w:i/>
          <w:spacing w:val="-12"/>
          <w:sz w:val="16"/>
          <w:szCs w:val="16"/>
        </w:rPr>
        <w:tab/>
        <w:t xml:space="preserve">Cfr. Caso Apitz Barbera y otros (“Corte Primera de lo Contencioso Administrativo”) Vs. Venezuela. Excepción Preliminar, Fondo, Reparaciones y Costas. </w:t>
      </w:r>
      <w:r w:rsidRPr="00EC69C6">
        <w:rPr>
          <w:rFonts w:ascii="Verdana" w:hAnsi="Verdana"/>
          <w:iCs/>
          <w:spacing w:val="-12"/>
          <w:sz w:val="16"/>
          <w:szCs w:val="16"/>
        </w:rPr>
        <w:t xml:space="preserve">Sentencia de 5 de agosto de 2008. Serie C </w:t>
      </w:r>
      <w:r w:rsidRPr="00EC69C6">
        <w:rPr>
          <w:rFonts w:ascii="Verdana" w:hAnsi="Verdana"/>
          <w:bCs/>
          <w:iCs/>
          <w:spacing w:val="-12"/>
          <w:sz w:val="16"/>
          <w:szCs w:val="16"/>
        </w:rPr>
        <w:t>No. 182</w:t>
      </w:r>
      <w:r w:rsidRPr="00EC69C6">
        <w:rPr>
          <w:rFonts w:ascii="Verdana" w:hAnsi="Verdana"/>
          <w:iCs/>
          <w:spacing w:val="-12"/>
          <w:sz w:val="16"/>
          <w:szCs w:val="16"/>
        </w:rPr>
        <w:t>, párr. 56</w:t>
      </w:r>
      <w:r>
        <w:rPr>
          <w:rFonts w:ascii="Verdana" w:hAnsi="Verdana"/>
          <w:i/>
          <w:spacing w:val="-12"/>
          <w:sz w:val="16"/>
          <w:szCs w:val="16"/>
        </w:rPr>
        <w:t xml:space="preserve">; y </w:t>
      </w:r>
      <w:r w:rsidRPr="00B168DE">
        <w:rPr>
          <w:rFonts w:ascii="Verdana" w:hAnsi="Verdana"/>
          <w:i/>
          <w:spacing w:val="-12"/>
          <w:sz w:val="16"/>
          <w:szCs w:val="16"/>
        </w:rPr>
        <w:t xml:space="preserve">Caso </w:t>
      </w:r>
      <w:r>
        <w:rPr>
          <w:rFonts w:ascii="Verdana" w:hAnsi="Verdana"/>
          <w:i/>
          <w:spacing w:val="-12"/>
          <w:sz w:val="16"/>
          <w:szCs w:val="16"/>
        </w:rPr>
        <w:t xml:space="preserve">Valencia Hinojosa vs. Ecuador, supra, </w:t>
      </w:r>
      <w:r>
        <w:rPr>
          <w:rFonts w:ascii="Verdana" w:hAnsi="Verdana"/>
          <w:spacing w:val="-12"/>
          <w:sz w:val="16"/>
          <w:szCs w:val="16"/>
        </w:rPr>
        <w:t>párr. 93.</w:t>
      </w:r>
    </w:p>
  </w:footnote>
  <w:footnote w:id="172">
    <w:p w14:paraId="34B844E7" w14:textId="010310D0"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i/>
          <w:spacing w:val="-12"/>
          <w:sz w:val="16"/>
          <w:szCs w:val="16"/>
        </w:rPr>
        <w:t>Cfr. Caso Apitz Barbera y otros (“Corte Primera de lo Contencioso Administrativo”) Vs. Venezuela</w:t>
      </w:r>
      <w:r w:rsidRPr="001F0A42">
        <w:rPr>
          <w:rFonts w:ascii="Verdana" w:hAnsi="Verdana" w:cs="Arial"/>
          <w:bCs/>
          <w:spacing w:val="-12"/>
          <w:sz w:val="16"/>
          <w:szCs w:val="16"/>
        </w:rPr>
        <w:t>,</w:t>
      </w:r>
      <w:r w:rsidRPr="001F0A42">
        <w:rPr>
          <w:rFonts w:ascii="Verdana" w:hAnsi="Verdana"/>
          <w:spacing w:val="-12"/>
          <w:sz w:val="16"/>
          <w:szCs w:val="16"/>
        </w:rPr>
        <w:t xml:space="preserve"> </w:t>
      </w:r>
      <w:r w:rsidRPr="00EC69C6">
        <w:rPr>
          <w:rFonts w:ascii="Verdana" w:hAnsi="Verdana"/>
          <w:i/>
          <w:spacing w:val="-12"/>
          <w:sz w:val="16"/>
          <w:szCs w:val="16"/>
        </w:rPr>
        <w:t>supra</w:t>
      </w:r>
      <w:r>
        <w:rPr>
          <w:rFonts w:ascii="Verdana" w:hAnsi="Verdana"/>
          <w:spacing w:val="-12"/>
          <w:sz w:val="16"/>
          <w:szCs w:val="16"/>
        </w:rPr>
        <w:t xml:space="preserve">, </w:t>
      </w:r>
      <w:r w:rsidRPr="00AC19B4">
        <w:rPr>
          <w:rFonts w:ascii="Verdana" w:hAnsi="Verdana"/>
          <w:spacing w:val="-12"/>
          <w:sz w:val="16"/>
          <w:szCs w:val="16"/>
        </w:rPr>
        <w:t>párr</w:t>
      </w:r>
      <w:r w:rsidRPr="001F0A42">
        <w:rPr>
          <w:rFonts w:ascii="Verdana" w:hAnsi="Verdana"/>
          <w:spacing w:val="-12"/>
          <w:sz w:val="16"/>
          <w:szCs w:val="16"/>
        </w:rPr>
        <w:t>. 56</w:t>
      </w:r>
      <w:r>
        <w:rPr>
          <w:rFonts w:ascii="Verdana" w:hAnsi="Verdana"/>
          <w:spacing w:val="-12"/>
          <w:sz w:val="16"/>
          <w:szCs w:val="16"/>
        </w:rPr>
        <w:t>,</w:t>
      </w:r>
      <w:r w:rsidRPr="001F0A42">
        <w:rPr>
          <w:rFonts w:ascii="Verdana" w:hAnsi="Verdana"/>
          <w:spacing w:val="-12"/>
          <w:sz w:val="16"/>
          <w:szCs w:val="16"/>
        </w:rPr>
        <w:t xml:space="preserve"> </w:t>
      </w:r>
      <w:r>
        <w:rPr>
          <w:rFonts w:ascii="Verdana" w:hAnsi="Verdana"/>
          <w:i/>
          <w:spacing w:val="-12"/>
          <w:sz w:val="16"/>
          <w:szCs w:val="16"/>
        </w:rPr>
        <w:t>y</w:t>
      </w:r>
      <w:r w:rsidRPr="001F0A42">
        <w:rPr>
          <w:rFonts w:ascii="Verdana" w:hAnsi="Verdana"/>
          <w:spacing w:val="-12"/>
          <w:sz w:val="16"/>
          <w:szCs w:val="16"/>
        </w:rPr>
        <w:t xml:space="preserve"> </w:t>
      </w:r>
      <w:r w:rsidRPr="001F0A42">
        <w:rPr>
          <w:rFonts w:ascii="Verdana" w:hAnsi="Verdana"/>
          <w:i/>
          <w:spacing w:val="-12"/>
          <w:sz w:val="16"/>
          <w:szCs w:val="16"/>
        </w:rPr>
        <w:t xml:space="preserve">Caso Argüelles y otros vs. Argentina, </w:t>
      </w:r>
      <w:r w:rsidRPr="00EC69C6">
        <w:rPr>
          <w:rFonts w:ascii="Verdana" w:hAnsi="Verdana"/>
          <w:i/>
          <w:iCs/>
          <w:spacing w:val="-12"/>
          <w:sz w:val="16"/>
          <w:szCs w:val="16"/>
        </w:rPr>
        <w:t>supra</w:t>
      </w:r>
      <w:r>
        <w:rPr>
          <w:rFonts w:ascii="Verdana" w:hAnsi="Verdana"/>
          <w:iCs/>
          <w:spacing w:val="-12"/>
          <w:sz w:val="16"/>
          <w:szCs w:val="16"/>
        </w:rPr>
        <w:t xml:space="preserve">, </w:t>
      </w:r>
      <w:r w:rsidRPr="00EC69C6">
        <w:rPr>
          <w:rFonts w:ascii="Verdana" w:hAnsi="Verdana"/>
          <w:iCs/>
          <w:spacing w:val="-12"/>
          <w:sz w:val="16"/>
          <w:szCs w:val="16"/>
        </w:rPr>
        <w:t>párr</w:t>
      </w:r>
      <w:r>
        <w:rPr>
          <w:rFonts w:ascii="Verdana" w:hAnsi="Verdana"/>
          <w:iCs/>
          <w:spacing w:val="-12"/>
          <w:sz w:val="16"/>
          <w:szCs w:val="16"/>
        </w:rPr>
        <w:t>s</w:t>
      </w:r>
      <w:r w:rsidRPr="00EC69C6">
        <w:rPr>
          <w:rFonts w:ascii="Verdana" w:hAnsi="Verdana"/>
          <w:iCs/>
          <w:spacing w:val="-12"/>
          <w:sz w:val="16"/>
          <w:szCs w:val="16"/>
        </w:rPr>
        <w:t>. 167 y 168</w:t>
      </w:r>
      <w:r w:rsidRPr="001F0A42">
        <w:rPr>
          <w:rFonts w:ascii="Verdana" w:hAnsi="Verdana"/>
          <w:i/>
          <w:spacing w:val="-12"/>
          <w:sz w:val="16"/>
          <w:szCs w:val="16"/>
        </w:rPr>
        <w:t>.</w:t>
      </w:r>
    </w:p>
  </w:footnote>
  <w:footnote w:id="173">
    <w:p w14:paraId="48D4EF54" w14:textId="62801F48" w:rsidR="00D93B58" w:rsidRPr="001F0A42" w:rsidRDefault="00D93B58" w:rsidP="00C10D2F">
      <w:pPr>
        <w:tabs>
          <w:tab w:val="left" w:pos="360"/>
        </w:tabs>
        <w:autoSpaceDE w:val="0"/>
        <w:autoSpaceDN w:val="0"/>
        <w:spacing w:before="120" w:after="120" w:line="240" w:lineRule="auto"/>
        <w:ind w:right="4"/>
        <w:jc w:val="both"/>
        <w:rPr>
          <w:rFonts w:ascii="Verdana" w:eastAsia="Times New Roman" w:hAnsi="Verdana"/>
          <w:spacing w:val="-12"/>
          <w:sz w:val="16"/>
          <w:szCs w:val="16"/>
          <w:lang w:val="es-PR"/>
        </w:rPr>
      </w:pPr>
      <w:r w:rsidRPr="001F0A42">
        <w:rPr>
          <w:rStyle w:val="Refdenotaalpie"/>
          <w:rFonts w:ascii="Verdana" w:hAnsi="Verdana"/>
          <w:spacing w:val="-12"/>
          <w:sz w:val="16"/>
          <w:szCs w:val="16"/>
        </w:rPr>
        <w:footnoteRef/>
      </w:r>
      <w:r w:rsidRPr="001F0A42">
        <w:rPr>
          <w:rFonts w:ascii="Verdana" w:hAnsi="Verdana"/>
          <w:spacing w:val="-12"/>
          <w:sz w:val="16"/>
          <w:szCs w:val="16"/>
          <w:lang w:val="es-PR"/>
        </w:rPr>
        <w:t xml:space="preserve"> </w:t>
      </w:r>
      <w:r w:rsidRPr="001F0A42">
        <w:rPr>
          <w:rFonts w:ascii="Verdana" w:hAnsi="Verdana"/>
          <w:spacing w:val="-12"/>
          <w:sz w:val="16"/>
          <w:szCs w:val="16"/>
          <w:lang w:val="es-PR"/>
        </w:rPr>
        <w:tab/>
      </w:r>
      <w:r w:rsidRPr="001F0A42">
        <w:rPr>
          <w:rFonts w:ascii="Verdana" w:hAnsi="Verdana"/>
          <w:spacing w:val="-12"/>
          <w:sz w:val="16"/>
          <w:szCs w:val="16"/>
          <w:lang w:val="es-PR"/>
        </w:rPr>
        <w:tab/>
      </w:r>
      <w:r w:rsidRPr="001F0A42">
        <w:rPr>
          <w:rFonts w:ascii="Verdana" w:hAnsi="Verdana" w:cs="Verdana"/>
          <w:color w:val="000000"/>
          <w:spacing w:val="-12"/>
          <w:sz w:val="16"/>
          <w:szCs w:val="16"/>
        </w:rPr>
        <w:t xml:space="preserve">En ese sentido, la Corte usualmente ha considerado los siguientes elementos para determinar la razonabilidad del plazo: a) la complejidad del asunto; b) la actividad procesal del interesado; c) la conducta de las autoridades judiciales, y d) la afectación generada en la situación jurídica de la persona involucrada en el proceso. </w:t>
      </w:r>
      <w:r w:rsidRPr="001F0A42">
        <w:rPr>
          <w:rFonts w:ascii="Verdana" w:hAnsi="Verdana"/>
          <w:i/>
          <w:spacing w:val="-12"/>
          <w:sz w:val="16"/>
          <w:szCs w:val="16"/>
          <w:lang w:val="es-PR"/>
        </w:rPr>
        <w:t>Cfr.</w:t>
      </w:r>
      <w:r w:rsidRPr="001F0A42">
        <w:rPr>
          <w:rFonts w:ascii="Verdana" w:hAnsi="Verdana"/>
          <w:spacing w:val="-12"/>
          <w:sz w:val="16"/>
          <w:szCs w:val="16"/>
          <w:lang w:val="es-PR"/>
        </w:rPr>
        <w:t xml:space="preserve"> </w:t>
      </w:r>
      <w:r w:rsidRPr="001F0A42">
        <w:rPr>
          <w:rFonts w:ascii="Verdana" w:hAnsi="Verdana"/>
          <w:bCs/>
          <w:i/>
          <w:spacing w:val="-12"/>
          <w:sz w:val="16"/>
          <w:szCs w:val="16"/>
          <w:lang w:val="es-ES_tradnl"/>
        </w:rPr>
        <w:t xml:space="preserve">Caso Hilaire, Constantine y Benjamin y otros Vs. Trinidad y Tobago. Fondo, Reparaciones y Costas. </w:t>
      </w:r>
      <w:r w:rsidRPr="001F0A42">
        <w:rPr>
          <w:rFonts w:ascii="Verdana" w:hAnsi="Verdana"/>
          <w:bCs/>
          <w:spacing w:val="-12"/>
          <w:sz w:val="16"/>
          <w:szCs w:val="16"/>
          <w:lang w:val="es-ES_tradnl"/>
        </w:rPr>
        <w:t>Sentencia de 21 de junio de 2002. Serie C No. 94, párr. 145</w:t>
      </w:r>
      <w:r w:rsidRPr="001F0A42">
        <w:rPr>
          <w:rFonts w:ascii="Verdana" w:hAnsi="Verdana"/>
          <w:spacing w:val="-12"/>
          <w:sz w:val="16"/>
          <w:szCs w:val="16"/>
          <w:lang w:val="es-PR"/>
        </w:rPr>
        <w:t xml:space="preserve">, y </w:t>
      </w:r>
      <w:r>
        <w:rPr>
          <w:rStyle w:val="Textoennegrita"/>
          <w:rFonts w:ascii="Verdana" w:hAnsi="Verdana"/>
          <w:b w:val="0"/>
          <w:i/>
          <w:color w:val="000000"/>
          <w:spacing w:val="-12"/>
          <w:sz w:val="16"/>
          <w:szCs w:val="16"/>
          <w:shd w:val="clear" w:color="auto" w:fill="FFFFFF"/>
          <w:lang w:val="es-MX"/>
        </w:rPr>
        <w:t>Caso Andrade Salmón Vs. Bolivia</w:t>
      </w:r>
      <w:r>
        <w:rPr>
          <w:rStyle w:val="Textoennegrita"/>
          <w:rFonts w:ascii="Verdana" w:hAnsi="Verdana"/>
          <w:b w:val="0"/>
          <w:iCs/>
          <w:color w:val="000000"/>
          <w:spacing w:val="-12"/>
          <w:sz w:val="16"/>
          <w:szCs w:val="16"/>
          <w:shd w:val="clear" w:color="auto" w:fill="FFFFFF"/>
          <w:lang w:val="es-MX"/>
        </w:rPr>
        <w:t xml:space="preserve">, </w:t>
      </w:r>
      <w:r>
        <w:rPr>
          <w:rStyle w:val="Textoennegrita"/>
          <w:rFonts w:ascii="Verdana" w:hAnsi="Verdana"/>
          <w:b w:val="0"/>
          <w:i/>
          <w:iCs/>
          <w:color w:val="000000"/>
          <w:spacing w:val="-12"/>
          <w:sz w:val="16"/>
          <w:szCs w:val="16"/>
          <w:shd w:val="clear" w:color="auto" w:fill="FFFFFF"/>
          <w:lang w:val="es-MX"/>
        </w:rPr>
        <w:t>supra,</w:t>
      </w:r>
      <w:r>
        <w:rPr>
          <w:rStyle w:val="Textoennegrita"/>
          <w:rFonts w:ascii="Verdana" w:hAnsi="Verdana"/>
          <w:b w:val="0"/>
          <w:iCs/>
          <w:color w:val="000000"/>
          <w:spacing w:val="-12"/>
          <w:sz w:val="16"/>
          <w:szCs w:val="16"/>
          <w:shd w:val="clear" w:color="auto" w:fill="FFFFFF"/>
          <w:lang w:val="es-MX"/>
        </w:rPr>
        <w:t xml:space="preserve"> párr. 157</w:t>
      </w:r>
      <w:r w:rsidRPr="001F0A42">
        <w:rPr>
          <w:rFonts w:ascii="Verdana" w:hAnsi="Verdana"/>
          <w:spacing w:val="-12"/>
          <w:sz w:val="16"/>
          <w:szCs w:val="16"/>
          <w:lang w:val="es-PR"/>
        </w:rPr>
        <w:t>.</w:t>
      </w:r>
    </w:p>
  </w:footnote>
  <w:footnote w:id="174">
    <w:p w14:paraId="65120004" w14:textId="30D822E2" w:rsidR="00D93B58" w:rsidRPr="001F0A42" w:rsidRDefault="00D93B58" w:rsidP="00C10D2F">
      <w:pPr>
        <w:tabs>
          <w:tab w:val="left" w:pos="426"/>
          <w:tab w:val="left" w:pos="720"/>
        </w:tabs>
        <w:autoSpaceDE w:val="0"/>
        <w:autoSpaceDN w:val="0"/>
        <w:spacing w:before="120" w:after="120" w:line="240" w:lineRule="auto"/>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i/>
          <w:spacing w:val="-12"/>
          <w:sz w:val="16"/>
          <w:szCs w:val="16"/>
          <w:lang w:val="es-MX"/>
        </w:rPr>
        <w:t xml:space="preserve">Cfr. Caso Pollo Rivera y otros </w:t>
      </w:r>
      <w:r>
        <w:rPr>
          <w:rFonts w:ascii="Verdana" w:hAnsi="Verdana"/>
          <w:i/>
          <w:spacing w:val="-12"/>
          <w:sz w:val="16"/>
          <w:szCs w:val="16"/>
          <w:lang w:val="es-MX"/>
        </w:rPr>
        <w:t>Vs.</w:t>
      </w:r>
      <w:r w:rsidRPr="001F0A42">
        <w:rPr>
          <w:rFonts w:ascii="Verdana" w:hAnsi="Verdana"/>
          <w:i/>
          <w:spacing w:val="-12"/>
          <w:sz w:val="16"/>
          <w:szCs w:val="16"/>
          <w:lang w:val="es-MX"/>
        </w:rPr>
        <w:t xml:space="preserve"> Perú, supra, </w:t>
      </w:r>
      <w:r w:rsidRPr="001F0A42">
        <w:rPr>
          <w:rFonts w:ascii="Verdana" w:hAnsi="Verdana"/>
          <w:spacing w:val="-12"/>
          <w:sz w:val="16"/>
          <w:szCs w:val="16"/>
          <w:lang w:val="es-MX"/>
        </w:rPr>
        <w:t>párr. 177.</w:t>
      </w:r>
    </w:p>
  </w:footnote>
  <w:footnote w:id="175">
    <w:p w14:paraId="37AAA791" w14:textId="6BF3A30A"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i/>
          <w:spacing w:val="-12"/>
          <w:sz w:val="16"/>
          <w:szCs w:val="16"/>
          <w:lang w:val="es-CR"/>
        </w:rPr>
        <w:t>Cfr. Caso Uzcátegui y otros vs. Venezuela</w:t>
      </w:r>
      <w:r w:rsidRPr="006A3CCB">
        <w:rPr>
          <w:rFonts w:ascii="Verdana" w:hAnsi="Verdana"/>
          <w:spacing w:val="-12"/>
          <w:sz w:val="16"/>
          <w:szCs w:val="16"/>
          <w:lang w:val="es-CR"/>
        </w:rPr>
        <w:t>. Fondo y Reparaciones. Sentencia de 3 de septiembre de 2012. Serie C No. 249</w:t>
      </w:r>
      <w:r w:rsidRPr="001F0A42">
        <w:rPr>
          <w:rFonts w:ascii="Verdana" w:hAnsi="Verdana"/>
          <w:spacing w:val="-12"/>
          <w:sz w:val="16"/>
          <w:szCs w:val="16"/>
          <w:lang w:val="es-CR"/>
        </w:rPr>
        <w:t xml:space="preserve">, párr. 189. </w:t>
      </w:r>
    </w:p>
  </w:footnote>
  <w:footnote w:id="176">
    <w:p w14:paraId="1DCCB1EE" w14:textId="43C23DC5" w:rsidR="00D93B58" w:rsidRPr="001F0A42" w:rsidRDefault="00D93B58" w:rsidP="00C10D2F">
      <w:pPr>
        <w:pStyle w:val="NormalWeb"/>
        <w:spacing w:before="120" w:beforeAutospacing="0" w:after="120" w:afterAutospacing="0"/>
        <w:ind w:right="74"/>
        <w:jc w:val="both"/>
        <w:rPr>
          <w:rFonts w:ascii="Verdana" w:hAnsi="Verdana"/>
          <w:spacing w:val="-12"/>
          <w:sz w:val="16"/>
          <w:szCs w:val="16"/>
          <w:lang w:val="es-CR"/>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spacing w:val="-12"/>
          <w:sz w:val="16"/>
          <w:szCs w:val="16"/>
          <w:lang w:val="es-CR"/>
        </w:rPr>
        <w:t>El artículo 5.</w:t>
      </w:r>
      <w:r w:rsidRPr="001F0A42">
        <w:rPr>
          <w:rFonts w:ascii="Verdana" w:hAnsi="Verdana" w:cs="Tahoma"/>
          <w:color w:val="000000"/>
          <w:spacing w:val="-12"/>
          <w:sz w:val="16"/>
          <w:szCs w:val="16"/>
          <w:lang w:val="es-CR"/>
        </w:rPr>
        <w:t>1 establece que: “Toda persona tiene derecho a que se respete su integridad física, psíquica y moral”</w:t>
      </w:r>
    </w:p>
  </w:footnote>
  <w:footnote w:id="177">
    <w:p w14:paraId="59EADBBE" w14:textId="6B92171C"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i/>
          <w:spacing w:val="-12"/>
          <w:sz w:val="16"/>
          <w:szCs w:val="16"/>
          <w:lang w:val="es-CR"/>
        </w:rPr>
        <w:t xml:space="preserve">Cfr. Caso Blake Vs. Guatemala. Fondo. </w:t>
      </w:r>
      <w:r w:rsidRPr="00EC69C6">
        <w:rPr>
          <w:rFonts w:ascii="Verdana" w:hAnsi="Verdana"/>
          <w:iCs/>
          <w:spacing w:val="-12"/>
          <w:sz w:val="16"/>
          <w:szCs w:val="16"/>
          <w:lang w:val="es-CR"/>
        </w:rPr>
        <w:t>Sentencia de 24 de enero de 1998. Serie C No. 36, párr</w:t>
      </w:r>
      <w:r>
        <w:rPr>
          <w:rFonts w:ascii="Verdana" w:hAnsi="Verdana"/>
          <w:iCs/>
          <w:spacing w:val="-12"/>
          <w:sz w:val="16"/>
          <w:szCs w:val="16"/>
          <w:lang w:val="es-CR"/>
        </w:rPr>
        <w:t>s</w:t>
      </w:r>
      <w:r w:rsidRPr="00EC69C6">
        <w:rPr>
          <w:rFonts w:ascii="Verdana" w:hAnsi="Verdana"/>
          <w:iCs/>
          <w:spacing w:val="-12"/>
          <w:sz w:val="16"/>
          <w:szCs w:val="16"/>
          <w:lang w:val="es-CR"/>
        </w:rPr>
        <w:t>. 114 y 116</w:t>
      </w:r>
      <w:r w:rsidRPr="001F0A42">
        <w:rPr>
          <w:rFonts w:ascii="Verdana" w:hAnsi="Verdana"/>
          <w:i/>
          <w:spacing w:val="-12"/>
          <w:sz w:val="16"/>
          <w:szCs w:val="16"/>
          <w:lang w:val="es-CR"/>
        </w:rPr>
        <w:t xml:space="preserve">; y </w:t>
      </w:r>
      <w:r w:rsidRPr="00B168DE">
        <w:rPr>
          <w:rFonts w:ascii="Verdana" w:hAnsi="Verdana"/>
          <w:i/>
          <w:spacing w:val="-12"/>
          <w:sz w:val="16"/>
          <w:szCs w:val="16"/>
        </w:rPr>
        <w:t xml:space="preserve">Caso </w:t>
      </w:r>
      <w:r>
        <w:rPr>
          <w:rFonts w:ascii="Verdana" w:hAnsi="Verdana"/>
          <w:i/>
          <w:spacing w:val="-12"/>
          <w:sz w:val="16"/>
          <w:szCs w:val="16"/>
        </w:rPr>
        <w:t xml:space="preserve">Valencia Hinojosa vs. Ecuador, supra, </w:t>
      </w:r>
      <w:r>
        <w:rPr>
          <w:rFonts w:ascii="Verdana" w:hAnsi="Verdana"/>
          <w:spacing w:val="-12"/>
          <w:sz w:val="16"/>
          <w:szCs w:val="16"/>
        </w:rPr>
        <w:t>párr. 142</w:t>
      </w:r>
      <w:r w:rsidRPr="001F0A42">
        <w:rPr>
          <w:rFonts w:ascii="Verdana" w:hAnsi="Verdana"/>
          <w:i/>
          <w:iCs/>
          <w:spacing w:val="-12"/>
          <w:sz w:val="16"/>
          <w:szCs w:val="16"/>
          <w:lang w:val="es-GT" w:eastAsia="es-ES_tradnl"/>
        </w:rPr>
        <w:t>.</w:t>
      </w:r>
    </w:p>
  </w:footnote>
  <w:footnote w:id="178">
    <w:p w14:paraId="21FCF652" w14:textId="73539D36" w:rsidR="00D93B58" w:rsidRPr="001F0A42" w:rsidRDefault="00D93B58" w:rsidP="00C10D2F">
      <w:pPr>
        <w:pStyle w:val="Textonotapie"/>
        <w:spacing w:before="120" w:after="120"/>
        <w:jc w:val="both"/>
        <w:rPr>
          <w:rFonts w:ascii="Verdana" w:hAnsi="Verdana"/>
          <w:i/>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i/>
          <w:spacing w:val="-12"/>
          <w:sz w:val="16"/>
          <w:szCs w:val="16"/>
          <w:lang w:val="es-CR"/>
        </w:rPr>
        <w:t xml:space="preserve">Cfr. Caso de la Masacre de Mapiripán Vs. Colombia, supra, </w:t>
      </w:r>
      <w:r w:rsidRPr="001F0A42">
        <w:rPr>
          <w:rFonts w:ascii="Verdana" w:hAnsi="Verdana"/>
          <w:spacing w:val="-12"/>
          <w:sz w:val="16"/>
          <w:szCs w:val="16"/>
          <w:lang w:val="es-CR"/>
        </w:rPr>
        <w:t>párr. 144</w:t>
      </w:r>
      <w:r>
        <w:rPr>
          <w:rFonts w:ascii="Verdana" w:hAnsi="Verdana"/>
          <w:spacing w:val="-12"/>
          <w:sz w:val="16"/>
          <w:szCs w:val="16"/>
          <w:lang w:val="es-CR"/>
        </w:rPr>
        <w:t>,</w:t>
      </w:r>
      <w:r w:rsidRPr="001F0A42">
        <w:rPr>
          <w:rFonts w:ascii="Verdana" w:hAnsi="Verdana"/>
          <w:i/>
          <w:spacing w:val="-12"/>
          <w:sz w:val="16"/>
          <w:szCs w:val="16"/>
          <w:lang w:val="es-CR"/>
        </w:rPr>
        <w:t xml:space="preserve"> y</w:t>
      </w:r>
      <w:r>
        <w:rPr>
          <w:rFonts w:ascii="Verdana" w:hAnsi="Verdana"/>
          <w:spacing w:val="-12"/>
          <w:sz w:val="16"/>
          <w:szCs w:val="16"/>
          <w:lang w:val="es-CR"/>
        </w:rPr>
        <w:t xml:space="preserve"> </w:t>
      </w:r>
      <w:r w:rsidRPr="00685726">
        <w:rPr>
          <w:rFonts w:ascii="Verdana" w:hAnsi="Verdana"/>
          <w:i/>
          <w:spacing w:val="-12"/>
          <w:sz w:val="16"/>
          <w:szCs w:val="16"/>
          <w:lang w:val="es-CR"/>
        </w:rPr>
        <w:t>Caso Valencia Hinojosa y otra Vs. Ecuador</w:t>
      </w:r>
      <w:r>
        <w:rPr>
          <w:rFonts w:ascii="Verdana" w:hAnsi="Verdana"/>
          <w:i/>
          <w:spacing w:val="-12"/>
          <w:sz w:val="16"/>
          <w:szCs w:val="16"/>
          <w:lang w:val="es-CR"/>
        </w:rPr>
        <w:t xml:space="preserve">, </w:t>
      </w:r>
      <w:r w:rsidRPr="00EC69C6">
        <w:rPr>
          <w:rFonts w:ascii="Verdana" w:hAnsi="Verdana"/>
          <w:i/>
          <w:iCs/>
          <w:spacing w:val="-12"/>
          <w:sz w:val="16"/>
          <w:szCs w:val="16"/>
          <w:lang w:val="es-CR"/>
        </w:rPr>
        <w:t>supra</w:t>
      </w:r>
      <w:r>
        <w:rPr>
          <w:rFonts w:ascii="Verdana" w:hAnsi="Verdana"/>
          <w:i/>
          <w:iCs/>
          <w:spacing w:val="-12"/>
          <w:sz w:val="16"/>
          <w:szCs w:val="16"/>
          <w:lang w:val="es-CR"/>
        </w:rPr>
        <w:t xml:space="preserve">, </w:t>
      </w:r>
      <w:r>
        <w:rPr>
          <w:rFonts w:ascii="Verdana" w:hAnsi="Verdana"/>
          <w:iCs/>
          <w:spacing w:val="-12"/>
          <w:sz w:val="16"/>
          <w:szCs w:val="16"/>
          <w:lang w:val="es-CR"/>
        </w:rPr>
        <w:t>párrs. 142 y 143.</w:t>
      </w:r>
      <w:r>
        <w:rPr>
          <w:rFonts w:ascii="Verdana" w:hAnsi="Verdana"/>
          <w:i/>
          <w:spacing w:val="-12"/>
          <w:sz w:val="16"/>
          <w:szCs w:val="16"/>
          <w:lang w:val="es-CR"/>
        </w:rPr>
        <w:t xml:space="preserve"> </w:t>
      </w:r>
    </w:p>
  </w:footnote>
  <w:footnote w:id="179">
    <w:p w14:paraId="46DB66A1" w14:textId="177621F0" w:rsidR="00D93B58" w:rsidRPr="001F0A42" w:rsidRDefault="00D93B58" w:rsidP="00C10D2F">
      <w:pPr>
        <w:pStyle w:val="Textonotapie"/>
        <w:spacing w:before="120" w:after="120"/>
        <w:jc w:val="both"/>
        <w:rPr>
          <w:rFonts w:ascii="Verdana" w:hAnsi="Verdana"/>
          <w:i/>
          <w:spacing w:val="-12"/>
          <w:sz w:val="16"/>
          <w:szCs w:val="16"/>
          <w:lang w:val="es-CR"/>
        </w:rPr>
      </w:pPr>
      <w:r w:rsidRPr="001F0A42">
        <w:rPr>
          <w:rStyle w:val="Refdenotaalpie"/>
          <w:rFonts w:ascii="Verdana" w:hAnsi="Verdana"/>
          <w:spacing w:val="-12"/>
          <w:sz w:val="16"/>
          <w:szCs w:val="16"/>
        </w:rPr>
        <w:footnoteRef/>
      </w:r>
      <w:r w:rsidRPr="001F0A42">
        <w:rPr>
          <w:rFonts w:ascii="Verdana" w:hAnsi="Verdana"/>
          <w:i/>
          <w:spacing w:val="-12"/>
          <w:sz w:val="16"/>
          <w:szCs w:val="16"/>
          <w:lang w:val="es-CR"/>
        </w:rPr>
        <w:t xml:space="preserve"> </w:t>
      </w:r>
      <w:r w:rsidRPr="001F0A42">
        <w:rPr>
          <w:rFonts w:ascii="Verdana" w:hAnsi="Verdana"/>
          <w:i/>
          <w:spacing w:val="-12"/>
          <w:sz w:val="16"/>
          <w:szCs w:val="16"/>
          <w:lang w:val="es-CR"/>
        </w:rPr>
        <w:tab/>
        <w:t xml:space="preserve">Cfr. Caso Aloeboetoe y otros Vs. Surinam. Reparaciones y Costas. </w:t>
      </w:r>
      <w:r w:rsidRPr="001F0A42">
        <w:rPr>
          <w:rFonts w:ascii="Verdana" w:hAnsi="Verdana"/>
          <w:spacing w:val="-12"/>
          <w:sz w:val="16"/>
          <w:szCs w:val="16"/>
          <w:lang w:val="es-CR"/>
        </w:rPr>
        <w:t>Sentencia de 10 de septiembre de 1993. Serie C No. 15, párr. 76</w:t>
      </w:r>
      <w:r w:rsidRPr="001F0A42">
        <w:rPr>
          <w:rFonts w:ascii="Verdana" w:hAnsi="Verdana"/>
          <w:i/>
          <w:spacing w:val="-12"/>
          <w:sz w:val="16"/>
          <w:szCs w:val="16"/>
          <w:lang w:val="es-CR"/>
        </w:rPr>
        <w:t>, y</w:t>
      </w:r>
      <w:r w:rsidRPr="001F0A42">
        <w:rPr>
          <w:rFonts w:ascii="Verdana" w:hAnsi="Verdana"/>
          <w:bCs/>
          <w:snapToGrid w:val="0"/>
          <w:color w:val="FF0000"/>
          <w:spacing w:val="-12"/>
          <w:sz w:val="16"/>
          <w:szCs w:val="16"/>
          <w:lang w:val="es-CR"/>
        </w:rPr>
        <w:t xml:space="preserve"> </w:t>
      </w:r>
      <w:r>
        <w:rPr>
          <w:rFonts w:ascii="Verdana" w:hAnsi="Verdana" w:cs="Verdana"/>
          <w:bCs/>
          <w:i/>
          <w:snapToGrid w:val="0"/>
          <w:spacing w:val="-12"/>
          <w:sz w:val="16"/>
          <w:szCs w:val="16"/>
          <w:lang w:val="es-CR"/>
        </w:rPr>
        <w:t>Caso García Ibarra y otros Vs. Ecuador</w:t>
      </w:r>
      <w:r>
        <w:rPr>
          <w:rFonts w:ascii="Verdana" w:hAnsi="Verdana" w:cs="Verdana"/>
          <w:bCs/>
          <w:iCs/>
          <w:snapToGrid w:val="0"/>
          <w:spacing w:val="-12"/>
          <w:sz w:val="16"/>
          <w:szCs w:val="16"/>
          <w:lang w:val="es-CR"/>
        </w:rPr>
        <w:t xml:space="preserve">, </w:t>
      </w:r>
      <w:r w:rsidRPr="00CF3F95">
        <w:rPr>
          <w:rFonts w:ascii="Verdana" w:hAnsi="Verdana" w:cs="Verdana"/>
          <w:bCs/>
          <w:i/>
          <w:snapToGrid w:val="0"/>
          <w:spacing w:val="-12"/>
          <w:sz w:val="16"/>
          <w:szCs w:val="16"/>
          <w:lang w:val="es-CR"/>
        </w:rPr>
        <w:t>supra</w:t>
      </w:r>
      <w:r>
        <w:rPr>
          <w:rFonts w:ascii="Verdana" w:hAnsi="Verdana" w:cs="Verdana"/>
          <w:bCs/>
          <w:iCs/>
          <w:snapToGrid w:val="0"/>
          <w:spacing w:val="-12"/>
          <w:sz w:val="16"/>
          <w:szCs w:val="16"/>
          <w:lang w:val="es-CR"/>
        </w:rPr>
        <w:t>, párr. 170.</w:t>
      </w:r>
    </w:p>
  </w:footnote>
  <w:footnote w:id="180">
    <w:p w14:paraId="404A26B7" w14:textId="7E24A810"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spacing w:val="-12"/>
          <w:sz w:val="16"/>
          <w:szCs w:val="16"/>
          <w:lang w:val="es-CR"/>
        </w:rPr>
        <w:t>En similar sentido, ver</w:t>
      </w:r>
      <w:r w:rsidRPr="001F0A42">
        <w:rPr>
          <w:rFonts w:ascii="Verdana" w:hAnsi="Verdana"/>
          <w:i/>
          <w:spacing w:val="-12"/>
          <w:sz w:val="16"/>
          <w:szCs w:val="16"/>
          <w:lang w:val="es-CR"/>
        </w:rPr>
        <w:t xml:space="preserve"> Caso García Ibarra y otros vs. Ecuador, </w:t>
      </w:r>
      <w:r>
        <w:rPr>
          <w:rFonts w:ascii="Verdana" w:hAnsi="Verdana"/>
          <w:i/>
          <w:spacing w:val="-12"/>
          <w:sz w:val="16"/>
          <w:szCs w:val="16"/>
          <w:lang w:val="es-CR"/>
        </w:rPr>
        <w:t xml:space="preserve">supra, </w:t>
      </w:r>
      <w:r w:rsidRPr="001F0A42">
        <w:rPr>
          <w:rFonts w:ascii="Verdana" w:hAnsi="Verdana"/>
          <w:spacing w:val="-12"/>
          <w:sz w:val="16"/>
          <w:szCs w:val="16"/>
          <w:lang w:val="es-CR"/>
        </w:rPr>
        <w:t>párr. 170.</w:t>
      </w:r>
    </w:p>
  </w:footnote>
  <w:footnote w:id="181">
    <w:p w14:paraId="01B21E35" w14:textId="40E0F3B6" w:rsidR="00D93B58" w:rsidRPr="001F0A42" w:rsidRDefault="00D93B58" w:rsidP="00C10D2F">
      <w:pPr>
        <w:pStyle w:val="Textonotapie"/>
        <w:spacing w:before="120" w:after="120"/>
        <w:jc w:val="both"/>
        <w:rPr>
          <w:rFonts w:ascii="Verdana" w:hAnsi="Verdana"/>
          <w:spacing w:val="-12"/>
          <w:sz w:val="16"/>
          <w:szCs w:val="16"/>
          <w:lang w:val="es-ES_tradnl"/>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lang w:val="es-CR"/>
        </w:rPr>
        <w:tab/>
        <w:t>El artículo 11 de la Convención expresa: “1.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p>
  </w:footnote>
  <w:footnote w:id="182">
    <w:p w14:paraId="69FD0A6C" w14:textId="1B04AD4E" w:rsidR="00D93B58" w:rsidRPr="001F0A42" w:rsidRDefault="00D93B58" w:rsidP="00CF3F95">
      <w:pPr>
        <w:pStyle w:val="Textonotapie"/>
        <w:spacing w:before="120" w:after="120"/>
        <w:jc w:val="both"/>
        <w:rPr>
          <w:rFonts w:ascii="Verdana" w:hAnsi="Verdana"/>
          <w:spacing w:val="-12"/>
          <w:sz w:val="16"/>
          <w:szCs w:val="16"/>
          <w:lang w:val="es-ES_tradnl"/>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i/>
          <w:spacing w:val="-12"/>
          <w:sz w:val="16"/>
          <w:szCs w:val="16"/>
          <w:lang w:val="es-CR"/>
        </w:rPr>
        <w:t>Cfr.</w:t>
      </w:r>
      <w:r w:rsidRPr="001F0A42">
        <w:rPr>
          <w:rFonts w:ascii="Verdana" w:hAnsi="Verdana"/>
          <w:spacing w:val="-12"/>
          <w:sz w:val="16"/>
          <w:szCs w:val="16"/>
          <w:lang w:val="es-CR"/>
        </w:rPr>
        <w:t xml:space="preserve"> </w:t>
      </w:r>
      <w:r w:rsidRPr="001F0A42">
        <w:rPr>
          <w:rFonts w:ascii="Verdana" w:hAnsi="Verdana"/>
          <w:i/>
          <w:iCs/>
          <w:spacing w:val="-12"/>
          <w:sz w:val="16"/>
          <w:szCs w:val="16"/>
          <w:lang w:val="es-CR"/>
        </w:rPr>
        <w:t>Caso Tristán Donoso Vs. Panamá. Excepción Preliminar, Fondo, Reparaciones y Costas</w:t>
      </w:r>
      <w:r w:rsidRPr="001F0A42">
        <w:rPr>
          <w:rFonts w:ascii="Verdana" w:hAnsi="Verdana"/>
          <w:spacing w:val="-12"/>
          <w:sz w:val="16"/>
          <w:szCs w:val="16"/>
          <w:lang w:val="es-CR"/>
        </w:rPr>
        <w:t xml:space="preserve">. Sentencia de 27 de enero de 2009. Serie C No. 193, párr. 57, y </w:t>
      </w:r>
      <w:r>
        <w:rPr>
          <w:rFonts w:ascii="Verdana" w:hAnsi="Verdana"/>
          <w:bCs/>
          <w:i/>
          <w:iCs/>
          <w:spacing w:val="-12"/>
          <w:sz w:val="16"/>
          <w:szCs w:val="16"/>
          <w:lang w:val="es-CR"/>
        </w:rPr>
        <w:t>Caso Andrade Salmón Vs. Bolivia</w:t>
      </w:r>
      <w:r>
        <w:rPr>
          <w:rFonts w:ascii="Verdana" w:hAnsi="Verdana"/>
          <w:bCs/>
          <w:spacing w:val="-12"/>
          <w:sz w:val="16"/>
          <w:szCs w:val="16"/>
          <w:lang w:val="es-CR"/>
        </w:rPr>
        <w:t xml:space="preserve">, </w:t>
      </w:r>
      <w:r>
        <w:rPr>
          <w:rFonts w:ascii="Verdana" w:hAnsi="Verdana"/>
          <w:bCs/>
          <w:i/>
          <w:spacing w:val="-12"/>
          <w:sz w:val="16"/>
          <w:szCs w:val="16"/>
          <w:lang w:val="es-CR"/>
        </w:rPr>
        <w:t>supra,</w:t>
      </w:r>
      <w:r>
        <w:rPr>
          <w:rFonts w:ascii="Verdana" w:hAnsi="Verdana"/>
          <w:bCs/>
          <w:spacing w:val="-12"/>
          <w:sz w:val="16"/>
          <w:szCs w:val="16"/>
          <w:lang w:val="es-CR"/>
        </w:rPr>
        <w:t xml:space="preserve"> párr. 183.</w:t>
      </w:r>
    </w:p>
  </w:footnote>
  <w:footnote w:id="183">
    <w:p w14:paraId="2B85CC91" w14:textId="7840922B"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i/>
          <w:spacing w:val="-12"/>
          <w:sz w:val="16"/>
          <w:szCs w:val="16"/>
          <w:lang w:val="es-MX"/>
        </w:rPr>
        <w:t xml:space="preserve">Cfr. Caso Flor </w:t>
      </w:r>
      <w:r w:rsidRPr="00CF3F95">
        <w:rPr>
          <w:rFonts w:ascii="Verdana" w:hAnsi="Verdana"/>
          <w:i/>
          <w:spacing w:val="-12"/>
          <w:sz w:val="16"/>
          <w:szCs w:val="16"/>
          <w:lang w:val="es-MX"/>
        </w:rPr>
        <w:t>Fre</w:t>
      </w:r>
      <w:r w:rsidRPr="00CF3F95">
        <w:rPr>
          <w:rFonts w:ascii="Verdana" w:hAnsi="Verdana"/>
          <w:bCs/>
          <w:i/>
          <w:spacing w:val="-12"/>
          <w:sz w:val="16"/>
          <w:szCs w:val="16"/>
          <w:lang w:val="es-CR"/>
        </w:rPr>
        <w:t>ire vs. Ecuador. Excepción Preliminar, Fondo, Reparaciones y Costas</w:t>
      </w:r>
      <w:r w:rsidRPr="00CF3F95">
        <w:rPr>
          <w:rFonts w:ascii="Verdana" w:hAnsi="Verdana"/>
          <w:bCs/>
          <w:spacing w:val="-12"/>
          <w:sz w:val="16"/>
          <w:szCs w:val="16"/>
          <w:lang w:val="es-CR"/>
        </w:rPr>
        <w:t>. Sentencia de 31 de agosto de 2016. Serie C No. 315, párrs. 154 y 155.</w:t>
      </w:r>
    </w:p>
  </w:footnote>
  <w:footnote w:id="184">
    <w:p w14:paraId="4459759C" w14:textId="6E7E2848" w:rsidR="00D93B58" w:rsidRPr="001F0A42" w:rsidRDefault="00D93B58" w:rsidP="00C10D2F">
      <w:pPr>
        <w:spacing w:before="120" w:after="120" w:line="240" w:lineRule="auto"/>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i/>
          <w:spacing w:val="-12"/>
          <w:sz w:val="16"/>
          <w:szCs w:val="16"/>
          <w:lang w:val="es-MX"/>
        </w:rPr>
        <w:t>Cfr.</w:t>
      </w:r>
      <w:r>
        <w:rPr>
          <w:rFonts w:ascii="Verdana" w:hAnsi="Verdana"/>
          <w:i/>
          <w:spacing w:val="-12"/>
          <w:sz w:val="16"/>
          <w:szCs w:val="16"/>
          <w:lang w:val="es-MX"/>
        </w:rPr>
        <w:t xml:space="preserve"> </w:t>
      </w:r>
      <w:r w:rsidRPr="001F0A42">
        <w:rPr>
          <w:rFonts w:ascii="Verdana" w:hAnsi="Verdana"/>
          <w:spacing w:val="-12"/>
          <w:sz w:val="16"/>
          <w:szCs w:val="16"/>
        </w:rPr>
        <w:t xml:space="preserve">Declaraciones </w:t>
      </w:r>
      <w:r w:rsidRPr="001F0A42">
        <w:rPr>
          <w:rFonts w:ascii="Verdana" w:hAnsi="Verdana"/>
          <w:spacing w:val="-12"/>
          <w:sz w:val="16"/>
          <w:szCs w:val="16"/>
          <w:lang w:val="es-MX"/>
        </w:rPr>
        <w:t xml:space="preserve">de </w:t>
      </w:r>
      <w:r>
        <w:rPr>
          <w:rFonts w:ascii="Verdana" w:hAnsi="Verdana"/>
          <w:spacing w:val="-12"/>
          <w:sz w:val="16"/>
          <w:szCs w:val="16"/>
          <w:lang w:val="es-MX"/>
        </w:rPr>
        <w:t xml:space="preserve">la señora </w:t>
      </w:r>
      <w:r w:rsidRPr="001F0A42">
        <w:rPr>
          <w:rFonts w:ascii="Verdana" w:hAnsi="Verdana"/>
          <w:spacing w:val="-12"/>
          <w:sz w:val="16"/>
          <w:szCs w:val="16"/>
          <w:lang w:val="es-MX"/>
        </w:rPr>
        <w:t xml:space="preserve">Acosta </w:t>
      </w:r>
      <w:r>
        <w:rPr>
          <w:rFonts w:ascii="Verdana" w:hAnsi="Verdana"/>
          <w:spacing w:val="-12"/>
          <w:sz w:val="16"/>
          <w:szCs w:val="16"/>
          <w:lang w:val="es-MX"/>
        </w:rPr>
        <w:t xml:space="preserve">durante la audiencia pública </w:t>
      </w:r>
      <w:r w:rsidRPr="001F0A42">
        <w:rPr>
          <w:rFonts w:ascii="Verdana" w:hAnsi="Verdana"/>
          <w:spacing w:val="-12"/>
          <w:sz w:val="16"/>
          <w:szCs w:val="16"/>
          <w:lang w:val="es-MX"/>
        </w:rPr>
        <w:t xml:space="preserve">y </w:t>
      </w:r>
      <w:r>
        <w:rPr>
          <w:rFonts w:ascii="Verdana" w:hAnsi="Verdana"/>
          <w:spacing w:val="-12"/>
          <w:sz w:val="16"/>
          <w:szCs w:val="16"/>
          <w:lang w:val="es-MX"/>
        </w:rPr>
        <w:t>de Ana María Vergara Acosta y</w:t>
      </w:r>
      <w:r w:rsidRPr="0077056A">
        <w:rPr>
          <w:rFonts w:ascii="Verdana" w:hAnsi="Verdana"/>
          <w:spacing w:val="-12"/>
          <w:sz w:val="16"/>
          <w:szCs w:val="16"/>
          <w:lang w:val="es-MX"/>
        </w:rPr>
        <w:t xml:space="preserve"> Álvaro Arístides Vergara Acosta</w:t>
      </w:r>
      <w:r>
        <w:rPr>
          <w:rFonts w:ascii="Verdana" w:hAnsi="Verdana"/>
          <w:spacing w:val="-12"/>
          <w:sz w:val="16"/>
          <w:szCs w:val="16"/>
          <w:lang w:val="es-MX"/>
        </w:rPr>
        <w:t xml:space="preserve"> mediante afidávit (expediente de prueba, folios 3681 a 3688)</w:t>
      </w:r>
      <w:r w:rsidRPr="001F0A42">
        <w:rPr>
          <w:rFonts w:ascii="Verdana" w:hAnsi="Verdana"/>
          <w:spacing w:val="-12"/>
          <w:sz w:val="16"/>
          <w:szCs w:val="16"/>
          <w:lang w:val="es-MX"/>
        </w:rPr>
        <w:t>.</w:t>
      </w:r>
    </w:p>
  </w:footnote>
  <w:footnote w:id="185">
    <w:p w14:paraId="59874601" w14:textId="338AA751" w:rsidR="00D93B58" w:rsidRPr="001F0A42" w:rsidRDefault="00D93B58" w:rsidP="00C10D2F">
      <w:pPr>
        <w:pStyle w:val="Textonotapie"/>
        <w:spacing w:before="120" w:after="120"/>
        <w:jc w:val="both"/>
        <w:rPr>
          <w:rFonts w:ascii="Verdana" w:hAnsi="Verdana"/>
          <w:i/>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lang w:val="es-CR"/>
        </w:rPr>
        <w:tab/>
      </w:r>
      <w:r w:rsidRPr="001F0A42">
        <w:rPr>
          <w:rFonts w:ascii="Verdana" w:hAnsi="Verdana"/>
          <w:i/>
          <w:spacing w:val="-12"/>
          <w:sz w:val="16"/>
          <w:szCs w:val="16"/>
          <w:lang w:val="es-CR"/>
        </w:rPr>
        <w:t>Cfr., inter alia, Caso Defensor de Derechos Humanos vs. Guatemala</w:t>
      </w:r>
      <w:r>
        <w:rPr>
          <w:rFonts w:ascii="Verdana" w:hAnsi="Verdana"/>
          <w:i/>
          <w:spacing w:val="-12"/>
          <w:sz w:val="16"/>
          <w:szCs w:val="16"/>
          <w:lang w:val="es-CR"/>
        </w:rPr>
        <w:t xml:space="preserve">, </w:t>
      </w:r>
      <w:r w:rsidRPr="008C7533">
        <w:rPr>
          <w:rFonts w:ascii="Verdana" w:hAnsi="Verdana"/>
          <w:i/>
          <w:iCs/>
          <w:spacing w:val="-12"/>
          <w:sz w:val="16"/>
          <w:szCs w:val="16"/>
          <w:lang w:val="es-CR"/>
        </w:rPr>
        <w:t>supra</w:t>
      </w:r>
      <w:r w:rsidRPr="001F0A42">
        <w:rPr>
          <w:rFonts w:ascii="Verdana" w:hAnsi="Verdana"/>
          <w:i/>
          <w:spacing w:val="-12"/>
          <w:sz w:val="16"/>
          <w:szCs w:val="16"/>
          <w:lang w:val="es-CR"/>
        </w:rPr>
        <w:t xml:space="preserve">. </w:t>
      </w:r>
    </w:p>
  </w:footnote>
  <w:footnote w:id="186">
    <w:p w14:paraId="0FC94F2F" w14:textId="6941A950" w:rsidR="00D93B58" w:rsidRPr="00F515FE" w:rsidRDefault="00D93B58" w:rsidP="00C10D2F">
      <w:pPr>
        <w:autoSpaceDE w:val="0"/>
        <w:autoSpaceDN w:val="0"/>
        <w:adjustRightInd w:val="0"/>
        <w:spacing w:before="120" w:after="120" w:line="240" w:lineRule="auto"/>
        <w:jc w:val="both"/>
        <w:rPr>
          <w:rFonts w:ascii="Verdana" w:hAnsi="Verdana" w:cs="Cambri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Pr>
          <w:rFonts w:ascii="Verdana" w:hAnsi="Verdana"/>
          <w:i/>
          <w:iCs/>
          <w:spacing w:val="-12"/>
          <w:sz w:val="16"/>
          <w:szCs w:val="16"/>
        </w:rPr>
        <w:t xml:space="preserve">Cfr. </w:t>
      </w:r>
      <w:r w:rsidRPr="001F0A42">
        <w:rPr>
          <w:rFonts w:ascii="Verdana" w:hAnsi="Verdana" w:cs="Cambria-Italic"/>
          <w:i/>
          <w:iCs/>
          <w:spacing w:val="-12"/>
          <w:sz w:val="16"/>
          <w:szCs w:val="16"/>
        </w:rPr>
        <w:t>Caso Valle Jaramillo y otros Vs. Colombia</w:t>
      </w:r>
      <w:r w:rsidRPr="001F0A42">
        <w:rPr>
          <w:rFonts w:ascii="Verdana" w:hAnsi="Verdana" w:cs="Cambria"/>
          <w:spacing w:val="-12"/>
          <w:sz w:val="16"/>
          <w:szCs w:val="16"/>
        </w:rPr>
        <w:t xml:space="preserve">. </w:t>
      </w:r>
      <w:r w:rsidRPr="008C7533">
        <w:rPr>
          <w:rFonts w:ascii="Verdana" w:hAnsi="Verdana" w:cs="Cambria"/>
          <w:i/>
          <w:iCs/>
          <w:spacing w:val="-12"/>
          <w:sz w:val="16"/>
          <w:szCs w:val="16"/>
        </w:rPr>
        <w:t>Fondo, Reparaciones y Costas</w:t>
      </w:r>
      <w:r w:rsidRPr="001F0A42">
        <w:rPr>
          <w:rFonts w:ascii="Verdana" w:hAnsi="Verdana" w:cs="Cambria"/>
          <w:spacing w:val="-12"/>
          <w:sz w:val="16"/>
          <w:szCs w:val="16"/>
        </w:rPr>
        <w:t>. Senten</w:t>
      </w:r>
      <w:r>
        <w:rPr>
          <w:rFonts w:ascii="Verdana" w:hAnsi="Verdana" w:cs="Cambria"/>
          <w:spacing w:val="-12"/>
          <w:sz w:val="16"/>
          <w:szCs w:val="16"/>
        </w:rPr>
        <w:t xml:space="preserve">cia de 27 de noviembre de 2008. </w:t>
      </w:r>
      <w:r w:rsidRPr="001F0A42">
        <w:rPr>
          <w:rFonts w:ascii="Verdana" w:hAnsi="Verdana" w:cs="Cambria"/>
          <w:spacing w:val="-12"/>
          <w:sz w:val="16"/>
          <w:szCs w:val="16"/>
        </w:rPr>
        <w:t>Serie C No. 192, párr. 96</w:t>
      </w:r>
      <w:r>
        <w:rPr>
          <w:rFonts w:ascii="Verdana" w:hAnsi="Verdana" w:cs="Cambria"/>
          <w:spacing w:val="-12"/>
          <w:sz w:val="16"/>
          <w:szCs w:val="16"/>
        </w:rPr>
        <w:t xml:space="preserve">; y </w:t>
      </w:r>
      <w:r>
        <w:rPr>
          <w:rFonts w:ascii="Verdana" w:hAnsi="Verdana" w:cs="Cambria"/>
          <w:i/>
          <w:iCs/>
          <w:spacing w:val="-12"/>
          <w:sz w:val="16"/>
          <w:szCs w:val="16"/>
        </w:rPr>
        <w:t xml:space="preserve">Caso Fleury y otros Vs. Haití. Fondo y Reparaciones. </w:t>
      </w:r>
      <w:r>
        <w:rPr>
          <w:rFonts w:ascii="Verdana" w:hAnsi="Verdana" w:cs="Cambria"/>
          <w:spacing w:val="-12"/>
          <w:sz w:val="16"/>
          <w:szCs w:val="16"/>
        </w:rPr>
        <w:t>Sentencia de 23 de noviembre de 2011. Serie C No. 236, párr. 101.</w:t>
      </w:r>
    </w:p>
  </w:footnote>
  <w:footnote w:id="187">
    <w:p w14:paraId="67C26CC3" w14:textId="77777777"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eastAsia="Calibri" w:hAnsi="Verdana"/>
          <w:spacing w:val="-12"/>
          <w:sz w:val="16"/>
          <w:szCs w:val="16"/>
          <w:lang w:val="es-MX"/>
        </w:rPr>
        <w:footnoteRef/>
      </w:r>
      <w:r w:rsidRPr="001F0A42">
        <w:rPr>
          <w:rFonts w:ascii="Verdana" w:hAnsi="Verdana"/>
          <w:spacing w:val="-12"/>
          <w:sz w:val="16"/>
          <w:szCs w:val="16"/>
          <w:lang w:val="es-MX"/>
        </w:rPr>
        <w:tab/>
        <w:t>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188">
    <w:p w14:paraId="28D375A5" w14:textId="2B442828" w:rsidR="00D93B58" w:rsidRPr="001F0A42" w:rsidRDefault="00D93B58" w:rsidP="008C7533">
      <w:pPr>
        <w:pStyle w:val="Textonotapie"/>
        <w:spacing w:before="120" w:after="120"/>
        <w:jc w:val="both"/>
        <w:rPr>
          <w:rFonts w:ascii="Verdana" w:hAnsi="Verdana"/>
          <w:spacing w:val="-12"/>
          <w:sz w:val="16"/>
          <w:szCs w:val="16"/>
          <w:lang w:val="es-MX"/>
        </w:rPr>
      </w:pPr>
      <w:r w:rsidRPr="001F0A42">
        <w:rPr>
          <w:rStyle w:val="Refdenotaalpie"/>
          <w:rFonts w:ascii="Verdana" w:eastAsia="Calibri" w:hAnsi="Verdana"/>
          <w:spacing w:val="-12"/>
          <w:sz w:val="16"/>
          <w:szCs w:val="16"/>
          <w:lang w:val="es-MX"/>
        </w:rPr>
        <w:footnoteRef/>
      </w:r>
      <w:r w:rsidRPr="001F0A42">
        <w:rPr>
          <w:rFonts w:ascii="Verdana" w:hAnsi="Verdana"/>
          <w:spacing w:val="-12"/>
          <w:sz w:val="16"/>
          <w:szCs w:val="16"/>
          <w:lang w:val="es-MX"/>
        </w:rPr>
        <w:tab/>
        <w:t>Sobre la obligación de reparar y sus alcances, ver</w:t>
      </w:r>
      <w:r w:rsidRPr="001F0A42">
        <w:rPr>
          <w:rFonts w:ascii="Verdana" w:hAnsi="Verdana"/>
          <w:i/>
          <w:spacing w:val="-12"/>
          <w:sz w:val="16"/>
          <w:szCs w:val="16"/>
          <w:lang w:val="es-MX"/>
        </w:rPr>
        <w:t xml:space="preserve"> Caso Velásquez Rodríguez Vs. Hondur</w:t>
      </w:r>
      <w:r>
        <w:rPr>
          <w:rFonts w:ascii="Verdana" w:hAnsi="Verdana"/>
          <w:spacing w:val="-12"/>
          <w:sz w:val="16"/>
          <w:szCs w:val="16"/>
          <w:lang w:val="es-MX"/>
        </w:rPr>
        <w:t xml:space="preserve">as. </w:t>
      </w:r>
      <w:r w:rsidRPr="00F515FE">
        <w:rPr>
          <w:rFonts w:ascii="Verdana" w:hAnsi="Verdana"/>
          <w:i/>
          <w:spacing w:val="-12"/>
          <w:sz w:val="16"/>
          <w:szCs w:val="16"/>
          <w:lang w:val="es-MX"/>
        </w:rPr>
        <w:t>Reparaciones y Costas</w:t>
      </w:r>
      <w:r w:rsidRPr="00F515FE">
        <w:rPr>
          <w:rFonts w:ascii="Verdana" w:hAnsi="Verdana"/>
          <w:spacing w:val="-12"/>
          <w:sz w:val="16"/>
          <w:szCs w:val="16"/>
          <w:lang w:val="es-MX"/>
        </w:rPr>
        <w:t>. Sentencia de 21 de julio de 1989. Serie C No. 7</w:t>
      </w:r>
      <w:r w:rsidRPr="001F0A42">
        <w:rPr>
          <w:rFonts w:ascii="Verdana" w:hAnsi="Verdana"/>
          <w:spacing w:val="-12"/>
          <w:sz w:val="16"/>
          <w:szCs w:val="16"/>
          <w:lang w:val="es-MX"/>
        </w:rPr>
        <w:t xml:space="preserve">, párrs. 25 a 27; y </w:t>
      </w:r>
      <w:r>
        <w:rPr>
          <w:rStyle w:val="Textoennegrita"/>
          <w:rFonts w:ascii="Verdana" w:hAnsi="Verdana"/>
          <w:b w:val="0"/>
          <w:i/>
          <w:color w:val="000000"/>
          <w:spacing w:val="-12"/>
          <w:sz w:val="16"/>
          <w:szCs w:val="16"/>
          <w:shd w:val="clear" w:color="auto" w:fill="FFFFFF"/>
          <w:lang w:val="es-MX"/>
        </w:rPr>
        <w:t>Caso Andrade Salmón Vs. Bolivia, supra</w:t>
      </w:r>
      <w:r>
        <w:rPr>
          <w:rStyle w:val="Textoennegrita"/>
          <w:rFonts w:ascii="Verdana" w:hAnsi="Verdana"/>
          <w:b w:val="0"/>
          <w:iCs/>
          <w:color w:val="000000"/>
          <w:spacing w:val="-12"/>
          <w:sz w:val="16"/>
          <w:szCs w:val="16"/>
          <w:shd w:val="clear" w:color="auto" w:fill="FFFFFF"/>
          <w:lang w:val="es-MX"/>
        </w:rPr>
        <w:t>, párr. 188.</w:t>
      </w:r>
    </w:p>
  </w:footnote>
  <w:footnote w:id="189">
    <w:p w14:paraId="2D4B5A90" w14:textId="6A6ECE56" w:rsidR="00D93B58" w:rsidRPr="008C7533" w:rsidRDefault="00D93B58" w:rsidP="008C7533">
      <w:pPr>
        <w:pStyle w:val="Textonotapie"/>
        <w:spacing w:before="120" w:after="120"/>
        <w:jc w:val="both"/>
        <w:rPr>
          <w:rFonts w:ascii="Verdana" w:hAnsi="Verdana"/>
          <w:spacing w:val="-12"/>
          <w:sz w:val="16"/>
          <w:szCs w:val="16"/>
          <w:lang w:val="es-MX"/>
        </w:rPr>
      </w:pPr>
      <w:r w:rsidRPr="008C7533">
        <w:rPr>
          <w:rStyle w:val="Refdenotaalpie"/>
          <w:rFonts w:ascii="Verdana" w:hAnsi="Verdana"/>
          <w:sz w:val="16"/>
          <w:szCs w:val="16"/>
        </w:rPr>
        <w:footnoteRef/>
      </w:r>
      <w:r w:rsidRPr="008C7533">
        <w:rPr>
          <w:rFonts w:ascii="Verdana" w:hAnsi="Verdana"/>
          <w:sz w:val="16"/>
          <w:szCs w:val="16"/>
        </w:rPr>
        <w:t xml:space="preserve"> </w:t>
      </w:r>
      <w:r w:rsidRPr="00576995">
        <w:rPr>
          <w:rFonts w:ascii="Verdana" w:hAnsi="Verdana"/>
          <w:spacing w:val="-12"/>
          <w:sz w:val="16"/>
          <w:szCs w:val="16"/>
          <w:lang w:val="es-MX"/>
        </w:rPr>
        <w:tab/>
      </w:r>
      <w:r w:rsidRPr="00F515FE">
        <w:rPr>
          <w:rFonts w:ascii="Verdana" w:hAnsi="Verdana"/>
          <w:i/>
          <w:spacing w:val="-12"/>
          <w:sz w:val="16"/>
          <w:szCs w:val="16"/>
          <w:lang w:val="es-MX"/>
        </w:rPr>
        <w:t>Cfr. Caso Velásquez Rodríguez Vs. Honduras</w:t>
      </w:r>
      <w:r>
        <w:rPr>
          <w:rFonts w:ascii="Verdana" w:hAnsi="Verdana"/>
          <w:i/>
          <w:spacing w:val="-12"/>
          <w:sz w:val="16"/>
          <w:szCs w:val="16"/>
          <w:lang w:val="es-MX"/>
        </w:rPr>
        <w:t>. Reparaciones, supra,</w:t>
      </w:r>
      <w:r w:rsidRPr="00F515FE">
        <w:rPr>
          <w:rFonts w:ascii="Verdana" w:hAnsi="Verdana"/>
          <w:spacing w:val="-12"/>
          <w:sz w:val="16"/>
          <w:szCs w:val="16"/>
          <w:lang w:val="es-MX"/>
        </w:rPr>
        <w:t xml:space="preserve"> párrs. 25 y 29, y </w:t>
      </w:r>
      <w:r>
        <w:rPr>
          <w:rStyle w:val="Textoennegrita"/>
          <w:rFonts w:ascii="Verdana" w:hAnsi="Verdana"/>
          <w:b w:val="0"/>
          <w:i/>
          <w:color w:val="000000"/>
          <w:spacing w:val="-12"/>
          <w:sz w:val="16"/>
          <w:szCs w:val="16"/>
          <w:shd w:val="clear" w:color="auto" w:fill="FFFFFF"/>
          <w:lang w:val="es-MX"/>
        </w:rPr>
        <w:t>Caso Andrade Salmón Vs. Bolivia, supra</w:t>
      </w:r>
      <w:r>
        <w:rPr>
          <w:rStyle w:val="Textoennegrita"/>
          <w:rFonts w:ascii="Verdana" w:hAnsi="Verdana"/>
          <w:b w:val="0"/>
          <w:iCs/>
          <w:color w:val="000000"/>
          <w:spacing w:val="-12"/>
          <w:sz w:val="16"/>
          <w:szCs w:val="16"/>
          <w:shd w:val="clear" w:color="auto" w:fill="FFFFFF"/>
          <w:lang w:val="es-MX"/>
        </w:rPr>
        <w:t>, párr. 188.</w:t>
      </w:r>
    </w:p>
  </w:footnote>
  <w:footnote w:id="190">
    <w:p w14:paraId="51E90E79" w14:textId="23DE1651" w:rsidR="00D93B58" w:rsidRPr="00F515FE" w:rsidRDefault="00D93B58" w:rsidP="008C7533">
      <w:pPr>
        <w:pStyle w:val="Textonotapie"/>
        <w:spacing w:before="120" w:after="120"/>
        <w:jc w:val="both"/>
        <w:rPr>
          <w:lang w:val="es-CR"/>
        </w:rPr>
      </w:pPr>
      <w:r w:rsidRPr="008C7533">
        <w:rPr>
          <w:rStyle w:val="Refdenotaalpie"/>
          <w:rFonts w:ascii="Verdana" w:hAnsi="Verdana"/>
          <w:sz w:val="16"/>
          <w:szCs w:val="16"/>
        </w:rPr>
        <w:footnoteRef/>
      </w:r>
      <w:r w:rsidRPr="008C7533">
        <w:rPr>
          <w:rFonts w:ascii="Verdana" w:hAnsi="Verdana"/>
          <w:sz w:val="16"/>
          <w:szCs w:val="16"/>
        </w:rPr>
        <w:t xml:space="preserve"> </w:t>
      </w:r>
      <w:r w:rsidRPr="00F515FE">
        <w:rPr>
          <w:rFonts w:ascii="Verdana" w:hAnsi="Verdana"/>
          <w:spacing w:val="-12"/>
          <w:sz w:val="16"/>
          <w:szCs w:val="16"/>
          <w:lang w:val="es-MX"/>
        </w:rPr>
        <w:tab/>
      </w:r>
      <w:r w:rsidRPr="00F515FE">
        <w:rPr>
          <w:rFonts w:ascii="Verdana" w:hAnsi="Verdana"/>
          <w:i/>
          <w:spacing w:val="-12"/>
          <w:sz w:val="16"/>
          <w:szCs w:val="16"/>
          <w:lang w:val="es-MX"/>
        </w:rPr>
        <w:t>Cfr. Caso Ticona Estrada y otros Vs. Bolivia. Fondo, Reparaciones y Costas</w:t>
      </w:r>
      <w:r w:rsidRPr="00F515FE">
        <w:rPr>
          <w:rFonts w:ascii="Verdana" w:hAnsi="Verdana"/>
          <w:spacing w:val="-12"/>
          <w:sz w:val="16"/>
          <w:szCs w:val="16"/>
          <w:lang w:val="es-MX"/>
        </w:rPr>
        <w:t xml:space="preserve">. Sentencia de 27 de noviembre de 2008. Serie C No. 191, párr. 110, y </w:t>
      </w:r>
      <w:r w:rsidRPr="00F515FE">
        <w:rPr>
          <w:rFonts w:ascii="Verdana" w:hAnsi="Verdana"/>
          <w:i/>
          <w:spacing w:val="-12"/>
          <w:sz w:val="16"/>
          <w:szCs w:val="16"/>
          <w:lang w:val="es-MX"/>
        </w:rPr>
        <w:t>Caso Andrade Salmón Vs. Bolivia</w:t>
      </w:r>
      <w:r>
        <w:rPr>
          <w:rFonts w:ascii="Verdana" w:hAnsi="Verdana"/>
          <w:i/>
          <w:spacing w:val="-12"/>
          <w:sz w:val="16"/>
          <w:szCs w:val="16"/>
          <w:lang w:val="es-MX"/>
        </w:rPr>
        <w:t>, supra,</w:t>
      </w:r>
      <w:r w:rsidRPr="00F515FE">
        <w:rPr>
          <w:rFonts w:ascii="Verdana" w:hAnsi="Verdana"/>
          <w:spacing w:val="-12"/>
          <w:sz w:val="16"/>
          <w:szCs w:val="16"/>
          <w:lang w:val="es-MX"/>
        </w:rPr>
        <w:t xml:space="preserve"> párr. 188.</w:t>
      </w:r>
    </w:p>
  </w:footnote>
  <w:footnote w:id="191">
    <w:p w14:paraId="68EE6C1B" w14:textId="1A0ADA39" w:rsidR="00D93B58" w:rsidRPr="00F515FE" w:rsidRDefault="00D93B58" w:rsidP="008C7533">
      <w:pPr>
        <w:pStyle w:val="Textonotapie"/>
        <w:spacing w:before="120" w:after="120"/>
        <w:jc w:val="both"/>
        <w:rPr>
          <w:lang w:val="es-CR"/>
        </w:rPr>
      </w:pPr>
      <w:r w:rsidRPr="00AB42B1">
        <w:rPr>
          <w:rStyle w:val="Refdenotaalpie"/>
          <w:rFonts w:ascii="Verdana" w:hAnsi="Verdana"/>
          <w:sz w:val="16"/>
          <w:szCs w:val="16"/>
        </w:rPr>
        <w:footnoteRef/>
      </w:r>
      <w:r w:rsidRPr="00AB42B1">
        <w:rPr>
          <w:rFonts w:ascii="Verdana" w:hAnsi="Verdana"/>
          <w:sz w:val="16"/>
          <w:szCs w:val="16"/>
        </w:rPr>
        <w:t xml:space="preserve"> </w:t>
      </w:r>
      <w:r w:rsidRPr="00AB42B1">
        <w:rPr>
          <w:rFonts w:ascii="Verdana" w:hAnsi="Verdana"/>
          <w:spacing w:val="-12"/>
          <w:sz w:val="16"/>
          <w:szCs w:val="16"/>
          <w:lang w:val="es-MX"/>
        </w:rPr>
        <w:tab/>
      </w:r>
      <w:r w:rsidRPr="00F515FE">
        <w:rPr>
          <w:rFonts w:ascii="Verdana" w:hAnsi="Verdana"/>
          <w:i/>
          <w:spacing w:val="-12"/>
          <w:sz w:val="16"/>
          <w:szCs w:val="16"/>
          <w:lang w:val="es-MX"/>
        </w:rPr>
        <w:t>Cfr. Caso Velásquez Rodríguez Vs. Honduras. Reparaciones</w:t>
      </w:r>
      <w:r w:rsidRPr="00F515FE">
        <w:rPr>
          <w:rFonts w:ascii="Verdana" w:hAnsi="Verdana"/>
          <w:spacing w:val="-12"/>
          <w:sz w:val="16"/>
          <w:szCs w:val="16"/>
          <w:lang w:val="es-MX"/>
        </w:rPr>
        <w:t>,</w:t>
      </w:r>
      <w:r>
        <w:rPr>
          <w:rFonts w:ascii="Verdana" w:hAnsi="Verdana"/>
          <w:spacing w:val="-12"/>
          <w:sz w:val="16"/>
          <w:szCs w:val="16"/>
          <w:lang w:val="es-MX"/>
        </w:rPr>
        <w:t xml:space="preserve"> </w:t>
      </w:r>
      <w:r>
        <w:rPr>
          <w:rFonts w:ascii="Verdana" w:hAnsi="Verdana"/>
          <w:i/>
          <w:spacing w:val="-12"/>
          <w:sz w:val="16"/>
          <w:szCs w:val="16"/>
          <w:lang w:val="es-MX"/>
        </w:rPr>
        <w:t>supra,</w:t>
      </w:r>
      <w:r w:rsidRPr="00F515FE">
        <w:rPr>
          <w:rFonts w:ascii="Verdana" w:hAnsi="Verdana"/>
          <w:spacing w:val="-12"/>
          <w:sz w:val="16"/>
          <w:szCs w:val="16"/>
          <w:lang w:val="es-MX"/>
        </w:rPr>
        <w:t xml:space="preserve"> párr</w:t>
      </w:r>
      <w:r>
        <w:rPr>
          <w:rFonts w:ascii="Verdana" w:hAnsi="Verdana"/>
          <w:spacing w:val="-12"/>
          <w:sz w:val="16"/>
          <w:szCs w:val="16"/>
          <w:lang w:val="es-MX"/>
        </w:rPr>
        <w:t>s</w:t>
      </w:r>
      <w:r w:rsidRPr="00F515FE">
        <w:rPr>
          <w:rFonts w:ascii="Verdana" w:hAnsi="Verdana"/>
          <w:spacing w:val="-12"/>
          <w:sz w:val="16"/>
          <w:szCs w:val="16"/>
          <w:lang w:val="es-MX"/>
        </w:rPr>
        <w:t xml:space="preserve">. 25 a 27,  y </w:t>
      </w:r>
      <w:r w:rsidRPr="00F515FE">
        <w:rPr>
          <w:rFonts w:ascii="Verdana" w:hAnsi="Verdana"/>
          <w:i/>
          <w:spacing w:val="-12"/>
          <w:sz w:val="16"/>
          <w:szCs w:val="16"/>
          <w:lang w:val="es-MX"/>
        </w:rPr>
        <w:t xml:space="preserve">Caso Andrade Salmón Vs. Bolivia. </w:t>
      </w:r>
      <w:r>
        <w:rPr>
          <w:rFonts w:ascii="Verdana" w:hAnsi="Verdana"/>
          <w:i/>
          <w:spacing w:val="-12"/>
          <w:sz w:val="16"/>
          <w:szCs w:val="16"/>
          <w:lang w:val="es-MX"/>
        </w:rPr>
        <w:t>supra</w:t>
      </w:r>
      <w:r w:rsidRPr="00F515FE">
        <w:rPr>
          <w:rFonts w:ascii="Verdana" w:hAnsi="Verdana"/>
          <w:spacing w:val="-12"/>
          <w:sz w:val="16"/>
          <w:szCs w:val="16"/>
          <w:lang w:val="es-MX"/>
        </w:rPr>
        <w:t>, párr. 189</w:t>
      </w:r>
      <w:r>
        <w:rPr>
          <w:rFonts w:ascii="Verdana" w:hAnsi="Verdana"/>
          <w:spacing w:val="-12"/>
          <w:sz w:val="16"/>
          <w:szCs w:val="16"/>
          <w:lang w:val="es-MX"/>
        </w:rPr>
        <w:t>.</w:t>
      </w:r>
    </w:p>
  </w:footnote>
  <w:footnote w:id="192">
    <w:p w14:paraId="14BF4B3A" w14:textId="21523A29" w:rsidR="00D93B58" w:rsidRPr="001F0A42" w:rsidRDefault="00D93B58" w:rsidP="008C7533">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spacing w:val="-12"/>
          <w:sz w:val="16"/>
          <w:szCs w:val="16"/>
          <w:lang w:val="es-MX"/>
        </w:rPr>
        <w:t>Solicitaron que</w:t>
      </w:r>
      <w:r>
        <w:rPr>
          <w:rFonts w:ascii="Verdana" w:hAnsi="Verdana"/>
          <w:spacing w:val="-12"/>
          <w:sz w:val="16"/>
          <w:szCs w:val="16"/>
          <w:lang w:val="es-MX"/>
        </w:rPr>
        <w:t xml:space="preserve"> se ordene al</w:t>
      </w:r>
      <w:r w:rsidRPr="001F0A42">
        <w:rPr>
          <w:rFonts w:ascii="Verdana" w:hAnsi="Verdana"/>
          <w:spacing w:val="-12"/>
          <w:sz w:val="16"/>
          <w:szCs w:val="16"/>
          <w:lang w:val="es-MX"/>
        </w:rPr>
        <w:t xml:space="preserve"> Estado investigar de forma imparcial, efectiva y expedita los hechos, a efecto de identificar plenamente a todos los cómplices y autores materiales e intelectuales y partícipes de los mismos; para que todos los involucrados sean juzgados y cumplan efectivamente con la sanción q</w:t>
      </w:r>
      <w:r>
        <w:rPr>
          <w:rFonts w:ascii="Verdana" w:hAnsi="Verdana"/>
          <w:spacing w:val="-12"/>
          <w:sz w:val="16"/>
          <w:szCs w:val="16"/>
          <w:lang w:val="es-MX"/>
        </w:rPr>
        <w:t xml:space="preserve">ue legalmente les sea impuesta; </w:t>
      </w:r>
      <w:r w:rsidRPr="001F0A42">
        <w:rPr>
          <w:rFonts w:ascii="Verdana" w:hAnsi="Verdana"/>
          <w:spacing w:val="-12"/>
          <w:sz w:val="16"/>
          <w:szCs w:val="16"/>
          <w:lang w:val="es-MX"/>
        </w:rPr>
        <w:t xml:space="preserve">abstenerse de utilizar obstáculos procesales como la amnistía, prescripción, la cosa juzgada, ya que en el presente acaso es claro que cabe aplicar la cosa juzgada fraudulenta, o cualquier otro mecanismo destinado a promover la exclusión de responsabilidad penal de las personas que </w:t>
      </w:r>
      <w:r>
        <w:rPr>
          <w:rFonts w:ascii="Verdana" w:hAnsi="Verdana"/>
          <w:spacing w:val="-12"/>
          <w:sz w:val="16"/>
          <w:szCs w:val="16"/>
          <w:lang w:val="es-MX"/>
        </w:rPr>
        <w:t>hayan participado en los hechos; así como</w:t>
      </w:r>
      <w:r w:rsidRPr="001F0A42">
        <w:rPr>
          <w:rFonts w:ascii="Verdana" w:hAnsi="Verdana"/>
          <w:spacing w:val="-12"/>
          <w:sz w:val="16"/>
          <w:szCs w:val="16"/>
          <w:lang w:val="es-MX"/>
        </w:rPr>
        <w:t xml:space="preserve"> investigar, juzgar y sancionar a los responsables de las irregularidades y omisiones cometidas en el proceso penal seguido por el asesinato del señor García Valle, con el fin de iniciar procedimientos disciplinarios y de otra índole que sean necesarios para sancionar a los responsables</w:t>
      </w:r>
      <w:r>
        <w:rPr>
          <w:rFonts w:ascii="Verdana" w:hAnsi="Verdana"/>
          <w:spacing w:val="-12"/>
          <w:sz w:val="16"/>
          <w:szCs w:val="16"/>
          <w:lang w:val="es-MX"/>
        </w:rPr>
        <w:t xml:space="preserve">. </w:t>
      </w:r>
      <w:r w:rsidRPr="001F0A42">
        <w:rPr>
          <w:rFonts w:ascii="Verdana" w:hAnsi="Verdana"/>
          <w:spacing w:val="-12"/>
          <w:sz w:val="16"/>
          <w:szCs w:val="16"/>
          <w:lang w:val="es-MX"/>
        </w:rPr>
        <w:t xml:space="preserve">Los resultados de las investigaciones deberán ser divulgados pública y ampliamente y los familiares de las víctimas deberán tener pleno acceso y capacidad de actuar en todas las etapas procesales. </w:t>
      </w:r>
    </w:p>
  </w:footnote>
  <w:footnote w:id="193">
    <w:p w14:paraId="09B5BD06" w14:textId="149EDE8F"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7E16F7">
        <w:rPr>
          <w:rFonts w:ascii="Verdana" w:hAnsi="Verdana"/>
          <w:spacing w:val="-12"/>
          <w:sz w:val="16"/>
          <w:szCs w:val="16"/>
          <w:lang w:val="es-MX"/>
        </w:rPr>
        <w:tab/>
      </w:r>
      <w:r w:rsidRPr="007E16F7">
        <w:rPr>
          <w:rFonts w:ascii="Verdana" w:hAnsi="Verdana"/>
          <w:i/>
          <w:spacing w:val="-12"/>
          <w:sz w:val="16"/>
          <w:szCs w:val="16"/>
          <w:lang w:val="es-MX"/>
        </w:rPr>
        <w:t>Cfr. Caso Albán Cornejo y otros Vs. Ecuador. Fondo, Reparaciones y Costas</w:t>
      </w:r>
      <w:r w:rsidRPr="007E16F7">
        <w:rPr>
          <w:rFonts w:ascii="Verdana" w:hAnsi="Verdana"/>
          <w:spacing w:val="-12"/>
          <w:sz w:val="16"/>
          <w:szCs w:val="16"/>
          <w:lang w:val="es-MX"/>
        </w:rPr>
        <w:t xml:space="preserve">. Sentencia de 22 de noviembre de 2007. Serie C No. 171, párr. 111; </w:t>
      </w:r>
      <w:r w:rsidRPr="007E16F7">
        <w:rPr>
          <w:rFonts w:ascii="Verdana" w:hAnsi="Verdana"/>
          <w:i/>
          <w:spacing w:val="-12"/>
          <w:sz w:val="16"/>
          <w:szCs w:val="16"/>
          <w:lang w:val="es-MX"/>
        </w:rPr>
        <w:t>Caso García Ibarra y otros Vs. Ecuador, supra</w:t>
      </w:r>
      <w:r w:rsidRPr="007E16F7">
        <w:rPr>
          <w:rFonts w:ascii="Verdana" w:hAnsi="Verdana"/>
          <w:spacing w:val="-12"/>
          <w:sz w:val="16"/>
          <w:szCs w:val="16"/>
          <w:lang w:val="es-MX"/>
        </w:rPr>
        <w:t xml:space="preserve">,  párr. 204; y </w:t>
      </w:r>
      <w:r w:rsidRPr="007E16F7">
        <w:rPr>
          <w:rFonts w:ascii="Verdana" w:hAnsi="Verdana"/>
          <w:i/>
          <w:spacing w:val="-12"/>
          <w:sz w:val="16"/>
          <w:szCs w:val="16"/>
          <w:lang w:val="es-MX"/>
        </w:rPr>
        <w:t>Caso Miembros de la Aldea Chichupac y comunidades vecinas del Mun</w:t>
      </w:r>
      <w:r>
        <w:rPr>
          <w:rFonts w:ascii="Verdana" w:hAnsi="Verdana"/>
          <w:i/>
          <w:spacing w:val="-12"/>
          <w:sz w:val="16"/>
          <w:szCs w:val="16"/>
          <w:lang w:val="es-MX"/>
        </w:rPr>
        <w:t>icipio de Rabinal Vs. Guatemala, supra</w:t>
      </w:r>
      <w:r w:rsidRPr="007E16F7">
        <w:rPr>
          <w:rFonts w:ascii="Verdana" w:hAnsi="Verdana"/>
          <w:spacing w:val="-12"/>
          <w:sz w:val="16"/>
          <w:szCs w:val="16"/>
          <w:lang w:val="es-MX"/>
        </w:rPr>
        <w:t>, párrs. 214, 244 y 247.</w:t>
      </w:r>
    </w:p>
  </w:footnote>
  <w:footnote w:id="194">
    <w:p w14:paraId="1C215790" w14:textId="77777777"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Style w:val="TextonotapieCar1"/>
          <w:rFonts w:ascii="Verdana" w:eastAsia="Batang" w:hAnsi="Verdana"/>
          <w:i/>
          <w:spacing w:val="-12"/>
          <w:sz w:val="16"/>
          <w:szCs w:val="16"/>
          <w:lang w:val="es-ES"/>
        </w:rPr>
        <w:t>Cfr.</w:t>
      </w:r>
      <w:r w:rsidRPr="001F0A42">
        <w:rPr>
          <w:rStyle w:val="TextonotapieCar1"/>
          <w:rFonts w:ascii="Verdana" w:eastAsia="Batang" w:hAnsi="Verdana"/>
          <w:spacing w:val="-12"/>
          <w:sz w:val="16"/>
          <w:szCs w:val="16"/>
          <w:lang w:val="es-ES"/>
        </w:rPr>
        <w:t xml:space="preserve"> </w:t>
      </w:r>
      <w:r w:rsidRPr="001F0A42">
        <w:rPr>
          <w:rFonts w:ascii="Verdana" w:hAnsi="Verdana"/>
          <w:i/>
          <w:spacing w:val="-12"/>
          <w:sz w:val="16"/>
          <w:szCs w:val="16"/>
          <w:lang w:val="es-ES"/>
        </w:rPr>
        <w:t xml:space="preserve">Caso García Ibarra y otros Vs. Ecuador, supra, </w:t>
      </w:r>
      <w:r w:rsidRPr="001F0A42">
        <w:rPr>
          <w:rFonts w:ascii="Verdana" w:hAnsi="Verdana"/>
          <w:spacing w:val="-12"/>
          <w:sz w:val="16"/>
          <w:szCs w:val="16"/>
          <w:lang w:val="es-CR"/>
        </w:rPr>
        <w:t xml:space="preserve"> párr. 204; y </w:t>
      </w:r>
      <w:r w:rsidRPr="001F0A42">
        <w:rPr>
          <w:rFonts w:ascii="Verdana" w:hAnsi="Verdana"/>
          <w:i/>
          <w:spacing w:val="-12"/>
          <w:sz w:val="16"/>
          <w:szCs w:val="16"/>
          <w:lang w:val="es-ES"/>
        </w:rPr>
        <w:t>Caso Chinchilla Sandoval vs. Guatemala</w:t>
      </w:r>
      <w:r w:rsidRPr="001F0A42">
        <w:rPr>
          <w:rFonts w:ascii="Verdana" w:hAnsi="Verdana"/>
          <w:spacing w:val="-12"/>
          <w:sz w:val="16"/>
          <w:szCs w:val="16"/>
          <w:lang w:val="es-ES"/>
        </w:rPr>
        <w:t>,</w:t>
      </w:r>
      <w:r>
        <w:rPr>
          <w:rFonts w:ascii="Verdana" w:hAnsi="Verdana"/>
          <w:spacing w:val="-12"/>
          <w:sz w:val="16"/>
          <w:szCs w:val="16"/>
          <w:lang w:val="es-ES"/>
        </w:rPr>
        <w:t xml:space="preserve"> </w:t>
      </w:r>
      <w:r w:rsidRPr="00350DB1">
        <w:rPr>
          <w:rFonts w:ascii="Verdana" w:hAnsi="Verdana"/>
          <w:i/>
          <w:spacing w:val="-12"/>
          <w:sz w:val="16"/>
          <w:szCs w:val="16"/>
          <w:lang w:val="es-ES"/>
        </w:rPr>
        <w:t>supra</w:t>
      </w:r>
      <w:r>
        <w:rPr>
          <w:rFonts w:ascii="Verdana" w:hAnsi="Verdana"/>
          <w:spacing w:val="-12"/>
          <w:sz w:val="16"/>
          <w:szCs w:val="16"/>
          <w:lang w:val="es-ES"/>
        </w:rPr>
        <w:t xml:space="preserve"> párr.</w:t>
      </w:r>
      <w:r w:rsidRPr="001F0A42">
        <w:rPr>
          <w:rFonts w:ascii="Verdana" w:hAnsi="Verdana"/>
          <w:spacing w:val="-12"/>
          <w:sz w:val="16"/>
          <w:szCs w:val="16"/>
          <w:lang w:val="es-ES"/>
        </w:rPr>
        <w:t xml:space="preserve"> 278</w:t>
      </w:r>
      <w:r>
        <w:rPr>
          <w:rFonts w:ascii="Verdana" w:hAnsi="Verdana"/>
          <w:spacing w:val="-12"/>
          <w:sz w:val="16"/>
          <w:szCs w:val="16"/>
          <w:lang w:val="es-ES"/>
        </w:rPr>
        <w:t>.</w:t>
      </w:r>
    </w:p>
  </w:footnote>
  <w:footnote w:id="195">
    <w:p w14:paraId="0383424A" w14:textId="6F7ABDFE" w:rsidR="00D93B58" w:rsidRPr="001F0A42" w:rsidRDefault="00D93B58" w:rsidP="00C10D2F">
      <w:pPr>
        <w:pStyle w:val="Textonotapie"/>
        <w:spacing w:before="120" w:after="120"/>
        <w:jc w:val="both"/>
        <w:rPr>
          <w:rFonts w:ascii="Verdana" w:hAnsi="Verdana"/>
          <w:spacing w:val="-12"/>
          <w:sz w:val="16"/>
          <w:szCs w:val="16"/>
          <w:lang w:val="es-CR"/>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Style w:val="TextonotapieCar1"/>
          <w:rFonts w:ascii="Verdana" w:eastAsia="Batang" w:hAnsi="Verdana"/>
          <w:i/>
          <w:spacing w:val="-12"/>
          <w:sz w:val="16"/>
          <w:szCs w:val="16"/>
          <w:lang w:val="es-ES"/>
        </w:rPr>
        <w:t xml:space="preserve">Cfr. Caso Valencia Hinojosa vs. Ecuador, </w:t>
      </w:r>
      <w:r>
        <w:rPr>
          <w:rStyle w:val="TextonotapieCar1"/>
          <w:rFonts w:ascii="Verdana" w:eastAsia="Batang" w:hAnsi="Verdana"/>
          <w:i/>
          <w:spacing w:val="-12"/>
          <w:sz w:val="16"/>
          <w:szCs w:val="16"/>
          <w:lang w:val="es-ES"/>
        </w:rPr>
        <w:t xml:space="preserve">supra, </w:t>
      </w:r>
      <w:r w:rsidRPr="001F0A42">
        <w:rPr>
          <w:rStyle w:val="TextonotapieCar1"/>
          <w:rFonts w:ascii="Verdana" w:eastAsia="Batang" w:hAnsi="Verdana"/>
          <w:spacing w:val="-12"/>
          <w:sz w:val="16"/>
          <w:szCs w:val="16"/>
          <w:lang w:val="es-ES"/>
        </w:rPr>
        <w:t>párrs. 155 y 156</w:t>
      </w:r>
      <w:r w:rsidRPr="001F0A42">
        <w:rPr>
          <w:rFonts w:ascii="Verdana" w:hAnsi="Verdana"/>
          <w:spacing w:val="-12"/>
          <w:sz w:val="16"/>
          <w:szCs w:val="16"/>
          <w:lang w:val="es-ES"/>
        </w:rPr>
        <w:t xml:space="preserve">. </w:t>
      </w:r>
    </w:p>
  </w:footnote>
  <w:footnote w:id="196">
    <w:p w14:paraId="068DB82B" w14:textId="48ECA73B" w:rsidR="00D93B58" w:rsidRPr="00E103B2" w:rsidRDefault="00D93B58" w:rsidP="00C10D2F">
      <w:pPr>
        <w:pStyle w:val="Textonotapie"/>
        <w:jc w:val="both"/>
        <w:rPr>
          <w:lang w:val="es-ES_tradnl"/>
        </w:rPr>
      </w:pPr>
      <w:r w:rsidRPr="00AB42B1">
        <w:rPr>
          <w:rStyle w:val="Refdenotaalpie"/>
          <w:rFonts w:ascii="Verdana" w:hAnsi="Verdana"/>
          <w:sz w:val="16"/>
          <w:szCs w:val="16"/>
        </w:rPr>
        <w:footnoteRef/>
      </w:r>
      <w:r w:rsidRPr="00AB42B1">
        <w:rPr>
          <w:rFonts w:ascii="Verdana" w:hAnsi="Verdana"/>
          <w:sz w:val="16"/>
          <w:szCs w:val="16"/>
        </w:rPr>
        <w:t xml:space="preserve"> </w:t>
      </w:r>
      <w:r w:rsidRPr="00AB42B1">
        <w:rPr>
          <w:rFonts w:ascii="Verdana" w:hAnsi="Verdana"/>
          <w:bCs/>
          <w:color w:val="000000"/>
          <w:spacing w:val="-12"/>
          <w:sz w:val="16"/>
          <w:szCs w:val="16"/>
          <w:lang w:val="es-MX"/>
        </w:rPr>
        <w:tab/>
      </w:r>
      <w:r w:rsidRPr="00AB42B1">
        <w:rPr>
          <w:rFonts w:ascii="Verdana" w:hAnsi="Verdana"/>
          <w:bCs/>
          <w:i/>
          <w:color w:val="000000"/>
          <w:spacing w:val="-12"/>
          <w:sz w:val="16"/>
          <w:szCs w:val="16"/>
          <w:lang w:val="es-MX"/>
        </w:rPr>
        <w:t>Cfr.,</w:t>
      </w:r>
      <w:r w:rsidRPr="00AB42B1">
        <w:rPr>
          <w:rFonts w:ascii="Verdana" w:hAnsi="Verdana"/>
          <w:bCs/>
          <w:color w:val="000000"/>
          <w:spacing w:val="-12"/>
          <w:sz w:val="16"/>
          <w:szCs w:val="16"/>
          <w:lang w:val="es-MX"/>
        </w:rPr>
        <w:t xml:space="preserve"> en similar sentido, </w:t>
      </w:r>
      <w:r w:rsidRPr="00AB42B1">
        <w:rPr>
          <w:rFonts w:ascii="Verdana" w:hAnsi="Verdana"/>
          <w:bCs/>
          <w:i/>
          <w:color w:val="000000"/>
          <w:spacing w:val="-12"/>
          <w:sz w:val="16"/>
          <w:szCs w:val="16"/>
          <w:lang w:val="es-MX"/>
        </w:rPr>
        <w:t>Caso Carpio Nicolle y otros Vs. Chile</w:t>
      </w:r>
      <w:r>
        <w:rPr>
          <w:rFonts w:ascii="Verdana" w:hAnsi="Verdana"/>
          <w:bCs/>
          <w:color w:val="000000"/>
          <w:spacing w:val="-12"/>
          <w:sz w:val="16"/>
          <w:szCs w:val="16"/>
          <w:lang w:val="es-MX"/>
        </w:rPr>
        <w:t xml:space="preserve">. </w:t>
      </w:r>
      <w:r w:rsidRPr="007E16F7">
        <w:rPr>
          <w:rFonts w:ascii="Verdana" w:hAnsi="Verdana"/>
          <w:bCs/>
          <w:i/>
          <w:color w:val="000000"/>
          <w:spacing w:val="-12"/>
          <w:sz w:val="16"/>
          <w:szCs w:val="16"/>
          <w:lang w:val="es-MX"/>
        </w:rPr>
        <w:t>Fondo, Reparaciones y Costas</w:t>
      </w:r>
      <w:r w:rsidRPr="007E16F7">
        <w:rPr>
          <w:rFonts w:ascii="Verdana" w:hAnsi="Verdana"/>
          <w:bCs/>
          <w:color w:val="000000"/>
          <w:spacing w:val="-12"/>
          <w:sz w:val="16"/>
          <w:szCs w:val="16"/>
          <w:lang w:val="es-MX"/>
        </w:rPr>
        <w:t>. Sentencia de 22 de noviembre 2004. Serie C No. 117</w:t>
      </w:r>
      <w:r w:rsidRPr="00AB42B1">
        <w:rPr>
          <w:rFonts w:ascii="Verdana" w:hAnsi="Verdana"/>
          <w:bCs/>
          <w:color w:val="000000"/>
          <w:spacing w:val="-12"/>
          <w:sz w:val="16"/>
          <w:szCs w:val="16"/>
          <w:lang w:val="es-MX"/>
        </w:rPr>
        <w:t xml:space="preserve">, párr. 131; </w:t>
      </w:r>
      <w:r w:rsidRPr="007E16F7">
        <w:rPr>
          <w:rFonts w:ascii="Verdana" w:hAnsi="Verdana"/>
          <w:bCs/>
          <w:i/>
          <w:color w:val="000000"/>
          <w:spacing w:val="-12"/>
          <w:sz w:val="16"/>
          <w:szCs w:val="16"/>
          <w:lang w:val="es-MX"/>
        </w:rPr>
        <w:t>Caso Almonacid Arellano y otros Vs. Chile. Excepciones Preliminares, Fondo, Reparaciones y Costas</w:t>
      </w:r>
      <w:r w:rsidRPr="007E16F7">
        <w:rPr>
          <w:rFonts w:ascii="Verdana" w:hAnsi="Verdana"/>
          <w:bCs/>
          <w:color w:val="000000"/>
          <w:spacing w:val="-12"/>
          <w:sz w:val="16"/>
          <w:szCs w:val="16"/>
          <w:lang w:val="es-MX"/>
        </w:rPr>
        <w:t>. Sentencia de 26 de septiembre de 2006. Serie C No. 154</w:t>
      </w:r>
      <w:r w:rsidRPr="00AB42B1">
        <w:rPr>
          <w:rFonts w:ascii="Verdana" w:hAnsi="Verdana"/>
          <w:bCs/>
          <w:color w:val="000000"/>
          <w:spacing w:val="-12"/>
          <w:sz w:val="16"/>
          <w:szCs w:val="16"/>
          <w:lang w:val="es-MX"/>
        </w:rPr>
        <w:t xml:space="preserve">, párr. 154; y </w:t>
      </w:r>
      <w:r w:rsidRPr="007E16F7">
        <w:rPr>
          <w:rFonts w:ascii="Verdana" w:hAnsi="Verdana"/>
          <w:bCs/>
          <w:i/>
          <w:color w:val="000000"/>
          <w:spacing w:val="-12"/>
          <w:sz w:val="16"/>
          <w:szCs w:val="16"/>
          <w:lang w:val="es-MX"/>
        </w:rPr>
        <w:t>Caso Nadege Dorzema y otros Vs. República Dominicana. Fondo, Reparaciones y Costas</w:t>
      </w:r>
      <w:r w:rsidRPr="00AB42B1">
        <w:rPr>
          <w:rFonts w:ascii="Verdana" w:hAnsi="Verdana"/>
          <w:bCs/>
          <w:color w:val="000000"/>
          <w:spacing w:val="-12"/>
          <w:sz w:val="16"/>
          <w:szCs w:val="16"/>
          <w:lang w:val="es-MX"/>
        </w:rPr>
        <w:t>. Sentencia de 24 de octubre de 2012. Serie C No. 251, párr. 195</w:t>
      </w:r>
    </w:p>
  </w:footnote>
  <w:footnote w:id="197">
    <w:p w14:paraId="264AD3A4" w14:textId="5FCB6389" w:rsidR="00D93B58" w:rsidRPr="001F0A42" w:rsidRDefault="00D93B58" w:rsidP="00C10D2F">
      <w:pPr>
        <w:pStyle w:val="Textonotapie"/>
        <w:spacing w:before="120" w:after="120"/>
        <w:jc w:val="both"/>
        <w:rPr>
          <w:rFonts w:ascii="Verdana" w:hAnsi="Verdana"/>
          <w:spacing w:val="-12"/>
          <w:sz w:val="16"/>
          <w:szCs w:val="16"/>
          <w:lang w:val="es-ES_tradnl"/>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lang w:val="es-ES_tradnl"/>
        </w:rPr>
        <w:tab/>
      </w:r>
      <w:r w:rsidRPr="001F0A42">
        <w:rPr>
          <w:rFonts w:ascii="Verdana" w:hAnsi="Verdana"/>
          <w:bCs/>
          <w:color w:val="000000"/>
          <w:spacing w:val="-12"/>
          <w:sz w:val="16"/>
          <w:szCs w:val="16"/>
          <w:lang w:val="es-MX"/>
        </w:rPr>
        <w:t>Solicitaron la publicación en un plazo dentro de 6 meses de, por lo menos, divulgar las secciones de contexto y hechos probados, así como la parte resolutiva de la sentencia en el La Gaceta Diario Oficial, en La Prensa y en el Nuevo Diario, ambos de circulación nacional, y también en el diario el 19 Digital y en las páginas web de la Corte Suprema de Justicia, la Procuraduría General de la Republica, la Cancillería General de la República, y el Ministerio Público; hasta el momento en que se cumpla integralmente la sentencia</w:t>
      </w:r>
    </w:p>
  </w:footnote>
  <w:footnote w:id="198">
    <w:p w14:paraId="44705ACD" w14:textId="152EF938" w:rsidR="00D93B58" w:rsidRPr="001F0A42" w:rsidRDefault="00D93B58" w:rsidP="00C10D2F">
      <w:pPr>
        <w:pStyle w:val="Textonotapie"/>
        <w:spacing w:before="120" w:after="120"/>
        <w:jc w:val="both"/>
        <w:rPr>
          <w:rFonts w:ascii="Verdana" w:hAnsi="Verdana"/>
          <w:spacing w:val="-12"/>
          <w:sz w:val="16"/>
          <w:szCs w:val="16"/>
          <w:lang w:val="es-ES_tradnl"/>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bCs/>
          <w:color w:val="000000"/>
          <w:spacing w:val="-12"/>
          <w:sz w:val="16"/>
          <w:szCs w:val="16"/>
          <w:lang w:val="es-MX"/>
        </w:rPr>
        <w:tab/>
        <w:t>En ese sentido,</w:t>
      </w:r>
      <w:r>
        <w:rPr>
          <w:rFonts w:ascii="Verdana" w:hAnsi="Verdana"/>
          <w:bCs/>
          <w:color w:val="000000"/>
          <w:spacing w:val="-12"/>
          <w:sz w:val="16"/>
          <w:szCs w:val="16"/>
          <w:lang w:val="es-MX"/>
        </w:rPr>
        <w:t xml:space="preserve"> recomendó que el Estado debe: f</w:t>
      </w:r>
      <w:r w:rsidRPr="001F0A42">
        <w:rPr>
          <w:rFonts w:ascii="Verdana" w:hAnsi="Verdana"/>
          <w:bCs/>
          <w:color w:val="000000"/>
          <w:spacing w:val="-12"/>
          <w:sz w:val="16"/>
          <w:szCs w:val="16"/>
          <w:lang w:val="es-MX"/>
        </w:rPr>
        <w:t>ortalecer la capacidad institucional para combatir el patrón de impunidad frente a casos de amenazas y muertes de defensoras y defensores, mediante la elaboración de protocolos de investigación que tengan en cuenta los riesgos inherentes a la labor de defensa de los derechos humanos, y en particular del derecho a un medio ambiente sano, que conduzcan a la sanción de los responsables y a una rep</w:t>
      </w:r>
      <w:r>
        <w:rPr>
          <w:rFonts w:ascii="Verdana" w:hAnsi="Verdana"/>
          <w:bCs/>
          <w:color w:val="000000"/>
          <w:spacing w:val="-12"/>
          <w:sz w:val="16"/>
          <w:szCs w:val="16"/>
          <w:lang w:val="es-MX"/>
        </w:rPr>
        <w:t>aración adecuada a las víctimas;</w:t>
      </w:r>
      <w:r w:rsidRPr="001F0A42">
        <w:rPr>
          <w:rFonts w:ascii="Verdana" w:hAnsi="Verdana"/>
          <w:bCs/>
          <w:color w:val="000000"/>
          <w:spacing w:val="-12"/>
          <w:sz w:val="16"/>
          <w:szCs w:val="16"/>
          <w:lang w:val="es-MX"/>
        </w:rPr>
        <w:t xml:space="preserve"> asegurar que cuando funcionarios públicos estén implicados en investigaciones de violaciones de derechos humanos, </w:t>
      </w:r>
      <w:r>
        <w:rPr>
          <w:rFonts w:ascii="Verdana" w:hAnsi="Verdana"/>
          <w:bCs/>
          <w:color w:val="000000"/>
          <w:spacing w:val="-12"/>
          <w:sz w:val="16"/>
          <w:szCs w:val="16"/>
          <w:lang w:val="es-MX"/>
        </w:rPr>
        <w:t>éstas</w:t>
      </w:r>
      <w:r w:rsidRPr="001F0A42">
        <w:rPr>
          <w:rFonts w:ascii="Verdana" w:hAnsi="Verdana"/>
          <w:bCs/>
          <w:color w:val="000000"/>
          <w:spacing w:val="-12"/>
          <w:sz w:val="16"/>
          <w:szCs w:val="16"/>
          <w:lang w:val="es-MX"/>
        </w:rPr>
        <w:t xml:space="preserve"> se realicen ef</w:t>
      </w:r>
      <w:r>
        <w:rPr>
          <w:rFonts w:ascii="Verdana" w:hAnsi="Verdana"/>
          <w:bCs/>
          <w:color w:val="000000"/>
          <w:spacing w:val="-12"/>
          <w:sz w:val="16"/>
          <w:szCs w:val="16"/>
          <w:lang w:val="es-MX"/>
        </w:rPr>
        <w:t>icazmente y con independencia; y f</w:t>
      </w:r>
      <w:r w:rsidRPr="001F0A42">
        <w:rPr>
          <w:rFonts w:ascii="Verdana" w:hAnsi="Verdana"/>
          <w:bCs/>
          <w:color w:val="000000"/>
          <w:spacing w:val="-12"/>
          <w:sz w:val="16"/>
          <w:szCs w:val="16"/>
          <w:lang w:val="es-MX"/>
        </w:rPr>
        <w:t>ortalecer los mecanismos para proteger eficazmente a testigos, víctimas y familiares que se encuentren en riesgo como resultado de su vinculación a las investigaciones.</w:t>
      </w:r>
    </w:p>
  </w:footnote>
  <w:footnote w:id="199">
    <w:p w14:paraId="64D082ED" w14:textId="2F1B4DAD" w:rsidR="00D93B58" w:rsidRPr="001F0A42" w:rsidRDefault="00D93B58" w:rsidP="00C10D2F">
      <w:pPr>
        <w:pStyle w:val="Textonotapie"/>
        <w:spacing w:before="120" w:after="120"/>
        <w:jc w:val="both"/>
        <w:rPr>
          <w:rFonts w:ascii="Verdana" w:hAnsi="Verdana"/>
          <w:spacing w:val="-12"/>
          <w:sz w:val="16"/>
          <w:szCs w:val="16"/>
          <w:lang w:val="es-ES_tradnl"/>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bCs/>
          <w:color w:val="000000"/>
          <w:spacing w:val="-12"/>
          <w:sz w:val="16"/>
          <w:szCs w:val="16"/>
          <w:lang w:val="es-MX"/>
        </w:rPr>
        <w:tab/>
        <w:t>Refirió a la existencia de un Ombudsman con rango constitucional y una institución nacional que protege los derechos humanos a nivel legal. Adicionalmente, la Ley Nº 475 “Ley de Participación Ciudadana” establece la participación de los y las pobladoras en la defensa de sus derechos y prerrogativas, así como corresponde asegurar la actividad de “Procuradores de Participación Ciudadana”, cuya misión primordial es la defensa y promoción de los derechos de los pobladores. Refirió también a normas de su Constitución y de la Ley Orgánica del Poder Judicial, entre otra legislación penal y administrativa sobre recursos naturales.</w:t>
      </w:r>
    </w:p>
  </w:footnote>
  <w:footnote w:id="200">
    <w:p w14:paraId="317431F7" w14:textId="13730CB5" w:rsidR="00D93B58" w:rsidRPr="00926B76" w:rsidRDefault="00D93B58" w:rsidP="00C10D2F">
      <w:pPr>
        <w:pStyle w:val="Textonotapie"/>
        <w:spacing w:before="120" w:after="120"/>
        <w:jc w:val="both"/>
        <w:rPr>
          <w:rFonts w:ascii="Verdana" w:hAnsi="Verdana"/>
          <w:sz w:val="16"/>
          <w:szCs w:val="16"/>
        </w:rPr>
      </w:pPr>
      <w:r w:rsidRPr="00926B76">
        <w:rPr>
          <w:rStyle w:val="Refdenotaalpie"/>
          <w:rFonts w:ascii="Verdana" w:hAnsi="Verdana"/>
          <w:sz w:val="16"/>
          <w:szCs w:val="16"/>
        </w:rPr>
        <w:footnoteRef/>
      </w:r>
      <w:r w:rsidRPr="00926B76">
        <w:rPr>
          <w:rFonts w:ascii="Verdana" w:hAnsi="Verdana"/>
          <w:sz w:val="16"/>
          <w:szCs w:val="16"/>
        </w:rPr>
        <w:t xml:space="preserve"> </w:t>
      </w:r>
      <w:r w:rsidRPr="00926B76">
        <w:rPr>
          <w:rFonts w:ascii="Verdana" w:hAnsi="Verdana"/>
          <w:bCs/>
          <w:color w:val="000000"/>
          <w:spacing w:val="-12"/>
          <w:sz w:val="16"/>
          <w:szCs w:val="16"/>
          <w:lang w:val="es-MX"/>
        </w:rPr>
        <w:tab/>
      </w:r>
      <w:r>
        <w:rPr>
          <w:rFonts w:ascii="Verdana" w:hAnsi="Verdana"/>
          <w:bCs/>
          <w:i/>
          <w:iCs/>
          <w:color w:val="000000"/>
          <w:spacing w:val="-12"/>
          <w:sz w:val="16"/>
          <w:szCs w:val="16"/>
          <w:lang w:val="es-MX"/>
        </w:rPr>
        <w:t xml:space="preserve">Cfr. </w:t>
      </w:r>
      <w:r w:rsidRPr="00926B76">
        <w:rPr>
          <w:rFonts w:ascii="Verdana" w:hAnsi="Verdana"/>
          <w:bCs/>
          <w:color w:val="000000"/>
          <w:spacing w:val="-12"/>
          <w:sz w:val="16"/>
          <w:szCs w:val="16"/>
          <w:lang w:val="es-MX"/>
        </w:rPr>
        <w:t>Peritaje del señor Michel Forst, Relator Especial de Naciones Unidas sobre Defensores de Derechos Humanos, párr.8.</w:t>
      </w:r>
      <w:r>
        <w:rPr>
          <w:rFonts w:ascii="Verdana" w:hAnsi="Verdana"/>
          <w:bCs/>
          <w:color w:val="000000"/>
          <w:spacing w:val="-12"/>
          <w:sz w:val="16"/>
          <w:szCs w:val="16"/>
          <w:lang w:val="es-MX"/>
        </w:rPr>
        <w:t xml:space="preserve"> (expediente de prueba, folio 3725).</w:t>
      </w:r>
    </w:p>
  </w:footnote>
  <w:footnote w:id="201">
    <w:p w14:paraId="4EE3D908" w14:textId="7FAD9281" w:rsidR="00D93B58" w:rsidRPr="00777AAA" w:rsidRDefault="00D93B58" w:rsidP="00C10D2F">
      <w:pPr>
        <w:autoSpaceDE w:val="0"/>
        <w:autoSpaceDN w:val="0"/>
        <w:adjustRightInd w:val="0"/>
        <w:spacing w:before="120" w:after="120" w:line="240" w:lineRule="auto"/>
        <w:jc w:val="both"/>
        <w:rPr>
          <w:lang w:val="es-CO"/>
        </w:rPr>
      </w:pPr>
      <w:r w:rsidRPr="00926B76">
        <w:rPr>
          <w:rStyle w:val="Refdenotaalpie"/>
          <w:rFonts w:ascii="Verdana" w:hAnsi="Verdana"/>
          <w:sz w:val="16"/>
          <w:szCs w:val="16"/>
        </w:rPr>
        <w:footnoteRef/>
      </w:r>
      <w:r w:rsidRPr="00926B76">
        <w:rPr>
          <w:rFonts w:ascii="Verdana" w:hAnsi="Verdana"/>
          <w:sz w:val="16"/>
          <w:szCs w:val="16"/>
        </w:rPr>
        <w:t xml:space="preserve"> </w:t>
      </w:r>
      <w:r>
        <w:rPr>
          <w:rFonts w:ascii="Verdana" w:hAnsi="Verdana" w:cs="Times New Roman"/>
          <w:bCs/>
          <w:color w:val="000000"/>
          <w:spacing w:val="-12"/>
          <w:sz w:val="16"/>
          <w:szCs w:val="16"/>
          <w:lang w:val="es-MX"/>
        </w:rPr>
        <w:tab/>
        <w:t>En el año 2008, el Comité contra la Tortura urgió</w:t>
      </w:r>
      <w:r w:rsidRPr="00926B76">
        <w:rPr>
          <w:rFonts w:ascii="Verdana" w:hAnsi="Verdana" w:cs="Times New Roman"/>
          <w:bCs/>
          <w:color w:val="000000"/>
          <w:spacing w:val="-12"/>
          <w:sz w:val="16"/>
          <w:szCs w:val="16"/>
          <w:lang w:val="es-MX"/>
        </w:rPr>
        <w:t xml:space="preserve"> al Estado a que tom</w:t>
      </w:r>
      <w:r>
        <w:rPr>
          <w:rFonts w:ascii="Verdana" w:hAnsi="Verdana" w:cs="Times New Roman"/>
          <w:bCs/>
          <w:color w:val="000000"/>
          <w:spacing w:val="-12"/>
          <w:sz w:val="16"/>
          <w:szCs w:val="16"/>
          <w:lang w:val="es-MX"/>
        </w:rPr>
        <w:t>ara</w:t>
      </w:r>
      <w:r w:rsidRPr="00926B76">
        <w:rPr>
          <w:rFonts w:ascii="Verdana" w:hAnsi="Verdana" w:cs="Times New Roman"/>
          <w:bCs/>
          <w:color w:val="000000"/>
          <w:spacing w:val="-12"/>
          <w:sz w:val="16"/>
          <w:szCs w:val="16"/>
          <w:lang w:val="es-MX"/>
        </w:rPr>
        <w:t xml:space="preserve"> las medidas necesarias para combatir los presuntos casos de acoso sistemático y amenazas de muerte dirigidos contra los defensores de derechos humanos en general y contra las defensoras de los derechos de las mujeres en particular (Comité contra la Tortura. 42º período de sesiones. Ginebra, 27 de abril a 15 de mayo de 2008. Distr. General. CAT/C/NIC/CO/1. 14 de mayo de 2009</w:t>
      </w:r>
      <w:r>
        <w:rPr>
          <w:rFonts w:ascii="Verdana" w:hAnsi="Verdana" w:cs="Times New Roman"/>
          <w:bCs/>
          <w:color w:val="000000"/>
          <w:spacing w:val="-12"/>
          <w:sz w:val="16"/>
          <w:szCs w:val="16"/>
          <w:lang w:val="es-MX"/>
        </w:rPr>
        <w:t>,</w:t>
      </w:r>
      <w:r w:rsidRPr="00926B76">
        <w:rPr>
          <w:rFonts w:ascii="Verdana" w:hAnsi="Verdana" w:cs="Times New Roman"/>
          <w:bCs/>
          <w:color w:val="000000"/>
          <w:spacing w:val="-12"/>
          <w:sz w:val="16"/>
          <w:szCs w:val="16"/>
          <w:lang w:val="es-MX"/>
        </w:rPr>
        <w:t xml:space="preserve"> </w:t>
      </w:r>
      <w:r>
        <w:rPr>
          <w:rFonts w:ascii="Verdana" w:hAnsi="Verdana" w:cs="Times New Roman"/>
          <w:bCs/>
          <w:color w:val="000000"/>
          <w:spacing w:val="-12"/>
          <w:sz w:val="16"/>
          <w:szCs w:val="16"/>
          <w:lang w:val="es-MX"/>
        </w:rPr>
        <w:t>párr</w:t>
      </w:r>
      <w:r w:rsidRPr="00926B76">
        <w:rPr>
          <w:rFonts w:ascii="Verdana" w:hAnsi="Verdana" w:cs="Times New Roman"/>
          <w:bCs/>
          <w:color w:val="000000"/>
          <w:spacing w:val="-12"/>
          <w:sz w:val="16"/>
          <w:szCs w:val="16"/>
          <w:lang w:val="es-MX"/>
        </w:rPr>
        <w:t>. 18)</w:t>
      </w:r>
      <w:r>
        <w:rPr>
          <w:rFonts w:ascii="Verdana" w:hAnsi="Verdana" w:cs="Times New Roman"/>
          <w:bCs/>
          <w:color w:val="000000"/>
          <w:spacing w:val="-12"/>
          <w:sz w:val="16"/>
          <w:szCs w:val="16"/>
          <w:lang w:val="es-MX"/>
        </w:rPr>
        <w:t xml:space="preserve">. Durante el Examen Periódico Universal ante el Consejo de Derechos Humanos de Naciones Unidas, los Estados realizaron una serie de recomendaciones al Estado sobre la necesidad de adoptar medidas de protección; de que </w:t>
      </w:r>
      <w:r w:rsidRPr="00926B76">
        <w:rPr>
          <w:rFonts w:ascii="Verdana" w:hAnsi="Verdana" w:cs="Times New Roman"/>
          <w:bCs/>
          <w:color w:val="000000"/>
          <w:spacing w:val="-12"/>
          <w:sz w:val="16"/>
          <w:szCs w:val="16"/>
          <w:lang w:val="es-MX"/>
        </w:rPr>
        <w:t>todos los casos de ataques contra ellos son investigadas por órganos independientes e imparciales</w:t>
      </w:r>
      <w:r>
        <w:rPr>
          <w:rFonts w:ascii="Verdana" w:hAnsi="Verdana" w:cs="Times New Roman"/>
          <w:bCs/>
          <w:color w:val="000000"/>
          <w:spacing w:val="-12"/>
          <w:sz w:val="16"/>
          <w:szCs w:val="16"/>
          <w:lang w:val="es-MX"/>
        </w:rPr>
        <w:t xml:space="preserve">; y de </w:t>
      </w:r>
      <w:r w:rsidRPr="00926B76">
        <w:rPr>
          <w:rFonts w:ascii="Verdana" w:hAnsi="Verdana" w:cs="Times New Roman"/>
          <w:bCs/>
          <w:color w:val="000000"/>
          <w:spacing w:val="-12"/>
          <w:sz w:val="16"/>
          <w:szCs w:val="16"/>
          <w:lang w:val="es-MX"/>
        </w:rPr>
        <w:t>establecer un "Observatorio sobre Defensores de Derechos Humanos", en colaboración con las organizaciones que defienden los derechos humanos</w:t>
      </w:r>
      <w:r>
        <w:rPr>
          <w:rFonts w:ascii="Verdana" w:hAnsi="Verdana" w:cs="Times New Roman"/>
          <w:bCs/>
          <w:color w:val="000000"/>
          <w:spacing w:val="-12"/>
          <w:sz w:val="16"/>
          <w:szCs w:val="16"/>
          <w:lang w:val="es-MX"/>
        </w:rPr>
        <w:t xml:space="preserve">. Ver </w:t>
      </w:r>
      <w:r w:rsidRPr="00926B76">
        <w:rPr>
          <w:rFonts w:ascii="Verdana" w:hAnsi="Verdana" w:cs="Times New Roman"/>
          <w:bCs/>
          <w:color w:val="000000"/>
          <w:spacing w:val="-12"/>
          <w:sz w:val="16"/>
          <w:szCs w:val="16"/>
          <w:lang w:val="es-MX"/>
        </w:rPr>
        <w:t>Consejo de Derechos Humanos. Grupo de Trabajo sobre el Examen Periódico Universal. Decimonoveno período de sesiones. Ginebra, abril 28 a mayo 9, 2014. A/HRC/WG.6/19.L.14.</w:t>
      </w:r>
    </w:p>
  </w:footnote>
  <w:footnote w:id="202">
    <w:p w14:paraId="07C19DE3" w14:textId="226E866B" w:rsidR="00D93B58" w:rsidRPr="002657D9" w:rsidRDefault="00D93B58" w:rsidP="00C10D2F">
      <w:pPr>
        <w:autoSpaceDE w:val="0"/>
        <w:autoSpaceDN w:val="0"/>
        <w:adjustRightInd w:val="0"/>
        <w:spacing w:before="120" w:after="120" w:line="240" w:lineRule="auto"/>
        <w:jc w:val="both"/>
        <w:rPr>
          <w:rFonts w:ascii="Verdana" w:hAnsi="Verdana"/>
          <w:bCs/>
          <w:color w:val="000000"/>
          <w:spacing w:val="-12"/>
          <w:sz w:val="16"/>
          <w:szCs w:val="16"/>
          <w:lang w:val="es-MX"/>
        </w:rPr>
      </w:pPr>
      <w:r w:rsidRPr="002657D9">
        <w:rPr>
          <w:rStyle w:val="Refdenotaalpie"/>
          <w:rFonts w:ascii="Verdana" w:hAnsi="Verdana"/>
          <w:sz w:val="16"/>
          <w:szCs w:val="16"/>
        </w:rPr>
        <w:footnoteRef/>
      </w:r>
      <w:r w:rsidRPr="002657D9">
        <w:rPr>
          <w:rFonts w:ascii="Verdana" w:hAnsi="Verdana"/>
          <w:sz w:val="16"/>
          <w:szCs w:val="16"/>
        </w:rPr>
        <w:t xml:space="preserve"> </w:t>
      </w:r>
      <w:r w:rsidRPr="002657D9">
        <w:rPr>
          <w:rFonts w:ascii="Verdana" w:hAnsi="Verdana"/>
          <w:bCs/>
          <w:color w:val="000000"/>
          <w:spacing w:val="-12"/>
          <w:sz w:val="16"/>
          <w:szCs w:val="16"/>
          <w:lang w:val="es-MX"/>
        </w:rPr>
        <w:tab/>
      </w:r>
      <w:r w:rsidRPr="002657D9">
        <w:rPr>
          <w:rFonts w:ascii="Verdana" w:hAnsi="Verdana" w:cs="Times New Roman"/>
          <w:bCs/>
          <w:color w:val="000000"/>
          <w:spacing w:val="-12"/>
          <w:sz w:val="16"/>
          <w:szCs w:val="16"/>
          <w:lang w:val="es-MX"/>
        </w:rPr>
        <w:t>El 11 de noviembre de 2008 la CIDH otorgó medidas cautelares a favor de la defensora de derechos humanos</w:t>
      </w:r>
      <w:r w:rsidRPr="002657D9">
        <w:rPr>
          <w:rFonts w:ascii="Verdana" w:hAnsi="Verdana"/>
          <w:bCs/>
          <w:color w:val="000000"/>
          <w:spacing w:val="-12"/>
          <w:sz w:val="16"/>
          <w:szCs w:val="16"/>
          <w:lang w:val="es-MX"/>
        </w:rPr>
        <w:t xml:space="preserve"> </w:t>
      </w:r>
      <w:r w:rsidRPr="002657D9">
        <w:rPr>
          <w:rFonts w:ascii="Verdana" w:hAnsi="Verdana" w:cs="Times New Roman"/>
          <w:bCs/>
          <w:color w:val="000000"/>
          <w:spacing w:val="-12"/>
          <w:sz w:val="16"/>
          <w:szCs w:val="16"/>
          <w:lang w:val="es-MX"/>
        </w:rPr>
        <w:t>Vilma Núñez de Escorcia y los miembros del Centro Nicaragüense de Derechos Humanos (CENIDH). En la</w:t>
      </w:r>
      <w:r w:rsidRPr="002657D9">
        <w:rPr>
          <w:rFonts w:ascii="Verdana" w:hAnsi="Verdana"/>
          <w:bCs/>
          <w:color w:val="000000"/>
          <w:spacing w:val="-12"/>
          <w:sz w:val="16"/>
          <w:szCs w:val="16"/>
          <w:lang w:val="es-MX"/>
        </w:rPr>
        <w:t xml:space="preserve"> </w:t>
      </w:r>
      <w:r w:rsidRPr="002657D9">
        <w:rPr>
          <w:rFonts w:ascii="Verdana" w:hAnsi="Verdana" w:cs="Times New Roman"/>
          <w:bCs/>
          <w:color w:val="000000"/>
          <w:spacing w:val="-12"/>
          <w:sz w:val="16"/>
          <w:szCs w:val="16"/>
          <w:lang w:val="es-MX"/>
        </w:rPr>
        <w:t>solicitu</w:t>
      </w:r>
      <w:r>
        <w:rPr>
          <w:rFonts w:ascii="Verdana" w:hAnsi="Verdana" w:cs="Times New Roman"/>
          <w:bCs/>
          <w:color w:val="000000"/>
          <w:spacing w:val="-12"/>
          <w:sz w:val="16"/>
          <w:szCs w:val="16"/>
          <w:lang w:val="es-MX"/>
        </w:rPr>
        <w:t>d de medidas cautelares se alegó</w:t>
      </w:r>
      <w:r w:rsidRPr="002657D9">
        <w:rPr>
          <w:rFonts w:ascii="Verdana" w:hAnsi="Verdana" w:cs="Times New Roman"/>
          <w:bCs/>
          <w:color w:val="000000"/>
          <w:spacing w:val="-12"/>
          <w:sz w:val="16"/>
          <w:szCs w:val="16"/>
          <w:lang w:val="es-MX"/>
        </w:rPr>
        <w:t xml:space="preserve"> que la señora Núñez de Escorcia y los miembros del CENIDH serían</w:t>
      </w:r>
      <w:r w:rsidRPr="002657D9">
        <w:rPr>
          <w:rFonts w:ascii="Verdana" w:hAnsi="Verdana"/>
          <w:bCs/>
          <w:color w:val="000000"/>
          <w:spacing w:val="-12"/>
          <w:sz w:val="16"/>
          <w:szCs w:val="16"/>
          <w:lang w:val="es-MX"/>
        </w:rPr>
        <w:t xml:space="preserve"> </w:t>
      </w:r>
      <w:r w:rsidRPr="002657D9">
        <w:rPr>
          <w:rFonts w:ascii="Verdana" w:hAnsi="Verdana" w:cs="Times New Roman"/>
          <w:bCs/>
          <w:color w:val="000000"/>
          <w:spacing w:val="-12"/>
          <w:sz w:val="16"/>
          <w:szCs w:val="16"/>
          <w:lang w:val="es-MX"/>
        </w:rPr>
        <w:t>blancos de señalamientos y actos de hostigamiento por parte de funcionarios públicos a causa de su actividad</w:t>
      </w:r>
      <w:r w:rsidRPr="002657D9">
        <w:rPr>
          <w:rFonts w:ascii="Verdana" w:hAnsi="Verdana"/>
          <w:bCs/>
          <w:color w:val="000000"/>
          <w:spacing w:val="-12"/>
          <w:sz w:val="16"/>
          <w:szCs w:val="16"/>
          <w:lang w:val="es-MX"/>
        </w:rPr>
        <w:t xml:space="preserve"> </w:t>
      </w:r>
      <w:r w:rsidRPr="002657D9">
        <w:rPr>
          <w:rFonts w:ascii="Verdana" w:hAnsi="Verdana" w:cs="Times New Roman"/>
          <w:bCs/>
          <w:color w:val="000000"/>
          <w:spacing w:val="-12"/>
          <w:sz w:val="16"/>
          <w:szCs w:val="16"/>
          <w:lang w:val="es-MX"/>
        </w:rPr>
        <w:t>como defensores de derechos humanos. La Comisión solicitó al Estado de Nicaragua adoptar las medidas</w:t>
      </w:r>
      <w:r w:rsidRPr="002657D9">
        <w:rPr>
          <w:rFonts w:ascii="Verdana" w:hAnsi="Verdana"/>
          <w:bCs/>
          <w:color w:val="000000"/>
          <w:spacing w:val="-12"/>
          <w:sz w:val="16"/>
          <w:szCs w:val="16"/>
          <w:lang w:val="es-MX"/>
        </w:rPr>
        <w:t xml:space="preserve"> </w:t>
      </w:r>
      <w:r w:rsidRPr="002657D9">
        <w:rPr>
          <w:rFonts w:ascii="Verdana" w:hAnsi="Verdana" w:cs="Times New Roman"/>
          <w:bCs/>
          <w:color w:val="000000"/>
          <w:spacing w:val="-12"/>
          <w:sz w:val="16"/>
          <w:szCs w:val="16"/>
          <w:lang w:val="es-MX"/>
        </w:rPr>
        <w:t>necesarias para garantizar la vida y la integridad física de los beneficiarios e informar sobre las acciones</w:t>
      </w:r>
      <w:r w:rsidRPr="002657D9">
        <w:rPr>
          <w:rFonts w:ascii="Verdana" w:hAnsi="Verdana"/>
          <w:bCs/>
          <w:color w:val="000000"/>
          <w:spacing w:val="-12"/>
          <w:sz w:val="16"/>
          <w:szCs w:val="16"/>
          <w:lang w:val="es-MX"/>
        </w:rPr>
        <w:t xml:space="preserve"> </w:t>
      </w:r>
      <w:r w:rsidRPr="002657D9">
        <w:rPr>
          <w:rFonts w:ascii="Verdana" w:hAnsi="Verdana" w:cs="Times New Roman"/>
          <w:bCs/>
          <w:color w:val="000000"/>
          <w:spacing w:val="-12"/>
          <w:sz w:val="16"/>
          <w:szCs w:val="16"/>
          <w:lang w:val="es-MX"/>
        </w:rPr>
        <w:t>adoptadas a fin de esclarecer judicialmente los hechos que dieron lugar a la adopción de medidas cautelares</w:t>
      </w:r>
      <w:r w:rsidRPr="002657D9">
        <w:rPr>
          <w:rFonts w:ascii="Verdana" w:hAnsi="Verdana"/>
          <w:bCs/>
          <w:color w:val="000000"/>
          <w:spacing w:val="-12"/>
          <w:sz w:val="16"/>
          <w:szCs w:val="16"/>
          <w:lang w:val="es-MX"/>
        </w:rPr>
        <w:t xml:space="preserve">. </w:t>
      </w:r>
      <w:r w:rsidRPr="002657D9">
        <w:rPr>
          <w:rFonts w:ascii="Verdana" w:hAnsi="Verdana" w:cs="Times New Roman"/>
          <w:bCs/>
          <w:color w:val="000000"/>
          <w:spacing w:val="-12"/>
          <w:sz w:val="16"/>
          <w:szCs w:val="16"/>
          <w:lang w:val="es-MX"/>
        </w:rPr>
        <w:t>MC 277/08 Vilma Núñ</w:t>
      </w:r>
      <w:r w:rsidRPr="002657D9">
        <w:rPr>
          <w:rFonts w:ascii="Verdana" w:hAnsi="Verdana"/>
          <w:bCs/>
          <w:color w:val="000000"/>
          <w:spacing w:val="-12"/>
          <w:sz w:val="16"/>
          <w:szCs w:val="16"/>
          <w:lang w:val="es-MX"/>
        </w:rPr>
        <w:t xml:space="preserve">ez de Escorcia NICARAGUA, en </w:t>
      </w:r>
      <w:hyperlink r:id="rId13" w:history="1">
        <w:r w:rsidRPr="002657D9">
          <w:rPr>
            <w:rStyle w:val="Hipervnculo"/>
            <w:rFonts w:ascii="Verdana" w:hAnsi="Verdana"/>
            <w:bCs/>
            <w:spacing w:val="-12"/>
            <w:sz w:val="16"/>
            <w:szCs w:val="16"/>
            <w:lang w:val="es-MX"/>
          </w:rPr>
          <w:t>http://www.cidh.org/medidas/2008.sp.htm</w:t>
        </w:r>
      </w:hyperlink>
      <w:r w:rsidRPr="002657D9">
        <w:rPr>
          <w:rFonts w:ascii="Verdana" w:hAnsi="Verdana"/>
          <w:bCs/>
          <w:color w:val="000000"/>
          <w:spacing w:val="-12"/>
          <w:sz w:val="16"/>
          <w:szCs w:val="16"/>
          <w:lang w:val="es-MX"/>
        </w:rPr>
        <w:t xml:space="preserve"> . Ver también</w:t>
      </w:r>
      <w:r>
        <w:rPr>
          <w:rFonts w:ascii="Verdana" w:hAnsi="Verdana"/>
          <w:bCs/>
          <w:color w:val="000000"/>
          <w:spacing w:val="-12"/>
          <w:sz w:val="16"/>
          <w:szCs w:val="16"/>
          <w:lang w:val="es-MX"/>
        </w:rPr>
        <w:t>:</w:t>
      </w:r>
      <w:r w:rsidRPr="002657D9">
        <w:rPr>
          <w:rFonts w:ascii="Verdana" w:hAnsi="Verdana"/>
          <w:bCs/>
          <w:color w:val="000000"/>
          <w:spacing w:val="-12"/>
          <w:sz w:val="16"/>
          <w:szCs w:val="16"/>
          <w:lang w:val="es-MX"/>
        </w:rPr>
        <w:t xml:space="preserve"> </w:t>
      </w:r>
      <w:r w:rsidRPr="002657D9">
        <w:rPr>
          <w:rFonts w:ascii="Verdana" w:hAnsi="Verdana" w:cs="Times New Roman"/>
          <w:bCs/>
          <w:color w:val="000000"/>
          <w:spacing w:val="-12"/>
          <w:sz w:val="16"/>
          <w:szCs w:val="16"/>
          <w:lang w:val="es-MX"/>
        </w:rPr>
        <w:t>CIDH Resolución 2/2016 Medida Cautelar No. 505-15, Ampliación de beneficiarios Pueblo Indígena Mískitu de Wangli Twi-Tasba Raya respecto de Nicaragua 16 de enero de 2016</w:t>
      </w:r>
      <w:r>
        <w:rPr>
          <w:rFonts w:ascii="Verdana" w:hAnsi="Verdana" w:cs="Times New Roman"/>
          <w:bCs/>
          <w:color w:val="000000"/>
          <w:spacing w:val="-12"/>
          <w:sz w:val="16"/>
          <w:szCs w:val="16"/>
          <w:lang w:val="es-MX"/>
        </w:rPr>
        <w:t>.</w:t>
      </w:r>
    </w:p>
  </w:footnote>
  <w:footnote w:id="203">
    <w:p w14:paraId="510D3158" w14:textId="356BDD89" w:rsidR="00D93B58" w:rsidRPr="001D33F9" w:rsidRDefault="00D93B58" w:rsidP="00C10D2F">
      <w:pPr>
        <w:autoSpaceDE w:val="0"/>
        <w:autoSpaceDN w:val="0"/>
        <w:adjustRightInd w:val="0"/>
        <w:spacing w:before="120" w:after="120" w:line="240" w:lineRule="auto"/>
        <w:jc w:val="both"/>
        <w:rPr>
          <w:rFonts w:ascii="Verdana" w:hAnsi="Verdana" w:cs="Times New Roman"/>
          <w:bCs/>
          <w:color w:val="000000"/>
          <w:spacing w:val="-12"/>
          <w:sz w:val="16"/>
          <w:szCs w:val="16"/>
          <w:lang w:val="es-MX"/>
        </w:rPr>
      </w:pPr>
      <w:r w:rsidRPr="002657D9">
        <w:rPr>
          <w:rStyle w:val="Refdenotaalpie"/>
          <w:rFonts w:ascii="Verdana" w:hAnsi="Verdana"/>
          <w:sz w:val="16"/>
          <w:szCs w:val="16"/>
        </w:rPr>
        <w:footnoteRef/>
      </w:r>
      <w:r w:rsidRPr="002657D9">
        <w:rPr>
          <w:rFonts w:ascii="Verdana" w:hAnsi="Verdana"/>
          <w:sz w:val="16"/>
          <w:szCs w:val="16"/>
        </w:rPr>
        <w:t xml:space="preserve"> </w:t>
      </w:r>
      <w:r w:rsidRPr="002657D9">
        <w:rPr>
          <w:rFonts w:ascii="Verdana" w:hAnsi="Verdana" w:cs="Times New Roman"/>
          <w:bCs/>
          <w:color w:val="000000"/>
          <w:spacing w:val="-12"/>
          <w:sz w:val="16"/>
          <w:szCs w:val="16"/>
          <w:lang w:val="es-MX"/>
        </w:rPr>
        <w:tab/>
      </w:r>
      <w:r>
        <w:rPr>
          <w:rFonts w:ascii="Verdana" w:hAnsi="Verdana" w:cs="Times New Roman"/>
          <w:bCs/>
          <w:i/>
          <w:iCs/>
          <w:spacing w:val="-12"/>
          <w:sz w:val="16"/>
          <w:szCs w:val="16"/>
          <w:lang w:val="es-MX"/>
        </w:rPr>
        <w:t xml:space="preserve">Cfr. </w:t>
      </w:r>
      <w:r>
        <w:rPr>
          <w:rFonts w:ascii="Verdana" w:hAnsi="Verdana" w:cs="Times New Roman"/>
          <w:bCs/>
          <w:i/>
          <w:iCs/>
          <w:color w:val="000000"/>
          <w:spacing w:val="-12"/>
          <w:sz w:val="16"/>
          <w:szCs w:val="16"/>
          <w:lang w:val="es-MX"/>
        </w:rPr>
        <w:t>Asunto Pobladores de las Comunidades del Pueblo Indígena Miskitu de la Región Costa Caribe Norte respecto de Nicaragua. Solicitud de medidas provisionales</w:t>
      </w:r>
      <w:r>
        <w:rPr>
          <w:rFonts w:ascii="Verdana" w:hAnsi="Verdana" w:cs="Times New Roman"/>
          <w:bCs/>
          <w:color w:val="000000"/>
          <w:spacing w:val="-12"/>
          <w:sz w:val="16"/>
          <w:szCs w:val="16"/>
          <w:lang w:val="es-MX"/>
        </w:rPr>
        <w:t>. Resolución de la Corte Interamericana de Derechos Humanos de 1 de septiembre de 2016</w:t>
      </w:r>
      <w:r w:rsidRPr="001D33F9">
        <w:rPr>
          <w:rFonts w:ascii="Verdana" w:hAnsi="Verdana" w:cs="Times New Roman"/>
          <w:bCs/>
          <w:color w:val="000000"/>
          <w:spacing w:val="-12"/>
          <w:sz w:val="16"/>
          <w:szCs w:val="16"/>
          <w:lang w:val="es-MX"/>
        </w:rPr>
        <w:t>. Disponible en:</w:t>
      </w:r>
      <w:r>
        <w:rPr>
          <w:rFonts w:ascii="Verdana" w:hAnsi="Verdana" w:cs="Times New Roman"/>
          <w:bCs/>
          <w:color w:val="000000"/>
          <w:spacing w:val="-12"/>
          <w:sz w:val="16"/>
          <w:szCs w:val="16"/>
          <w:lang w:val="es-MX"/>
        </w:rPr>
        <w:t xml:space="preserve"> </w:t>
      </w:r>
      <w:hyperlink r:id="rId14" w:history="1">
        <w:r w:rsidRPr="007F6173">
          <w:rPr>
            <w:rStyle w:val="Hipervnculo"/>
            <w:rFonts w:ascii="Verdana" w:hAnsi="Verdana" w:cs="Times New Roman"/>
            <w:bCs/>
            <w:spacing w:val="-12"/>
            <w:sz w:val="16"/>
            <w:szCs w:val="16"/>
            <w:lang w:val="es-MX"/>
          </w:rPr>
          <w:t>http://www.corteidh.or.cr/docs/medidas/miskitu_se_01.pdf</w:t>
        </w:r>
      </w:hyperlink>
      <w:r>
        <w:rPr>
          <w:rFonts w:ascii="Verdana" w:hAnsi="Verdana" w:cs="Times New Roman"/>
          <w:bCs/>
          <w:color w:val="000000"/>
          <w:spacing w:val="-12"/>
          <w:sz w:val="16"/>
          <w:szCs w:val="16"/>
          <w:lang w:val="es-MX"/>
        </w:rPr>
        <w:t xml:space="preserve"> </w:t>
      </w:r>
    </w:p>
  </w:footnote>
  <w:footnote w:id="204">
    <w:p w14:paraId="6595726F" w14:textId="56A1CDC5" w:rsidR="00D93B58" w:rsidRPr="006B03D1" w:rsidRDefault="00D93B58" w:rsidP="00C10D2F">
      <w:pPr>
        <w:pStyle w:val="Textonotapie"/>
        <w:spacing w:before="120" w:after="120"/>
        <w:jc w:val="both"/>
        <w:rPr>
          <w:rFonts w:ascii="Verdana" w:hAnsi="Verdana"/>
          <w:bCs/>
          <w:color w:val="000000"/>
          <w:spacing w:val="-12"/>
          <w:sz w:val="16"/>
          <w:szCs w:val="16"/>
          <w:lang w:val="es-MX"/>
        </w:rPr>
      </w:pPr>
      <w:r w:rsidRPr="00D60F57">
        <w:rPr>
          <w:rStyle w:val="Refdenotaalpie"/>
          <w:sz w:val="16"/>
          <w:szCs w:val="16"/>
        </w:rPr>
        <w:footnoteRef/>
      </w:r>
      <w:r w:rsidRPr="00D60F57">
        <w:rPr>
          <w:rFonts w:ascii="Verdana" w:hAnsi="Verdana"/>
          <w:sz w:val="16"/>
          <w:szCs w:val="16"/>
        </w:rPr>
        <w:t xml:space="preserve"> </w:t>
      </w:r>
      <w:r w:rsidRPr="00D60F57">
        <w:rPr>
          <w:rFonts w:ascii="Verdana" w:hAnsi="Verdana"/>
          <w:sz w:val="16"/>
          <w:szCs w:val="16"/>
        </w:rPr>
        <w:tab/>
      </w:r>
      <w:r w:rsidRPr="006B03D1">
        <w:rPr>
          <w:rFonts w:ascii="Verdana" w:hAnsi="Verdana"/>
          <w:bCs/>
          <w:i/>
          <w:color w:val="000000"/>
          <w:spacing w:val="-12"/>
          <w:sz w:val="16"/>
          <w:szCs w:val="16"/>
          <w:lang w:val="es-MX"/>
        </w:rPr>
        <w:t>Cfr. Caso Luna López Vs. Honduras, supra</w:t>
      </w:r>
      <w:r>
        <w:rPr>
          <w:rFonts w:ascii="Verdana" w:hAnsi="Verdana"/>
          <w:bCs/>
          <w:color w:val="000000"/>
          <w:spacing w:val="-12"/>
          <w:sz w:val="16"/>
          <w:szCs w:val="16"/>
          <w:lang w:val="es-MX"/>
        </w:rPr>
        <w:t xml:space="preserve">, párr. 243, y </w:t>
      </w:r>
      <w:r>
        <w:rPr>
          <w:rFonts w:ascii="Verdana" w:hAnsi="Verdana"/>
          <w:bCs/>
          <w:i/>
          <w:color w:val="000000"/>
          <w:spacing w:val="-12"/>
          <w:sz w:val="16"/>
          <w:szCs w:val="16"/>
          <w:lang w:val="es-MX"/>
        </w:rPr>
        <w:t xml:space="preserve">Caso Defensor de Derechos Humanos vs. Guatemala, supra, </w:t>
      </w:r>
      <w:r>
        <w:rPr>
          <w:rFonts w:ascii="Verdana" w:hAnsi="Verdana"/>
          <w:bCs/>
          <w:color w:val="000000"/>
          <w:spacing w:val="-12"/>
          <w:sz w:val="16"/>
          <w:szCs w:val="16"/>
          <w:lang w:val="es-MX"/>
        </w:rPr>
        <w:t>párr. 263.</w:t>
      </w:r>
    </w:p>
  </w:footnote>
  <w:footnote w:id="205">
    <w:p w14:paraId="2EFA984B" w14:textId="7E94DF47" w:rsidR="00D93B58" w:rsidRPr="001F0A42" w:rsidRDefault="00D93B58" w:rsidP="00C10D2F">
      <w:pPr>
        <w:pStyle w:val="Textonotapie"/>
        <w:spacing w:before="120" w:after="120"/>
        <w:jc w:val="both"/>
        <w:rPr>
          <w:rFonts w:ascii="Verdana" w:hAnsi="Verdana"/>
          <w:bCs/>
          <w:color w:val="000000"/>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lang w:val="es-ES_tradnl"/>
        </w:rPr>
        <w:tab/>
      </w:r>
      <w:r w:rsidRPr="001F0A42">
        <w:rPr>
          <w:rFonts w:ascii="Verdana" w:hAnsi="Verdana"/>
          <w:bCs/>
          <w:color w:val="000000"/>
          <w:spacing w:val="-12"/>
          <w:sz w:val="16"/>
          <w:szCs w:val="16"/>
          <w:lang w:val="es-MX"/>
        </w:rPr>
        <w:t>En particular, las representantes solicitaron que el tratamiento sea gratuito, voluntario y permanente, a favor de todos lo</w:t>
      </w:r>
      <w:r>
        <w:rPr>
          <w:rFonts w:ascii="Verdana" w:hAnsi="Verdana"/>
          <w:bCs/>
          <w:color w:val="000000"/>
          <w:spacing w:val="-12"/>
          <w:sz w:val="16"/>
          <w:szCs w:val="16"/>
          <w:lang w:val="es-MX"/>
        </w:rPr>
        <w:t>s familiares víctimas del caso</w:t>
      </w:r>
      <w:r w:rsidRPr="001F0A42">
        <w:rPr>
          <w:rFonts w:ascii="Verdana" w:hAnsi="Verdana"/>
          <w:bCs/>
          <w:color w:val="000000"/>
          <w:spacing w:val="-12"/>
          <w:sz w:val="16"/>
          <w:szCs w:val="16"/>
          <w:lang w:val="es-MX"/>
        </w:rPr>
        <w:t>; suministrado por profesionales competentes, según las necesidades de cada uno de ellos, incluida la provisión de los medicamentos que sean requeridos, con cargo al Estado de otros gastos generados conjuntamente a la provisión del tratamiento.</w:t>
      </w:r>
    </w:p>
  </w:footnote>
  <w:footnote w:id="206">
    <w:p w14:paraId="7699AC6E" w14:textId="12073DF5" w:rsidR="00D93B58" w:rsidRPr="001F0A42" w:rsidRDefault="00D93B58" w:rsidP="00C10D2F">
      <w:pPr>
        <w:pStyle w:val="Textonotapie"/>
        <w:spacing w:before="120" w:after="120"/>
        <w:jc w:val="both"/>
        <w:rPr>
          <w:rFonts w:ascii="Verdana" w:hAnsi="Verdana"/>
          <w:spacing w:val="-12"/>
          <w:sz w:val="16"/>
          <w:szCs w:val="16"/>
          <w:lang w:val="es-ES_tradnl"/>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bCs/>
          <w:color w:val="000000"/>
          <w:spacing w:val="-12"/>
          <w:sz w:val="16"/>
          <w:szCs w:val="16"/>
          <w:lang w:val="es-MX"/>
        </w:rPr>
        <w:tab/>
        <w:t>En similar sentido, ver</w:t>
      </w:r>
      <w:r w:rsidRPr="001F0A42">
        <w:rPr>
          <w:rFonts w:ascii="Verdana" w:hAnsi="Verdana"/>
          <w:spacing w:val="-12"/>
          <w:sz w:val="16"/>
          <w:szCs w:val="16"/>
          <w:lang w:val="es-ES_tradnl"/>
        </w:rPr>
        <w:t xml:space="preserve"> </w:t>
      </w:r>
      <w:r w:rsidRPr="001F0A42">
        <w:rPr>
          <w:rFonts w:ascii="Verdana" w:hAnsi="Verdana"/>
          <w:bCs/>
          <w:i/>
          <w:color w:val="000000"/>
          <w:spacing w:val="-12"/>
          <w:sz w:val="16"/>
          <w:szCs w:val="16"/>
          <w:lang w:val="es-MX"/>
        </w:rPr>
        <w:t>Caso Pollo Rivera y otros vs. Perú, supra</w:t>
      </w:r>
      <w:r w:rsidRPr="001F0A42">
        <w:rPr>
          <w:rFonts w:ascii="Verdana" w:hAnsi="Verdana"/>
          <w:bCs/>
          <w:color w:val="000000"/>
          <w:spacing w:val="-12"/>
          <w:sz w:val="16"/>
          <w:szCs w:val="16"/>
          <w:lang w:val="es-MX"/>
        </w:rPr>
        <w:t>, párr. 283.</w:t>
      </w:r>
    </w:p>
  </w:footnote>
  <w:footnote w:id="207">
    <w:p w14:paraId="04F87251" w14:textId="347E3D52" w:rsidR="00D93B58" w:rsidRPr="001F0A42" w:rsidRDefault="00D93B58" w:rsidP="003731F2">
      <w:pPr>
        <w:pStyle w:val="Textonotapie"/>
        <w:spacing w:before="120" w:after="120"/>
        <w:jc w:val="both"/>
        <w:rPr>
          <w:rFonts w:ascii="Verdana" w:hAnsi="Verdana"/>
          <w:bCs/>
          <w:color w:val="000000"/>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lang w:val="es-ES_tradnl"/>
        </w:rPr>
        <w:tab/>
      </w:r>
      <w:r w:rsidRPr="001F0A42">
        <w:rPr>
          <w:rFonts w:ascii="Verdana" w:hAnsi="Verdana"/>
          <w:bCs/>
          <w:color w:val="000000"/>
          <w:spacing w:val="-12"/>
          <w:sz w:val="16"/>
          <w:szCs w:val="16"/>
          <w:lang w:val="es-MX"/>
        </w:rPr>
        <w:t xml:space="preserve">La Comisión solicitó que se ordene al Estado </w:t>
      </w:r>
      <w:r>
        <w:rPr>
          <w:rFonts w:ascii="Verdana" w:hAnsi="Verdana"/>
          <w:bCs/>
          <w:color w:val="000000"/>
          <w:spacing w:val="-12"/>
          <w:sz w:val="16"/>
          <w:szCs w:val="16"/>
          <w:lang w:val="es-MX"/>
        </w:rPr>
        <w:t>que adopte</w:t>
      </w:r>
      <w:r w:rsidRPr="001F0A42">
        <w:rPr>
          <w:rFonts w:ascii="Verdana" w:hAnsi="Verdana"/>
          <w:bCs/>
          <w:color w:val="000000"/>
          <w:spacing w:val="-12"/>
          <w:sz w:val="16"/>
          <w:szCs w:val="16"/>
          <w:lang w:val="es-MX"/>
        </w:rPr>
        <w:t xml:space="preserve"> medidas legislativas, institucionales y judiciales para evitar el uso indebido de procesos civiles y penales como mecanismo de intimidación y hostigamiento contra defensores y defensoras de derechos humanos.</w:t>
      </w:r>
    </w:p>
  </w:footnote>
  <w:footnote w:id="208">
    <w:p w14:paraId="692E0671" w14:textId="21C64F08" w:rsidR="00D93B58" w:rsidRPr="001F0A42" w:rsidRDefault="00D93B58" w:rsidP="00C10D2F">
      <w:pPr>
        <w:spacing w:before="120" w:after="120" w:line="240" w:lineRule="auto"/>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i/>
          <w:spacing w:val="-12"/>
          <w:sz w:val="16"/>
          <w:szCs w:val="16"/>
          <w:lang w:val="es-MX"/>
        </w:rPr>
        <w:t>Cfr</w:t>
      </w:r>
      <w:r w:rsidRPr="001F0A42">
        <w:rPr>
          <w:rFonts w:ascii="Verdana" w:hAnsi="Verdana"/>
          <w:spacing w:val="-12"/>
          <w:sz w:val="16"/>
          <w:szCs w:val="16"/>
          <w:lang w:val="es-MX"/>
        </w:rPr>
        <w:t xml:space="preserve">. </w:t>
      </w:r>
      <w:r w:rsidRPr="001F0A42">
        <w:rPr>
          <w:rFonts w:ascii="Verdana" w:eastAsia="Times New Roman" w:hAnsi="Verdana" w:cs="Times New Roman"/>
          <w:bCs/>
          <w:i/>
          <w:color w:val="000000"/>
          <w:spacing w:val="-12"/>
          <w:sz w:val="16"/>
          <w:szCs w:val="16"/>
          <w:lang w:val="es-MX"/>
        </w:rPr>
        <w:t xml:space="preserve">Caso García Ibarra y otros Vs. Ecuador, supra, </w:t>
      </w:r>
      <w:r w:rsidRPr="001F0A42">
        <w:rPr>
          <w:rFonts w:ascii="Verdana" w:eastAsia="Times New Roman" w:hAnsi="Verdana" w:cs="Times New Roman"/>
          <w:bCs/>
          <w:color w:val="000000"/>
          <w:spacing w:val="-12"/>
          <w:sz w:val="16"/>
          <w:szCs w:val="16"/>
          <w:lang w:val="es-MX"/>
        </w:rPr>
        <w:t xml:space="preserve">párr. 205; y </w:t>
      </w:r>
      <w:r w:rsidRPr="001F0A42">
        <w:rPr>
          <w:rFonts w:ascii="Verdana" w:eastAsia="Times New Roman" w:hAnsi="Verdana" w:cs="Times New Roman"/>
          <w:bCs/>
          <w:i/>
          <w:color w:val="000000"/>
          <w:spacing w:val="-12"/>
          <w:sz w:val="16"/>
          <w:szCs w:val="16"/>
          <w:lang w:val="es-MX"/>
        </w:rPr>
        <w:t>Caso Pollo Rivera y otros vs. Perú, supra</w:t>
      </w:r>
      <w:r w:rsidRPr="001F0A42">
        <w:rPr>
          <w:rFonts w:ascii="Verdana" w:eastAsia="Times New Roman" w:hAnsi="Verdana" w:cs="Times New Roman"/>
          <w:bCs/>
          <w:color w:val="000000"/>
          <w:spacing w:val="-12"/>
          <w:sz w:val="16"/>
          <w:szCs w:val="16"/>
          <w:lang w:val="es-MX"/>
        </w:rPr>
        <w:t>, párr. 285.</w:t>
      </w:r>
    </w:p>
  </w:footnote>
  <w:footnote w:id="209">
    <w:p w14:paraId="0E1785B8" w14:textId="1A6BE21F"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bCs/>
          <w:color w:val="000000"/>
          <w:spacing w:val="-12"/>
          <w:sz w:val="16"/>
          <w:szCs w:val="16"/>
          <w:lang w:val="es-MX"/>
        </w:rPr>
        <w:t xml:space="preserve">En particular, solicitaron que el Estado </w:t>
      </w:r>
      <w:r>
        <w:rPr>
          <w:rFonts w:ascii="Verdana" w:hAnsi="Verdana"/>
          <w:bCs/>
          <w:color w:val="000000"/>
          <w:spacing w:val="-12"/>
          <w:sz w:val="16"/>
          <w:szCs w:val="16"/>
          <w:lang w:val="es-MX"/>
        </w:rPr>
        <w:t>reconozca</w:t>
      </w:r>
      <w:r w:rsidRPr="001F0A42">
        <w:rPr>
          <w:rFonts w:ascii="Verdana" w:hAnsi="Verdana"/>
          <w:bCs/>
          <w:color w:val="000000"/>
          <w:spacing w:val="-12"/>
          <w:sz w:val="16"/>
          <w:szCs w:val="16"/>
          <w:lang w:val="es-MX"/>
        </w:rPr>
        <w:t xml:space="preserve"> públicamente que los derechos humanos de los familiares del señor García Valle han sido violados y que el sistema judicial de Nicaragua fue incapaz d</w:t>
      </w:r>
      <w:r>
        <w:rPr>
          <w:rFonts w:ascii="Verdana" w:hAnsi="Verdana"/>
          <w:bCs/>
          <w:color w:val="000000"/>
          <w:spacing w:val="-12"/>
          <w:sz w:val="16"/>
          <w:szCs w:val="16"/>
          <w:lang w:val="es-MX"/>
        </w:rPr>
        <w:t>e hacer justicia en este caso; que e</w:t>
      </w:r>
      <w:r w:rsidRPr="001F0A42">
        <w:rPr>
          <w:rFonts w:ascii="Verdana" w:hAnsi="Verdana"/>
          <w:bCs/>
          <w:color w:val="000000"/>
          <w:spacing w:val="-12"/>
          <w:sz w:val="16"/>
          <w:szCs w:val="16"/>
          <w:lang w:val="es-MX"/>
        </w:rPr>
        <w:t xml:space="preserve">l acto público </w:t>
      </w:r>
      <w:r>
        <w:rPr>
          <w:rFonts w:ascii="Verdana" w:hAnsi="Verdana"/>
          <w:bCs/>
          <w:color w:val="000000"/>
          <w:spacing w:val="-12"/>
          <w:sz w:val="16"/>
          <w:szCs w:val="16"/>
          <w:lang w:val="es-MX"/>
        </w:rPr>
        <w:t>sea</w:t>
      </w:r>
      <w:r w:rsidRPr="001F0A42">
        <w:rPr>
          <w:rFonts w:ascii="Verdana" w:hAnsi="Verdana"/>
          <w:bCs/>
          <w:color w:val="000000"/>
          <w:spacing w:val="-12"/>
          <w:sz w:val="16"/>
          <w:szCs w:val="16"/>
          <w:lang w:val="es-MX"/>
        </w:rPr>
        <w:t xml:space="preserve"> llevado a cabo por un representante estatal del más alto nivel y en el mismo deberán estar presentes representantes de las instituciones involucradas en </w:t>
      </w:r>
      <w:r>
        <w:rPr>
          <w:rFonts w:ascii="Verdana" w:hAnsi="Verdana"/>
          <w:bCs/>
          <w:color w:val="000000"/>
          <w:spacing w:val="-12"/>
          <w:sz w:val="16"/>
          <w:szCs w:val="16"/>
          <w:lang w:val="es-MX"/>
        </w:rPr>
        <w:t>los hechos</w:t>
      </w:r>
      <w:r w:rsidRPr="001F0A42">
        <w:rPr>
          <w:rFonts w:ascii="Verdana" w:hAnsi="Verdana"/>
          <w:bCs/>
          <w:color w:val="000000"/>
          <w:spacing w:val="-12"/>
          <w:sz w:val="16"/>
          <w:szCs w:val="16"/>
          <w:lang w:val="es-MX"/>
        </w:rPr>
        <w:t xml:space="preserve">, en particular las máximas autoridades de los poderes </w:t>
      </w:r>
      <w:r>
        <w:rPr>
          <w:rFonts w:ascii="Verdana" w:hAnsi="Verdana"/>
          <w:bCs/>
          <w:color w:val="000000"/>
          <w:spacing w:val="-12"/>
          <w:sz w:val="16"/>
          <w:szCs w:val="16"/>
          <w:lang w:val="es-MX"/>
        </w:rPr>
        <w:t xml:space="preserve">judiciales y de investigación; que </w:t>
      </w:r>
      <w:r w:rsidRPr="001F0A42">
        <w:rPr>
          <w:rFonts w:ascii="Verdana" w:hAnsi="Verdana"/>
          <w:bCs/>
          <w:color w:val="000000"/>
          <w:spacing w:val="-12"/>
          <w:sz w:val="16"/>
          <w:szCs w:val="16"/>
          <w:lang w:val="es-MX"/>
        </w:rPr>
        <w:t xml:space="preserve">las características del acto </w:t>
      </w:r>
      <w:r>
        <w:rPr>
          <w:rFonts w:ascii="Verdana" w:hAnsi="Verdana"/>
          <w:bCs/>
          <w:color w:val="000000"/>
          <w:spacing w:val="-12"/>
          <w:sz w:val="16"/>
          <w:szCs w:val="16"/>
          <w:lang w:val="es-MX"/>
        </w:rPr>
        <w:t xml:space="preserve">sean consensuadas </w:t>
      </w:r>
      <w:r w:rsidRPr="001F0A42">
        <w:rPr>
          <w:rFonts w:ascii="Verdana" w:hAnsi="Verdana"/>
          <w:bCs/>
          <w:color w:val="000000"/>
          <w:spacing w:val="-12"/>
          <w:sz w:val="16"/>
          <w:szCs w:val="16"/>
          <w:lang w:val="es-MX"/>
        </w:rPr>
        <w:t xml:space="preserve">con los familiares y </w:t>
      </w:r>
      <w:r>
        <w:rPr>
          <w:rFonts w:ascii="Verdana" w:hAnsi="Verdana"/>
          <w:bCs/>
          <w:color w:val="000000"/>
          <w:spacing w:val="-12"/>
          <w:sz w:val="16"/>
          <w:szCs w:val="16"/>
          <w:lang w:val="es-MX"/>
        </w:rPr>
        <w:t xml:space="preserve">sea realizado </w:t>
      </w:r>
      <w:r w:rsidRPr="001F0A42">
        <w:rPr>
          <w:rFonts w:ascii="Verdana" w:hAnsi="Verdana"/>
          <w:bCs/>
          <w:color w:val="000000"/>
          <w:spacing w:val="-12"/>
          <w:sz w:val="16"/>
          <w:szCs w:val="16"/>
          <w:lang w:val="es-MX"/>
        </w:rPr>
        <w:t xml:space="preserve">con presencia de los medios de comunicación afines al gobierno </w:t>
      </w:r>
      <w:r>
        <w:rPr>
          <w:rFonts w:ascii="Verdana" w:hAnsi="Verdana"/>
          <w:bCs/>
          <w:color w:val="000000"/>
          <w:spacing w:val="-12"/>
          <w:sz w:val="16"/>
          <w:szCs w:val="16"/>
          <w:lang w:val="es-MX"/>
        </w:rPr>
        <w:t>e independientes (</w:t>
      </w:r>
      <w:r w:rsidRPr="001F0A42">
        <w:rPr>
          <w:rFonts w:ascii="Verdana" w:hAnsi="Verdana"/>
          <w:bCs/>
          <w:color w:val="000000"/>
          <w:spacing w:val="-12"/>
          <w:sz w:val="16"/>
          <w:szCs w:val="16"/>
          <w:lang w:val="es-MX"/>
        </w:rPr>
        <w:t>a través de los canales de televisión 2, 4, 6 y 10 con mayor cobertura nacional y en un horario de alta audiencia</w:t>
      </w:r>
      <w:r>
        <w:rPr>
          <w:rFonts w:ascii="Verdana" w:hAnsi="Verdana"/>
          <w:bCs/>
          <w:color w:val="000000"/>
          <w:spacing w:val="-12"/>
          <w:sz w:val="16"/>
          <w:szCs w:val="16"/>
          <w:lang w:val="es-MX"/>
        </w:rPr>
        <w:t>)</w:t>
      </w:r>
      <w:r w:rsidRPr="001F0A42">
        <w:rPr>
          <w:rFonts w:ascii="Verdana" w:hAnsi="Verdana"/>
          <w:bCs/>
          <w:color w:val="000000"/>
          <w:spacing w:val="-12"/>
          <w:sz w:val="16"/>
          <w:szCs w:val="16"/>
          <w:lang w:val="es-MX"/>
        </w:rPr>
        <w:t>.</w:t>
      </w:r>
      <w:r>
        <w:rPr>
          <w:rFonts w:ascii="Verdana" w:hAnsi="Verdana"/>
          <w:bCs/>
          <w:color w:val="000000"/>
          <w:spacing w:val="-12"/>
          <w:sz w:val="16"/>
          <w:szCs w:val="16"/>
          <w:lang w:val="es-MX"/>
        </w:rPr>
        <w:t xml:space="preserve"> Por otro lado, las representantes s</w:t>
      </w:r>
      <w:r w:rsidRPr="001F0A42">
        <w:rPr>
          <w:rFonts w:ascii="Verdana" w:hAnsi="Verdana"/>
          <w:bCs/>
          <w:color w:val="000000"/>
          <w:spacing w:val="-12"/>
          <w:sz w:val="16"/>
          <w:szCs w:val="16"/>
          <w:lang w:val="es-MX"/>
        </w:rPr>
        <w:t>oli</w:t>
      </w:r>
      <w:r>
        <w:rPr>
          <w:rFonts w:ascii="Verdana" w:hAnsi="Verdana"/>
          <w:bCs/>
          <w:color w:val="000000"/>
          <w:spacing w:val="-12"/>
          <w:sz w:val="16"/>
          <w:szCs w:val="16"/>
          <w:lang w:val="es-MX"/>
        </w:rPr>
        <w:t>citaron que se ordene al Estado</w:t>
      </w:r>
      <w:r w:rsidRPr="001F0A42">
        <w:rPr>
          <w:rFonts w:ascii="Verdana" w:hAnsi="Verdana"/>
          <w:bCs/>
          <w:color w:val="000000"/>
          <w:spacing w:val="-12"/>
          <w:sz w:val="16"/>
          <w:szCs w:val="16"/>
          <w:lang w:val="es-MX"/>
        </w:rPr>
        <w:t xml:space="preserve"> levantar un monumento en memoria del señor García Valle en la parte central del Parque Reyes de la Ciudad de </w:t>
      </w:r>
      <w:r w:rsidRPr="00D734E8">
        <w:rPr>
          <w:rFonts w:ascii="Verdana" w:hAnsi="Verdana"/>
          <w:spacing w:val="-12"/>
          <w:sz w:val="16"/>
          <w:szCs w:val="16"/>
          <w:lang w:val="es-MX"/>
        </w:rPr>
        <w:t>Bluefields</w:t>
      </w:r>
      <w:r>
        <w:rPr>
          <w:rFonts w:ascii="Verdana" w:hAnsi="Verdana"/>
          <w:bCs/>
          <w:color w:val="000000"/>
          <w:spacing w:val="-12"/>
          <w:sz w:val="16"/>
          <w:szCs w:val="16"/>
          <w:lang w:val="es-MX"/>
        </w:rPr>
        <w:t>; así como</w:t>
      </w:r>
      <w:r w:rsidRPr="001F0A42">
        <w:rPr>
          <w:rFonts w:ascii="Verdana" w:hAnsi="Verdana"/>
          <w:bCs/>
          <w:color w:val="000000"/>
          <w:spacing w:val="-12"/>
          <w:sz w:val="16"/>
          <w:szCs w:val="16"/>
          <w:lang w:val="es-MX"/>
        </w:rPr>
        <w:t xml:space="preserve"> develar una placa que exprese que el señor García Valle murió en lugar de su esposa María Luisa Acosta, defensora de los derechos humanos de los pueblos indígenas y afrodescendientes de la RACCS.</w:t>
      </w:r>
      <w:r w:rsidRPr="001F0A42">
        <w:rPr>
          <w:rFonts w:ascii="Verdana" w:hAnsi="Verdana"/>
          <w:spacing w:val="-12"/>
          <w:sz w:val="16"/>
          <w:szCs w:val="16"/>
        </w:rPr>
        <w:t xml:space="preserve"> </w:t>
      </w:r>
    </w:p>
  </w:footnote>
  <w:footnote w:id="210">
    <w:p w14:paraId="2B8EC043" w14:textId="6945FC11"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lang w:val="es-MX"/>
        </w:rPr>
        <w:tab/>
        <w:t xml:space="preserve">Solicitaron que </w:t>
      </w:r>
      <w:r>
        <w:rPr>
          <w:rFonts w:ascii="Verdana" w:hAnsi="Verdana"/>
          <w:spacing w:val="-12"/>
          <w:sz w:val="16"/>
          <w:szCs w:val="16"/>
          <w:lang w:val="es-MX"/>
        </w:rPr>
        <w:t>se ordene al</w:t>
      </w:r>
      <w:r w:rsidRPr="001F0A42">
        <w:rPr>
          <w:rFonts w:ascii="Verdana" w:hAnsi="Verdana"/>
          <w:spacing w:val="-12"/>
          <w:sz w:val="16"/>
          <w:szCs w:val="16"/>
          <w:lang w:val="es-MX"/>
        </w:rPr>
        <w:t xml:space="preserve"> Estado </w:t>
      </w:r>
      <w:r>
        <w:rPr>
          <w:rFonts w:ascii="Verdana" w:hAnsi="Verdana"/>
          <w:spacing w:val="-12"/>
          <w:sz w:val="16"/>
          <w:szCs w:val="16"/>
          <w:lang w:val="es-MX"/>
        </w:rPr>
        <w:t xml:space="preserve">que </w:t>
      </w:r>
      <w:r w:rsidRPr="001F0A42">
        <w:rPr>
          <w:rFonts w:ascii="Verdana" w:hAnsi="Verdana"/>
          <w:spacing w:val="-12"/>
          <w:sz w:val="16"/>
          <w:szCs w:val="16"/>
          <w:lang w:val="es-MX"/>
        </w:rPr>
        <w:t xml:space="preserve">debe aplicar estrictamente la Ley de Organización del Poder Judicial y la Ley de Carrera Judicial en la función judicial para evitar la repetición de violaciones al debido proceso por falta de independencia e imparcialidad judicial. Se refirieron a irregularidades en los procesos de nombramiento por falta de aplicación de tales leyes (que prevén concursos por oposición); falta de evaluación objetiva del desempeño de los jueces; falta de transparencia en los procesos de traslado y falta de garantías de debido proceso en procedimientos disciplinarios. Solicitaron que se ordene al Estado crear un sistema de evaluación de desempeño cualitativo para la reelección, promoción y traslado de jueces y magistrados; elaborar un plan de desarrollo y carrera </w:t>
      </w:r>
      <w:r>
        <w:rPr>
          <w:rFonts w:ascii="Verdana" w:hAnsi="Verdana"/>
          <w:spacing w:val="-12"/>
          <w:sz w:val="16"/>
          <w:szCs w:val="16"/>
          <w:lang w:val="es-MX"/>
        </w:rPr>
        <w:t>para su capacitación</w:t>
      </w:r>
      <w:r w:rsidRPr="001F0A42">
        <w:rPr>
          <w:rFonts w:ascii="Verdana" w:hAnsi="Verdana"/>
          <w:spacing w:val="-12"/>
          <w:sz w:val="16"/>
          <w:szCs w:val="16"/>
          <w:lang w:val="es-MX"/>
        </w:rPr>
        <w:t xml:space="preserve">; y revisar el control disciplinario que actualmente se </w:t>
      </w:r>
      <w:r>
        <w:rPr>
          <w:rFonts w:ascii="Verdana" w:hAnsi="Verdana"/>
          <w:spacing w:val="-12"/>
          <w:sz w:val="16"/>
          <w:szCs w:val="16"/>
          <w:lang w:val="es-MX"/>
        </w:rPr>
        <w:t xml:space="preserve">les </w:t>
      </w:r>
      <w:r w:rsidRPr="001F0A42">
        <w:rPr>
          <w:rFonts w:ascii="Verdana" w:hAnsi="Verdana"/>
          <w:spacing w:val="-12"/>
          <w:sz w:val="16"/>
          <w:szCs w:val="16"/>
          <w:lang w:val="es-MX"/>
        </w:rPr>
        <w:t>aplic</w:t>
      </w:r>
      <w:r>
        <w:rPr>
          <w:rFonts w:ascii="Verdana" w:hAnsi="Verdana"/>
          <w:spacing w:val="-12"/>
          <w:sz w:val="16"/>
          <w:szCs w:val="16"/>
          <w:lang w:val="es-MX"/>
        </w:rPr>
        <w:t>a, apegándose</w:t>
      </w:r>
      <w:r w:rsidRPr="001F0A42">
        <w:rPr>
          <w:rFonts w:ascii="Verdana" w:hAnsi="Verdana"/>
          <w:spacing w:val="-12"/>
          <w:sz w:val="16"/>
          <w:szCs w:val="16"/>
          <w:lang w:val="es-MX"/>
        </w:rPr>
        <w:t xml:space="preserve"> al procedimiento de juicio sumario </w:t>
      </w:r>
      <w:r>
        <w:rPr>
          <w:rFonts w:ascii="Verdana" w:hAnsi="Verdana"/>
          <w:spacing w:val="-12"/>
          <w:sz w:val="16"/>
          <w:szCs w:val="16"/>
          <w:lang w:val="es-MX"/>
        </w:rPr>
        <w:t>establecido en</w:t>
      </w:r>
      <w:r w:rsidRPr="001F0A42">
        <w:rPr>
          <w:rFonts w:ascii="Verdana" w:hAnsi="Verdana"/>
          <w:spacing w:val="-12"/>
          <w:sz w:val="16"/>
          <w:szCs w:val="16"/>
          <w:lang w:val="es-MX"/>
        </w:rPr>
        <w:t xml:space="preserve"> la Ley de Carrera Judicial. </w:t>
      </w:r>
    </w:p>
    <w:p w14:paraId="7E068DFA" w14:textId="297C24DD" w:rsidR="00D93B58" w:rsidRPr="001F0A42" w:rsidRDefault="00D93B58" w:rsidP="00C10D2F">
      <w:pPr>
        <w:pStyle w:val="Textonotapie"/>
        <w:spacing w:before="120" w:after="120"/>
        <w:jc w:val="both"/>
        <w:rPr>
          <w:rFonts w:ascii="Verdana" w:hAnsi="Verdana"/>
          <w:bCs/>
          <w:color w:val="000000"/>
          <w:spacing w:val="-12"/>
          <w:sz w:val="16"/>
          <w:szCs w:val="16"/>
          <w:lang w:val="es-MX"/>
        </w:rPr>
      </w:pPr>
      <w:r w:rsidRPr="001F0A42">
        <w:rPr>
          <w:rFonts w:ascii="Verdana" w:hAnsi="Verdana"/>
          <w:spacing w:val="-12"/>
          <w:sz w:val="16"/>
          <w:szCs w:val="16"/>
          <w:lang w:val="es-MX"/>
        </w:rPr>
        <w:t xml:space="preserve">Por último, solicitaron que el Estado </w:t>
      </w:r>
      <w:r>
        <w:rPr>
          <w:rFonts w:ascii="Verdana" w:hAnsi="Verdana"/>
          <w:spacing w:val="-12"/>
          <w:sz w:val="16"/>
          <w:szCs w:val="16"/>
          <w:lang w:val="es-MX"/>
        </w:rPr>
        <w:t>elabore e implemente</w:t>
      </w:r>
      <w:r w:rsidRPr="001F0A42">
        <w:rPr>
          <w:rFonts w:ascii="Verdana" w:hAnsi="Verdana"/>
          <w:spacing w:val="-12"/>
          <w:sz w:val="16"/>
          <w:szCs w:val="16"/>
          <w:lang w:val="es-MX"/>
        </w:rPr>
        <w:t xml:space="preserve"> un procedimiento administrativo </w:t>
      </w:r>
      <w:r>
        <w:rPr>
          <w:rFonts w:ascii="Verdana" w:hAnsi="Verdana"/>
          <w:spacing w:val="-12"/>
          <w:sz w:val="16"/>
          <w:szCs w:val="16"/>
          <w:lang w:val="es-MX"/>
        </w:rPr>
        <w:t>conforme</w:t>
      </w:r>
      <w:r w:rsidRPr="001F0A42">
        <w:rPr>
          <w:rFonts w:ascii="Verdana" w:hAnsi="Verdana"/>
          <w:spacing w:val="-12"/>
          <w:sz w:val="16"/>
          <w:szCs w:val="16"/>
          <w:lang w:val="es-MX"/>
        </w:rPr>
        <w:t xml:space="preserve"> lo establecido en la Ley No. 445 para sanear los territorios indígenas titulados y así disminuir los niveles de conflictividad actuales que generan la muerte de defensores de estos territorios y sus recursos naturales. Señalaron la necesidad de consensuar el Manual de Saneamiento con CONADETI y realizar la última etapa del proceso de demarcación y titulación, iniciado a raíz de la sentencia en el </w:t>
      </w:r>
      <w:r w:rsidRPr="004E3009">
        <w:rPr>
          <w:rFonts w:ascii="Verdana" w:hAnsi="Verdana"/>
          <w:i/>
          <w:spacing w:val="-12"/>
          <w:sz w:val="16"/>
          <w:szCs w:val="16"/>
          <w:lang w:val="es-MX"/>
        </w:rPr>
        <w:t>caso de la Comunidad Indígena Mayangna (Sumo) de Awas Tingni Vs. Nicaragua</w:t>
      </w:r>
      <w:r>
        <w:rPr>
          <w:rFonts w:ascii="Verdana" w:hAnsi="Verdana"/>
          <w:spacing w:val="-12"/>
          <w:sz w:val="16"/>
          <w:szCs w:val="16"/>
          <w:lang w:val="es-MX"/>
        </w:rPr>
        <w:t xml:space="preserve"> en 2001, y así ejecutar la e</w:t>
      </w:r>
      <w:r w:rsidRPr="001F0A42">
        <w:rPr>
          <w:rFonts w:ascii="Verdana" w:hAnsi="Verdana"/>
          <w:spacing w:val="-12"/>
          <w:sz w:val="16"/>
          <w:szCs w:val="16"/>
          <w:lang w:val="es-MX"/>
        </w:rPr>
        <w:t xml:space="preserve">tapa de </w:t>
      </w:r>
      <w:r>
        <w:rPr>
          <w:rFonts w:ascii="Verdana" w:hAnsi="Verdana"/>
          <w:spacing w:val="-12"/>
          <w:sz w:val="16"/>
          <w:szCs w:val="16"/>
          <w:lang w:val="es-MX"/>
        </w:rPr>
        <w:t>s</w:t>
      </w:r>
      <w:r w:rsidRPr="001F0A42">
        <w:rPr>
          <w:rFonts w:ascii="Verdana" w:hAnsi="Verdana"/>
          <w:spacing w:val="-12"/>
          <w:sz w:val="16"/>
          <w:szCs w:val="16"/>
          <w:lang w:val="es-MX"/>
        </w:rPr>
        <w:t>aneamiento de los territorios indígenas y afrodescendientes ya titulados</w:t>
      </w:r>
      <w:r w:rsidRPr="004C7892">
        <w:rPr>
          <w:rFonts w:ascii="Verdana" w:hAnsi="Verdana"/>
          <w:spacing w:val="-12"/>
          <w:sz w:val="16"/>
          <w:szCs w:val="16"/>
          <w:lang w:val="es-MX"/>
        </w:rPr>
        <w:t xml:space="preserve"> </w:t>
      </w:r>
      <w:r w:rsidRPr="001F0A42">
        <w:rPr>
          <w:rFonts w:ascii="Verdana" w:hAnsi="Verdana"/>
          <w:spacing w:val="-12"/>
          <w:sz w:val="16"/>
          <w:szCs w:val="16"/>
          <w:lang w:val="es-MX"/>
        </w:rPr>
        <w:t xml:space="preserve">en la Costa Caribe de Nicaragua, de la manera siguiente: </w:t>
      </w:r>
      <w:r>
        <w:rPr>
          <w:rFonts w:ascii="Verdana" w:hAnsi="Verdana"/>
          <w:spacing w:val="-12"/>
          <w:sz w:val="16"/>
          <w:szCs w:val="16"/>
          <w:lang w:val="es-MX"/>
        </w:rPr>
        <w:t>l</w:t>
      </w:r>
      <w:r w:rsidRPr="001F0A42">
        <w:rPr>
          <w:rFonts w:ascii="Verdana" w:hAnsi="Verdana"/>
          <w:spacing w:val="-12"/>
          <w:sz w:val="16"/>
          <w:szCs w:val="16"/>
          <w:lang w:val="es-MX"/>
        </w:rPr>
        <w:t xml:space="preserve">a Intendencia de la Propiedad debe, en consulta con las autoridades de </w:t>
      </w:r>
      <w:r>
        <w:rPr>
          <w:rFonts w:ascii="Verdana" w:hAnsi="Verdana"/>
          <w:spacing w:val="-12"/>
          <w:sz w:val="16"/>
          <w:szCs w:val="16"/>
          <w:lang w:val="es-MX"/>
        </w:rPr>
        <w:t xml:space="preserve">esos </w:t>
      </w:r>
      <w:r w:rsidRPr="001F0A42">
        <w:rPr>
          <w:rFonts w:ascii="Verdana" w:hAnsi="Verdana"/>
          <w:spacing w:val="-12"/>
          <w:sz w:val="16"/>
          <w:szCs w:val="16"/>
          <w:lang w:val="es-MX"/>
        </w:rPr>
        <w:t xml:space="preserve">territorios, elaborar un manual </w:t>
      </w:r>
      <w:r>
        <w:rPr>
          <w:rFonts w:ascii="Verdana" w:hAnsi="Verdana"/>
          <w:spacing w:val="-12"/>
          <w:sz w:val="16"/>
          <w:szCs w:val="16"/>
          <w:lang w:val="es-MX"/>
        </w:rPr>
        <w:t>de</w:t>
      </w:r>
      <w:r w:rsidRPr="001F0A42">
        <w:rPr>
          <w:rFonts w:ascii="Verdana" w:hAnsi="Verdana"/>
          <w:spacing w:val="-12"/>
          <w:sz w:val="16"/>
          <w:szCs w:val="16"/>
          <w:lang w:val="es-MX"/>
        </w:rPr>
        <w:t xml:space="preserve"> procedimiento expedito para implementar</w:t>
      </w:r>
      <w:r>
        <w:rPr>
          <w:rFonts w:ascii="Verdana" w:hAnsi="Verdana"/>
          <w:spacing w:val="-12"/>
          <w:sz w:val="16"/>
          <w:szCs w:val="16"/>
          <w:lang w:val="es-MX"/>
        </w:rPr>
        <w:t xml:space="preserve"> el</w:t>
      </w:r>
      <w:r w:rsidRPr="001F0A42">
        <w:rPr>
          <w:rFonts w:ascii="Verdana" w:hAnsi="Verdana"/>
          <w:spacing w:val="-12"/>
          <w:sz w:val="16"/>
          <w:szCs w:val="16"/>
          <w:lang w:val="es-MX"/>
        </w:rPr>
        <w:t xml:space="preserve"> </w:t>
      </w:r>
      <w:r>
        <w:rPr>
          <w:rFonts w:ascii="Verdana" w:hAnsi="Verdana"/>
          <w:spacing w:val="-12"/>
          <w:sz w:val="16"/>
          <w:szCs w:val="16"/>
          <w:lang w:val="es-MX"/>
        </w:rPr>
        <w:t>s</w:t>
      </w:r>
      <w:r w:rsidRPr="001F0A42">
        <w:rPr>
          <w:rFonts w:ascii="Verdana" w:hAnsi="Verdana"/>
          <w:spacing w:val="-12"/>
          <w:sz w:val="16"/>
          <w:szCs w:val="16"/>
          <w:lang w:val="es-MX"/>
        </w:rPr>
        <w:t xml:space="preserve">aneamiento; las autoridades </w:t>
      </w:r>
      <w:r>
        <w:rPr>
          <w:rFonts w:ascii="Verdana" w:hAnsi="Verdana"/>
          <w:spacing w:val="-12"/>
          <w:sz w:val="16"/>
          <w:szCs w:val="16"/>
          <w:lang w:val="es-MX"/>
        </w:rPr>
        <w:t xml:space="preserve">estatales </w:t>
      </w:r>
      <w:r w:rsidRPr="001F0A42">
        <w:rPr>
          <w:rFonts w:ascii="Verdana" w:hAnsi="Verdana"/>
          <w:spacing w:val="-12"/>
          <w:sz w:val="16"/>
          <w:szCs w:val="16"/>
          <w:lang w:val="es-MX"/>
        </w:rPr>
        <w:t xml:space="preserve">deben mandar un mensaje claro a terceros, colonos y precaristas en </w:t>
      </w:r>
      <w:r>
        <w:rPr>
          <w:rFonts w:ascii="Verdana" w:hAnsi="Verdana"/>
          <w:spacing w:val="-12"/>
          <w:sz w:val="16"/>
          <w:szCs w:val="16"/>
          <w:lang w:val="es-MX"/>
        </w:rPr>
        <w:t xml:space="preserve">esos </w:t>
      </w:r>
      <w:r w:rsidRPr="001F0A42">
        <w:rPr>
          <w:rFonts w:ascii="Verdana" w:hAnsi="Verdana"/>
          <w:spacing w:val="-12"/>
          <w:sz w:val="16"/>
          <w:szCs w:val="16"/>
          <w:lang w:val="es-MX"/>
        </w:rPr>
        <w:t>territorios y a los indígenas y afrodescendient</w:t>
      </w:r>
      <w:r>
        <w:rPr>
          <w:rFonts w:ascii="Verdana" w:hAnsi="Verdana"/>
          <w:spacing w:val="-12"/>
          <w:sz w:val="16"/>
          <w:szCs w:val="16"/>
          <w:lang w:val="es-MX"/>
        </w:rPr>
        <w:t>es sobre el respeto al e</w:t>
      </w:r>
      <w:r w:rsidRPr="001F0A42">
        <w:rPr>
          <w:rFonts w:ascii="Verdana" w:hAnsi="Verdana"/>
          <w:spacing w:val="-12"/>
          <w:sz w:val="16"/>
          <w:szCs w:val="16"/>
          <w:lang w:val="es-MX"/>
        </w:rPr>
        <w:t xml:space="preserve">stado de </w:t>
      </w:r>
      <w:r>
        <w:rPr>
          <w:rFonts w:ascii="Verdana" w:hAnsi="Verdana"/>
          <w:spacing w:val="-12"/>
          <w:sz w:val="16"/>
          <w:szCs w:val="16"/>
          <w:lang w:val="es-MX"/>
        </w:rPr>
        <w:t>d</w:t>
      </w:r>
      <w:r w:rsidRPr="001F0A42">
        <w:rPr>
          <w:rFonts w:ascii="Verdana" w:hAnsi="Verdana"/>
          <w:spacing w:val="-12"/>
          <w:sz w:val="16"/>
          <w:szCs w:val="16"/>
          <w:lang w:val="es-MX"/>
        </w:rPr>
        <w:t xml:space="preserve">erecho; </w:t>
      </w:r>
      <w:r>
        <w:rPr>
          <w:rFonts w:ascii="Verdana" w:hAnsi="Verdana"/>
          <w:spacing w:val="-12"/>
          <w:sz w:val="16"/>
          <w:szCs w:val="16"/>
          <w:lang w:val="es-MX"/>
        </w:rPr>
        <w:t>l</w:t>
      </w:r>
      <w:r w:rsidRPr="001F0A42">
        <w:rPr>
          <w:rFonts w:ascii="Verdana" w:hAnsi="Verdana"/>
          <w:spacing w:val="-12"/>
          <w:sz w:val="16"/>
          <w:szCs w:val="16"/>
          <w:lang w:val="es-MX"/>
        </w:rPr>
        <w:t>a CONADETI y la Intendencia deben iniciar conjuntamente una campaña masiva en los medios de comunicación para sensibilizar sobre el respeto a la propiedad colectiva indígena</w:t>
      </w:r>
      <w:r>
        <w:rPr>
          <w:rFonts w:ascii="Verdana" w:hAnsi="Verdana"/>
          <w:spacing w:val="-12"/>
          <w:sz w:val="16"/>
          <w:szCs w:val="16"/>
          <w:lang w:val="es-MX"/>
        </w:rPr>
        <w:t>,</w:t>
      </w:r>
      <w:r w:rsidRPr="001F0A42">
        <w:rPr>
          <w:rFonts w:ascii="Verdana" w:hAnsi="Verdana"/>
          <w:spacing w:val="-12"/>
          <w:sz w:val="16"/>
          <w:szCs w:val="16"/>
          <w:lang w:val="es-MX"/>
        </w:rPr>
        <w:t xml:space="preserve"> al medioambiente y a la necesidad de realizar el ordenamiento</w:t>
      </w:r>
      <w:r w:rsidR="00A03085">
        <w:rPr>
          <w:rFonts w:ascii="Verdana" w:hAnsi="Verdana"/>
          <w:spacing w:val="-12"/>
          <w:sz w:val="16"/>
          <w:szCs w:val="16"/>
          <w:lang w:val="es-MX"/>
        </w:rPr>
        <w:t xml:space="preserve"> en los territorios indígenas</w:t>
      </w:r>
      <w:r w:rsidRPr="001F0A42">
        <w:rPr>
          <w:rFonts w:ascii="Verdana" w:hAnsi="Verdana"/>
          <w:spacing w:val="-12"/>
          <w:sz w:val="16"/>
          <w:szCs w:val="16"/>
          <w:lang w:val="es-MX"/>
        </w:rPr>
        <w:t>.</w:t>
      </w:r>
      <w:r w:rsidRPr="001F0A42">
        <w:rPr>
          <w:rFonts w:ascii="Verdana" w:hAnsi="Verdana"/>
          <w:bCs/>
          <w:color w:val="000000"/>
          <w:spacing w:val="-12"/>
          <w:sz w:val="16"/>
          <w:szCs w:val="16"/>
          <w:lang w:val="es-MX"/>
        </w:rPr>
        <w:t xml:space="preserve">  </w:t>
      </w:r>
    </w:p>
  </w:footnote>
  <w:footnote w:id="211">
    <w:p w14:paraId="17B75152" w14:textId="466D16B8" w:rsidR="00D93B58" w:rsidRPr="001F0A42" w:rsidRDefault="00D93B58" w:rsidP="00C10D2F">
      <w:pPr>
        <w:pStyle w:val="Textonotapie"/>
        <w:spacing w:before="120" w:after="120"/>
        <w:jc w:val="both"/>
        <w:rPr>
          <w:rFonts w:ascii="Verdana" w:hAnsi="Verdana"/>
          <w:spacing w:val="-12"/>
          <w:sz w:val="16"/>
          <w:szCs w:val="16"/>
          <w:lang w:val="es-ES_tradnl"/>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rPr>
        <w:tab/>
      </w:r>
      <w:r w:rsidRPr="001F0A42">
        <w:rPr>
          <w:rFonts w:ascii="Verdana" w:hAnsi="Verdana"/>
          <w:bCs/>
          <w:color w:val="000000"/>
          <w:spacing w:val="-12"/>
          <w:sz w:val="16"/>
          <w:szCs w:val="16"/>
          <w:lang w:val="es-MX"/>
        </w:rPr>
        <w:t>En similar sentido, ver</w:t>
      </w:r>
      <w:r w:rsidRPr="001F0A42">
        <w:rPr>
          <w:rFonts w:ascii="Verdana" w:hAnsi="Verdana"/>
          <w:spacing w:val="-12"/>
          <w:sz w:val="16"/>
          <w:szCs w:val="16"/>
          <w:lang w:val="es-ES_tradnl"/>
        </w:rPr>
        <w:t xml:space="preserve"> </w:t>
      </w:r>
      <w:r w:rsidRPr="001F0A42">
        <w:rPr>
          <w:rFonts w:ascii="Verdana" w:hAnsi="Verdana"/>
          <w:bCs/>
          <w:i/>
          <w:color w:val="000000"/>
          <w:spacing w:val="-12"/>
          <w:sz w:val="16"/>
          <w:szCs w:val="16"/>
          <w:lang w:val="es-MX"/>
        </w:rPr>
        <w:t>Caso Pollo Rivera y otros vs. Perú, supra</w:t>
      </w:r>
      <w:r w:rsidRPr="001F0A42">
        <w:rPr>
          <w:rFonts w:ascii="Verdana" w:hAnsi="Verdana"/>
          <w:bCs/>
          <w:color w:val="000000"/>
          <w:spacing w:val="-12"/>
          <w:sz w:val="16"/>
          <w:szCs w:val="16"/>
          <w:lang w:val="es-MX"/>
        </w:rPr>
        <w:t>, párr. 285.</w:t>
      </w:r>
    </w:p>
  </w:footnote>
  <w:footnote w:id="212">
    <w:p w14:paraId="1D1A5B41" w14:textId="02FAA694" w:rsidR="00D93B58" w:rsidRPr="001F0A42" w:rsidRDefault="00D93B58" w:rsidP="00C10D2F">
      <w:pPr>
        <w:pStyle w:val="Textonotapie"/>
        <w:spacing w:before="120" w:after="120"/>
        <w:jc w:val="both"/>
        <w:rPr>
          <w:rFonts w:ascii="Verdana" w:hAnsi="Verdana"/>
          <w:spacing w:val="-12"/>
          <w:sz w:val="16"/>
          <w:szCs w:val="16"/>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bCs/>
          <w:color w:val="000000"/>
          <w:spacing w:val="-12"/>
          <w:sz w:val="16"/>
          <w:szCs w:val="16"/>
          <w:lang w:val="es-MX"/>
        </w:rPr>
        <w:tab/>
        <w:t>Las rep</w:t>
      </w:r>
      <w:r>
        <w:rPr>
          <w:rFonts w:ascii="Verdana" w:hAnsi="Verdana"/>
          <w:bCs/>
          <w:color w:val="000000"/>
          <w:spacing w:val="-12"/>
          <w:sz w:val="16"/>
          <w:szCs w:val="16"/>
          <w:lang w:val="es-MX"/>
        </w:rPr>
        <w:t>resentantes se refirieron a: - f</w:t>
      </w:r>
      <w:r w:rsidRPr="001F0A42">
        <w:rPr>
          <w:rFonts w:ascii="Verdana" w:hAnsi="Verdana"/>
          <w:bCs/>
          <w:color w:val="000000"/>
          <w:spacing w:val="-12"/>
          <w:sz w:val="16"/>
          <w:szCs w:val="16"/>
          <w:lang w:val="es-MX"/>
        </w:rPr>
        <w:t>alta de pago mensual de alquiler de casa de habitación, por parte de una empresa local de bienes raíces a la que la señora Acosta entregó la casa al dejar Bluefields, por total de seis meses de arriendos</w:t>
      </w:r>
      <w:r>
        <w:rPr>
          <w:rFonts w:ascii="Verdana" w:hAnsi="Verdana"/>
          <w:bCs/>
          <w:color w:val="000000"/>
          <w:spacing w:val="-12"/>
          <w:sz w:val="16"/>
          <w:szCs w:val="16"/>
          <w:lang w:val="es-MX"/>
        </w:rPr>
        <w:t>,</w:t>
      </w:r>
      <w:r w:rsidRPr="001F0A42">
        <w:rPr>
          <w:rFonts w:ascii="Verdana" w:hAnsi="Verdana"/>
          <w:bCs/>
          <w:color w:val="000000"/>
          <w:spacing w:val="-12"/>
          <w:sz w:val="16"/>
          <w:szCs w:val="16"/>
          <w:lang w:val="es-MX"/>
        </w:rPr>
        <w:t xml:space="preserve"> para una suma de US $ 3.000 (tres mil dólares); y daños por vandalismo cuando </w:t>
      </w:r>
      <w:r>
        <w:rPr>
          <w:rFonts w:ascii="Verdana" w:hAnsi="Verdana"/>
          <w:bCs/>
          <w:color w:val="000000"/>
          <w:spacing w:val="-12"/>
          <w:sz w:val="16"/>
          <w:szCs w:val="16"/>
          <w:lang w:val="es-MX"/>
        </w:rPr>
        <w:t xml:space="preserve">el </w:t>
      </w:r>
      <w:r w:rsidRPr="001F0A42">
        <w:rPr>
          <w:rFonts w:ascii="Verdana" w:hAnsi="Verdana"/>
          <w:bCs/>
          <w:color w:val="000000"/>
          <w:spacing w:val="-12"/>
          <w:sz w:val="16"/>
          <w:szCs w:val="16"/>
          <w:lang w:val="es-MX"/>
        </w:rPr>
        <w:t>arrendador e inquilinos abandonaran el inmueble, por un total de U</w:t>
      </w:r>
      <w:r>
        <w:rPr>
          <w:rFonts w:ascii="Verdana" w:hAnsi="Verdana"/>
          <w:bCs/>
          <w:color w:val="000000"/>
          <w:spacing w:val="-12"/>
          <w:sz w:val="16"/>
          <w:szCs w:val="16"/>
          <w:lang w:val="es-MX"/>
        </w:rPr>
        <w:t xml:space="preserve">S $ 2.000 (dos mil dólares); - el inventario del almacén </w:t>
      </w:r>
      <w:r w:rsidRPr="001F0A42">
        <w:rPr>
          <w:rFonts w:ascii="Verdana" w:hAnsi="Verdana"/>
          <w:bCs/>
          <w:color w:val="000000"/>
          <w:spacing w:val="-12"/>
          <w:sz w:val="16"/>
          <w:szCs w:val="16"/>
          <w:lang w:val="es-MX"/>
        </w:rPr>
        <w:t xml:space="preserve">“Telas, Telas y más Telas”, que se perdió al entregarlo a supuestos amigos que luego no entregaron cuentas sobre la venta, así como las herramientas de la carpintería y tapicería de la Funeraria La Paz, negocios familiares hasta entonces administrados por el señor García Valle, causando daño </w:t>
      </w:r>
      <w:r>
        <w:rPr>
          <w:rFonts w:ascii="Verdana" w:hAnsi="Verdana"/>
          <w:bCs/>
          <w:color w:val="000000"/>
          <w:spacing w:val="-12"/>
          <w:sz w:val="16"/>
          <w:szCs w:val="16"/>
          <w:lang w:val="es-MX"/>
        </w:rPr>
        <w:t>por US $ 10.000 (diez mil dólares);</w:t>
      </w:r>
      <w:r w:rsidRPr="001F0A42">
        <w:rPr>
          <w:rFonts w:ascii="Verdana" w:hAnsi="Verdana"/>
          <w:bCs/>
          <w:color w:val="000000"/>
          <w:spacing w:val="-12"/>
          <w:sz w:val="16"/>
          <w:szCs w:val="16"/>
          <w:lang w:val="es-MX"/>
        </w:rPr>
        <w:t xml:space="preserve"> - </w:t>
      </w:r>
      <w:r>
        <w:rPr>
          <w:rFonts w:ascii="Verdana" w:hAnsi="Verdana"/>
          <w:bCs/>
          <w:color w:val="000000"/>
          <w:spacing w:val="-12"/>
          <w:sz w:val="16"/>
          <w:szCs w:val="16"/>
          <w:lang w:val="es-MX"/>
        </w:rPr>
        <w:t>g</w:t>
      </w:r>
      <w:r w:rsidRPr="001F0A42">
        <w:rPr>
          <w:rFonts w:ascii="Verdana" w:hAnsi="Verdana"/>
          <w:bCs/>
          <w:color w:val="000000"/>
          <w:spacing w:val="-12"/>
          <w:sz w:val="16"/>
          <w:szCs w:val="16"/>
          <w:lang w:val="es-MX"/>
        </w:rPr>
        <w:t>astos por cambio de residencia para asegurar la integridad física de la señora Acosta: transporte d</w:t>
      </w:r>
      <w:r>
        <w:rPr>
          <w:rFonts w:ascii="Verdana" w:hAnsi="Verdana"/>
          <w:bCs/>
          <w:color w:val="000000"/>
          <w:spacing w:val="-12"/>
          <w:sz w:val="16"/>
          <w:szCs w:val="16"/>
          <w:lang w:val="es-MX"/>
        </w:rPr>
        <w:t xml:space="preserve">e todos sus enseres domésticos y </w:t>
      </w:r>
      <w:r w:rsidRPr="001F0A42">
        <w:rPr>
          <w:rFonts w:ascii="Verdana" w:hAnsi="Verdana"/>
          <w:bCs/>
          <w:color w:val="000000"/>
          <w:spacing w:val="-12"/>
          <w:sz w:val="16"/>
          <w:szCs w:val="16"/>
          <w:lang w:val="es-MX"/>
        </w:rPr>
        <w:t xml:space="preserve">de su oficina, </w:t>
      </w:r>
      <w:r>
        <w:rPr>
          <w:rFonts w:ascii="Verdana" w:hAnsi="Verdana"/>
          <w:bCs/>
          <w:color w:val="000000"/>
          <w:spacing w:val="-12"/>
          <w:sz w:val="16"/>
          <w:szCs w:val="16"/>
          <w:lang w:val="es-MX"/>
        </w:rPr>
        <w:t xml:space="preserve">así como </w:t>
      </w:r>
      <w:r w:rsidRPr="001F0A42">
        <w:rPr>
          <w:rFonts w:ascii="Verdana" w:hAnsi="Verdana"/>
          <w:bCs/>
          <w:color w:val="000000"/>
          <w:spacing w:val="-12"/>
          <w:sz w:val="16"/>
          <w:szCs w:val="16"/>
          <w:lang w:val="es-MX"/>
        </w:rPr>
        <w:t xml:space="preserve">del taller de </w:t>
      </w:r>
      <w:r>
        <w:rPr>
          <w:rFonts w:ascii="Verdana" w:hAnsi="Verdana"/>
          <w:bCs/>
          <w:color w:val="000000"/>
          <w:spacing w:val="-12"/>
          <w:sz w:val="16"/>
          <w:szCs w:val="16"/>
          <w:lang w:val="es-MX"/>
        </w:rPr>
        <w:t>carpintería, f</w:t>
      </w:r>
      <w:r w:rsidRPr="001F0A42">
        <w:rPr>
          <w:rFonts w:ascii="Verdana" w:hAnsi="Verdana"/>
          <w:bCs/>
          <w:color w:val="000000"/>
          <w:spacing w:val="-12"/>
          <w:sz w:val="16"/>
          <w:szCs w:val="16"/>
          <w:lang w:val="es-MX"/>
        </w:rPr>
        <w:t xml:space="preserve">uneraria y el inventario del </w:t>
      </w:r>
      <w:r>
        <w:rPr>
          <w:rFonts w:ascii="Verdana" w:hAnsi="Verdana"/>
          <w:bCs/>
          <w:color w:val="000000"/>
          <w:spacing w:val="-12"/>
          <w:sz w:val="16"/>
          <w:szCs w:val="16"/>
          <w:lang w:val="es-MX"/>
        </w:rPr>
        <w:t>a</w:t>
      </w:r>
      <w:r w:rsidRPr="001F0A42">
        <w:rPr>
          <w:rFonts w:ascii="Verdana" w:hAnsi="Verdana"/>
          <w:bCs/>
          <w:color w:val="000000"/>
          <w:spacing w:val="-12"/>
          <w:sz w:val="16"/>
          <w:szCs w:val="16"/>
          <w:lang w:val="es-MX"/>
        </w:rPr>
        <w:t xml:space="preserve">lmacén </w:t>
      </w:r>
      <w:r>
        <w:rPr>
          <w:rFonts w:ascii="Verdana" w:hAnsi="Verdana"/>
          <w:bCs/>
          <w:color w:val="000000"/>
          <w:spacing w:val="-12"/>
          <w:sz w:val="16"/>
          <w:szCs w:val="16"/>
          <w:lang w:val="es-MX"/>
        </w:rPr>
        <w:t xml:space="preserve">hasta Chinandega: </w:t>
      </w:r>
      <w:r w:rsidRPr="001F0A42">
        <w:rPr>
          <w:rFonts w:ascii="Verdana" w:hAnsi="Verdana"/>
          <w:bCs/>
          <w:color w:val="000000"/>
          <w:spacing w:val="-12"/>
          <w:sz w:val="16"/>
          <w:szCs w:val="16"/>
          <w:lang w:val="es-MX"/>
        </w:rPr>
        <w:t>en equidad US $ 3.000 (tres mil dólares)</w:t>
      </w:r>
    </w:p>
  </w:footnote>
  <w:footnote w:id="213">
    <w:p w14:paraId="7F3B5FAA" w14:textId="64D5390E" w:rsidR="00D93B58" w:rsidRPr="00097090" w:rsidRDefault="00D93B58" w:rsidP="00C10D2F">
      <w:pPr>
        <w:pStyle w:val="Textonotapie"/>
        <w:jc w:val="both"/>
        <w:rPr>
          <w:rFonts w:ascii="Verdana" w:hAnsi="Verdana"/>
          <w:bCs/>
          <w:color w:val="000000"/>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lang w:val="es-CR"/>
        </w:rPr>
        <w:t xml:space="preserve"> </w:t>
      </w:r>
      <w:r w:rsidRPr="001F0A42">
        <w:rPr>
          <w:rFonts w:ascii="Verdana" w:hAnsi="Verdana"/>
          <w:spacing w:val="-12"/>
          <w:sz w:val="16"/>
          <w:szCs w:val="16"/>
          <w:lang w:val="es-CR"/>
        </w:rPr>
        <w:tab/>
      </w:r>
      <w:r w:rsidRPr="001F0A42">
        <w:rPr>
          <w:rFonts w:ascii="Verdana" w:hAnsi="Verdana"/>
          <w:bCs/>
          <w:color w:val="000000"/>
          <w:spacing w:val="-12"/>
          <w:sz w:val="16"/>
          <w:szCs w:val="16"/>
          <w:lang w:val="es-MX"/>
        </w:rPr>
        <w:t>Alegaron, por ejemplo, que los familiares apoyaron los procesos de investigación con la presentación de testigos, gestión de órdenes de captura, identifi</w:t>
      </w:r>
      <w:r>
        <w:rPr>
          <w:rFonts w:ascii="Verdana" w:hAnsi="Verdana"/>
          <w:bCs/>
          <w:color w:val="000000"/>
          <w:spacing w:val="-12"/>
          <w:sz w:val="16"/>
          <w:szCs w:val="16"/>
          <w:lang w:val="es-MX"/>
        </w:rPr>
        <w:t>cación de sospechosos en videos</w:t>
      </w:r>
      <w:r w:rsidRPr="001F0A42">
        <w:rPr>
          <w:rFonts w:ascii="Verdana" w:hAnsi="Verdana"/>
          <w:bCs/>
          <w:color w:val="000000"/>
          <w:spacing w:val="-12"/>
          <w:sz w:val="16"/>
          <w:szCs w:val="16"/>
          <w:lang w:val="es-MX"/>
        </w:rPr>
        <w:t xml:space="preserve"> y de los capturados en rueda de reos, reuniones ante las autoridades del Ministerio Público, </w:t>
      </w:r>
      <w:r>
        <w:rPr>
          <w:rFonts w:ascii="Verdana" w:hAnsi="Verdana"/>
          <w:bCs/>
          <w:color w:val="000000"/>
          <w:spacing w:val="-12"/>
          <w:sz w:val="16"/>
          <w:szCs w:val="16"/>
          <w:lang w:val="es-MX"/>
        </w:rPr>
        <w:t>las autoridades judiciales y</w:t>
      </w:r>
      <w:r w:rsidRPr="001F0A42">
        <w:rPr>
          <w:rFonts w:ascii="Verdana" w:hAnsi="Verdana"/>
          <w:bCs/>
          <w:color w:val="000000"/>
          <w:spacing w:val="-12"/>
          <w:sz w:val="16"/>
          <w:szCs w:val="16"/>
          <w:lang w:val="es-MX"/>
        </w:rPr>
        <w:t xml:space="preserve"> la Procuraduría para la Defensa de los Derechos Humanos; realizaron videos, c</w:t>
      </w:r>
      <w:r>
        <w:rPr>
          <w:rFonts w:ascii="Verdana" w:hAnsi="Verdana"/>
          <w:bCs/>
          <w:color w:val="000000"/>
          <w:spacing w:val="-12"/>
          <w:sz w:val="16"/>
          <w:szCs w:val="16"/>
          <w:lang w:val="es-MX"/>
        </w:rPr>
        <w:t>ampañas de cartas, traducciones</w:t>
      </w:r>
      <w:r w:rsidRPr="001F0A42">
        <w:rPr>
          <w:rFonts w:ascii="Verdana" w:hAnsi="Verdana"/>
          <w:bCs/>
          <w:color w:val="000000"/>
          <w:spacing w:val="-12"/>
          <w:sz w:val="16"/>
          <w:szCs w:val="16"/>
          <w:lang w:val="es-MX"/>
        </w:rPr>
        <w:t xml:space="preserve"> y publicaciones en La Prensa</w:t>
      </w:r>
      <w:r>
        <w:rPr>
          <w:rFonts w:ascii="Verdana" w:hAnsi="Verdana"/>
          <w:bCs/>
          <w:color w:val="000000"/>
          <w:spacing w:val="-12"/>
          <w:sz w:val="16"/>
          <w:szCs w:val="16"/>
          <w:lang w:val="es-MX"/>
        </w:rPr>
        <w:t xml:space="preserve"> </w:t>
      </w:r>
      <w:r w:rsidRPr="001F0A42">
        <w:rPr>
          <w:rFonts w:ascii="Verdana" w:hAnsi="Verdana"/>
          <w:bCs/>
          <w:color w:val="000000"/>
          <w:spacing w:val="-12"/>
          <w:sz w:val="16"/>
          <w:szCs w:val="16"/>
          <w:lang w:val="es-MX"/>
        </w:rPr>
        <w:t>y en páginas webs, para exigir justicia y presionar a las autoridades para que investigaran</w:t>
      </w:r>
      <w:r>
        <w:rPr>
          <w:rFonts w:ascii="Verdana" w:hAnsi="Verdana"/>
          <w:bCs/>
          <w:color w:val="000000"/>
          <w:spacing w:val="-12"/>
          <w:sz w:val="16"/>
          <w:szCs w:val="16"/>
          <w:lang w:val="es-MX"/>
        </w:rPr>
        <w:t xml:space="preserve">, tiempo durante el cual </w:t>
      </w:r>
      <w:r w:rsidRPr="001F0A42">
        <w:rPr>
          <w:rFonts w:ascii="Verdana" w:hAnsi="Verdana"/>
          <w:bCs/>
          <w:color w:val="000000"/>
          <w:spacing w:val="-12"/>
          <w:sz w:val="16"/>
          <w:szCs w:val="16"/>
          <w:lang w:val="es-MX"/>
        </w:rPr>
        <w:t>los miembros de la familia tuvieron que dejar sus ocupaciones habituales para apoyar a su madre.</w:t>
      </w:r>
    </w:p>
  </w:footnote>
  <w:footnote w:id="214">
    <w:p w14:paraId="34852B55" w14:textId="3CF24E06" w:rsidR="00D93B58" w:rsidRPr="009241AE" w:rsidRDefault="00D93B58" w:rsidP="00C10D2F">
      <w:pPr>
        <w:pStyle w:val="Textonotapie"/>
        <w:jc w:val="both"/>
      </w:pPr>
      <w:r>
        <w:rPr>
          <w:rStyle w:val="Refdenotaalpie"/>
        </w:rPr>
        <w:footnoteRef/>
      </w:r>
      <w:r>
        <w:t xml:space="preserve"> </w:t>
      </w:r>
      <w:r w:rsidRPr="009241AE">
        <w:rPr>
          <w:rFonts w:ascii="Verdana" w:hAnsi="Verdana"/>
          <w:spacing w:val="-12"/>
          <w:sz w:val="16"/>
          <w:szCs w:val="16"/>
          <w:lang w:val="es-MX"/>
        </w:rPr>
        <w:tab/>
        <w:t>Así, en cuanto al daño emergente alegado, el Estado</w:t>
      </w:r>
      <w:r>
        <w:rPr>
          <w:rFonts w:ascii="Verdana" w:hAnsi="Verdana"/>
          <w:spacing w:val="-12"/>
          <w:sz w:val="16"/>
          <w:szCs w:val="16"/>
          <w:lang w:val="es-MX"/>
        </w:rPr>
        <w:t xml:space="preserve"> señaló que no es responsable, pues </w:t>
      </w:r>
      <w:r w:rsidRPr="009241AE">
        <w:rPr>
          <w:rFonts w:ascii="Verdana" w:hAnsi="Verdana"/>
          <w:spacing w:val="-12"/>
          <w:sz w:val="16"/>
          <w:szCs w:val="16"/>
          <w:lang w:val="es-MX"/>
        </w:rPr>
        <w:t>eso debe de ser reclamado a la empresa que contrató</w:t>
      </w:r>
      <w:r>
        <w:rPr>
          <w:rFonts w:ascii="Verdana" w:hAnsi="Verdana"/>
          <w:spacing w:val="-12"/>
          <w:sz w:val="16"/>
          <w:szCs w:val="16"/>
          <w:lang w:val="es-MX"/>
        </w:rPr>
        <w:t>,</w:t>
      </w:r>
      <w:r w:rsidRPr="009241AE">
        <w:rPr>
          <w:rFonts w:ascii="Verdana" w:hAnsi="Verdana"/>
          <w:spacing w:val="-12"/>
          <w:sz w:val="16"/>
          <w:szCs w:val="16"/>
          <w:lang w:val="es-MX"/>
        </w:rPr>
        <w:t xml:space="preserve"> y que actualmente ella es dueña de un edificio en el barrio Santa Rosa de Bluefields, ocupado por inquilinos, lo que es fuente de ingresos. Respecto de las ganancias que percibía el señor García Valle, la señora Acosta entregó los negocios a terceros para administrarlos y</w:t>
      </w:r>
      <w:r>
        <w:rPr>
          <w:rFonts w:ascii="Verdana" w:hAnsi="Verdana"/>
          <w:spacing w:val="-12"/>
          <w:sz w:val="16"/>
          <w:szCs w:val="16"/>
          <w:lang w:val="es-MX"/>
        </w:rPr>
        <w:t>,</w:t>
      </w:r>
      <w:r w:rsidRPr="009241AE">
        <w:rPr>
          <w:rFonts w:ascii="Verdana" w:hAnsi="Verdana"/>
          <w:spacing w:val="-12"/>
          <w:sz w:val="16"/>
          <w:szCs w:val="16"/>
          <w:lang w:val="es-MX"/>
        </w:rPr>
        <w:t xml:space="preserve"> si fueron cerrados fue por mala administración y falta de control sobre el negocio, el Estado no es responsable por dichas pérdidas. Además, no se ha presentado prueba que cuantifique de manera argumentativa los alcances de los daños generados, ni el período que debe tomarse en cuenta para tazar los supuestos daños materiales. Sobre los supuestos gastos para asegurar su integridad, </w:t>
      </w:r>
      <w:r>
        <w:rPr>
          <w:rFonts w:ascii="Verdana" w:hAnsi="Verdana"/>
          <w:spacing w:val="-12"/>
          <w:sz w:val="16"/>
          <w:szCs w:val="16"/>
          <w:lang w:val="es-MX"/>
        </w:rPr>
        <w:t xml:space="preserve">hay </w:t>
      </w:r>
      <w:r w:rsidRPr="009241AE">
        <w:rPr>
          <w:rFonts w:ascii="Verdana" w:hAnsi="Verdana"/>
          <w:spacing w:val="-12"/>
          <w:sz w:val="16"/>
          <w:szCs w:val="16"/>
          <w:lang w:val="es-MX"/>
        </w:rPr>
        <w:t>dudas sobre el paradero del inventario del negocio “Telas, telas y más”, costos que no fueron acreditados por los representantes y que no corresponde asumir. Respecto de gastos para alca</w:t>
      </w:r>
      <w:r>
        <w:rPr>
          <w:rFonts w:ascii="Verdana" w:hAnsi="Verdana"/>
          <w:spacing w:val="-12"/>
          <w:sz w:val="16"/>
          <w:szCs w:val="16"/>
          <w:lang w:val="es-MX"/>
        </w:rPr>
        <w:t>nzar justicia, el Estado rechazó</w:t>
      </w:r>
      <w:r w:rsidRPr="009241AE">
        <w:rPr>
          <w:rFonts w:ascii="Verdana" w:hAnsi="Verdana"/>
          <w:spacing w:val="-12"/>
          <w:sz w:val="16"/>
          <w:szCs w:val="16"/>
          <w:lang w:val="es-MX"/>
        </w:rPr>
        <w:t xml:space="preserve"> el monto porque el resultado de estos procesos fue derivado de la propia responsabilidad de la señora Acosta y </w:t>
      </w:r>
      <w:r>
        <w:rPr>
          <w:rFonts w:ascii="Verdana" w:hAnsi="Verdana"/>
          <w:spacing w:val="-12"/>
          <w:sz w:val="16"/>
          <w:szCs w:val="16"/>
          <w:lang w:val="es-MX"/>
        </w:rPr>
        <w:t xml:space="preserve">ello </w:t>
      </w:r>
      <w:r w:rsidRPr="009241AE">
        <w:rPr>
          <w:rFonts w:ascii="Verdana" w:hAnsi="Verdana"/>
          <w:spacing w:val="-12"/>
          <w:sz w:val="16"/>
          <w:szCs w:val="16"/>
          <w:lang w:val="es-MX"/>
        </w:rPr>
        <w:t xml:space="preserve">no </w:t>
      </w:r>
      <w:r>
        <w:rPr>
          <w:rFonts w:ascii="Verdana" w:hAnsi="Verdana"/>
          <w:spacing w:val="-12"/>
          <w:sz w:val="16"/>
          <w:szCs w:val="16"/>
          <w:lang w:val="es-MX"/>
        </w:rPr>
        <w:t xml:space="preserve">le </w:t>
      </w:r>
      <w:r w:rsidRPr="009241AE">
        <w:rPr>
          <w:rFonts w:ascii="Verdana" w:hAnsi="Verdana"/>
          <w:spacing w:val="-12"/>
          <w:sz w:val="16"/>
          <w:szCs w:val="16"/>
          <w:lang w:val="es-MX"/>
        </w:rPr>
        <w:t xml:space="preserve">es atribuible, además que no </w:t>
      </w:r>
      <w:r>
        <w:rPr>
          <w:rFonts w:ascii="Verdana" w:hAnsi="Verdana"/>
          <w:spacing w:val="-12"/>
          <w:sz w:val="16"/>
          <w:szCs w:val="16"/>
          <w:lang w:val="es-MX"/>
        </w:rPr>
        <w:t>aportaron</w:t>
      </w:r>
      <w:r w:rsidRPr="009241AE">
        <w:rPr>
          <w:rFonts w:ascii="Verdana" w:hAnsi="Verdana"/>
          <w:spacing w:val="-12"/>
          <w:sz w:val="16"/>
          <w:szCs w:val="16"/>
          <w:lang w:val="es-MX"/>
        </w:rPr>
        <w:t xml:space="preserve"> recibos que justifiquen </w:t>
      </w:r>
      <w:r>
        <w:rPr>
          <w:rFonts w:ascii="Verdana" w:hAnsi="Verdana"/>
          <w:spacing w:val="-12"/>
          <w:sz w:val="16"/>
          <w:szCs w:val="16"/>
          <w:lang w:val="es-MX"/>
        </w:rPr>
        <w:t xml:space="preserve">tales </w:t>
      </w:r>
      <w:r w:rsidRPr="009241AE">
        <w:rPr>
          <w:rFonts w:ascii="Verdana" w:hAnsi="Verdana"/>
          <w:spacing w:val="-12"/>
          <w:sz w:val="16"/>
          <w:szCs w:val="16"/>
          <w:lang w:val="es-MX"/>
        </w:rPr>
        <w:t xml:space="preserve">gastos. En cuanto al lucro cesante, mencionó que el Instituto Nicaragüense de Seguridad Social reporta que </w:t>
      </w:r>
      <w:r>
        <w:rPr>
          <w:rFonts w:ascii="Verdana" w:hAnsi="Verdana"/>
          <w:spacing w:val="-12"/>
          <w:sz w:val="16"/>
          <w:szCs w:val="16"/>
          <w:lang w:val="es-MX"/>
        </w:rPr>
        <w:t xml:space="preserve">ella </w:t>
      </w:r>
      <w:r w:rsidRPr="009241AE">
        <w:rPr>
          <w:rFonts w:ascii="Verdana" w:hAnsi="Verdana"/>
          <w:spacing w:val="-12"/>
          <w:sz w:val="16"/>
          <w:szCs w:val="16"/>
          <w:lang w:val="es-MX"/>
        </w:rPr>
        <w:t xml:space="preserve">es cotizante a partir del año 2015 con un salario de 5.250,00 córdobas </w:t>
      </w:r>
      <w:r>
        <w:rPr>
          <w:rFonts w:ascii="Verdana" w:hAnsi="Verdana"/>
          <w:spacing w:val="-12"/>
          <w:sz w:val="16"/>
          <w:szCs w:val="16"/>
          <w:lang w:val="es-MX"/>
        </w:rPr>
        <w:t>(</w:t>
      </w:r>
      <w:r w:rsidRPr="009241AE">
        <w:rPr>
          <w:rFonts w:ascii="Verdana" w:hAnsi="Verdana"/>
          <w:spacing w:val="-12"/>
          <w:sz w:val="16"/>
          <w:szCs w:val="16"/>
          <w:lang w:val="es-MX"/>
        </w:rPr>
        <w:t>US$187 dólares</w:t>
      </w:r>
      <w:r>
        <w:rPr>
          <w:rFonts w:ascii="Verdana" w:hAnsi="Verdana"/>
          <w:spacing w:val="-12"/>
          <w:sz w:val="16"/>
          <w:szCs w:val="16"/>
          <w:lang w:val="es-MX"/>
        </w:rPr>
        <w:t>)</w:t>
      </w:r>
      <w:r w:rsidRPr="009241AE">
        <w:rPr>
          <w:rFonts w:ascii="Verdana" w:hAnsi="Verdana"/>
          <w:spacing w:val="-12"/>
          <w:sz w:val="16"/>
          <w:szCs w:val="16"/>
          <w:lang w:val="es-MX"/>
        </w:rPr>
        <w:t>,</w:t>
      </w:r>
      <w:r>
        <w:rPr>
          <w:rFonts w:ascii="Verdana" w:hAnsi="Verdana"/>
          <w:spacing w:val="-12"/>
          <w:sz w:val="16"/>
          <w:szCs w:val="16"/>
          <w:lang w:val="es-MX"/>
        </w:rPr>
        <w:t xml:space="preserve"> es decir, </w:t>
      </w:r>
      <w:r w:rsidRPr="009241AE">
        <w:rPr>
          <w:rFonts w:ascii="Verdana" w:hAnsi="Verdana"/>
          <w:spacing w:val="-12"/>
          <w:sz w:val="16"/>
          <w:szCs w:val="16"/>
          <w:lang w:val="es-MX"/>
        </w:rPr>
        <w:t xml:space="preserve">que ella no devengaba salario al momento de los hechos y, </w:t>
      </w:r>
      <w:r>
        <w:rPr>
          <w:rFonts w:ascii="Verdana" w:hAnsi="Verdana"/>
          <w:spacing w:val="-12"/>
          <w:sz w:val="16"/>
          <w:szCs w:val="16"/>
          <w:lang w:val="es-MX"/>
        </w:rPr>
        <w:t>si devengaba</w:t>
      </w:r>
      <w:r w:rsidRPr="009241AE">
        <w:rPr>
          <w:rFonts w:ascii="Verdana" w:hAnsi="Verdana"/>
          <w:spacing w:val="-12"/>
          <w:sz w:val="16"/>
          <w:szCs w:val="16"/>
          <w:lang w:val="es-MX"/>
        </w:rPr>
        <w:t xml:space="preserve"> un salario informal, no se puede determinar con exactitud una base estimada de ingresos en los años anteriores y posteriores a la muerte del señor G</w:t>
      </w:r>
      <w:r>
        <w:rPr>
          <w:rFonts w:ascii="Verdana" w:hAnsi="Verdana"/>
          <w:spacing w:val="-12"/>
          <w:sz w:val="16"/>
          <w:szCs w:val="16"/>
          <w:lang w:val="es-MX"/>
        </w:rPr>
        <w:t>arcía Valle; por lo que solicitó</w:t>
      </w:r>
      <w:r w:rsidRPr="009241AE">
        <w:rPr>
          <w:rFonts w:ascii="Verdana" w:hAnsi="Verdana"/>
          <w:spacing w:val="-12"/>
          <w:sz w:val="16"/>
          <w:szCs w:val="16"/>
          <w:lang w:val="es-MX"/>
        </w:rPr>
        <w:t xml:space="preserve"> que, en caso de dictar indemnización, sea tasada </w:t>
      </w:r>
      <w:r>
        <w:rPr>
          <w:rFonts w:ascii="Verdana" w:hAnsi="Verdana"/>
          <w:spacing w:val="-12"/>
          <w:sz w:val="16"/>
          <w:szCs w:val="16"/>
          <w:lang w:val="es-MX"/>
        </w:rPr>
        <w:t>según e</w:t>
      </w:r>
      <w:r w:rsidRPr="009241AE">
        <w:rPr>
          <w:rFonts w:ascii="Verdana" w:hAnsi="Verdana"/>
          <w:spacing w:val="-12"/>
          <w:sz w:val="16"/>
          <w:szCs w:val="16"/>
          <w:lang w:val="es-MX"/>
        </w:rPr>
        <w:t xml:space="preserve">l salario mínimo del país para ese año. De igual forma, dicho Instituto reporta que el señor García Valle fue cotizante hasta el año 1994, por lo que al momento de los hechos no reportaba ningún tipo de salario y las representantes no han acreditado el salario que supuestamente percibía como profesor de las universidades BICU y URACCAN, donde tampoco aparece como cotizante al momento de los hechos. El Estado rechazó los montos solicitados por falta de prueba y menciona que, aplicando la propia fórmula de los representantes, en realidad el monto correcto por lucro cesante sería de </w:t>
      </w:r>
      <w:r>
        <w:rPr>
          <w:rFonts w:ascii="Verdana" w:hAnsi="Verdana"/>
          <w:spacing w:val="-12"/>
          <w:sz w:val="16"/>
          <w:szCs w:val="16"/>
          <w:lang w:val="es-MX"/>
        </w:rPr>
        <w:t xml:space="preserve">US$ </w:t>
      </w:r>
      <w:r w:rsidRPr="009241AE">
        <w:rPr>
          <w:rFonts w:ascii="Verdana" w:hAnsi="Verdana"/>
          <w:spacing w:val="-12"/>
          <w:sz w:val="16"/>
          <w:szCs w:val="16"/>
          <w:lang w:val="es-MX"/>
        </w:rPr>
        <w:t xml:space="preserve">4.491,00 dólares. </w:t>
      </w:r>
      <w:r>
        <w:rPr>
          <w:rFonts w:ascii="Verdana" w:hAnsi="Verdana"/>
          <w:spacing w:val="-12"/>
          <w:sz w:val="16"/>
          <w:szCs w:val="16"/>
          <w:lang w:val="es-MX"/>
        </w:rPr>
        <w:t>Por otro lado, l</w:t>
      </w:r>
      <w:r w:rsidRPr="009241AE">
        <w:rPr>
          <w:rFonts w:ascii="Verdana" w:hAnsi="Verdana"/>
          <w:spacing w:val="-12"/>
          <w:sz w:val="16"/>
          <w:szCs w:val="16"/>
          <w:lang w:val="es-MX"/>
        </w:rPr>
        <w:t xml:space="preserve">as deudas de la señora Acosta no son responsabilidad del Estado, pues no se sabe en base a qué monto se le ocasionó el supuesto “deterioro de su economía” o </w:t>
      </w:r>
      <w:r>
        <w:rPr>
          <w:rFonts w:ascii="Verdana" w:hAnsi="Verdana"/>
          <w:spacing w:val="-12"/>
          <w:sz w:val="16"/>
          <w:szCs w:val="16"/>
          <w:lang w:val="es-MX"/>
        </w:rPr>
        <w:t>los intereses que debió</w:t>
      </w:r>
      <w:r w:rsidRPr="009241AE">
        <w:rPr>
          <w:rFonts w:ascii="Verdana" w:hAnsi="Verdana"/>
          <w:spacing w:val="-12"/>
          <w:sz w:val="16"/>
          <w:szCs w:val="16"/>
          <w:lang w:val="es-MX"/>
        </w:rPr>
        <w:t xml:space="preserve"> pagar por las tarjetas de crédito, o los rubros específicos que adeuden la suma de U$ 60mil dólares. No se ha especificado el monto que ella supuestamente pagaba por la universidad de sus hijos, sin especificar </w:t>
      </w:r>
      <w:r>
        <w:rPr>
          <w:rFonts w:ascii="Verdana" w:hAnsi="Verdana"/>
          <w:spacing w:val="-12"/>
          <w:sz w:val="16"/>
          <w:szCs w:val="16"/>
          <w:lang w:val="es-MX"/>
        </w:rPr>
        <w:t xml:space="preserve">el </w:t>
      </w:r>
      <w:r w:rsidRPr="009241AE">
        <w:rPr>
          <w:rFonts w:ascii="Verdana" w:hAnsi="Verdana"/>
          <w:spacing w:val="-12"/>
          <w:sz w:val="16"/>
          <w:szCs w:val="16"/>
          <w:lang w:val="es-MX"/>
        </w:rPr>
        <w:t xml:space="preserve">país, </w:t>
      </w:r>
      <w:r>
        <w:rPr>
          <w:rFonts w:ascii="Verdana" w:hAnsi="Verdana"/>
          <w:spacing w:val="-12"/>
          <w:sz w:val="16"/>
          <w:szCs w:val="16"/>
          <w:lang w:val="es-MX"/>
        </w:rPr>
        <w:t>centro educativo</w:t>
      </w:r>
      <w:r w:rsidRPr="009241AE">
        <w:rPr>
          <w:rFonts w:ascii="Verdana" w:hAnsi="Verdana"/>
          <w:spacing w:val="-12"/>
          <w:sz w:val="16"/>
          <w:szCs w:val="16"/>
          <w:lang w:val="es-MX"/>
        </w:rPr>
        <w:t>, valor mensual y años que estudiaron</w:t>
      </w:r>
      <w:r>
        <w:rPr>
          <w:rFonts w:ascii="Verdana" w:hAnsi="Verdana"/>
          <w:spacing w:val="-12"/>
          <w:sz w:val="16"/>
          <w:szCs w:val="16"/>
          <w:lang w:val="es-MX"/>
        </w:rPr>
        <w:t>, particularmente respecto de</w:t>
      </w:r>
      <w:r w:rsidRPr="009241AE">
        <w:rPr>
          <w:rFonts w:ascii="Verdana" w:hAnsi="Verdana"/>
          <w:spacing w:val="-12"/>
          <w:sz w:val="16"/>
          <w:szCs w:val="16"/>
          <w:lang w:val="es-MX"/>
        </w:rPr>
        <w:t xml:space="preserve"> Ana María Vergara Acosta</w:t>
      </w:r>
      <w:r>
        <w:rPr>
          <w:rFonts w:ascii="Verdana" w:hAnsi="Verdana"/>
          <w:spacing w:val="-12"/>
          <w:sz w:val="16"/>
          <w:szCs w:val="16"/>
          <w:lang w:val="es-MX"/>
        </w:rPr>
        <w:t xml:space="preserve">, quien </w:t>
      </w:r>
      <w:r w:rsidRPr="009241AE">
        <w:rPr>
          <w:rFonts w:ascii="Verdana" w:hAnsi="Verdana"/>
          <w:spacing w:val="-12"/>
          <w:sz w:val="16"/>
          <w:szCs w:val="16"/>
          <w:lang w:val="es-MX"/>
        </w:rPr>
        <w:t>al momento de los hechos se encontraba en Australia del 11 de enero al 10 de julio de 2002</w:t>
      </w:r>
      <w:r>
        <w:rPr>
          <w:rFonts w:ascii="Verdana" w:hAnsi="Verdana"/>
          <w:spacing w:val="-12"/>
          <w:sz w:val="16"/>
          <w:szCs w:val="16"/>
          <w:lang w:val="es-MX"/>
        </w:rPr>
        <w:t xml:space="preserve">, en </w:t>
      </w:r>
      <w:r w:rsidRPr="009241AE">
        <w:rPr>
          <w:rFonts w:ascii="Verdana" w:hAnsi="Verdana"/>
          <w:spacing w:val="-12"/>
          <w:sz w:val="16"/>
          <w:szCs w:val="16"/>
          <w:lang w:val="es-MX"/>
        </w:rPr>
        <w:t xml:space="preserve">2003 viajó a los Estados Unidos y </w:t>
      </w:r>
      <w:r>
        <w:rPr>
          <w:rFonts w:ascii="Verdana" w:hAnsi="Verdana"/>
          <w:spacing w:val="-12"/>
          <w:sz w:val="16"/>
          <w:szCs w:val="16"/>
          <w:lang w:val="es-MX"/>
        </w:rPr>
        <w:t>entre el año 2004 a</w:t>
      </w:r>
      <w:r w:rsidRPr="009241AE">
        <w:rPr>
          <w:rFonts w:ascii="Verdana" w:hAnsi="Verdana"/>
          <w:spacing w:val="-12"/>
          <w:sz w:val="16"/>
          <w:szCs w:val="16"/>
          <w:lang w:val="es-MX"/>
        </w:rPr>
        <w:t xml:space="preserve"> 2009 permaneció en la República de El Salvador, haciendo viajes esporádicos a Nicaragua. Los constantes viajes de María Luisa Acosta y sus hijos no guardan relación con </w:t>
      </w:r>
      <w:r>
        <w:rPr>
          <w:rFonts w:ascii="Verdana" w:hAnsi="Verdana"/>
          <w:spacing w:val="-12"/>
          <w:sz w:val="16"/>
          <w:szCs w:val="16"/>
          <w:lang w:val="es-MX"/>
        </w:rPr>
        <w:t>este</w:t>
      </w:r>
      <w:r w:rsidRPr="009241AE">
        <w:rPr>
          <w:rFonts w:ascii="Verdana" w:hAnsi="Verdana"/>
          <w:spacing w:val="-12"/>
          <w:sz w:val="16"/>
          <w:szCs w:val="16"/>
          <w:lang w:val="es-MX"/>
        </w:rPr>
        <w:t xml:space="preserve"> caso, factor que pudo incidir en el mal manejo o mala administración de los negocios </w:t>
      </w:r>
      <w:r>
        <w:rPr>
          <w:rFonts w:ascii="Verdana" w:hAnsi="Verdana"/>
          <w:spacing w:val="-12"/>
          <w:sz w:val="16"/>
          <w:szCs w:val="16"/>
          <w:lang w:val="es-MX"/>
        </w:rPr>
        <w:t>d</w:t>
      </w:r>
      <w:r w:rsidRPr="009241AE">
        <w:rPr>
          <w:rFonts w:ascii="Verdana" w:hAnsi="Verdana"/>
          <w:spacing w:val="-12"/>
          <w:sz w:val="16"/>
          <w:szCs w:val="16"/>
          <w:lang w:val="es-MX"/>
        </w:rPr>
        <w:t xml:space="preserve">el señor García Valle. </w:t>
      </w:r>
      <w:r>
        <w:rPr>
          <w:rFonts w:ascii="Verdana" w:hAnsi="Verdana"/>
          <w:spacing w:val="-12"/>
          <w:sz w:val="16"/>
          <w:szCs w:val="16"/>
          <w:lang w:val="es-MX"/>
        </w:rPr>
        <w:t>N</w:t>
      </w:r>
      <w:r w:rsidRPr="009241AE">
        <w:rPr>
          <w:rFonts w:ascii="Verdana" w:hAnsi="Verdana"/>
          <w:spacing w:val="-12"/>
          <w:sz w:val="16"/>
          <w:szCs w:val="16"/>
          <w:lang w:val="es-MX"/>
        </w:rPr>
        <w:t xml:space="preserve">o ha quedado demostrado que los estudios y </w:t>
      </w:r>
      <w:r>
        <w:rPr>
          <w:rFonts w:ascii="Verdana" w:hAnsi="Verdana"/>
          <w:spacing w:val="-12"/>
          <w:sz w:val="16"/>
          <w:szCs w:val="16"/>
          <w:lang w:val="es-MX"/>
        </w:rPr>
        <w:t xml:space="preserve">alimentación </w:t>
      </w:r>
      <w:r w:rsidRPr="009241AE">
        <w:rPr>
          <w:rFonts w:ascii="Verdana" w:hAnsi="Verdana"/>
          <w:spacing w:val="-12"/>
          <w:sz w:val="16"/>
          <w:szCs w:val="16"/>
          <w:lang w:val="es-MX"/>
        </w:rPr>
        <w:t xml:space="preserve">de los hijos </w:t>
      </w:r>
      <w:r>
        <w:rPr>
          <w:rFonts w:ascii="Verdana" w:hAnsi="Verdana"/>
          <w:spacing w:val="-12"/>
          <w:sz w:val="16"/>
          <w:szCs w:val="16"/>
          <w:lang w:val="es-MX"/>
        </w:rPr>
        <w:t xml:space="preserve">fuesen pagados por </w:t>
      </w:r>
      <w:r w:rsidRPr="009241AE">
        <w:rPr>
          <w:rFonts w:ascii="Verdana" w:hAnsi="Verdana"/>
          <w:spacing w:val="-12"/>
          <w:sz w:val="16"/>
          <w:szCs w:val="16"/>
          <w:lang w:val="es-MX"/>
        </w:rPr>
        <w:t>el señor García Valle.</w:t>
      </w:r>
    </w:p>
  </w:footnote>
  <w:footnote w:id="215">
    <w:p w14:paraId="044EF0DA" w14:textId="23829C20"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i/>
          <w:spacing w:val="-12"/>
          <w:sz w:val="16"/>
          <w:szCs w:val="16"/>
          <w:lang w:val="es-MX"/>
        </w:rPr>
        <w:t>Cfr</w:t>
      </w:r>
      <w:r w:rsidRPr="001F0A42">
        <w:rPr>
          <w:rFonts w:ascii="Verdana" w:hAnsi="Verdana"/>
          <w:spacing w:val="-12"/>
          <w:sz w:val="16"/>
          <w:szCs w:val="16"/>
          <w:lang w:val="es-MX"/>
        </w:rPr>
        <w:t xml:space="preserve">. </w:t>
      </w:r>
      <w:r w:rsidRPr="001F0A42">
        <w:rPr>
          <w:rFonts w:ascii="Verdana" w:hAnsi="Verdana"/>
          <w:i/>
          <w:spacing w:val="-12"/>
          <w:sz w:val="16"/>
          <w:szCs w:val="16"/>
          <w:lang w:val="es-MX"/>
        </w:rPr>
        <w:t>Caso</w:t>
      </w:r>
      <w:r>
        <w:rPr>
          <w:rFonts w:ascii="Verdana" w:hAnsi="Verdana"/>
          <w:i/>
          <w:spacing w:val="-12"/>
          <w:sz w:val="16"/>
          <w:szCs w:val="16"/>
          <w:lang w:val="es-MX"/>
        </w:rPr>
        <w:t xml:space="preserve"> Bámaca Velásquez Vs. Guatemala. </w:t>
      </w:r>
      <w:r w:rsidRPr="00294944">
        <w:rPr>
          <w:rFonts w:ascii="Verdana" w:hAnsi="Verdana"/>
          <w:i/>
          <w:spacing w:val="-12"/>
          <w:sz w:val="16"/>
          <w:szCs w:val="16"/>
          <w:lang w:val="es-MX"/>
        </w:rPr>
        <w:t>Reparaciones y Costas</w:t>
      </w:r>
      <w:r w:rsidRPr="00294944">
        <w:rPr>
          <w:rFonts w:ascii="Verdana" w:hAnsi="Verdana"/>
          <w:spacing w:val="-12"/>
          <w:sz w:val="16"/>
          <w:szCs w:val="16"/>
          <w:lang w:val="es-MX"/>
        </w:rPr>
        <w:t>. Sentencia de 22 de febrero de 2002. Serie C No. 91</w:t>
      </w:r>
      <w:r w:rsidRPr="001F0A42">
        <w:rPr>
          <w:rFonts w:ascii="Verdana" w:hAnsi="Verdana"/>
          <w:spacing w:val="-12"/>
          <w:sz w:val="16"/>
          <w:szCs w:val="16"/>
          <w:lang w:val="es-MX"/>
        </w:rPr>
        <w:t xml:space="preserve">, párr. 43, y </w:t>
      </w:r>
      <w:r>
        <w:rPr>
          <w:rStyle w:val="Textoennegrita"/>
          <w:rFonts w:ascii="Verdana" w:hAnsi="Verdana"/>
          <w:b w:val="0"/>
          <w:i/>
          <w:color w:val="000000"/>
          <w:spacing w:val="-12"/>
          <w:sz w:val="16"/>
          <w:szCs w:val="16"/>
          <w:shd w:val="clear" w:color="auto" w:fill="FFFFFF"/>
          <w:lang w:val="es-MX"/>
        </w:rPr>
        <w:t>Caso Andrade Salmón Vs. Bolivia</w:t>
      </w:r>
      <w:r>
        <w:rPr>
          <w:rStyle w:val="Textoennegrita"/>
          <w:rFonts w:ascii="Verdana" w:hAnsi="Verdana"/>
          <w:b w:val="0"/>
          <w:iCs/>
          <w:color w:val="000000"/>
          <w:spacing w:val="-12"/>
          <w:sz w:val="16"/>
          <w:szCs w:val="16"/>
          <w:shd w:val="clear" w:color="auto" w:fill="FFFFFF"/>
          <w:lang w:val="es-MX"/>
        </w:rPr>
        <w:t xml:space="preserve">, </w:t>
      </w:r>
      <w:r>
        <w:rPr>
          <w:rStyle w:val="Textoennegrita"/>
          <w:rFonts w:ascii="Verdana" w:hAnsi="Verdana"/>
          <w:b w:val="0"/>
          <w:i/>
          <w:iCs/>
          <w:color w:val="000000"/>
          <w:spacing w:val="-12"/>
          <w:sz w:val="16"/>
          <w:szCs w:val="16"/>
          <w:shd w:val="clear" w:color="auto" w:fill="FFFFFF"/>
          <w:lang w:val="es-MX"/>
        </w:rPr>
        <w:t>supra,</w:t>
      </w:r>
      <w:r>
        <w:rPr>
          <w:rStyle w:val="Textoennegrita"/>
          <w:rFonts w:ascii="Verdana" w:hAnsi="Verdana"/>
          <w:b w:val="0"/>
          <w:iCs/>
          <w:color w:val="000000"/>
          <w:spacing w:val="-12"/>
          <w:sz w:val="16"/>
          <w:szCs w:val="16"/>
          <w:shd w:val="clear" w:color="auto" w:fill="FFFFFF"/>
          <w:lang w:val="es-MX"/>
        </w:rPr>
        <w:t xml:space="preserve"> párr. 204</w:t>
      </w:r>
      <w:r w:rsidRPr="001F0A42">
        <w:rPr>
          <w:rFonts w:ascii="Verdana" w:hAnsi="Verdana"/>
          <w:spacing w:val="-12"/>
          <w:sz w:val="16"/>
          <w:szCs w:val="16"/>
          <w:lang w:val="es-MX"/>
        </w:rPr>
        <w:t xml:space="preserve">.  </w:t>
      </w:r>
    </w:p>
  </w:footnote>
  <w:footnote w:id="216">
    <w:p w14:paraId="72806E78" w14:textId="19E77AA7"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i/>
          <w:spacing w:val="-12"/>
          <w:sz w:val="16"/>
          <w:szCs w:val="16"/>
          <w:lang w:val="es-MX"/>
        </w:rPr>
        <w:t>Cfr</w:t>
      </w:r>
      <w:r w:rsidRPr="001F0A42">
        <w:rPr>
          <w:rFonts w:ascii="Verdana" w:hAnsi="Verdana"/>
          <w:spacing w:val="-12"/>
          <w:sz w:val="16"/>
          <w:szCs w:val="16"/>
          <w:lang w:val="es-MX"/>
        </w:rPr>
        <w:t xml:space="preserve">. </w:t>
      </w:r>
      <w:r w:rsidRPr="001F0A42">
        <w:rPr>
          <w:rFonts w:ascii="Verdana" w:hAnsi="Verdana"/>
          <w:i/>
          <w:spacing w:val="-12"/>
          <w:sz w:val="16"/>
          <w:szCs w:val="16"/>
          <w:lang w:val="es-MX"/>
        </w:rPr>
        <w:t>Caso de los “Niños de la Calle” (Villagrán Morales y otros) Vs. Gua</w:t>
      </w:r>
      <w:r>
        <w:rPr>
          <w:rFonts w:ascii="Verdana" w:hAnsi="Verdana"/>
          <w:i/>
          <w:spacing w:val="-12"/>
          <w:sz w:val="16"/>
          <w:szCs w:val="16"/>
          <w:lang w:val="es-MX"/>
        </w:rPr>
        <w:t xml:space="preserve">temala. </w:t>
      </w:r>
      <w:r w:rsidRPr="00294944">
        <w:rPr>
          <w:rFonts w:ascii="Verdana" w:hAnsi="Verdana"/>
          <w:i/>
          <w:spacing w:val="-12"/>
          <w:sz w:val="16"/>
          <w:szCs w:val="16"/>
          <w:lang w:val="es-MX"/>
        </w:rPr>
        <w:t>Reparaciones y Costas</w:t>
      </w:r>
      <w:r w:rsidRPr="00294944">
        <w:rPr>
          <w:rFonts w:ascii="Verdana" w:hAnsi="Verdana"/>
          <w:spacing w:val="-12"/>
          <w:sz w:val="16"/>
          <w:szCs w:val="16"/>
          <w:lang w:val="es-MX"/>
        </w:rPr>
        <w:t>. Sentencia de 26 de mayo de 2001. Serie C No. 77</w:t>
      </w:r>
      <w:r>
        <w:rPr>
          <w:rFonts w:ascii="Verdana" w:hAnsi="Verdana"/>
          <w:spacing w:val="-12"/>
          <w:sz w:val="16"/>
          <w:szCs w:val="16"/>
          <w:lang w:val="es-MX"/>
        </w:rPr>
        <w:t>, párr. 84;</w:t>
      </w:r>
      <w:r w:rsidRPr="001F0A42">
        <w:rPr>
          <w:rFonts w:ascii="Verdana" w:hAnsi="Verdana"/>
          <w:spacing w:val="-12"/>
          <w:sz w:val="16"/>
          <w:szCs w:val="16"/>
          <w:lang w:val="es-MX"/>
        </w:rPr>
        <w:t xml:space="preserve"> y </w:t>
      </w:r>
      <w:r>
        <w:rPr>
          <w:rStyle w:val="Textoennegrita"/>
          <w:rFonts w:ascii="Verdana" w:hAnsi="Verdana"/>
          <w:b w:val="0"/>
          <w:i/>
          <w:color w:val="000000"/>
          <w:spacing w:val="-12"/>
          <w:sz w:val="16"/>
          <w:szCs w:val="16"/>
          <w:shd w:val="clear" w:color="auto" w:fill="FFFFFF"/>
          <w:lang w:val="es-MX"/>
        </w:rPr>
        <w:t>Caso Andrade Salmón Vs. Bolivia</w:t>
      </w:r>
      <w:r>
        <w:rPr>
          <w:rStyle w:val="Textoennegrita"/>
          <w:rFonts w:ascii="Verdana" w:hAnsi="Verdana"/>
          <w:b w:val="0"/>
          <w:iCs/>
          <w:color w:val="000000"/>
          <w:spacing w:val="-12"/>
          <w:sz w:val="16"/>
          <w:szCs w:val="16"/>
          <w:shd w:val="clear" w:color="auto" w:fill="FFFFFF"/>
          <w:lang w:val="es-MX"/>
        </w:rPr>
        <w:t xml:space="preserve">, </w:t>
      </w:r>
      <w:r>
        <w:rPr>
          <w:rStyle w:val="Textoennegrita"/>
          <w:rFonts w:ascii="Verdana" w:hAnsi="Verdana"/>
          <w:b w:val="0"/>
          <w:i/>
          <w:iCs/>
          <w:color w:val="000000"/>
          <w:spacing w:val="-12"/>
          <w:sz w:val="16"/>
          <w:szCs w:val="16"/>
          <w:shd w:val="clear" w:color="auto" w:fill="FFFFFF"/>
          <w:lang w:val="es-MX"/>
        </w:rPr>
        <w:t>supra,</w:t>
      </w:r>
      <w:r>
        <w:rPr>
          <w:rStyle w:val="Textoennegrita"/>
          <w:rFonts w:ascii="Verdana" w:hAnsi="Verdana"/>
          <w:b w:val="0"/>
          <w:iCs/>
          <w:color w:val="000000"/>
          <w:spacing w:val="-12"/>
          <w:sz w:val="16"/>
          <w:szCs w:val="16"/>
          <w:shd w:val="clear" w:color="auto" w:fill="FFFFFF"/>
          <w:lang w:val="es-MX"/>
        </w:rPr>
        <w:t xml:space="preserve"> párr. 207</w:t>
      </w:r>
      <w:r w:rsidRPr="001F0A42">
        <w:rPr>
          <w:rFonts w:ascii="Verdana" w:hAnsi="Verdana"/>
          <w:spacing w:val="-12"/>
          <w:sz w:val="16"/>
          <w:szCs w:val="16"/>
          <w:lang w:val="es-MX"/>
        </w:rPr>
        <w:t xml:space="preserve">. </w:t>
      </w:r>
    </w:p>
  </w:footnote>
  <w:footnote w:id="217">
    <w:p w14:paraId="441AE522" w14:textId="10C0B6FC"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r>
      <w:r w:rsidRPr="001F0A42">
        <w:rPr>
          <w:rFonts w:ascii="Verdana" w:hAnsi="Verdana"/>
          <w:i/>
          <w:spacing w:val="-12"/>
          <w:sz w:val="16"/>
          <w:szCs w:val="16"/>
          <w:lang w:val="es-MX"/>
        </w:rPr>
        <w:t xml:space="preserve">Cfr. </w:t>
      </w:r>
      <w:r w:rsidRPr="001F0A42">
        <w:rPr>
          <w:rFonts w:ascii="Verdana" w:hAnsi="Verdana"/>
          <w:bCs/>
          <w:i/>
          <w:spacing w:val="-12"/>
          <w:sz w:val="16"/>
          <w:szCs w:val="16"/>
          <w:lang w:val="es-MX"/>
        </w:rPr>
        <w:t>Caso de los “Niños de la Calle” (Villagrán Morales y otros) Vs. Guatemala, supra</w:t>
      </w:r>
      <w:r w:rsidRPr="001F0A42">
        <w:rPr>
          <w:rFonts w:ascii="Verdana" w:hAnsi="Verdana"/>
          <w:bCs/>
          <w:spacing w:val="-12"/>
          <w:sz w:val="16"/>
          <w:szCs w:val="16"/>
          <w:lang w:val="es-MX"/>
        </w:rPr>
        <w:t xml:space="preserve">, </w:t>
      </w:r>
      <w:r w:rsidRPr="001F0A42">
        <w:rPr>
          <w:rFonts w:ascii="Verdana" w:hAnsi="Verdana"/>
          <w:spacing w:val="-12"/>
          <w:sz w:val="16"/>
          <w:szCs w:val="16"/>
          <w:lang w:val="es-MX"/>
        </w:rPr>
        <w:t xml:space="preserve">párr. 84, y </w:t>
      </w:r>
      <w:r>
        <w:rPr>
          <w:rFonts w:ascii="Verdana" w:hAnsi="Verdana"/>
          <w:i/>
          <w:spacing w:val="-12"/>
          <w:sz w:val="16"/>
          <w:szCs w:val="16"/>
          <w:lang w:val="es-MX"/>
        </w:rPr>
        <w:t xml:space="preserve">Caso Andrade Salmón Vs. Bolivia, </w:t>
      </w:r>
      <w:r w:rsidRPr="008C7533">
        <w:rPr>
          <w:rFonts w:ascii="Verdana" w:hAnsi="Verdana"/>
          <w:i/>
          <w:spacing w:val="-12"/>
          <w:sz w:val="16"/>
          <w:szCs w:val="16"/>
          <w:lang w:val="es-MX"/>
        </w:rPr>
        <w:t>supra</w:t>
      </w:r>
      <w:r>
        <w:rPr>
          <w:rFonts w:ascii="Verdana" w:hAnsi="Verdana"/>
          <w:iCs/>
          <w:spacing w:val="-12"/>
          <w:sz w:val="16"/>
          <w:szCs w:val="16"/>
          <w:lang w:val="es-MX"/>
        </w:rPr>
        <w:t>, párr. 207.</w:t>
      </w:r>
    </w:p>
  </w:footnote>
  <w:footnote w:id="218">
    <w:p w14:paraId="6C377AE4" w14:textId="5DE7EAC5" w:rsidR="00D93B58" w:rsidRPr="001F0A42" w:rsidRDefault="00D93B58" w:rsidP="00C10D2F">
      <w:pPr>
        <w:pStyle w:val="Textonotapie"/>
        <w:spacing w:before="120" w:after="120"/>
        <w:jc w:val="both"/>
        <w:rPr>
          <w:rFonts w:ascii="Verdana" w:hAnsi="Verdana"/>
          <w:bCs/>
          <w:color w:val="000000"/>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lang w:val="es-MX"/>
        </w:rPr>
        <w:tab/>
        <w:t>Señalaron que CALPI se ha ocupado de la divulgación y la asistencia técnico-jurídica del proceso desde su inicio 2002-2006 a nivel nacional, incurriendo en gastos que incluyen comunicaciones, fotocopias, papelería y envío de documentos.  CEJUDHCAN, recién ocurridos los hechos</w:t>
      </w:r>
      <w:r>
        <w:rPr>
          <w:rFonts w:ascii="Verdana" w:hAnsi="Verdana"/>
          <w:spacing w:val="-12"/>
          <w:sz w:val="16"/>
          <w:szCs w:val="16"/>
          <w:lang w:val="es-MX"/>
        </w:rPr>
        <w:t>,</w:t>
      </w:r>
      <w:r w:rsidRPr="001F0A42">
        <w:rPr>
          <w:rFonts w:ascii="Verdana" w:hAnsi="Verdana"/>
          <w:spacing w:val="-12"/>
          <w:sz w:val="16"/>
          <w:szCs w:val="16"/>
          <w:lang w:val="es-MX"/>
        </w:rPr>
        <w:t xml:space="preserve"> envió un abogado penalista desde Bilwi, Puerto Cabezas, a Bluefields, para que</w:t>
      </w:r>
      <w:r>
        <w:rPr>
          <w:rFonts w:ascii="Verdana" w:hAnsi="Verdana"/>
          <w:spacing w:val="-12"/>
          <w:sz w:val="16"/>
          <w:szCs w:val="16"/>
          <w:lang w:val="es-MX"/>
        </w:rPr>
        <w:t xml:space="preserve"> orientara y acompañara a la señora </w:t>
      </w:r>
      <w:r w:rsidRPr="001F0A42">
        <w:rPr>
          <w:rFonts w:ascii="Verdana" w:hAnsi="Verdana"/>
          <w:spacing w:val="-12"/>
          <w:sz w:val="16"/>
          <w:szCs w:val="16"/>
          <w:lang w:val="es-MX"/>
        </w:rPr>
        <w:t xml:space="preserve">Acosta en las primeras gestiones en el caso, incurriendo en gastos de pasaje de avión, alojamiento, alimentación y honorarios del abogado. CENIDH jugó un papel fundamental en los primeros momentos del caso, cuando ella era perseguida por el </w:t>
      </w:r>
      <w:r>
        <w:rPr>
          <w:rFonts w:ascii="Verdana" w:hAnsi="Verdana"/>
          <w:spacing w:val="-12"/>
          <w:sz w:val="16"/>
          <w:szCs w:val="16"/>
          <w:lang w:val="es-MX"/>
        </w:rPr>
        <w:t>j</w:t>
      </w:r>
      <w:r w:rsidRPr="001F0A42">
        <w:rPr>
          <w:rFonts w:ascii="Verdana" w:hAnsi="Verdana"/>
          <w:spacing w:val="-12"/>
          <w:sz w:val="16"/>
          <w:szCs w:val="16"/>
          <w:lang w:val="es-MX"/>
        </w:rPr>
        <w:t xml:space="preserve">uez, </w:t>
      </w:r>
      <w:r>
        <w:rPr>
          <w:rFonts w:ascii="Verdana" w:hAnsi="Verdana"/>
          <w:spacing w:val="-12"/>
          <w:sz w:val="16"/>
          <w:szCs w:val="16"/>
          <w:lang w:val="es-MX"/>
        </w:rPr>
        <w:t>PMF</w:t>
      </w:r>
      <w:r w:rsidRPr="001F0A42">
        <w:rPr>
          <w:rFonts w:ascii="Verdana" w:hAnsi="Verdana"/>
          <w:spacing w:val="-12"/>
          <w:sz w:val="16"/>
          <w:szCs w:val="16"/>
          <w:lang w:val="es-MX"/>
        </w:rPr>
        <w:t xml:space="preserve"> y</w:t>
      </w:r>
      <w:r>
        <w:rPr>
          <w:rFonts w:ascii="Verdana" w:hAnsi="Verdana"/>
          <w:spacing w:val="-12"/>
          <w:sz w:val="16"/>
          <w:szCs w:val="16"/>
          <w:lang w:val="es-MX"/>
        </w:rPr>
        <w:t xml:space="preserve"> PT</w:t>
      </w:r>
      <w:r w:rsidRPr="001F0A42">
        <w:rPr>
          <w:rFonts w:ascii="Verdana" w:hAnsi="Verdana"/>
          <w:spacing w:val="-12"/>
          <w:sz w:val="16"/>
          <w:szCs w:val="16"/>
          <w:lang w:val="es-MX"/>
        </w:rPr>
        <w:t>, su vida corría peligro y la difamaban en los medios de comunicación; la apoyó promoviendo acciones urgentes con ONG internacionales de derechos humanos</w:t>
      </w:r>
      <w:r>
        <w:rPr>
          <w:rFonts w:ascii="Verdana" w:hAnsi="Verdana"/>
          <w:spacing w:val="-12"/>
          <w:sz w:val="16"/>
          <w:szCs w:val="16"/>
          <w:lang w:val="es-MX"/>
        </w:rPr>
        <w:t>,</w:t>
      </w:r>
      <w:r w:rsidRPr="001F0A42">
        <w:rPr>
          <w:rFonts w:ascii="Verdana" w:hAnsi="Verdana"/>
          <w:spacing w:val="-12"/>
          <w:sz w:val="16"/>
          <w:szCs w:val="16"/>
          <w:lang w:val="es-MX"/>
        </w:rPr>
        <w:t xml:space="preserve"> como Amnistía Internacional que promovió una campaña de cartas de apoyo dirigidas al Presidente de Nicaragua, entre otros; consiguió custodia policial para </w:t>
      </w:r>
      <w:r>
        <w:rPr>
          <w:rFonts w:ascii="Verdana" w:hAnsi="Verdana"/>
          <w:spacing w:val="-12"/>
          <w:sz w:val="16"/>
          <w:szCs w:val="16"/>
          <w:lang w:val="es-MX"/>
        </w:rPr>
        <w:t xml:space="preserve">ella </w:t>
      </w:r>
      <w:r w:rsidRPr="001F0A42">
        <w:rPr>
          <w:rFonts w:ascii="Verdana" w:hAnsi="Verdana"/>
          <w:spacing w:val="-12"/>
          <w:sz w:val="16"/>
          <w:szCs w:val="16"/>
          <w:lang w:val="es-MX"/>
        </w:rPr>
        <w:t>y que tuviera comunicación abierta con la Policial Nacional en Managua; realizó varias conferencias de prensa permitiendo que Acosta presentara su versión de los hechos;</w:t>
      </w:r>
      <w:r>
        <w:rPr>
          <w:rFonts w:ascii="Verdana" w:hAnsi="Verdana"/>
          <w:spacing w:val="-12"/>
          <w:sz w:val="16"/>
          <w:szCs w:val="16"/>
          <w:lang w:val="es-MX"/>
        </w:rPr>
        <w:t xml:space="preserve"> la</w:t>
      </w:r>
      <w:r w:rsidRPr="001F0A42">
        <w:rPr>
          <w:rFonts w:ascii="Verdana" w:hAnsi="Verdana"/>
          <w:spacing w:val="-12"/>
          <w:sz w:val="16"/>
          <w:szCs w:val="16"/>
          <w:lang w:val="es-MX"/>
        </w:rPr>
        <w:t xml:space="preserve"> apoyó a Acosta para asistir a </w:t>
      </w:r>
      <w:r>
        <w:rPr>
          <w:rFonts w:ascii="Verdana" w:hAnsi="Verdana"/>
          <w:spacing w:val="-12"/>
          <w:sz w:val="16"/>
          <w:szCs w:val="16"/>
          <w:lang w:val="es-MX"/>
        </w:rPr>
        <w:t xml:space="preserve">una </w:t>
      </w:r>
      <w:r w:rsidRPr="001F0A42">
        <w:rPr>
          <w:rFonts w:ascii="Verdana" w:hAnsi="Verdana"/>
          <w:spacing w:val="-12"/>
          <w:sz w:val="16"/>
          <w:szCs w:val="16"/>
          <w:lang w:val="es-MX"/>
        </w:rPr>
        <w:t>conferencia de defensores de derechos humanos perseguidos realiza</w:t>
      </w:r>
      <w:r>
        <w:rPr>
          <w:rFonts w:ascii="Verdana" w:hAnsi="Verdana"/>
          <w:spacing w:val="-12"/>
          <w:sz w:val="16"/>
          <w:szCs w:val="16"/>
          <w:lang w:val="es-MX"/>
        </w:rPr>
        <w:t>da por</w:t>
      </w:r>
      <w:r w:rsidRPr="001F0A42">
        <w:rPr>
          <w:rFonts w:ascii="Verdana" w:hAnsi="Verdana"/>
          <w:spacing w:val="-12"/>
          <w:sz w:val="16"/>
          <w:szCs w:val="16"/>
          <w:lang w:val="es-MX"/>
        </w:rPr>
        <w:t xml:space="preserve"> “Front Line Defenders” en Dublín, Irlanda en 2003; asesoró jurídicamente y proveyó fondos par</w:t>
      </w:r>
      <w:r>
        <w:rPr>
          <w:rFonts w:ascii="Verdana" w:hAnsi="Verdana"/>
          <w:spacing w:val="-12"/>
          <w:sz w:val="16"/>
          <w:szCs w:val="16"/>
          <w:lang w:val="es-MX"/>
        </w:rPr>
        <w:t>a que ella participara en la a</w:t>
      </w:r>
      <w:r w:rsidRPr="001F0A42">
        <w:rPr>
          <w:rFonts w:ascii="Verdana" w:hAnsi="Verdana"/>
          <w:spacing w:val="-12"/>
          <w:sz w:val="16"/>
          <w:szCs w:val="16"/>
          <w:lang w:val="es-MX"/>
        </w:rPr>
        <w:t xml:space="preserve">udiencia de </w:t>
      </w:r>
      <w:r>
        <w:rPr>
          <w:rFonts w:ascii="Verdana" w:hAnsi="Verdana"/>
          <w:spacing w:val="-12"/>
          <w:sz w:val="16"/>
          <w:szCs w:val="16"/>
          <w:lang w:val="es-MX"/>
        </w:rPr>
        <w:t>f</w:t>
      </w:r>
      <w:r w:rsidRPr="001F0A42">
        <w:rPr>
          <w:rFonts w:ascii="Verdana" w:hAnsi="Verdana"/>
          <w:spacing w:val="-12"/>
          <w:sz w:val="16"/>
          <w:szCs w:val="16"/>
          <w:lang w:val="es-MX"/>
        </w:rPr>
        <w:t xml:space="preserve">ondo del caso ante la Comisión en noviembre de 2013, en la </w:t>
      </w:r>
      <w:r>
        <w:rPr>
          <w:rFonts w:ascii="Verdana" w:hAnsi="Verdana"/>
          <w:spacing w:val="-12"/>
          <w:sz w:val="16"/>
          <w:szCs w:val="16"/>
          <w:lang w:val="es-MX"/>
        </w:rPr>
        <w:t>cual fue acompañada por</w:t>
      </w:r>
      <w:r w:rsidRPr="001F0A42">
        <w:rPr>
          <w:rFonts w:ascii="Verdana" w:hAnsi="Verdana"/>
          <w:spacing w:val="-12"/>
          <w:sz w:val="16"/>
          <w:szCs w:val="16"/>
          <w:lang w:val="es-MX"/>
        </w:rPr>
        <w:t xml:space="preserve"> la Presidenta y del Director Ejecutivo</w:t>
      </w:r>
      <w:r>
        <w:rPr>
          <w:rFonts w:ascii="Verdana" w:hAnsi="Verdana"/>
          <w:spacing w:val="-12"/>
          <w:sz w:val="16"/>
          <w:szCs w:val="16"/>
          <w:lang w:val="es-MX"/>
        </w:rPr>
        <w:t>.</w:t>
      </w:r>
    </w:p>
  </w:footnote>
  <w:footnote w:id="219">
    <w:p w14:paraId="37A19FAC" w14:textId="6907990C" w:rsidR="00D93B58" w:rsidRPr="001F0A42" w:rsidRDefault="00D93B58" w:rsidP="00C10D2F">
      <w:pPr>
        <w:pStyle w:val="Textonotapie"/>
        <w:spacing w:before="120" w:after="120"/>
        <w:jc w:val="both"/>
        <w:rPr>
          <w:rFonts w:ascii="Verdana" w:hAnsi="Verdana"/>
          <w:spacing w:val="-12"/>
          <w:sz w:val="16"/>
          <w:szCs w:val="16"/>
          <w:lang w:val="es-MX"/>
        </w:rPr>
      </w:pPr>
      <w:r w:rsidRPr="001F0A42">
        <w:rPr>
          <w:rStyle w:val="Refdenotaalpie"/>
          <w:rFonts w:ascii="Verdana" w:hAnsi="Verdana"/>
          <w:spacing w:val="-12"/>
          <w:sz w:val="16"/>
          <w:szCs w:val="16"/>
          <w:lang w:val="es-MX"/>
        </w:rPr>
        <w:footnoteRef/>
      </w:r>
      <w:r w:rsidRPr="001F0A42">
        <w:rPr>
          <w:rFonts w:ascii="Verdana" w:hAnsi="Verdana"/>
          <w:spacing w:val="-12"/>
          <w:sz w:val="16"/>
          <w:szCs w:val="16"/>
          <w:lang w:val="es-MX"/>
        </w:rPr>
        <w:t xml:space="preserve"> </w:t>
      </w:r>
      <w:r w:rsidRPr="001F0A42">
        <w:rPr>
          <w:rFonts w:ascii="Verdana" w:hAnsi="Verdana"/>
          <w:spacing w:val="-12"/>
          <w:sz w:val="16"/>
          <w:szCs w:val="16"/>
          <w:lang w:val="es-MX"/>
        </w:rPr>
        <w:tab/>
        <w:t xml:space="preserve">Además, la Corte ha establecido que las pretensiones de las víctimas o sus representantes en materia de costas y gastos, y las pruebas que las sustentan, deben presentarse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 </w:t>
      </w:r>
      <w:r w:rsidRPr="001F0A42">
        <w:rPr>
          <w:rFonts w:ascii="Verdana" w:eastAsia="Verdana" w:hAnsi="Verdana" w:cs="Verdana"/>
          <w:i/>
          <w:spacing w:val="-12"/>
          <w:sz w:val="16"/>
          <w:szCs w:val="16"/>
          <w:lang w:val="es-MX"/>
        </w:rPr>
        <w:t>Caso Garrido y Baigorria Vs. Argentina. Reparaciones y Costas</w:t>
      </w:r>
      <w:r w:rsidRPr="001F0A42">
        <w:rPr>
          <w:rFonts w:ascii="Verdana" w:eastAsia="Verdana" w:hAnsi="Verdana" w:cs="Verdana"/>
          <w:spacing w:val="-12"/>
          <w:sz w:val="16"/>
          <w:szCs w:val="16"/>
          <w:lang w:val="es-MX"/>
        </w:rPr>
        <w:t xml:space="preserve">, </w:t>
      </w:r>
      <w:r w:rsidRPr="001F0A42">
        <w:rPr>
          <w:rFonts w:ascii="Verdana" w:eastAsia="Verdana" w:hAnsi="Verdana" w:cs="Verdana"/>
          <w:bCs/>
          <w:spacing w:val="-12"/>
          <w:sz w:val="16"/>
          <w:szCs w:val="16"/>
          <w:lang w:val="es-MX"/>
        </w:rPr>
        <w:t>Sentencia de 27 de agosto de 1998. Serie C No. 39.</w:t>
      </w:r>
      <w:r w:rsidRPr="001F0A42">
        <w:rPr>
          <w:rFonts w:ascii="Verdana" w:eastAsia="Verdana" w:hAnsi="Verdana" w:cs="Verdana"/>
          <w:spacing w:val="-12"/>
          <w:sz w:val="16"/>
          <w:szCs w:val="16"/>
          <w:lang w:val="es-MX"/>
        </w:rPr>
        <w:t xml:space="preserve"> párr. 79, y </w:t>
      </w:r>
      <w:r>
        <w:rPr>
          <w:rFonts w:ascii="Verdana" w:hAnsi="Verdana"/>
          <w:i/>
          <w:spacing w:val="-12"/>
          <w:sz w:val="16"/>
          <w:szCs w:val="16"/>
          <w:lang w:val="es-MX"/>
        </w:rPr>
        <w:t xml:space="preserve">Caso Andrade Salmón Vs. Bolivia, </w:t>
      </w:r>
      <w:r w:rsidRPr="008C7533">
        <w:rPr>
          <w:rFonts w:ascii="Verdana" w:hAnsi="Verdana"/>
          <w:i/>
          <w:spacing w:val="-12"/>
          <w:sz w:val="16"/>
          <w:szCs w:val="16"/>
          <w:lang w:val="es-MX"/>
        </w:rPr>
        <w:t>supra</w:t>
      </w:r>
      <w:r>
        <w:rPr>
          <w:rFonts w:ascii="Verdana" w:hAnsi="Verdana"/>
          <w:iCs/>
          <w:spacing w:val="-12"/>
          <w:sz w:val="16"/>
          <w:szCs w:val="16"/>
          <w:lang w:val="es-MX"/>
        </w:rPr>
        <w:t xml:space="preserve"> párrs. 210 y 211.</w:t>
      </w:r>
    </w:p>
  </w:footnote>
  <w:footnote w:id="220">
    <w:p w14:paraId="26B9FD1B" w14:textId="3A379129" w:rsidR="00D93B58" w:rsidRPr="001F0A42" w:rsidRDefault="00D93B58" w:rsidP="00C10D2F">
      <w:pPr>
        <w:autoSpaceDE w:val="0"/>
        <w:autoSpaceDN w:val="0"/>
        <w:adjustRightInd w:val="0"/>
        <w:spacing w:after="0" w:line="240" w:lineRule="auto"/>
        <w:jc w:val="both"/>
        <w:rPr>
          <w:rFonts w:ascii="Verdana" w:hAnsi="Verdana"/>
          <w:spacing w:val="-12"/>
          <w:sz w:val="16"/>
          <w:szCs w:val="16"/>
          <w:lang w:val="es-MX"/>
        </w:rPr>
      </w:pPr>
      <w:r w:rsidRPr="001F0A42">
        <w:rPr>
          <w:rStyle w:val="Refdenotaalpie"/>
          <w:rFonts w:ascii="Verdana" w:hAnsi="Verdana"/>
          <w:spacing w:val="-12"/>
          <w:sz w:val="16"/>
          <w:szCs w:val="16"/>
        </w:rPr>
        <w:footnoteRef/>
      </w:r>
      <w:r w:rsidRPr="001F0A42">
        <w:rPr>
          <w:rFonts w:ascii="Verdana" w:hAnsi="Verdana"/>
          <w:spacing w:val="-12"/>
          <w:sz w:val="16"/>
          <w:szCs w:val="16"/>
        </w:rPr>
        <w:t xml:space="preserve"> </w:t>
      </w:r>
      <w:r w:rsidRPr="001F0A42">
        <w:rPr>
          <w:rFonts w:ascii="Verdana" w:hAnsi="Verdana"/>
          <w:spacing w:val="-12"/>
          <w:sz w:val="16"/>
          <w:szCs w:val="16"/>
          <w:lang w:val="es-ES_tradnl"/>
        </w:rPr>
        <w:tab/>
      </w:r>
      <w:r>
        <w:rPr>
          <w:rFonts w:ascii="Verdana" w:hAnsi="Verdana"/>
          <w:spacing w:val="-12"/>
          <w:sz w:val="16"/>
          <w:szCs w:val="16"/>
          <w:lang w:val="es-MX"/>
        </w:rPr>
        <w:t xml:space="preserve">El Estado alegó que, si bien el informe de gastos está suscrito por el Secretario de la Corte, en el detalle específico no tiene sello, firma o respaldo de la contabilidad de la Corte; que </w:t>
      </w:r>
      <w:r w:rsidRPr="006C07AA">
        <w:rPr>
          <w:rFonts w:ascii="Verdana" w:hAnsi="Verdana"/>
          <w:spacing w:val="-12"/>
          <w:sz w:val="16"/>
          <w:szCs w:val="16"/>
          <w:lang w:val="es-MX"/>
        </w:rPr>
        <w:t>si bien la Corte</w:t>
      </w:r>
      <w:r>
        <w:rPr>
          <w:rFonts w:ascii="Verdana" w:hAnsi="Verdana"/>
          <w:spacing w:val="-12"/>
          <w:sz w:val="16"/>
          <w:szCs w:val="16"/>
          <w:lang w:val="es-MX"/>
        </w:rPr>
        <w:t xml:space="preserve"> </w:t>
      </w:r>
      <w:r w:rsidRPr="006C07AA">
        <w:rPr>
          <w:rFonts w:ascii="Verdana" w:hAnsi="Verdana"/>
          <w:spacing w:val="-12"/>
          <w:sz w:val="16"/>
          <w:szCs w:val="16"/>
          <w:lang w:val="es-MX"/>
        </w:rPr>
        <w:t>adjunta la tabla de cálculos "per diem" aplicables a</w:t>
      </w:r>
      <w:r>
        <w:rPr>
          <w:rFonts w:ascii="Verdana" w:hAnsi="Verdana"/>
          <w:spacing w:val="-12"/>
          <w:sz w:val="16"/>
          <w:szCs w:val="16"/>
          <w:lang w:val="es-MX"/>
        </w:rPr>
        <w:t xml:space="preserve"> </w:t>
      </w:r>
      <w:r w:rsidRPr="006C07AA">
        <w:rPr>
          <w:rFonts w:ascii="Verdana" w:hAnsi="Verdana"/>
          <w:spacing w:val="-12"/>
          <w:sz w:val="16"/>
          <w:szCs w:val="16"/>
          <w:lang w:val="es-MX"/>
        </w:rPr>
        <w:t>la ciudad de Quito, Ecuador y la de gastos</w:t>
      </w:r>
      <w:r>
        <w:rPr>
          <w:rFonts w:ascii="Verdana" w:hAnsi="Verdana"/>
          <w:spacing w:val="-12"/>
          <w:sz w:val="16"/>
          <w:szCs w:val="16"/>
          <w:lang w:val="es-MX"/>
        </w:rPr>
        <w:t xml:space="preserve"> </w:t>
      </w:r>
      <w:r w:rsidRPr="006C07AA">
        <w:rPr>
          <w:rFonts w:ascii="Verdana" w:hAnsi="Verdana"/>
          <w:spacing w:val="-12"/>
          <w:sz w:val="16"/>
          <w:szCs w:val="16"/>
          <w:lang w:val="es-MX"/>
        </w:rPr>
        <w:t>terminales, no existe ninguna rendici</w:t>
      </w:r>
      <w:r>
        <w:rPr>
          <w:rFonts w:ascii="Verdana" w:hAnsi="Verdana"/>
          <w:spacing w:val="-12"/>
          <w:sz w:val="16"/>
          <w:szCs w:val="16"/>
          <w:lang w:val="es-MX"/>
        </w:rPr>
        <w:t>ó</w:t>
      </w:r>
      <w:r w:rsidRPr="006C07AA">
        <w:rPr>
          <w:rFonts w:ascii="Verdana" w:hAnsi="Verdana"/>
          <w:spacing w:val="-12"/>
          <w:sz w:val="16"/>
          <w:szCs w:val="16"/>
          <w:lang w:val="es-MX"/>
        </w:rPr>
        <w:t>n de cuentas</w:t>
      </w:r>
      <w:r>
        <w:rPr>
          <w:rFonts w:ascii="Verdana" w:hAnsi="Verdana"/>
          <w:spacing w:val="-12"/>
          <w:sz w:val="16"/>
          <w:szCs w:val="16"/>
          <w:lang w:val="es-MX"/>
        </w:rPr>
        <w:t xml:space="preserve"> </w:t>
      </w:r>
      <w:r w:rsidRPr="006C07AA">
        <w:rPr>
          <w:rFonts w:ascii="Verdana" w:hAnsi="Verdana"/>
          <w:spacing w:val="-12"/>
          <w:sz w:val="16"/>
          <w:szCs w:val="16"/>
          <w:lang w:val="es-MX"/>
        </w:rPr>
        <w:t>de parte de la se</w:t>
      </w:r>
      <w:r>
        <w:rPr>
          <w:rFonts w:ascii="Verdana" w:hAnsi="Verdana"/>
          <w:spacing w:val="-12"/>
          <w:sz w:val="16"/>
          <w:szCs w:val="16"/>
          <w:lang w:val="es-MX"/>
        </w:rPr>
        <w:t>ñ</w:t>
      </w:r>
      <w:r w:rsidRPr="006C07AA">
        <w:rPr>
          <w:rFonts w:ascii="Verdana" w:hAnsi="Verdana"/>
          <w:spacing w:val="-12"/>
          <w:sz w:val="16"/>
          <w:szCs w:val="16"/>
          <w:lang w:val="es-MX"/>
        </w:rPr>
        <w:t>ora Acosta, ni tampoco</w:t>
      </w:r>
      <w:r>
        <w:rPr>
          <w:rFonts w:ascii="Verdana" w:hAnsi="Verdana"/>
          <w:spacing w:val="-12"/>
          <w:sz w:val="16"/>
          <w:szCs w:val="16"/>
          <w:lang w:val="es-MX"/>
        </w:rPr>
        <w:t xml:space="preserve"> </w:t>
      </w:r>
      <w:r w:rsidRPr="006C07AA">
        <w:rPr>
          <w:rFonts w:ascii="Verdana" w:hAnsi="Verdana"/>
          <w:spacing w:val="-12"/>
          <w:sz w:val="16"/>
          <w:szCs w:val="16"/>
          <w:lang w:val="es-MX"/>
        </w:rPr>
        <w:t xml:space="preserve">de la </w:t>
      </w:r>
      <w:r>
        <w:rPr>
          <w:rFonts w:ascii="Verdana" w:hAnsi="Verdana"/>
          <w:spacing w:val="-12"/>
          <w:sz w:val="16"/>
          <w:szCs w:val="16"/>
          <w:lang w:val="es-MX"/>
        </w:rPr>
        <w:t xml:space="preserve">perita Claudia Samayoa, la cual es </w:t>
      </w:r>
      <w:r w:rsidRPr="006C07AA">
        <w:rPr>
          <w:rFonts w:ascii="Verdana" w:hAnsi="Verdana"/>
          <w:spacing w:val="-12"/>
          <w:sz w:val="16"/>
          <w:szCs w:val="16"/>
          <w:lang w:val="es-MX"/>
        </w:rPr>
        <w:t>necesaria</w:t>
      </w:r>
      <w:r>
        <w:rPr>
          <w:rFonts w:ascii="Verdana" w:hAnsi="Verdana"/>
          <w:spacing w:val="-12"/>
          <w:sz w:val="16"/>
          <w:szCs w:val="16"/>
          <w:lang w:val="es-MX"/>
        </w:rPr>
        <w:t xml:space="preserve"> </w:t>
      </w:r>
      <w:r w:rsidRPr="006C07AA">
        <w:rPr>
          <w:rFonts w:ascii="Verdana" w:hAnsi="Verdana"/>
          <w:spacing w:val="-12"/>
          <w:sz w:val="16"/>
          <w:szCs w:val="16"/>
          <w:lang w:val="es-MX"/>
        </w:rPr>
        <w:t>desde el punto de vista contable para justificar el</w:t>
      </w:r>
      <w:r>
        <w:rPr>
          <w:rFonts w:ascii="Verdana" w:hAnsi="Verdana"/>
          <w:spacing w:val="-12"/>
          <w:sz w:val="16"/>
          <w:szCs w:val="16"/>
          <w:lang w:val="es-MX"/>
        </w:rPr>
        <w:t xml:space="preserve"> </w:t>
      </w:r>
      <w:r w:rsidRPr="006C07AA">
        <w:rPr>
          <w:rFonts w:ascii="Verdana" w:hAnsi="Verdana"/>
          <w:spacing w:val="-12"/>
          <w:sz w:val="16"/>
          <w:szCs w:val="16"/>
          <w:lang w:val="es-MX"/>
        </w:rPr>
        <w:t>uso de los fondos útil izados para este tipo de</w:t>
      </w:r>
      <w:r>
        <w:rPr>
          <w:rFonts w:ascii="Verdana" w:hAnsi="Verdana"/>
          <w:spacing w:val="-12"/>
          <w:sz w:val="16"/>
          <w:szCs w:val="16"/>
          <w:lang w:val="es-MX"/>
        </w:rPr>
        <w:t xml:space="preserve"> </w:t>
      </w:r>
      <w:r w:rsidRPr="006C07AA">
        <w:rPr>
          <w:rFonts w:ascii="Verdana" w:hAnsi="Verdana"/>
          <w:spacing w:val="-12"/>
          <w:sz w:val="16"/>
          <w:szCs w:val="16"/>
          <w:lang w:val="es-MX"/>
        </w:rPr>
        <w:t>actividades</w:t>
      </w:r>
      <w:r>
        <w:rPr>
          <w:rFonts w:ascii="Verdana" w:hAnsi="Verdana"/>
          <w:spacing w:val="-12"/>
          <w:sz w:val="16"/>
          <w:szCs w:val="16"/>
          <w:lang w:val="es-MX"/>
        </w:rPr>
        <w:t xml:space="preserve">; que no se </w:t>
      </w:r>
      <w:r w:rsidRPr="005443F3">
        <w:rPr>
          <w:rFonts w:ascii="Verdana" w:hAnsi="Verdana"/>
          <w:spacing w:val="-12"/>
          <w:sz w:val="16"/>
          <w:szCs w:val="16"/>
          <w:lang w:val="es-MX"/>
        </w:rPr>
        <w:t>observa el soporte respectivo del uso de esos fondos, por ejemplo factura del hotel, y comprobantes del resto de gastos</w:t>
      </w:r>
      <w:r>
        <w:rPr>
          <w:rFonts w:ascii="Verdana" w:hAnsi="Verdana"/>
          <w:spacing w:val="-12"/>
          <w:sz w:val="16"/>
          <w:szCs w:val="16"/>
          <w:lang w:val="es-MX"/>
        </w:rPr>
        <w:t xml:space="preserve">; y que el </w:t>
      </w:r>
      <w:r w:rsidRPr="005443F3">
        <w:rPr>
          <w:rFonts w:ascii="Verdana" w:hAnsi="Verdana"/>
          <w:spacing w:val="-12"/>
          <w:sz w:val="16"/>
          <w:szCs w:val="16"/>
          <w:lang w:val="es-MX"/>
        </w:rPr>
        <w:t>detalle de gastos no está firmado</w:t>
      </w:r>
      <w:r>
        <w:rPr>
          <w:rFonts w:ascii="Verdana" w:hAnsi="Verdana"/>
          <w:spacing w:val="-12"/>
          <w:sz w:val="16"/>
          <w:szCs w:val="16"/>
          <w:lang w:val="es-MX"/>
        </w:rPr>
        <w:t xml:space="preserve"> ni</w:t>
      </w:r>
      <w:r w:rsidRPr="005443F3">
        <w:rPr>
          <w:rFonts w:ascii="Verdana" w:hAnsi="Verdana"/>
          <w:spacing w:val="-12"/>
          <w:sz w:val="16"/>
          <w:szCs w:val="16"/>
          <w:lang w:val="es-MX"/>
        </w:rPr>
        <w:t xml:space="preserve"> tiene visto</w:t>
      </w:r>
      <w:r>
        <w:rPr>
          <w:rFonts w:ascii="Verdana" w:hAnsi="Verdana"/>
          <w:spacing w:val="-12"/>
          <w:sz w:val="16"/>
          <w:szCs w:val="16"/>
          <w:lang w:val="es-MX"/>
        </w:rPr>
        <w:t xml:space="preserve"> </w:t>
      </w:r>
      <w:r w:rsidRPr="005443F3">
        <w:rPr>
          <w:rFonts w:ascii="Verdana" w:hAnsi="Verdana"/>
          <w:spacing w:val="-12"/>
          <w:sz w:val="16"/>
          <w:szCs w:val="16"/>
          <w:lang w:val="es-MX"/>
        </w:rPr>
        <w:t>bueno de la contabilidad de la Corte IDH, ya que las</w:t>
      </w:r>
      <w:r>
        <w:rPr>
          <w:rFonts w:ascii="Verdana" w:hAnsi="Verdana"/>
          <w:spacing w:val="-12"/>
          <w:sz w:val="16"/>
          <w:szCs w:val="16"/>
          <w:lang w:val="es-MX"/>
        </w:rPr>
        <w:t xml:space="preserve"> </w:t>
      </w:r>
      <w:r w:rsidRPr="005443F3">
        <w:rPr>
          <w:rFonts w:ascii="Verdana" w:hAnsi="Verdana"/>
          <w:spacing w:val="-12"/>
          <w:sz w:val="16"/>
          <w:szCs w:val="16"/>
          <w:lang w:val="es-MX"/>
        </w:rPr>
        <w:t>normas contables exigen evidencias competentes y</w:t>
      </w:r>
      <w:r>
        <w:rPr>
          <w:rFonts w:ascii="Verdana" w:hAnsi="Verdana"/>
          <w:spacing w:val="-12"/>
          <w:sz w:val="16"/>
          <w:szCs w:val="16"/>
          <w:lang w:val="es-MX"/>
        </w:rPr>
        <w:t xml:space="preserve"> </w:t>
      </w:r>
      <w:r w:rsidRPr="005443F3">
        <w:rPr>
          <w:rFonts w:ascii="Verdana" w:hAnsi="Verdana"/>
          <w:spacing w:val="-12"/>
          <w:sz w:val="16"/>
          <w:szCs w:val="16"/>
          <w:lang w:val="es-MX"/>
        </w:rPr>
        <w:t>suficientes</w:t>
      </w:r>
      <w:r>
        <w:rPr>
          <w:rFonts w:ascii="Verdana" w:hAnsi="Verdana"/>
          <w:spacing w:val="-12"/>
          <w:sz w:val="16"/>
          <w:szCs w:val="16"/>
          <w:lang w:val="es-MX"/>
        </w:rPr>
        <w:t xml:space="preserve">. Por ello, señaló que </w:t>
      </w:r>
      <w:r w:rsidRPr="005443F3">
        <w:rPr>
          <w:rFonts w:ascii="Verdana" w:hAnsi="Verdana"/>
          <w:spacing w:val="-12"/>
          <w:sz w:val="16"/>
          <w:szCs w:val="16"/>
          <w:lang w:val="es-MX"/>
        </w:rPr>
        <w:t>ante la falta de soportes,</w:t>
      </w:r>
      <w:r>
        <w:rPr>
          <w:rFonts w:ascii="Verdana" w:hAnsi="Verdana"/>
          <w:spacing w:val="-12"/>
          <w:sz w:val="16"/>
          <w:szCs w:val="16"/>
          <w:lang w:val="es-MX"/>
        </w:rPr>
        <w:t xml:space="preserve"> </w:t>
      </w:r>
      <w:r w:rsidRPr="005443F3">
        <w:rPr>
          <w:rFonts w:ascii="Verdana" w:hAnsi="Verdana"/>
          <w:spacing w:val="-12"/>
          <w:sz w:val="16"/>
          <w:szCs w:val="16"/>
          <w:lang w:val="es-MX"/>
        </w:rPr>
        <w:t>facturas o recibos de la totalidad de los gastos</w:t>
      </w:r>
      <w:r>
        <w:rPr>
          <w:rFonts w:ascii="Verdana" w:hAnsi="Verdana"/>
          <w:spacing w:val="-12"/>
          <w:sz w:val="16"/>
          <w:szCs w:val="16"/>
          <w:lang w:val="es-MX"/>
        </w:rPr>
        <w:t xml:space="preserve"> </w:t>
      </w:r>
      <w:r w:rsidRPr="005443F3">
        <w:rPr>
          <w:rFonts w:ascii="Verdana" w:hAnsi="Verdana"/>
          <w:spacing w:val="-12"/>
          <w:sz w:val="16"/>
          <w:szCs w:val="16"/>
          <w:lang w:val="es-MX"/>
        </w:rPr>
        <w:t xml:space="preserve">efectuados por las </w:t>
      </w:r>
      <w:r>
        <w:rPr>
          <w:rFonts w:ascii="Verdana" w:hAnsi="Verdana"/>
          <w:spacing w:val="-12"/>
          <w:sz w:val="16"/>
          <w:szCs w:val="16"/>
          <w:lang w:val="es-MX"/>
        </w:rPr>
        <w:t>señ</w:t>
      </w:r>
      <w:r w:rsidRPr="005443F3">
        <w:rPr>
          <w:rFonts w:ascii="Verdana" w:hAnsi="Verdana"/>
          <w:spacing w:val="-12"/>
          <w:sz w:val="16"/>
          <w:szCs w:val="16"/>
          <w:lang w:val="es-MX"/>
        </w:rPr>
        <w:t>oras Acosta y</w:t>
      </w:r>
      <w:r>
        <w:rPr>
          <w:rFonts w:ascii="Verdana" w:hAnsi="Verdana"/>
          <w:spacing w:val="-12"/>
          <w:sz w:val="16"/>
          <w:szCs w:val="16"/>
          <w:lang w:val="es-MX"/>
        </w:rPr>
        <w:t xml:space="preserve"> </w:t>
      </w:r>
      <w:r w:rsidRPr="005443F3">
        <w:rPr>
          <w:rFonts w:ascii="Verdana" w:hAnsi="Verdana"/>
          <w:spacing w:val="-12"/>
          <w:sz w:val="16"/>
          <w:szCs w:val="16"/>
          <w:lang w:val="es-MX"/>
        </w:rPr>
        <w:t>Samayoa, el Estado no cuenta con respaldo</w:t>
      </w:r>
      <w:r>
        <w:rPr>
          <w:rFonts w:ascii="Verdana" w:hAnsi="Verdana"/>
          <w:spacing w:val="-12"/>
          <w:sz w:val="16"/>
          <w:szCs w:val="16"/>
          <w:lang w:val="es-MX"/>
        </w:rPr>
        <w:t xml:space="preserve"> </w:t>
      </w:r>
      <w:r w:rsidRPr="005443F3">
        <w:rPr>
          <w:rFonts w:ascii="Verdana" w:hAnsi="Verdana"/>
          <w:spacing w:val="-12"/>
          <w:sz w:val="16"/>
          <w:szCs w:val="16"/>
          <w:lang w:val="es-MX"/>
        </w:rPr>
        <w:t>probatorio para determinar el monto de los gastos</w:t>
      </w:r>
      <w:r>
        <w:rPr>
          <w:rFonts w:ascii="Verdana" w:hAnsi="Verdana"/>
          <w:spacing w:val="-12"/>
          <w:sz w:val="16"/>
          <w:szCs w:val="16"/>
          <w:lang w:val="es-MX"/>
        </w:rPr>
        <w:t xml:space="preserve"> </w:t>
      </w:r>
      <w:r w:rsidRPr="005443F3">
        <w:rPr>
          <w:rFonts w:ascii="Verdana" w:hAnsi="Verdana"/>
          <w:spacing w:val="-12"/>
          <w:sz w:val="16"/>
          <w:szCs w:val="16"/>
          <w:lang w:val="es-MX"/>
        </w:rPr>
        <w:t>realizados</w:t>
      </w:r>
      <w:r>
        <w:rPr>
          <w:rFonts w:ascii="Verdana" w:hAnsi="Verdana"/>
          <w:spacing w:val="-12"/>
          <w:sz w:val="16"/>
          <w:szCs w:val="16"/>
          <w:lang w:val="es-MX"/>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947"/>
    <w:multiLevelType w:val="multilevel"/>
    <w:tmpl w:val="407C5E30"/>
    <w:lvl w:ilvl="0">
      <w:start w:val="1"/>
      <w:numFmt w:val="upperLetter"/>
      <w:pStyle w:val="Ttulo2"/>
      <w:lvlText w:val="%1."/>
      <w:lvlJc w:val="left"/>
      <w:pPr>
        <w:ind w:left="1080" w:hanging="360"/>
      </w:pPr>
      <w:rPr>
        <w:rFonts w:hint="default"/>
        <w:b/>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3958CE"/>
    <w:multiLevelType w:val="hybridMultilevel"/>
    <w:tmpl w:val="C1E86906"/>
    <w:lvl w:ilvl="0" w:tplc="93162BF4">
      <w:start w:val="1"/>
      <w:numFmt w:val="upp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4B24899"/>
    <w:multiLevelType w:val="hybridMultilevel"/>
    <w:tmpl w:val="2B3CF3E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DF1A7A10">
      <w:start w:val="1"/>
      <w:numFmt w:val="upperLetter"/>
      <w:lvlText w:val="%7)"/>
      <w:lvlJc w:val="left"/>
      <w:pPr>
        <w:ind w:left="5400" w:hanging="360"/>
      </w:pPr>
      <w:rPr>
        <w:rFonts w:hint="default"/>
        <w:b/>
        <w:sz w:val="24"/>
      </w:rPr>
    </w:lvl>
    <w:lvl w:ilvl="7" w:tplc="664A869A">
      <w:start w:val="1"/>
      <w:numFmt w:val="lowerLetter"/>
      <w:lvlText w:val="%8)"/>
      <w:lvlJc w:val="left"/>
      <w:pPr>
        <w:ind w:left="6120" w:hanging="360"/>
      </w:pPr>
      <w:rPr>
        <w:rFonts w:cs="Times New Roman" w:hint="default"/>
        <w:color w:val="auto"/>
      </w:rPr>
    </w:lvl>
    <w:lvl w:ilvl="8" w:tplc="0409001B" w:tentative="1">
      <w:start w:val="1"/>
      <w:numFmt w:val="lowerRoman"/>
      <w:lvlText w:val="%9."/>
      <w:lvlJc w:val="right"/>
      <w:pPr>
        <w:ind w:left="6840" w:hanging="180"/>
      </w:pPr>
    </w:lvl>
  </w:abstractNum>
  <w:abstractNum w:abstractNumId="3">
    <w:nsid w:val="07515E9E"/>
    <w:multiLevelType w:val="hybridMultilevel"/>
    <w:tmpl w:val="FBFEF4EA"/>
    <w:lvl w:ilvl="0" w:tplc="4ACABA80">
      <w:start w:val="1"/>
      <w:numFmt w:val="decimal"/>
      <w:lvlText w:val="%1."/>
      <w:lvlJc w:val="left"/>
      <w:pPr>
        <w:ind w:left="720" w:hanging="360"/>
      </w:pPr>
      <w:rPr>
        <w:strike w:val="0"/>
        <w:dstrike w:val="0"/>
        <w:sz w:val="20"/>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514A60"/>
    <w:multiLevelType w:val="hybridMultilevel"/>
    <w:tmpl w:val="CF044B6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E153C3D"/>
    <w:multiLevelType w:val="hybridMultilevel"/>
    <w:tmpl w:val="1DEC6B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F4767F3"/>
    <w:multiLevelType w:val="hybridMultilevel"/>
    <w:tmpl w:val="C45809BC"/>
    <w:lvl w:ilvl="0" w:tplc="EE1A0456">
      <w:start w:val="1"/>
      <w:numFmt w:val="decimal"/>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1620" w:hanging="360"/>
      </w:pPr>
      <w:rPr>
        <w:rFonts w:ascii="Verdana" w:hAnsi="Verdana" w:cs="Times New Roman" w:hint="default"/>
        <w:b w:val="0"/>
        <w:i w:val="0"/>
        <w:caps w:val="0"/>
        <w:strike w:val="0"/>
        <w:dstrike w:val="0"/>
        <w:vanish w:val="0"/>
        <w:color w:val="auto"/>
        <w:sz w:val="20"/>
        <w:vertAlign w:val="baseline"/>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606ED164">
      <w:start w:val="1"/>
      <w:numFmt w:val="lowerLetter"/>
      <w:lvlText w:val="%5)"/>
      <w:lvlJc w:val="left"/>
      <w:pPr>
        <w:ind w:left="3600" w:hanging="360"/>
      </w:pPr>
      <w:rPr>
        <w:rFonts w:hint="default"/>
        <w:b w:val="0"/>
        <w:i w:val="0"/>
      </w:rPr>
    </w:lvl>
    <w:lvl w:ilvl="5" w:tplc="726C26BC">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61C1B16"/>
    <w:multiLevelType w:val="hybridMultilevel"/>
    <w:tmpl w:val="3E72FD72"/>
    <w:lvl w:ilvl="0" w:tplc="C37265B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2D2B67"/>
    <w:multiLevelType w:val="hybridMultilevel"/>
    <w:tmpl w:val="8F66A48C"/>
    <w:lvl w:ilvl="0" w:tplc="5F9A26CA">
      <w:start w:val="1"/>
      <w:numFmt w:val="bullet"/>
      <w:lvlText w:val="-"/>
      <w:lvlJc w:val="left"/>
      <w:pPr>
        <w:ind w:left="1440" w:hanging="360"/>
      </w:pPr>
      <w:rPr>
        <w:rFonts w:ascii="Arial" w:eastAsiaTheme="minorHAnsi" w:hAnsi="Arial" w:cs="Aria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nsid w:val="43600BCC"/>
    <w:multiLevelType w:val="hybridMultilevel"/>
    <w:tmpl w:val="62AE227E"/>
    <w:lvl w:ilvl="0" w:tplc="0409000F">
      <w:start w:val="1"/>
      <w:numFmt w:val="decimal"/>
      <w:lvlText w:val="%1."/>
      <w:lvlJc w:val="left"/>
      <w:pPr>
        <w:ind w:left="32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49E068E5"/>
    <w:multiLevelType w:val="hybridMultilevel"/>
    <w:tmpl w:val="92A08590"/>
    <w:lvl w:ilvl="0" w:tplc="D4FC7D9E">
      <w:start w:val="1"/>
      <w:numFmt w:val="bullet"/>
      <w:lvlText w:val="-"/>
      <w:lvlJc w:val="left"/>
      <w:pPr>
        <w:ind w:left="1440" w:hanging="360"/>
      </w:pPr>
      <w:rPr>
        <w:rFonts w:ascii="Arial" w:eastAsiaTheme="minorHAnsi" w:hAnsi="Arial" w:cs="Aria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nsid w:val="4C366D43"/>
    <w:multiLevelType w:val="hybridMultilevel"/>
    <w:tmpl w:val="D1BE0240"/>
    <w:lvl w:ilvl="0" w:tplc="E84A0D6E">
      <w:start w:val="1"/>
      <w:numFmt w:val="upperRoman"/>
      <w:pStyle w:val="Ttulo"/>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dstrike w:val="0"/>
        <w:color w:val="auto"/>
        <w:sz w:val="20"/>
        <w:szCs w:val="20"/>
        <w:u w:val="none"/>
        <w:effect w:val="none"/>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webHidden w:val="0"/>
        <w:color w:val="auto"/>
        <w:sz w:val="20"/>
        <w:u w:val="none"/>
        <w:effect w:val="none"/>
        <w:vertAlign w:val="baseline"/>
        <w:specVanish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D271322"/>
    <w:multiLevelType w:val="hybridMultilevel"/>
    <w:tmpl w:val="099C0C74"/>
    <w:lvl w:ilvl="0" w:tplc="1F9AA6CA">
      <w:start w:val="1"/>
      <w:numFmt w:val="upperLetter"/>
      <w:lvlText w:val="%1."/>
      <w:lvlJc w:val="left"/>
      <w:pPr>
        <w:ind w:left="720" w:hanging="360"/>
      </w:pPr>
      <w:rPr>
        <w:rFonts w:ascii="Verdana" w:hAnsi="Verdana"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3151954"/>
    <w:multiLevelType w:val="hybridMultilevel"/>
    <w:tmpl w:val="C42679D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7551DB3"/>
    <w:multiLevelType w:val="hybridMultilevel"/>
    <w:tmpl w:val="0B785968"/>
    <w:lvl w:ilvl="0" w:tplc="140A001B">
      <w:start w:val="1"/>
      <w:numFmt w:val="lowerRoman"/>
      <w:lvlText w:val="%1."/>
      <w:lvlJc w:val="righ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6">
    <w:nsid w:val="57940CDA"/>
    <w:multiLevelType w:val="hybridMultilevel"/>
    <w:tmpl w:val="7A5E02D6"/>
    <w:lvl w:ilvl="0" w:tplc="04090011">
      <w:start w:val="4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C0434"/>
    <w:multiLevelType w:val="hybridMultilevel"/>
    <w:tmpl w:val="6606507E"/>
    <w:lvl w:ilvl="0" w:tplc="8506DA8A">
      <w:start w:val="1"/>
      <w:numFmt w:val="decimal"/>
      <w:lvlText w:val="%1."/>
      <w:lvlJc w:val="left"/>
      <w:pPr>
        <w:ind w:left="720" w:hanging="360"/>
      </w:pPr>
      <w:rPr>
        <w:rFonts w:ascii="Verdana" w:hAnsi="Verdana"/>
        <w:b w:val="0"/>
        <w:i w:val="0"/>
        <w:sz w:val="20"/>
        <w:lang w:val="es-CR"/>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5B0B0EC6"/>
    <w:multiLevelType w:val="hybridMultilevel"/>
    <w:tmpl w:val="7A5E02D6"/>
    <w:lvl w:ilvl="0" w:tplc="04090011">
      <w:start w:val="4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C4789"/>
    <w:multiLevelType w:val="hybridMultilevel"/>
    <w:tmpl w:val="E2601D64"/>
    <w:lvl w:ilvl="0" w:tplc="C8444D24">
      <w:start w:val="1"/>
      <w:numFmt w:val="lowerLetter"/>
      <w:lvlText w:val="%1."/>
      <w:lvlJc w:val="left"/>
      <w:pPr>
        <w:ind w:left="720" w:hanging="360"/>
      </w:pPr>
      <w:rPr>
        <w:rFonts w:cs="Cambria-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42C2B"/>
    <w:multiLevelType w:val="hybridMultilevel"/>
    <w:tmpl w:val="411AFFD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354707"/>
    <w:multiLevelType w:val="hybridMultilevel"/>
    <w:tmpl w:val="2D522CAE"/>
    <w:lvl w:ilvl="0" w:tplc="8E2CDAEA">
      <w:start w:val="1"/>
      <w:numFmt w:val="decimal"/>
      <w:lvlText w:val="%1."/>
      <w:lvlJc w:val="left"/>
      <w:pPr>
        <w:ind w:left="825" w:hanging="825"/>
      </w:pPr>
      <w:rPr>
        <w:rFonts w:eastAsia="Verdana" w:cs="Verdana"/>
        <w:b w:val="0"/>
        <w:i w:val="0"/>
        <w:color w:val="auto"/>
        <w:sz w:val="20"/>
        <w:szCs w:val="20"/>
        <w:lang w:val="es-ES_tradn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nsid w:val="7CE64D32"/>
    <w:multiLevelType w:val="hybridMultilevel"/>
    <w:tmpl w:val="2402DBC8"/>
    <w:lvl w:ilvl="0" w:tplc="CA26B65A">
      <w:start w:val="1"/>
      <w:numFmt w:val="decimal"/>
      <w:lvlText w:val="%1."/>
      <w:lvlJc w:val="left"/>
      <w:pPr>
        <w:tabs>
          <w:tab w:val="num" w:pos="20245"/>
        </w:tabs>
      </w:pPr>
      <w:rPr>
        <w:rFonts w:ascii="Verdana" w:eastAsia="Times New Roman" w:hAnsi="Verdana"/>
        <w:b w:val="0"/>
        <w:bCs w:val="0"/>
        <w:i w:val="0"/>
        <w:iCs w:val="0"/>
        <w:strike w:val="0"/>
        <w:color w:val="auto"/>
        <w:sz w:val="20"/>
        <w:szCs w:val="20"/>
        <w:lang w:val="es-ES_tradnl"/>
      </w:rPr>
    </w:lvl>
    <w:lvl w:ilvl="1" w:tplc="04090019">
      <w:start w:val="1"/>
      <w:numFmt w:val="lowerLetter"/>
      <w:lvlText w:val="%2)"/>
      <w:lvlJc w:val="left"/>
      <w:pPr>
        <w:tabs>
          <w:tab w:val="num" w:pos="1080"/>
        </w:tabs>
        <w:ind w:left="1080" w:hanging="360"/>
      </w:pPr>
      <w:rPr>
        <w:rFonts w:hint="default"/>
        <w:b w:val="0"/>
        <w:bCs w:val="0"/>
        <w:i w:val="0"/>
        <w:iCs w:val="0"/>
        <w:sz w:val="20"/>
        <w:szCs w:val="20"/>
      </w:rPr>
    </w:lvl>
    <w:lvl w:ilvl="2" w:tplc="04090019">
      <w:start w:val="1"/>
      <w:numFmt w:val="lowerRoman"/>
      <w:lvlText w:val="%3."/>
      <w:lvlJc w:val="right"/>
      <w:pPr>
        <w:tabs>
          <w:tab w:val="num" w:pos="1530"/>
        </w:tabs>
        <w:ind w:left="1530" w:hanging="180"/>
      </w:pPr>
      <w:rPr>
        <w:b w:val="0"/>
        <w:strike w:val="0"/>
      </w:rPr>
    </w:lvl>
    <w:lvl w:ilvl="3" w:tplc="0409000F">
      <w:start w:val="1"/>
      <w:numFmt w:val="decimal"/>
      <w:lvlText w:val="%4."/>
      <w:lvlJc w:val="left"/>
      <w:pPr>
        <w:tabs>
          <w:tab w:val="num" w:pos="2880"/>
        </w:tabs>
        <w:ind w:left="2880" w:hanging="360"/>
      </w:pPr>
    </w:lvl>
    <w:lvl w:ilvl="4" w:tplc="337A4176">
      <w:start w:val="1"/>
      <w:numFmt w:val="lowerLetter"/>
      <w:pStyle w:val="Ttulo6"/>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D1C61E7"/>
    <w:multiLevelType w:val="hybridMultilevel"/>
    <w:tmpl w:val="162ABEB2"/>
    <w:lvl w:ilvl="0" w:tplc="3E6070D0">
      <w:start w:val="1"/>
      <w:numFmt w:val="lowerLetter"/>
      <w:pStyle w:val="Estilo5"/>
      <w:lvlText w:val="%1)"/>
      <w:lvlJc w:val="left"/>
      <w:pPr>
        <w:ind w:left="3480" w:hanging="360"/>
      </w:pPr>
      <w:rPr>
        <w:rFonts w:ascii="Verdana" w:eastAsia="Calibri" w:hAnsi="Verdana" w:cs="Times New Roman"/>
        <w:b w:val="0"/>
        <w:i w:val="0"/>
        <w:caps w:val="0"/>
        <w:strike w:val="0"/>
        <w:dstrike w:val="0"/>
        <w:vanish w:val="0"/>
        <w:color w:val="auto"/>
        <w:sz w:val="20"/>
        <w:vertAlign w:val="baseline"/>
      </w:rPr>
    </w:lvl>
    <w:lvl w:ilvl="1" w:tplc="3CBC84D2"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0"/>
  </w:num>
  <w:num w:numId="2">
    <w:abstractNumId w:val="22"/>
  </w:num>
  <w:num w:numId="3">
    <w:abstractNumId w:val="11"/>
  </w:num>
  <w:num w:numId="4">
    <w:abstractNumId w:val="7"/>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10"/>
  </w:num>
  <w:num w:numId="12">
    <w:abstractNumId w:val="8"/>
  </w:num>
  <w:num w:numId="13">
    <w:abstractNumId w:val="13"/>
  </w:num>
  <w:num w:numId="14">
    <w:abstractNumId w:val="18"/>
  </w:num>
  <w:num w:numId="15">
    <w:abstractNumId w:val="14"/>
  </w:num>
  <w:num w:numId="16">
    <w:abstractNumId w:val="0"/>
  </w:num>
  <w:num w:numId="17">
    <w:abstractNumId w:val="0"/>
  </w:num>
  <w:num w:numId="18">
    <w:abstractNumId w:val="20"/>
  </w:num>
  <w:num w:numId="19">
    <w:abstractNumId w:val="21"/>
  </w:num>
  <w:num w:numId="20">
    <w:abstractNumId w:val="19"/>
  </w:num>
  <w:num w:numId="21">
    <w:abstractNumId w:val="9"/>
  </w:num>
  <w:num w:numId="22">
    <w:abstractNumId w:val="15"/>
  </w:num>
  <w:num w:numId="23">
    <w:abstractNumId w:val="2"/>
  </w:num>
  <w:num w:numId="24">
    <w:abstractNumId w:val="0"/>
  </w:num>
  <w:num w:numId="25">
    <w:abstractNumId w:val="0"/>
  </w:num>
  <w:num w:numId="26">
    <w:abstractNumId w:val="6"/>
  </w:num>
  <w:num w:numId="27">
    <w:abstractNumId w:val="0"/>
  </w:num>
  <w:num w:numId="28">
    <w:abstractNumId w:val="0"/>
  </w:num>
  <w:num w:numId="29">
    <w:abstractNumId w:val="0"/>
  </w:num>
  <w:num w:numId="30">
    <w:abstractNumId w:val="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1E"/>
    <w:rsid w:val="00000407"/>
    <w:rsid w:val="0000293F"/>
    <w:rsid w:val="00002CB4"/>
    <w:rsid w:val="00002E93"/>
    <w:rsid w:val="00005ECB"/>
    <w:rsid w:val="000065AA"/>
    <w:rsid w:val="000137AC"/>
    <w:rsid w:val="0001481C"/>
    <w:rsid w:val="00015289"/>
    <w:rsid w:val="000152D1"/>
    <w:rsid w:val="000153EF"/>
    <w:rsid w:val="0001669F"/>
    <w:rsid w:val="000175F9"/>
    <w:rsid w:val="00020326"/>
    <w:rsid w:val="00020851"/>
    <w:rsid w:val="00020958"/>
    <w:rsid w:val="000214CD"/>
    <w:rsid w:val="00021FF5"/>
    <w:rsid w:val="000239C8"/>
    <w:rsid w:val="00024459"/>
    <w:rsid w:val="000250E5"/>
    <w:rsid w:val="00026521"/>
    <w:rsid w:val="000268B0"/>
    <w:rsid w:val="000272D9"/>
    <w:rsid w:val="000304DD"/>
    <w:rsid w:val="00030609"/>
    <w:rsid w:val="0003115F"/>
    <w:rsid w:val="00031A2C"/>
    <w:rsid w:val="000327A5"/>
    <w:rsid w:val="00032BB3"/>
    <w:rsid w:val="00032CA2"/>
    <w:rsid w:val="00034A0A"/>
    <w:rsid w:val="000352E4"/>
    <w:rsid w:val="00035B89"/>
    <w:rsid w:val="0003633F"/>
    <w:rsid w:val="000375C2"/>
    <w:rsid w:val="00040FE7"/>
    <w:rsid w:val="00041559"/>
    <w:rsid w:val="00041A32"/>
    <w:rsid w:val="000429FF"/>
    <w:rsid w:val="00042F2C"/>
    <w:rsid w:val="00044404"/>
    <w:rsid w:val="000453FB"/>
    <w:rsid w:val="00045A89"/>
    <w:rsid w:val="0005161E"/>
    <w:rsid w:val="000520AF"/>
    <w:rsid w:val="00052516"/>
    <w:rsid w:val="0005297F"/>
    <w:rsid w:val="00054C99"/>
    <w:rsid w:val="000553F2"/>
    <w:rsid w:val="00055B33"/>
    <w:rsid w:val="00055E8E"/>
    <w:rsid w:val="000562B0"/>
    <w:rsid w:val="00056F6B"/>
    <w:rsid w:val="00057702"/>
    <w:rsid w:val="00060E40"/>
    <w:rsid w:val="00061538"/>
    <w:rsid w:val="00063507"/>
    <w:rsid w:val="00064AA4"/>
    <w:rsid w:val="00064BE9"/>
    <w:rsid w:val="00064C44"/>
    <w:rsid w:val="0006601B"/>
    <w:rsid w:val="000679E3"/>
    <w:rsid w:val="000705D2"/>
    <w:rsid w:val="00072E4D"/>
    <w:rsid w:val="000732D4"/>
    <w:rsid w:val="000739D8"/>
    <w:rsid w:val="000739F0"/>
    <w:rsid w:val="00076404"/>
    <w:rsid w:val="0007717D"/>
    <w:rsid w:val="00081A1A"/>
    <w:rsid w:val="000822BF"/>
    <w:rsid w:val="000827F5"/>
    <w:rsid w:val="000830BB"/>
    <w:rsid w:val="0008501F"/>
    <w:rsid w:val="00085444"/>
    <w:rsid w:val="000859CC"/>
    <w:rsid w:val="000871DD"/>
    <w:rsid w:val="0008797F"/>
    <w:rsid w:val="000905AD"/>
    <w:rsid w:val="00090DC4"/>
    <w:rsid w:val="00091229"/>
    <w:rsid w:val="000917CC"/>
    <w:rsid w:val="0009295D"/>
    <w:rsid w:val="000936C3"/>
    <w:rsid w:val="000937DA"/>
    <w:rsid w:val="0009496E"/>
    <w:rsid w:val="00096FE5"/>
    <w:rsid w:val="00097090"/>
    <w:rsid w:val="000A09CE"/>
    <w:rsid w:val="000A19C2"/>
    <w:rsid w:val="000A1D25"/>
    <w:rsid w:val="000A2B82"/>
    <w:rsid w:val="000A3149"/>
    <w:rsid w:val="000A4ADA"/>
    <w:rsid w:val="000A5CB1"/>
    <w:rsid w:val="000A71BC"/>
    <w:rsid w:val="000B007C"/>
    <w:rsid w:val="000B1DA9"/>
    <w:rsid w:val="000B4958"/>
    <w:rsid w:val="000B4DFB"/>
    <w:rsid w:val="000B5203"/>
    <w:rsid w:val="000B540F"/>
    <w:rsid w:val="000B5F93"/>
    <w:rsid w:val="000B6AB2"/>
    <w:rsid w:val="000B7A78"/>
    <w:rsid w:val="000B7B85"/>
    <w:rsid w:val="000C0305"/>
    <w:rsid w:val="000C0F08"/>
    <w:rsid w:val="000C4655"/>
    <w:rsid w:val="000C4A11"/>
    <w:rsid w:val="000D0C73"/>
    <w:rsid w:val="000D1E65"/>
    <w:rsid w:val="000D368C"/>
    <w:rsid w:val="000D5733"/>
    <w:rsid w:val="000D5D42"/>
    <w:rsid w:val="000D6D5C"/>
    <w:rsid w:val="000D70E6"/>
    <w:rsid w:val="000D7733"/>
    <w:rsid w:val="000D7E45"/>
    <w:rsid w:val="000D7F43"/>
    <w:rsid w:val="000D7FD3"/>
    <w:rsid w:val="000E03A7"/>
    <w:rsid w:val="000E051B"/>
    <w:rsid w:val="000E086E"/>
    <w:rsid w:val="000E1268"/>
    <w:rsid w:val="000E19F1"/>
    <w:rsid w:val="000E289B"/>
    <w:rsid w:val="000E32B9"/>
    <w:rsid w:val="000E5864"/>
    <w:rsid w:val="000E5A01"/>
    <w:rsid w:val="000E6403"/>
    <w:rsid w:val="000E6E46"/>
    <w:rsid w:val="000E76CD"/>
    <w:rsid w:val="000E7735"/>
    <w:rsid w:val="000F0A17"/>
    <w:rsid w:val="000F272C"/>
    <w:rsid w:val="000F3276"/>
    <w:rsid w:val="000F3423"/>
    <w:rsid w:val="000F388E"/>
    <w:rsid w:val="000F425E"/>
    <w:rsid w:val="000F4315"/>
    <w:rsid w:val="000F4A9F"/>
    <w:rsid w:val="000F52A7"/>
    <w:rsid w:val="000F53D9"/>
    <w:rsid w:val="000F5BED"/>
    <w:rsid w:val="000F7135"/>
    <w:rsid w:val="000F73F2"/>
    <w:rsid w:val="0010002D"/>
    <w:rsid w:val="001000F2"/>
    <w:rsid w:val="00100AB2"/>
    <w:rsid w:val="0010125E"/>
    <w:rsid w:val="0010158F"/>
    <w:rsid w:val="00101D89"/>
    <w:rsid w:val="00102BB2"/>
    <w:rsid w:val="00103BEF"/>
    <w:rsid w:val="001048B3"/>
    <w:rsid w:val="001060C9"/>
    <w:rsid w:val="00106D12"/>
    <w:rsid w:val="001075C4"/>
    <w:rsid w:val="00107AE7"/>
    <w:rsid w:val="00107CBB"/>
    <w:rsid w:val="001105C4"/>
    <w:rsid w:val="00110BEB"/>
    <w:rsid w:val="00110E38"/>
    <w:rsid w:val="00111DFA"/>
    <w:rsid w:val="001125B2"/>
    <w:rsid w:val="00112893"/>
    <w:rsid w:val="00114CCA"/>
    <w:rsid w:val="00114D38"/>
    <w:rsid w:val="00116188"/>
    <w:rsid w:val="00116D3E"/>
    <w:rsid w:val="00116E6A"/>
    <w:rsid w:val="0011752E"/>
    <w:rsid w:val="00122790"/>
    <w:rsid w:val="00122E7C"/>
    <w:rsid w:val="00123628"/>
    <w:rsid w:val="00123B37"/>
    <w:rsid w:val="001244CB"/>
    <w:rsid w:val="00124D40"/>
    <w:rsid w:val="001267C0"/>
    <w:rsid w:val="00126F45"/>
    <w:rsid w:val="0012771E"/>
    <w:rsid w:val="001305E7"/>
    <w:rsid w:val="00130D14"/>
    <w:rsid w:val="00131688"/>
    <w:rsid w:val="0013182B"/>
    <w:rsid w:val="0013258B"/>
    <w:rsid w:val="001332A6"/>
    <w:rsid w:val="00133A3F"/>
    <w:rsid w:val="0013401A"/>
    <w:rsid w:val="00134639"/>
    <w:rsid w:val="00134A3C"/>
    <w:rsid w:val="001356FE"/>
    <w:rsid w:val="00135DE3"/>
    <w:rsid w:val="00135E89"/>
    <w:rsid w:val="00136686"/>
    <w:rsid w:val="001404C1"/>
    <w:rsid w:val="001407A7"/>
    <w:rsid w:val="00142BB8"/>
    <w:rsid w:val="00142BBB"/>
    <w:rsid w:val="00143C69"/>
    <w:rsid w:val="001451B0"/>
    <w:rsid w:val="001458B2"/>
    <w:rsid w:val="00145B56"/>
    <w:rsid w:val="00146A19"/>
    <w:rsid w:val="00150681"/>
    <w:rsid w:val="001506FD"/>
    <w:rsid w:val="00150B1C"/>
    <w:rsid w:val="00151719"/>
    <w:rsid w:val="00151FEE"/>
    <w:rsid w:val="00152034"/>
    <w:rsid w:val="001523DA"/>
    <w:rsid w:val="00152CC1"/>
    <w:rsid w:val="00153659"/>
    <w:rsid w:val="00153B3E"/>
    <w:rsid w:val="00154EC3"/>
    <w:rsid w:val="00155258"/>
    <w:rsid w:val="00157BB4"/>
    <w:rsid w:val="00160615"/>
    <w:rsid w:val="001608CB"/>
    <w:rsid w:val="00160D1F"/>
    <w:rsid w:val="00160F7D"/>
    <w:rsid w:val="0016111C"/>
    <w:rsid w:val="00162F98"/>
    <w:rsid w:val="00163580"/>
    <w:rsid w:val="001636A2"/>
    <w:rsid w:val="0016435A"/>
    <w:rsid w:val="00164F14"/>
    <w:rsid w:val="00164F6C"/>
    <w:rsid w:val="00165115"/>
    <w:rsid w:val="001666AC"/>
    <w:rsid w:val="00166EE6"/>
    <w:rsid w:val="00166F0F"/>
    <w:rsid w:val="001671B2"/>
    <w:rsid w:val="00170D6C"/>
    <w:rsid w:val="00171CC4"/>
    <w:rsid w:val="00171F64"/>
    <w:rsid w:val="00172971"/>
    <w:rsid w:val="001729D3"/>
    <w:rsid w:val="00174433"/>
    <w:rsid w:val="00174ECF"/>
    <w:rsid w:val="00174F06"/>
    <w:rsid w:val="00175970"/>
    <w:rsid w:val="0017767A"/>
    <w:rsid w:val="00177D5A"/>
    <w:rsid w:val="001803BB"/>
    <w:rsid w:val="001805B7"/>
    <w:rsid w:val="001817E6"/>
    <w:rsid w:val="001840E2"/>
    <w:rsid w:val="001845E1"/>
    <w:rsid w:val="0018524A"/>
    <w:rsid w:val="00186D4D"/>
    <w:rsid w:val="00187A4C"/>
    <w:rsid w:val="00187B35"/>
    <w:rsid w:val="00187C83"/>
    <w:rsid w:val="00190525"/>
    <w:rsid w:val="00190B34"/>
    <w:rsid w:val="00191EE1"/>
    <w:rsid w:val="0019210E"/>
    <w:rsid w:val="001923B1"/>
    <w:rsid w:val="00193C8E"/>
    <w:rsid w:val="00194173"/>
    <w:rsid w:val="001943A4"/>
    <w:rsid w:val="00195C0C"/>
    <w:rsid w:val="0019675F"/>
    <w:rsid w:val="00196C0F"/>
    <w:rsid w:val="001A0AB7"/>
    <w:rsid w:val="001A1AD4"/>
    <w:rsid w:val="001A2605"/>
    <w:rsid w:val="001A29CD"/>
    <w:rsid w:val="001A2F70"/>
    <w:rsid w:val="001A345D"/>
    <w:rsid w:val="001A396F"/>
    <w:rsid w:val="001A568B"/>
    <w:rsid w:val="001A5A76"/>
    <w:rsid w:val="001A6189"/>
    <w:rsid w:val="001A61E0"/>
    <w:rsid w:val="001A666A"/>
    <w:rsid w:val="001B1626"/>
    <w:rsid w:val="001B2C45"/>
    <w:rsid w:val="001B32C9"/>
    <w:rsid w:val="001B423C"/>
    <w:rsid w:val="001B447E"/>
    <w:rsid w:val="001B4509"/>
    <w:rsid w:val="001B4CB8"/>
    <w:rsid w:val="001B698B"/>
    <w:rsid w:val="001B6F49"/>
    <w:rsid w:val="001B7846"/>
    <w:rsid w:val="001C0566"/>
    <w:rsid w:val="001C232B"/>
    <w:rsid w:val="001C4273"/>
    <w:rsid w:val="001C596C"/>
    <w:rsid w:val="001C5F2D"/>
    <w:rsid w:val="001C685E"/>
    <w:rsid w:val="001C6AA5"/>
    <w:rsid w:val="001C7C21"/>
    <w:rsid w:val="001D0A73"/>
    <w:rsid w:val="001D2625"/>
    <w:rsid w:val="001D26E0"/>
    <w:rsid w:val="001D33F9"/>
    <w:rsid w:val="001D3BBB"/>
    <w:rsid w:val="001D3DD7"/>
    <w:rsid w:val="001D41EE"/>
    <w:rsid w:val="001D4A98"/>
    <w:rsid w:val="001D5803"/>
    <w:rsid w:val="001D75A5"/>
    <w:rsid w:val="001E0377"/>
    <w:rsid w:val="001E09A9"/>
    <w:rsid w:val="001E0B07"/>
    <w:rsid w:val="001E0C53"/>
    <w:rsid w:val="001E0E67"/>
    <w:rsid w:val="001E14E8"/>
    <w:rsid w:val="001E1BB3"/>
    <w:rsid w:val="001E46EC"/>
    <w:rsid w:val="001E4804"/>
    <w:rsid w:val="001E4CE4"/>
    <w:rsid w:val="001E7190"/>
    <w:rsid w:val="001F0A42"/>
    <w:rsid w:val="001F128F"/>
    <w:rsid w:val="001F1B0F"/>
    <w:rsid w:val="001F2792"/>
    <w:rsid w:val="001F2C8C"/>
    <w:rsid w:val="001F3B4A"/>
    <w:rsid w:val="001F4034"/>
    <w:rsid w:val="001F4910"/>
    <w:rsid w:val="001F5FFE"/>
    <w:rsid w:val="001F60CD"/>
    <w:rsid w:val="001F696E"/>
    <w:rsid w:val="0020024A"/>
    <w:rsid w:val="00201489"/>
    <w:rsid w:val="00201F2A"/>
    <w:rsid w:val="00202383"/>
    <w:rsid w:val="0020326D"/>
    <w:rsid w:val="0020376C"/>
    <w:rsid w:val="00203A25"/>
    <w:rsid w:val="00203E2E"/>
    <w:rsid w:val="00204428"/>
    <w:rsid w:val="00205111"/>
    <w:rsid w:val="002064E9"/>
    <w:rsid w:val="0020737F"/>
    <w:rsid w:val="00210E27"/>
    <w:rsid w:val="00210FB3"/>
    <w:rsid w:val="002136CF"/>
    <w:rsid w:val="00214D4A"/>
    <w:rsid w:val="00215B25"/>
    <w:rsid w:val="00215B5D"/>
    <w:rsid w:val="00220B25"/>
    <w:rsid w:val="00221027"/>
    <w:rsid w:val="0022125E"/>
    <w:rsid w:val="002212D8"/>
    <w:rsid w:val="002212E9"/>
    <w:rsid w:val="00222054"/>
    <w:rsid w:val="00222874"/>
    <w:rsid w:val="00223515"/>
    <w:rsid w:val="00224B50"/>
    <w:rsid w:val="00225DE9"/>
    <w:rsid w:val="00225E09"/>
    <w:rsid w:val="002260C6"/>
    <w:rsid w:val="00227075"/>
    <w:rsid w:val="00232771"/>
    <w:rsid w:val="00234776"/>
    <w:rsid w:val="00234C0C"/>
    <w:rsid w:val="0023542D"/>
    <w:rsid w:val="0023621A"/>
    <w:rsid w:val="00240532"/>
    <w:rsid w:val="00240911"/>
    <w:rsid w:val="00241CC3"/>
    <w:rsid w:val="00245A06"/>
    <w:rsid w:val="00245F85"/>
    <w:rsid w:val="00246110"/>
    <w:rsid w:val="002465A5"/>
    <w:rsid w:val="00246C40"/>
    <w:rsid w:val="00247203"/>
    <w:rsid w:val="00247AB0"/>
    <w:rsid w:val="00247EDB"/>
    <w:rsid w:val="002501CE"/>
    <w:rsid w:val="002504FD"/>
    <w:rsid w:val="00252AF5"/>
    <w:rsid w:val="00253FDA"/>
    <w:rsid w:val="00255CA7"/>
    <w:rsid w:val="00256735"/>
    <w:rsid w:val="002601EC"/>
    <w:rsid w:val="00261A61"/>
    <w:rsid w:val="00262577"/>
    <w:rsid w:val="00262BEF"/>
    <w:rsid w:val="002651FF"/>
    <w:rsid w:val="00265270"/>
    <w:rsid w:val="002657D9"/>
    <w:rsid w:val="00267B07"/>
    <w:rsid w:val="002700AD"/>
    <w:rsid w:val="002700F1"/>
    <w:rsid w:val="00270109"/>
    <w:rsid w:val="00270A31"/>
    <w:rsid w:val="00271094"/>
    <w:rsid w:val="002721CE"/>
    <w:rsid w:val="00273292"/>
    <w:rsid w:val="00274C79"/>
    <w:rsid w:val="002769A5"/>
    <w:rsid w:val="00277602"/>
    <w:rsid w:val="00277A9D"/>
    <w:rsid w:val="00277DE9"/>
    <w:rsid w:val="002809BB"/>
    <w:rsid w:val="00281C48"/>
    <w:rsid w:val="00282BF6"/>
    <w:rsid w:val="00282F19"/>
    <w:rsid w:val="002834CB"/>
    <w:rsid w:val="00283B8D"/>
    <w:rsid w:val="00283FAA"/>
    <w:rsid w:val="00284500"/>
    <w:rsid w:val="00284BBB"/>
    <w:rsid w:val="002854CE"/>
    <w:rsid w:val="002876AC"/>
    <w:rsid w:val="00287B39"/>
    <w:rsid w:val="0029078A"/>
    <w:rsid w:val="00290A34"/>
    <w:rsid w:val="002911F8"/>
    <w:rsid w:val="002912FC"/>
    <w:rsid w:val="0029139A"/>
    <w:rsid w:val="00291FDB"/>
    <w:rsid w:val="00292B0F"/>
    <w:rsid w:val="00292C12"/>
    <w:rsid w:val="00294944"/>
    <w:rsid w:val="00294E01"/>
    <w:rsid w:val="00296972"/>
    <w:rsid w:val="00296E2B"/>
    <w:rsid w:val="00296F0E"/>
    <w:rsid w:val="00297E38"/>
    <w:rsid w:val="002A05BC"/>
    <w:rsid w:val="002A0A58"/>
    <w:rsid w:val="002A0C63"/>
    <w:rsid w:val="002A16AD"/>
    <w:rsid w:val="002A203E"/>
    <w:rsid w:val="002A24B9"/>
    <w:rsid w:val="002A2EB5"/>
    <w:rsid w:val="002A4D8C"/>
    <w:rsid w:val="002A69B7"/>
    <w:rsid w:val="002A7338"/>
    <w:rsid w:val="002A7B23"/>
    <w:rsid w:val="002B00B8"/>
    <w:rsid w:val="002B1755"/>
    <w:rsid w:val="002B1BBB"/>
    <w:rsid w:val="002B36C0"/>
    <w:rsid w:val="002B3BA6"/>
    <w:rsid w:val="002B3CBB"/>
    <w:rsid w:val="002B3FAD"/>
    <w:rsid w:val="002B4217"/>
    <w:rsid w:val="002B5BD6"/>
    <w:rsid w:val="002B62A3"/>
    <w:rsid w:val="002B6402"/>
    <w:rsid w:val="002B6A1A"/>
    <w:rsid w:val="002B6DE0"/>
    <w:rsid w:val="002B7729"/>
    <w:rsid w:val="002B7A66"/>
    <w:rsid w:val="002C0D31"/>
    <w:rsid w:val="002C170C"/>
    <w:rsid w:val="002C1724"/>
    <w:rsid w:val="002C1A70"/>
    <w:rsid w:val="002C1FA6"/>
    <w:rsid w:val="002C26D8"/>
    <w:rsid w:val="002C2E7E"/>
    <w:rsid w:val="002C4B78"/>
    <w:rsid w:val="002C5138"/>
    <w:rsid w:val="002C545A"/>
    <w:rsid w:val="002C5D74"/>
    <w:rsid w:val="002C60A2"/>
    <w:rsid w:val="002C71B8"/>
    <w:rsid w:val="002D0D3E"/>
    <w:rsid w:val="002D289C"/>
    <w:rsid w:val="002D3529"/>
    <w:rsid w:val="002D49F9"/>
    <w:rsid w:val="002D50A9"/>
    <w:rsid w:val="002D512B"/>
    <w:rsid w:val="002D71A8"/>
    <w:rsid w:val="002E1061"/>
    <w:rsid w:val="002E11F9"/>
    <w:rsid w:val="002E2359"/>
    <w:rsid w:val="002E238F"/>
    <w:rsid w:val="002E273E"/>
    <w:rsid w:val="002E371C"/>
    <w:rsid w:val="002E38FA"/>
    <w:rsid w:val="002E461E"/>
    <w:rsid w:val="002E553D"/>
    <w:rsid w:val="002E6203"/>
    <w:rsid w:val="002E6685"/>
    <w:rsid w:val="002E6DA0"/>
    <w:rsid w:val="002E7522"/>
    <w:rsid w:val="002E7B3E"/>
    <w:rsid w:val="002E7B5F"/>
    <w:rsid w:val="002F0F1D"/>
    <w:rsid w:val="002F24C3"/>
    <w:rsid w:val="002F3897"/>
    <w:rsid w:val="002F3979"/>
    <w:rsid w:val="002F4FCD"/>
    <w:rsid w:val="002F6EE7"/>
    <w:rsid w:val="002F6FB8"/>
    <w:rsid w:val="002F763C"/>
    <w:rsid w:val="002F79C9"/>
    <w:rsid w:val="002F7C07"/>
    <w:rsid w:val="003020F2"/>
    <w:rsid w:val="00302376"/>
    <w:rsid w:val="0030309A"/>
    <w:rsid w:val="003039EC"/>
    <w:rsid w:val="00304B7E"/>
    <w:rsid w:val="00305795"/>
    <w:rsid w:val="00305BB7"/>
    <w:rsid w:val="00305F7E"/>
    <w:rsid w:val="00307DA9"/>
    <w:rsid w:val="00310100"/>
    <w:rsid w:val="00310346"/>
    <w:rsid w:val="0031054B"/>
    <w:rsid w:val="00311A65"/>
    <w:rsid w:val="00311C11"/>
    <w:rsid w:val="003144D7"/>
    <w:rsid w:val="00315B90"/>
    <w:rsid w:val="003162AC"/>
    <w:rsid w:val="00316357"/>
    <w:rsid w:val="00317267"/>
    <w:rsid w:val="00317D90"/>
    <w:rsid w:val="0032230B"/>
    <w:rsid w:val="00325090"/>
    <w:rsid w:val="00330092"/>
    <w:rsid w:val="0033025D"/>
    <w:rsid w:val="0033035A"/>
    <w:rsid w:val="00330DE4"/>
    <w:rsid w:val="00332845"/>
    <w:rsid w:val="0033295D"/>
    <w:rsid w:val="00332C9F"/>
    <w:rsid w:val="00332E88"/>
    <w:rsid w:val="00335D94"/>
    <w:rsid w:val="003369E1"/>
    <w:rsid w:val="00336DDD"/>
    <w:rsid w:val="00337C45"/>
    <w:rsid w:val="00337E58"/>
    <w:rsid w:val="00341BF7"/>
    <w:rsid w:val="0034309A"/>
    <w:rsid w:val="00343D99"/>
    <w:rsid w:val="00343DB5"/>
    <w:rsid w:val="00343DE9"/>
    <w:rsid w:val="003441E0"/>
    <w:rsid w:val="00344687"/>
    <w:rsid w:val="00344C00"/>
    <w:rsid w:val="00344E59"/>
    <w:rsid w:val="00344EAC"/>
    <w:rsid w:val="00344EDE"/>
    <w:rsid w:val="0034569C"/>
    <w:rsid w:val="00346AC6"/>
    <w:rsid w:val="003478F1"/>
    <w:rsid w:val="00347FBD"/>
    <w:rsid w:val="00350966"/>
    <w:rsid w:val="00350DB1"/>
    <w:rsid w:val="00351340"/>
    <w:rsid w:val="00353B9A"/>
    <w:rsid w:val="0035470A"/>
    <w:rsid w:val="00355D36"/>
    <w:rsid w:val="003571DB"/>
    <w:rsid w:val="00357E4E"/>
    <w:rsid w:val="003617F4"/>
    <w:rsid w:val="003617F7"/>
    <w:rsid w:val="003626AE"/>
    <w:rsid w:val="003628F5"/>
    <w:rsid w:val="003630B8"/>
    <w:rsid w:val="003644DB"/>
    <w:rsid w:val="00364C5B"/>
    <w:rsid w:val="00364CC7"/>
    <w:rsid w:val="00371E8B"/>
    <w:rsid w:val="003727F8"/>
    <w:rsid w:val="003731F2"/>
    <w:rsid w:val="00374D6E"/>
    <w:rsid w:val="00375D7D"/>
    <w:rsid w:val="00375E9F"/>
    <w:rsid w:val="00376536"/>
    <w:rsid w:val="0037776E"/>
    <w:rsid w:val="00377BAE"/>
    <w:rsid w:val="0038059C"/>
    <w:rsid w:val="00380C5C"/>
    <w:rsid w:val="00381035"/>
    <w:rsid w:val="003834CD"/>
    <w:rsid w:val="00384EB6"/>
    <w:rsid w:val="00385221"/>
    <w:rsid w:val="003853E8"/>
    <w:rsid w:val="003854BD"/>
    <w:rsid w:val="00385F49"/>
    <w:rsid w:val="00386042"/>
    <w:rsid w:val="003861B0"/>
    <w:rsid w:val="00386750"/>
    <w:rsid w:val="00387812"/>
    <w:rsid w:val="0039126A"/>
    <w:rsid w:val="00391932"/>
    <w:rsid w:val="00391DE5"/>
    <w:rsid w:val="00392A1D"/>
    <w:rsid w:val="00392C60"/>
    <w:rsid w:val="00393602"/>
    <w:rsid w:val="00394698"/>
    <w:rsid w:val="00395FE4"/>
    <w:rsid w:val="00396383"/>
    <w:rsid w:val="0039665A"/>
    <w:rsid w:val="00396B12"/>
    <w:rsid w:val="003979B2"/>
    <w:rsid w:val="003979DC"/>
    <w:rsid w:val="003A019F"/>
    <w:rsid w:val="003A07AC"/>
    <w:rsid w:val="003A1E5A"/>
    <w:rsid w:val="003A3D4A"/>
    <w:rsid w:val="003A6FA2"/>
    <w:rsid w:val="003A7CD3"/>
    <w:rsid w:val="003B1B6B"/>
    <w:rsid w:val="003B38C8"/>
    <w:rsid w:val="003B3CAF"/>
    <w:rsid w:val="003B41AA"/>
    <w:rsid w:val="003B4667"/>
    <w:rsid w:val="003B4849"/>
    <w:rsid w:val="003B7BE3"/>
    <w:rsid w:val="003C006C"/>
    <w:rsid w:val="003C0114"/>
    <w:rsid w:val="003C26BD"/>
    <w:rsid w:val="003C3EDD"/>
    <w:rsid w:val="003C4332"/>
    <w:rsid w:val="003C47AE"/>
    <w:rsid w:val="003C5255"/>
    <w:rsid w:val="003C6F7B"/>
    <w:rsid w:val="003D0181"/>
    <w:rsid w:val="003D1800"/>
    <w:rsid w:val="003D18F9"/>
    <w:rsid w:val="003D2926"/>
    <w:rsid w:val="003D3AA3"/>
    <w:rsid w:val="003D4F60"/>
    <w:rsid w:val="003D52BC"/>
    <w:rsid w:val="003D6B95"/>
    <w:rsid w:val="003D70E6"/>
    <w:rsid w:val="003E07C3"/>
    <w:rsid w:val="003E0A79"/>
    <w:rsid w:val="003E0FCB"/>
    <w:rsid w:val="003E2183"/>
    <w:rsid w:val="003E316F"/>
    <w:rsid w:val="003E37A9"/>
    <w:rsid w:val="003E3856"/>
    <w:rsid w:val="003E3CEC"/>
    <w:rsid w:val="003E3F16"/>
    <w:rsid w:val="003E44B8"/>
    <w:rsid w:val="003E56BC"/>
    <w:rsid w:val="003E7243"/>
    <w:rsid w:val="003F2F02"/>
    <w:rsid w:val="003F40A9"/>
    <w:rsid w:val="003F4200"/>
    <w:rsid w:val="003F484D"/>
    <w:rsid w:val="003F4D4C"/>
    <w:rsid w:val="003F598F"/>
    <w:rsid w:val="003F7C31"/>
    <w:rsid w:val="0040098E"/>
    <w:rsid w:val="00400CA0"/>
    <w:rsid w:val="0040182C"/>
    <w:rsid w:val="00401C56"/>
    <w:rsid w:val="00402403"/>
    <w:rsid w:val="004037F9"/>
    <w:rsid w:val="0040524F"/>
    <w:rsid w:val="00407818"/>
    <w:rsid w:val="0041191E"/>
    <w:rsid w:val="00411FEA"/>
    <w:rsid w:val="00412848"/>
    <w:rsid w:val="00413A60"/>
    <w:rsid w:val="00413F97"/>
    <w:rsid w:val="004148C7"/>
    <w:rsid w:val="004166C5"/>
    <w:rsid w:val="00417387"/>
    <w:rsid w:val="0041742F"/>
    <w:rsid w:val="0042073D"/>
    <w:rsid w:val="00420D9B"/>
    <w:rsid w:val="004214FB"/>
    <w:rsid w:val="00422F62"/>
    <w:rsid w:val="004236D4"/>
    <w:rsid w:val="0042430B"/>
    <w:rsid w:val="00427016"/>
    <w:rsid w:val="00432A99"/>
    <w:rsid w:val="0043494F"/>
    <w:rsid w:val="00434A21"/>
    <w:rsid w:val="00436E3F"/>
    <w:rsid w:val="00437056"/>
    <w:rsid w:val="00440BD0"/>
    <w:rsid w:val="00440CAF"/>
    <w:rsid w:val="00440D98"/>
    <w:rsid w:val="004411A4"/>
    <w:rsid w:val="0044177A"/>
    <w:rsid w:val="00441BCF"/>
    <w:rsid w:val="004424B0"/>
    <w:rsid w:val="00443334"/>
    <w:rsid w:val="00443893"/>
    <w:rsid w:val="0044563E"/>
    <w:rsid w:val="00446A06"/>
    <w:rsid w:val="00446B36"/>
    <w:rsid w:val="00447734"/>
    <w:rsid w:val="00450C54"/>
    <w:rsid w:val="00450DC5"/>
    <w:rsid w:val="004521F8"/>
    <w:rsid w:val="00452B24"/>
    <w:rsid w:val="0045310C"/>
    <w:rsid w:val="00453C57"/>
    <w:rsid w:val="00454B0D"/>
    <w:rsid w:val="00455057"/>
    <w:rsid w:val="004553DA"/>
    <w:rsid w:val="0045602C"/>
    <w:rsid w:val="00456781"/>
    <w:rsid w:val="004579D1"/>
    <w:rsid w:val="00460CDC"/>
    <w:rsid w:val="00461A44"/>
    <w:rsid w:val="0046243F"/>
    <w:rsid w:val="0046246B"/>
    <w:rsid w:val="004625E3"/>
    <w:rsid w:val="00462A8E"/>
    <w:rsid w:val="00464D5B"/>
    <w:rsid w:val="00465A77"/>
    <w:rsid w:val="004664FF"/>
    <w:rsid w:val="00466BA7"/>
    <w:rsid w:val="00466EDD"/>
    <w:rsid w:val="00470174"/>
    <w:rsid w:val="00470946"/>
    <w:rsid w:val="00470BE2"/>
    <w:rsid w:val="004734C8"/>
    <w:rsid w:val="00475AB6"/>
    <w:rsid w:val="0047694F"/>
    <w:rsid w:val="00476FD9"/>
    <w:rsid w:val="00481B02"/>
    <w:rsid w:val="00481E7D"/>
    <w:rsid w:val="00482501"/>
    <w:rsid w:val="00483395"/>
    <w:rsid w:val="004833A8"/>
    <w:rsid w:val="00483716"/>
    <w:rsid w:val="00483B63"/>
    <w:rsid w:val="004847E7"/>
    <w:rsid w:val="00485B30"/>
    <w:rsid w:val="00486CE9"/>
    <w:rsid w:val="00487355"/>
    <w:rsid w:val="00493355"/>
    <w:rsid w:val="0049340D"/>
    <w:rsid w:val="004935D5"/>
    <w:rsid w:val="00494DA5"/>
    <w:rsid w:val="00495652"/>
    <w:rsid w:val="00495AC3"/>
    <w:rsid w:val="00497542"/>
    <w:rsid w:val="00497700"/>
    <w:rsid w:val="00497893"/>
    <w:rsid w:val="004A1BB2"/>
    <w:rsid w:val="004A34A8"/>
    <w:rsid w:val="004A355C"/>
    <w:rsid w:val="004A4CFB"/>
    <w:rsid w:val="004A581D"/>
    <w:rsid w:val="004A64A1"/>
    <w:rsid w:val="004A7381"/>
    <w:rsid w:val="004B0947"/>
    <w:rsid w:val="004B1966"/>
    <w:rsid w:val="004B27BB"/>
    <w:rsid w:val="004B343D"/>
    <w:rsid w:val="004B62D1"/>
    <w:rsid w:val="004B6850"/>
    <w:rsid w:val="004B6E35"/>
    <w:rsid w:val="004B710B"/>
    <w:rsid w:val="004B71AA"/>
    <w:rsid w:val="004C050E"/>
    <w:rsid w:val="004C136A"/>
    <w:rsid w:val="004C1948"/>
    <w:rsid w:val="004C23BC"/>
    <w:rsid w:val="004C470D"/>
    <w:rsid w:val="004C5040"/>
    <w:rsid w:val="004C50F3"/>
    <w:rsid w:val="004C521A"/>
    <w:rsid w:val="004C64F6"/>
    <w:rsid w:val="004C66DA"/>
    <w:rsid w:val="004C7761"/>
    <w:rsid w:val="004C7892"/>
    <w:rsid w:val="004D067A"/>
    <w:rsid w:val="004D0914"/>
    <w:rsid w:val="004D1993"/>
    <w:rsid w:val="004D21A5"/>
    <w:rsid w:val="004D267A"/>
    <w:rsid w:val="004D50FB"/>
    <w:rsid w:val="004D64E2"/>
    <w:rsid w:val="004D6E0E"/>
    <w:rsid w:val="004D7781"/>
    <w:rsid w:val="004E0BD5"/>
    <w:rsid w:val="004E0E73"/>
    <w:rsid w:val="004E113A"/>
    <w:rsid w:val="004E1E07"/>
    <w:rsid w:val="004E2391"/>
    <w:rsid w:val="004E3009"/>
    <w:rsid w:val="004E3641"/>
    <w:rsid w:val="004E4135"/>
    <w:rsid w:val="004E67B8"/>
    <w:rsid w:val="004E6CF7"/>
    <w:rsid w:val="004F01EF"/>
    <w:rsid w:val="004F12D2"/>
    <w:rsid w:val="004F18BD"/>
    <w:rsid w:val="004F2750"/>
    <w:rsid w:val="004F320D"/>
    <w:rsid w:val="004F36BC"/>
    <w:rsid w:val="004F3734"/>
    <w:rsid w:val="004F3947"/>
    <w:rsid w:val="004F4335"/>
    <w:rsid w:val="004F4828"/>
    <w:rsid w:val="004F4839"/>
    <w:rsid w:val="004F5865"/>
    <w:rsid w:val="004F5941"/>
    <w:rsid w:val="004F6A64"/>
    <w:rsid w:val="004F6E12"/>
    <w:rsid w:val="004F7A83"/>
    <w:rsid w:val="004F7A90"/>
    <w:rsid w:val="00500B34"/>
    <w:rsid w:val="00501E5E"/>
    <w:rsid w:val="00503997"/>
    <w:rsid w:val="00503A38"/>
    <w:rsid w:val="00503AD2"/>
    <w:rsid w:val="005049BC"/>
    <w:rsid w:val="00506409"/>
    <w:rsid w:val="00506519"/>
    <w:rsid w:val="00506E73"/>
    <w:rsid w:val="00506FD5"/>
    <w:rsid w:val="00507250"/>
    <w:rsid w:val="00507341"/>
    <w:rsid w:val="00510936"/>
    <w:rsid w:val="0051182D"/>
    <w:rsid w:val="0051296B"/>
    <w:rsid w:val="00514C87"/>
    <w:rsid w:val="005156BE"/>
    <w:rsid w:val="00516AE8"/>
    <w:rsid w:val="005171D6"/>
    <w:rsid w:val="00521820"/>
    <w:rsid w:val="00521A9B"/>
    <w:rsid w:val="00521D13"/>
    <w:rsid w:val="00522582"/>
    <w:rsid w:val="00522E47"/>
    <w:rsid w:val="005235EA"/>
    <w:rsid w:val="00523F5E"/>
    <w:rsid w:val="0052437B"/>
    <w:rsid w:val="00524B2D"/>
    <w:rsid w:val="00524BAB"/>
    <w:rsid w:val="00524FF7"/>
    <w:rsid w:val="0052500F"/>
    <w:rsid w:val="00526624"/>
    <w:rsid w:val="0052696C"/>
    <w:rsid w:val="00530660"/>
    <w:rsid w:val="00530768"/>
    <w:rsid w:val="005308D2"/>
    <w:rsid w:val="00530B42"/>
    <w:rsid w:val="00530EFE"/>
    <w:rsid w:val="00531097"/>
    <w:rsid w:val="005315FC"/>
    <w:rsid w:val="005323D3"/>
    <w:rsid w:val="00532A92"/>
    <w:rsid w:val="0053324A"/>
    <w:rsid w:val="00533293"/>
    <w:rsid w:val="00534592"/>
    <w:rsid w:val="00535435"/>
    <w:rsid w:val="005363A1"/>
    <w:rsid w:val="005373BC"/>
    <w:rsid w:val="00537505"/>
    <w:rsid w:val="00540C19"/>
    <w:rsid w:val="00540C65"/>
    <w:rsid w:val="005443F3"/>
    <w:rsid w:val="00544683"/>
    <w:rsid w:val="00545795"/>
    <w:rsid w:val="00546C9C"/>
    <w:rsid w:val="00550F34"/>
    <w:rsid w:val="005512A6"/>
    <w:rsid w:val="00551C55"/>
    <w:rsid w:val="00552329"/>
    <w:rsid w:val="00552AEB"/>
    <w:rsid w:val="00553A60"/>
    <w:rsid w:val="00553EAC"/>
    <w:rsid w:val="0055441E"/>
    <w:rsid w:val="005545A1"/>
    <w:rsid w:val="005555DF"/>
    <w:rsid w:val="005621F8"/>
    <w:rsid w:val="00563BB2"/>
    <w:rsid w:val="0056442D"/>
    <w:rsid w:val="00566F7A"/>
    <w:rsid w:val="005701E4"/>
    <w:rsid w:val="00570255"/>
    <w:rsid w:val="0057047A"/>
    <w:rsid w:val="005704ED"/>
    <w:rsid w:val="005709DC"/>
    <w:rsid w:val="00571E28"/>
    <w:rsid w:val="00572812"/>
    <w:rsid w:val="00572E54"/>
    <w:rsid w:val="005731B2"/>
    <w:rsid w:val="0057394E"/>
    <w:rsid w:val="00573FCA"/>
    <w:rsid w:val="00574E9A"/>
    <w:rsid w:val="00575506"/>
    <w:rsid w:val="00575731"/>
    <w:rsid w:val="00575D0F"/>
    <w:rsid w:val="00575DE9"/>
    <w:rsid w:val="00576995"/>
    <w:rsid w:val="005775AF"/>
    <w:rsid w:val="005775EC"/>
    <w:rsid w:val="00581E83"/>
    <w:rsid w:val="0058239F"/>
    <w:rsid w:val="00582AFF"/>
    <w:rsid w:val="005833F6"/>
    <w:rsid w:val="005838F2"/>
    <w:rsid w:val="00585935"/>
    <w:rsid w:val="00586F35"/>
    <w:rsid w:val="0058777F"/>
    <w:rsid w:val="00587996"/>
    <w:rsid w:val="00587A96"/>
    <w:rsid w:val="00587AE6"/>
    <w:rsid w:val="00587FE3"/>
    <w:rsid w:val="00591940"/>
    <w:rsid w:val="005920AA"/>
    <w:rsid w:val="00592A26"/>
    <w:rsid w:val="00592C62"/>
    <w:rsid w:val="00592F04"/>
    <w:rsid w:val="00594465"/>
    <w:rsid w:val="005951C8"/>
    <w:rsid w:val="00595D10"/>
    <w:rsid w:val="00595ED7"/>
    <w:rsid w:val="005A1158"/>
    <w:rsid w:val="005A2277"/>
    <w:rsid w:val="005A4DE8"/>
    <w:rsid w:val="005A4FD4"/>
    <w:rsid w:val="005A640D"/>
    <w:rsid w:val="005A6F39"/>
    <w:rsid w:val="005A7EA8"/>
    <w:rsid w:val="005B0354"/>
    <w:rsid w:val="005B1E80"/>
    <w:rsid w:val="005B2CC8"/>
    <w:rsid w:val="005B2CCC"/>
    <w:rsid w:val="005B3C57"/>
    <w:rsid w:val="005B50D3"/>
    <w:rsid w:val="005B55BE"/>
    <w:rsid w:val="005B5CE4"/>
    <w:rsid w:val="005B73F0"/>
    <w:rsid w:val="005B7CEF"/>
    <w:rsid w:val="005C0478"/>
    <w:rsid w:val="005C22B7"/>
    <w:rsid w:val="005C3060"/>
    <w:rsid w:val="005C42EA"/>
    <w:rsid w:val="005C5DAE"/>
    <w:rsid w:val="005C6B1A"/>
    <w:rsid w:val="005C705E"/>
    <w:rsid w:val="005C7A7D"/>
    <w:rsid w:val="005D0020"/>
    <w:rsid w:val="005D0458"/>
    <w:rsid w:val="005D0482"/>
    <w:rsid w:val="005D181D"/>
    <w:rsid w:val="005D464C"/>
    <w:rsid w:val="005E015C"/>
    <w:rsid w:val="005E07A5"/>
    <w:rsid w:val="005E0CA0"/>
    <w:rsid w:val="005E1965"/>
    <w:rsid w:val="005E1A9F"/>
    <w:rsid w:val="005E280B"/>
    <w:rsid w:val="005E29B6"/>
    <w:rsid w:val="005E2A7E"/>
    <w:rsid w:val="005E3791"/>
    <w:rsid w:val="005E3F63"/>
    <w:rsid w:val="005E4908"/>
    <w:rsid w:val="005E540F"/>
    <w:rsid w:val="005E5EEF"/>
    <w:rsid w:val="005F05CF"/>
    <w:rsid w:val="005F0B2C"/>
    <w:rsid w:val="005F13A3"/>
    <w:rsid w:val="005F175D"/>
    <w:rsid w:val="005F17E9"/>
    <w:rsid w:val="005F2050"/>
    <w:rsid w:val="005F443F"/>
    <w:rsid w:val="005F4BD8"/>
    <w:rsid w:val="005F65FD"/>
    <w:rsid w:val="005F68A2"/>
    <w:rsid w:val="005F75C3"/>
    <w:rsid w:val="00600449"/>
    <w:rsid w:val="00601A47"/>
    <w:rsid w:val="006039AE"/>
    <w:rsid w:val="00605DDC"/>
    <w:rsid w:val="006060C0"/>
    <w:rsid w:val="00606E8B"/>
    <w:rsid w:val="00607CDE"/>
    <w:rsid w:val="00610513"/>
    <w:rsid w:val="00612E0A"/>
    <w:rsid w:val="00613219"/>
    <w:rsid w:val="006133CA"/>
    <w:rsid w:val="00614429"/>
    <w:rsid w:val="0061490B"/>
    <w:rsid w:val="00615B24"/>
    <w:rsid w:val="00615D25"/>
    <w:rsid w:val="0061670D"/>
    <w:rsid w:val="0061748E"/>
    <w:rsid w:val="00617B9D"/>
    <w:rsid w:val="006205DD"/>
    <w:rsid w:val="00622AD9"/>
    <w:rsid w:val="00622DF5"/>
    <w:rsid w:val="006233D1"/>
    <w:rsid w:val="00625748"/>
    <w:rsid w:val="006268C8"/>
    <w:rsid w:val="0062779B"/>
    <w:rsid w:val="00630981"/>
    <w:rsid w:val="00630AB3"/>
    <w:rsid w:val="00631276"/>
    <w:rsid w:val="0063176C"/>
    <w:rsid w:val="006333E7"/>
    <w:rsid w:val="00633ABB"/>
    <w:rsid w:val="0063406C"/>
    <w:rsid w:val="0063468C"/>
    <w:rsid w:val="00635E1D"/>
    <w:rsid w:val="00636327"/>
    <w:rsid w:val="006374F8"/>
    <w:rsid w:val="0064072E"/>
    <w:rsid w:val="006409A8"/>
    <w:rsid w:val="0064126D"/>
    <w:rsid w:val="00641A13"/>
    <w:rsid w:val="00642227"/>
    <w:rsid w:val="00642897"/>
    <w:rsid w:val="00643576"/>
    <w:rsid w:val="00644624"/>
    <w:rsid w:val="0064464E"/>
    <w:rsid w:val="00645925"/>
    <w:rsid w:val="0064615B"/>
    <w:rsid w:val="0064698A"/>
    <w:rsid w:val="00647D0D"/>
    <w:rsid w:val="00650A17"/>
    <w:rsid w:val="00650CCF"/>
    <w:rsid w:val="00650EE2"/>
    <w:rsid w:val="00650FFF"/>
    <w:rsid w:val="0065129D"/>
    <w:rsid w:val="00653C2E"/>
    <w:rsid w:val="00653D01"/>
    <w:rsid w:val="006545EF"/>
    <w:rsid w:val="00656961"/>
    <w:rsid w:val="00657F7D"/>
    <w:rsid w:val="006610B9"/>
    <w:rsid w:val="006612A1"/>
    <w:rsid w:val="006618C8"/>
    <w:rsid w:val="006622EB"/>
    <w:rsid w:val="006623D5"/>
    <w:rsid w:val="0066242F"/>
    <w:rsid w:val="0066289E"/>
    <w:rsid w:val="00662B5A"/>
    <w:rsid w:val="00662D68"/>
    <w:rsid w:val="006631B3"/>
    <w:rsid w:val="0066352D"/>
    <w:rsid w:val="00667F4E"/>
    <w:rsid w:val="00667F79"/>
    <w:rsid w:val="00670AE1"/>
    <w:rsid w:val="00670CC9"/>
    <w:rsid w:val="00670F40"/>
    <w:rsid w:val="00671034"/>
    <w:rsid w:val="00671262"/>
    <w:rsid w:val="00673536"/>
    <w:rsid w:val="0067419C"/>
    <w:rsid w:val="0067582C"/>
    <w:rsid w:val="00676BF6"/>
    <w:rsid w:val="00680190"/>
    <w:rsid w:val="00685177"/>
    <w:rsid w:val="00685726"/>
    <w:rsid w:val="00686C17"/>
    <w:rsid w:val="00690010"/>
    <w:rsid w:val="0069154F"/>
    <w:rsid w:val="006922E3"/>
    <w:rsid w:val="00692E95"/>
    <w:rsid w:val="00693090"/>
    <w:rsid w:val="0069327C"/>
    <w:rsid w:val="00695872"/>
    <w:rsid w:val="00695FA8"/>
    <w:rsid w:val="00696B8B"/>
    <w:rsid w:val="006A0977"/>
    <w:rsid w:val="006A10D6"/>
    <w:rsid w:val="006A1540"/>
    <w:rsid w:val="006A198C"/>
    <w:rsid w:val="006A2C1D"/>
    <w:rsid w:val="006A2F4A"/>
    <w:rsid w:val="006A32DA"/>
    <w:rsid w:val="006A3CCB"/>
    <w:rsid w:val="006A416B"/>
    <w:rsid w:val="006A46A7"/>
    <w:rsid w:val="006A4B7B"/>
    <w:rsid w:val="006A7188"/>
    <w:rsid w:val="006B02FD"/>
    <w:rsid w:val="006B03D1"/>
    <w:rsid w:val="006B0DF6"/>
    <w:rsid w:val="006B154F"/>
    <w:rsid w:val="006B19D0"/>
    <w:rsid w:val="006B1B94"/>
    <w:rsid w:val="006B20C8"/>
    <w:rsid w:val="006B345F"/>
    <w:rsid w:val="006B3B29"/>
    <w:rsid w:val="006B3CFB"/>
    <w:rsid w:val="006B43D4"/>
    <w:rsid w:val="006B4A6D"/>
    <w:rsid w:val="006B5E3F"/>
    <w:rsid w:val="006B61C7"/>
    <w:rsid w:val="006B674A"/>
    <w:rsid w:val="006B7AA1"/>
    <w:rsid w:val="006C07AA"/>
    <w:rsid w:val="006C4052"/>
    <w:rsid w:val="006C4B36"/>
    <w:rsid w:val="006C4BA4"/>
    <w:rsid w:val="006C4F50"/>
    <w:rsid w:val="006C56DE"/>
    <w:rsid w:val="006C67AB"/>
    <w:rsid w:val="006C7ADC"/>
    <w:rsid w:val="006D12CA"/>
    <w:rsid w:val="006D1467"/>
    <w:rsid w:val="006D382A"/>
    <w:rsid w:val="006D5469"/>
    <w:rsid w:val="006D7BFE"/>
    <w:rsid w:val="006E1DBD"/>
    <w:rsid w:val="006E1FF4"/>
    <w:rsid w:val="006E32EE"/>
    <w:rsid w:val="006E3935"/>
    <w:rsid w:val="006E3D1A"/>
    <w:rsid w:val="006E3D76"/>
    <w:rsid w:val="006E4978"/>
    <w:rsid w:val="006E4F94"/>
    <w:rsid w:val="006E5706"/>
    <w:rsid w:val="006E60CE"/>
    <w:rsid w:val="006E76F6"/>
    <w:rsid w:val="006E7B81"/>
    <w:rsid w:val="006F05EC"/>
    <w:rsid w:val="006F0959"/>
    <w:rsid w:val="006F0E63"/>
    <w:rsid w:val="006F1C38"/>
    <w:rsid w:val="006F22C1"/>
    <w:rsid w:val="006F259E"/>
    <w:rsid w:val="006F340F"/>
    <w:rsid w:val="006F341E"/>
    <w:rsid w:val="006F51C7"/>
    <w:rsid w:val="006F5AB3"/>
    <w:rsid w:val="006F6022"/>
    <w:rsid w:val="00700BEF"/>
    <w:rsid w:val="007014B3"/>
    <w:rsid w:val="0070263B"/>
    <w:rsid w:val="00702BC4"/>
    <w:rsid w:val="00702C6F"/>
    <w:rsid w:val="00704FCA"/>
    <w:rsid w:val="0070675A"/>
    <w:rsid w:val="0070760A"/>
    <w:rsid w:val="00712D9E"/>
    <w:rsid w:val="00713C0A"/>
    <w:rsid w:val="0071652F"/>
    <w:rsid w:val="00716A14"/>
    <w:rsid w:val="0071718E"/>
    <w:rsid w:val="00720378"/>
    <w:rsid w:val="00727871"/>
    <w:rsid w:val="007311A5"/>
    <w:rsid w:val="00731DD9"/>
    <w:rsid w:val="00731FF0"/>
    <w:rsid w:val="007324F2"/>
    <w:rsid w:val="00732A0D"/>
    <w:rsid w:val="00734957"/>
    <w:rsid w:val="0073500A"/>
    <w:rsid w:val="007355C7"/>
    <w:rsid w:val="00735FD2"/>
    <w:rsid w:val="00742242"/>
    <w:rsid w:val="007428D5"/>
    <w:rsid w:val="007433D5"/>
    <w:rsid w:val="00743AEC"/>
    <w:rsid w:val="00743E13"/>
    <w:rsid w:val="0074418D"/>
    <w:rsid w:val="00744B6C"/>
    <w:rsid w:val="00745EAB"/>
    <w:rsid w:val="00746348"/>
    <w:rsid w:val="00747AAD"/>
    <w:rsid w:val="00750787"/>
    <w:rsid w:val="007508D9"/>
    <w:rsid w:val="00750AA6"/>
    <w:rsid w:val="00751A9C"/>
    <w:rsid w:val="00751CFD"/>
    <w:rsid w:val="007528FE"/>
    <w:rsid w:val="0075314F"/>
    <w:rsid w:val="007536CB"/>
    <w:rsid w:val="00753CD6"/>
    <w:rsid w:val="00755785"/>
    <w:rsid w:val="00762688"/>
    <w:rsid w:val="00762840"/>
    <w:rsid w:val="00762AFA"/>
    <w:rsid w:val="00763DCA"/>
    <w:rsid w:val="007640B4"/>
    <w:rsid w:val="007643CE"/>
    <w:rsid w:val="00764688"/>
    <w:rsid w:val="00764E82"/>
    <w:rsid w:val="00764F62"/>
    <w:rsid w:val="00764F7D"/>
    <w:rsid w:val="00766AA3"/>
    <w:rsid w:val="00767DD4"/>
    <w:rsid w:val="00770115"/>
    <w:rsid w:val="0077056A"/>
    <w:rsid w:val="00770B5C"/>
    <w:rsid w:val="00770C25"/>
    <w:rsid w:val="00770FAC"/>
    <w:rsid w:val="007714B5"/>
    <w:rsid w:val="0077327D"/>
    <w:rsid w:val="00773281"/>
    <w:rsid w:val="00773381"/>
    <w:rsid w:val="00773CD3"/>
    <w:rsid w:val="00774961"/>
    <w:rsid w:val="00774BBD"/>
    <w:rsid w:val="00775268"/>
    <w:rsid w:val="00775824"/>
    <w:rsid w:val="007760A1"/>
    <w:rsid w:val="00777936"/>
    <w:rsid w:val="00777AAA"/>
    <w:rsid w:val="00780754"/>
    <w:rsid w:val="0078098B"/>
    <w:rsid w:val="00780BC5"/>
    <w:rsid w:val="00781645"/>
    <w:rsid w:val="00783177"/>
    <w:rsid w:val="00783F4B"/>
    <w:rsid w:val="0078478B"/>
    <w:rsid w:val="00785472"/>
    <w:rsid w:val="00787451"/>
    <w:rsid w:val="00790405"/>
    <w:rsid w:val="00790654"/>
    <w:rsid w:val="00790D8A"/>
    <w:rsid w:val="007927AB"/>
    <w:rsid w:val="0079285C"/>
    <w:rsid w:val="007939E7"/>
    <w:rsid w:val="00794077"/>
    <w:rsid w:val="00796024"/>
    <w:rsid w:val="007A0840"/>
    <w:rsid w:val="007A19B2"/>
    <w:rsid w:val="007A1FC0"/>
    <w:rsid w:val="007A3724"/>
    <w:rsid w:val="007A3A76"/>
    <w:rsid w:val="007A474D"/>
    <w:rsid w:val="007A4AA6"/>
    <w:rsid w:val="007A58AB"/>
    <w:rsid w:val="007A5E60"/>
    <w:rsid w:val="007A6AD1"/>
    <w:rsid w:val="007B0B7C"/>
    <w:rsid w:val="007B1095"/>
    <w:rsid w:val="007B10BC"/>
    <w:rsid w:val="007B184F"/>
    <w:rsid w:val="007B1F98"/>
    <w:rsid w:val="007B2847"/>
    <w:rsid w:val="007B2C3D"/>
    <w:rsid w:val="007B3B4E"/>
    <w:rsid w:val="007B499D"/>
    <w:rsid w:val="007B4B55"/>
    <w:rsid w:val="007B550D"/>
    <w:rsid w:val="007B694C"/>
    <w:rsid w:val="007B7218"/>
    <w:rsid w:val="007C0F1C"/>
    <w:rsid w:val="007C0FF1"/>
    <w:rsid w:val="007C1BEB"/>
    <w:rsid w:val="007C1EF1"/>
    <w:rsid w:val="007C2B76"/>
    <w:rsid w:val="007C386A"/>
    <w:rsid w:val="007C3D79"/>
    <w:rsid w:val="007C518E"/>
    <w:rsid w:val="007C5505"/>
    <w:rsid w:val="007D05C6"/>
    <w:rsid w:val="007D282A"/>
    <w:rsid w:val="007D2E31"/>
    <w:rsid w:val="007D3F65"/>
    <w:rsid w:val="007D3FF7"/>
    <w:rsid w:val="007D5668"/>
    <w:rsid w:val="007D5980"/>
    <w:rsid w:val="007D5B96"/>
    <w:rsid w:val="007D6E9C"/>
    <w:rsid w:val="007D7E35"/>
    <w:rsid w:val="007E1126"/>
    <w:rsid w:val="007E16F7"/>
    <w:rsid w:val="007E1F93"/>
    <w:rsid w:val="007E2BF6"/>
    <w:rsid w:val="007E4490"/>
    <w:rsid w:val="007E4645"/>
    <w:rsid w:val="007E4E2D"/>
    <w:rsid w:val="007E5A44"/>
    <w:rsid w:val="007E7F6B"/>
    <w:rsid w:val="007F190F"/>
    <w:rsid w:val="007F2005"/>
    <w:rsid w:val="007F2445"/>
    <w:rsid w:val="007F24E7"/>
    <w:rsid w:val="007F398D"/>
    <w:rsid w:val="007F401D"/>
    <w:rsid w:val="007F47C4"/>
    <w:rsid w:val="007F4B94"/>
    <w:rsid w:val="007F4BFE"/>
    <w:rsid w:val="007F4F53"/>
    <w:rsid w:val="007F65F8"/>
    <w:rsid w:val="007F6D72"/>
    <w:rsid w:val="007F7335"/>
    <w:rsid w:val="007F75BE"/>
    <w:rsid w:val="008013C0"/>
    <w:rsid w:val="00801BA1"/>
    <w:rsid w:val="00802620"/>
    <w:rsid w:val="00802871"/>
    <w:rsid w:val="0080399C"/>
    <w:rsid w:val="00803B6E"/>
    <w:rsid w:val="00803EB5"/>
    <w:rsid w:val="0080419E"/>
    <w:rsid w:val="008043AF"/>
    <w:rsid w:val="00804ED2"/>
    <w:rsid w:val="0080549B"/>
    <w:rsid w:val="00805F5D"/>
    <w:rsid w:val="00806174"/>
    <w:rsid w:val="008078EC"/>
    <w:rsid w:val="00807C77"/>
    <w:rsid w:val="00810010"/>
    <w:rsid w:val="00810566"/>
    <w:rsid w:val="00811378"/>
    <w:rsid w:val="00812E80"/>
    <w:rsid w:val="00813AA8"/>
    <w:rsid w:val="00815FED"/>
    <w:rsid w:val="00817208"/>
    <w:rsid w:val="00817708"/>
    <w:rsid w:val="00817FE8"/>
    <w:rsid w:val="00820018"/>
    <w:rsid w:val="00820B9B"/>
    <w:rsid w:val="00820E76"/>
    <w:rsid w:val="00823136"/>
    <w:rsid w:val="0082578A"/>
    <w:rsid w:val="00830EFC"/>
    <w:rsid w:val="00831018"/>
    <w:rsid w:val="0083113B"/>
    <w:rsid w:val="00834749"/>
    <w:rsid w:val="00834F5A"/>
    <w:rsid w:val="00835B03"/>
    <w:rsid w:val="00835B6F"/>
    <w:rsid w:val="00836AA5"/>
    <w:rsid w:val="00837ADC"/>
    <w:rsid w:val="00840573"/>
    <w:rsid w:val="00840761"/>
    <w:rsid w:val="00840FC5"/>
    <w:rsid w:val="00841C94"/>
    <w:rsid w:val="00844200"/>
    <w:rsid w:val="00844BA5"/>
    <w:rsid w:val="0084508B"/>
    <w:rsid w:val="008453BE"/>
    <w:rsid w:val="00845A94"/>
    <w:rsid w:val="00846950"/>
    <w:rsid w:val="008504BA"/>
    <w:rsid w:val="008515C8"/>
    <w:rsid w:val="00852013"/>
    <w:rsid w:val="008521E8"/>
    <w:rsid w:val="00852A18"/>
    <w:rsid w:val="008530B8"/>
    <w:rsid w:val="008531CE"/>
    <w:rsid w:val="008532AC"/>
    <w:rsid w:val="008538C4"/>
    <w:rsid w:val="00856A18"/>
    <w:rsid w:val="00856E70"/>
    <w:rsid w:val="00856ECC"/>
    <w:rsid w:val="0086002C"/>
    <w:rsid w:val="008602BA"/>
    <w:rsid w:val="008606BD"/>
    <w:rsid w:val="00860C8B"/>
    <w:rsid w:val="00861756"/>
    <w:rsid w:val="00861E4D"/>
    <w:rsid w:val="0086395C"/>
    <w:rsid w:val="00863C30"/>
    <w:rsid w:val="00864928"/>
    <w:rsid w:val="00865021"/>
    <w:rsid w:val="0086611A"/>
    <w:rsid w:val="00866154"/>
    <w:rsid w:val="00866BF1"/>
    <w:rsid w:val="00870135"/>
    <w:rsid w:val="008707FD"/>
    <w:rsid w:val="00870FE7"/>
    <w:rsid w:val="00871156"/>
    <w:rsid w:val="00871C73"/>
    <w:rsid w:val="00872E4C"/>
    <w:rsid w:val="00873F93"/>
    <w:rsid w:val="008753D0"/>
    <w:rsid w:val="00877742"/>
    <w:rsid w:val="008779FF"/>
    <w:rsid w:val="00881915"/>
    <w:rsid w:val="0088258D"/>
    <w:rsid w:val="008828D9"/>
    <w:rsid w:val="00883E5F"/>
    <w:rsid w:val="00885070"/>
    <w:rsid w:val="0088539C"/>
    <w:rsid w:val="00885EE5"/>
    <w:rsid w:val="0088630B"/>
    <w:rsid w:val="00887196"/>
    <w:rsid w:val="008906BE"/>
    <w:rsid w:val="0089118F"/>
    <w:rsid w:val="00891245"/>
    <w:rsid w:val="00891D55"/>
    <w:rsid w:val="00892207"/>
    <w:rsid w:val="008923B0"/>
    <w:rsid w:val="00893ABD"/>
    <w:rsid w:val="008941FE"/>
    <w:rsid w:val="00895B3E"/>
    <w:rsid w:val="008969F1"/>
    <w:rsid w:val="00896EC5"/>
    <w:rsid w:val="008975D1"/>
    <w:rsid w:val="008A0F17"/>
    <w:rsid w:val="008A11F7"/>
    <w:rsid w:val="008A176D"/>
    <w:rsid w:val="008A1B96"/>
    <w:rsid w:val="008A38B5"/>
    <w:rsid w:val="008A423C"/>
    <w:rsid w:val="008A43F3"/>
    <w:rsid w:val="008A578C"/>
    <w:rsid w:val="008A5DC9"/>
    <w:rsid w:val="008A77B3"/>
    <w:rsid w:val="008B094B"/>
    <w:rsid w:val="008B0E36"/>
    <w:rsid w:val="008B22AE"/>
    <w:rsid w:val="008B2BE7"/>
    <w:rsid w:val="008B2C4D"/>
    <w:rsid w:val="008B38EC"/>
    <w:rsid w:val="008B3A6F"/>
    <w:rsid w:val="008B4042"/>
    <w:rsid w:val="008B438C"/>
    <w:rsid w:val="008B6932"/>
    <w:rsid w:val="008B79C7"/>
    <w:rsid w:val="008C0B3D"/>
    <w:rsid w:val="008C2170"/>
    <w:rsid w:val="008C2EE7"/>
    <w:rsid w:val="008C4FEE"/>
    <w:rsid w:val="008C5436"/>
    <w:rsid w:val="008C5550"/>
    <w:rsid w:val="008C692A"/>
    <w:rsid w:val="008C7011"/>
    <w:rsid w:val="008C7533"/>
    <w:rsid w:val="008C7F68"/>
    <w:rsid w:val="008C7FDB"/>
    <w:rsid w:val="008D0264"/>
    <w:rsid w:val="008D02ED"/>
    <w:rsid w:val="008D1915"/>
    <w:rsid w:val="008D2237"/>
    <w:rsid w:val="008D353C"/>
    <w:rsid w:val="008D3998"/>
    <w:rsid w:val="008D4E70"/>
    <w:rsid w:val="008D54B4"/>
    <w:rsid w:val="008D5567"/>
    <w:rsid w:val="008D66C3"/>
    <w:rsid w:val="008D6CD7"/>
    <w:rsid w:val="008D6CDF"/>
    <w:rsid w:val="008D76F4"/>
    <w:rsid w:val="008D7B3E"/>
    <w:rsid w:val="008E03CE"/>
    <w:rsid w:val="008E0E79"/>
    <w:rsid w:val="008E0F08"/>
    <w:rsid w:val="008E1FFF"/>
    <w:rsid w:val="008E4647"/>
    <w:rsid w:val="008E4C46"/>
    <w:rsid w:val="008E5001"/>
    <w:rsid w:val="008F068D"/>
    <w:rsid w:val="008F28C0"/>
    <w:rsid w:val="008F3689"/>
    <w:rsid w:val="008F3C03"/>
    <w:rsid w:val="008F6234"/>
    <w:rsid w:val="00900A3C"/>
    <w:rsid w:val="00901205"/>
    <w:rsid w:val="009014BE"/>
    <w:rsid w:val="00901B72"/>
    <w:rsid w:val="0090283B"/>
    <w:rsid w:val="009031E4"/>
    <w:rsid w:val="00907D42"/>
    <w:rsid w:val="009105F2"/>
    <w:rsid w:val="0091095E"/>
    <w:rsid w:val="00911B07"/>
    <w:rsid w:val="00911D0D"/>
    <w:rsid w:val="009124B1"/>
    <w:rsid w:val="009125D5"/>
    <w:rsid w:val="009127EA"/>
    <w:rsid w:val="009131B2"/>
    <w:rsid w:val="00915869"/>
    <w:rsid w:val="00915949"/>
    <w:rsid w:val="009164E7"/>
    <w:rsid w:val="00916826"/>
    <w:rsid w:val="00917C87"/>
    <w:rsid w:val="009225D8"/>
    <w:rsid w:val="00922D6F"/>
    <w:rsid w:val="00923132"/>
    <w:rsid w:val="009235A0"/>
    <w:rsid w:val="00923FA8"/>
    <w:rsid w:val="009241AE"/>
    <w:rsid w:val="00924234"/>
    <w:rsid w:val="009250A4"/>
    <w:rsid w:val="0092612A"/>
    <w:rsid w:val="00926B76"/>
    <w:rsid w:val="00931B29"/>
    <w:rsid w:val="009321E1"/>
    <w:rsid w:val="00932582"/>
    <w:rsid w:val="00932B73"/>
    <w:rsid w:val="00933653"/>
    <w:rsid w:val="0093394C"/>
    <w:rsid w:val="00933B10"/>
    <w:rsid w:val="00941914"/>
    <w:rsid w:val="00942F12"/>
    <w:rsid w:val="00943F78"/>
    <w:rsid w:val="00944831"/>
    <w:rsid w:val="00944CCF"/>
    <w:rsid w:val="00945922"/>
    <w:rsid w:val="00946BCC"/>
    <w:rsid w:val="00947970"/>
    <w:rsid w:val="009500D2"/>
    <w:rsid w:val="009504B4"/>
    <w:rsid w:val="009504EB"/>
    <w:rsid w:val="00950527"/>
    <w:rsid w:val="00950839"/>
    <w:rsid w:val="00950FB2"/>
    <w:rsid w:val="009513FF"/>
    <w:rsid w:val="0095153C"/>
    <w:rsid w:val="0095255E"/>
    <w:rsid w:val="00952C7C"/>
    <w:rsid w:val="00953A64"/>
    <w:rsid w:val="00954565"/>
    <w:rsid w:val="009548BF"/>
    <w:rsid w:val="009568A8"/>
    <w:rsid w:val="00956B51"/>
    <w:rsid w:val="00956EC1"/>
    <w:rsid w:val="00957057"/>
    <w:rsid w:val="0095760C"/>
    <w:rsid w:val="009600E4"/>
    <w:rsid w:val="00961234"/>
    <w:rsid w:val="0096171F"/>
    <w:rsid w:val="00961DDF"/>
    <w:rsid w:val="0096223D"/>
    <w:rsid w:val="00962AC7"/>
    <w:rsid w:val="0096360F"/>
    <w:rsid w:val="0096369C"/>
    <w:rsid w:val="009648AA"/>
    <w:rsid w:val="00964BAA"/>
    <w:rsid w:val="00965EBC"/>
    <w:rsid w:val="0096622F"/>
    <w:rsid w:val="0096626F"/>
    <w:rsid w:val="00967608"/>
    <w:rsid w:val="00967E92"/>
    <w:rsid w:val="00970C6F"/>
    <w:rsid w:val="00971987"/>
    <w:rsid w:val="009727DF"/>
    <w:rsid w:val="00973218"/>
    <w:rsid w:val="00973CED"/>
    <w:rsid w:val="00973FFF"/>
    <w:rsid w:val="00975476"/>
    <w:rsid w:val="009772E5"/>
    <w:rsid w:val="00977A8C"/>
    <w:rsid w:val="009811D3"/>
    <w:rsid w:val="009821C9"/>
    <w:rsid w:val="00982B1B"/>
    <w:rsid w:val="0098422B"/>
    <w:rsid w:val="00985001"/>
    <w:rsid w:val="00985832"/>
    <w:rsid w:val="00987360"/>
    <w:rsid w:val="009900C2"/>
    <w:rsid w:val="00990126"/>
    <w:rsid w:val="00991C00"/>
    <w:rsid w:val="00992A51"/>
    <w:rsid w:val="00992F50"/>
    <w:rsid w:val="00993CC7"/>
    <w:rsid w:val="00994BF4"/>
    <w:rsid w:val="00994DCC"/>
    <w:rsid w:val="00995B7C"/>
    <w:rsid w:val="00997B80"/>
    <w:rsid w:val="009A0BEF"/>
    <w:rsid w:val="009A17C3"/>
    <w:rsid w:val="009A3B28"/>
    <w:rsid w:val="009A4436"/>
    <w:rsid w:val="009A4633"/>
    <w:rsid w:val="009A4B69"/>
    <w:rsid w:val="009A5F27"/>
    <w:rsid w:val="009A7317"/>
    <w:rsid w:val="009A7FB3"/>
    <w:rsid w:val="009B2AC4"/>
    <w:rsid w:val="009B34DF"/>
    <w:rsid w:val="009B4C6D"/>
    <w:rsid w:val="009B5196"/>
    <w:rsid w:val="009B571D"/>
    <w:rsid w:val="009B58E6"/>
    <w:rsid w:val="009B6237"/>
    <w:rsid w:val="009B6BEA"/>
    <w:rsid w:val="009B6E35"/>
    <w:rsid w:val="009B72DF"/>
    <w:rsid w:val="009C0D8A"/>
    <w:rsid w:val="009C1A18"/>
    <w:rsid w:val="009C4EBE"/>
    <w:rsid w:val="009C4FB5"/>
    <w:rsid w:val="009C5940"/>
    <w:rsid w:val="009C5DB8"/>
    <w:rsid w:val="009C67ED"/>
    <w:rsid w:val="009C6F1C"/>
    <w:rsid w:val="009C7AD7"/>
    <w:rsid w:val="009D0D90"/>
    <w:rsid w:val="009D1EB2"/>
    <w:rsid w:val="009D562C"/>
    <w:rsid w:val="009D5EA7"/>
    <w:rsid w:val="009D758D"/>
    <w:rsid w:val="009E0800"/>
    <w:rsid w:val="009E08B5"/>
    <w:rsid w:val="009E0E8D"/>
    <w:rsid w:val="009E0F63"/>
    <w:rsid w:val="009E11B4"/>
    <w:rsid w:val="009E1FE9"/>
    <w:rsid w:val="009E435B"/>
    <w:rsid w:val="009E443A"/>
    <w:rsid w:val="009E5920"/>
    <w:rsid w:val="009E5F9C"/>
    <w:rsid w:val="009E6C25"/>
    <w:rsid w:val="009E6EB7"/>
    <w:rsid w:val="009F01C5"/>
    <w:rsid w:val="009F05DB"/>
    <w:rsid w:val="009F08DC"/>
    <w:rsid w:val="009F0F6F"/>
    <w:rsid w:val="009F15B4"/>
    <w:rsid w:val="009F365C"/>
    <w:rsid w:val="009F3F01"/>
    <w:rsid w:val="009F50B2"/>
    <w:rsid w:val="009F5B0D"/>
    <w:rsid w:val="009F686E"/>
    <w:rsid w:val="009F691A"/>
    <w:rsid w:val="009F73F1"/>
    <w:rsid w:val="00A00389"/>
    <w:rsid w:val="00A01272"/>
    <w:rsid w:val="00A01494"/>
    <w:rsid w:val="00A017BE"/>
    <w:rsid w:val="00A022EB"/>
    <w:rsid w:val="00A03085"/>
    <w:rsid w:val="00A0341B"/>
    <w:rsid w:val="00A03FFA"/>
    <w:rsid w:val="00A04443"/>
    <w:rsid w:val="00A0622B"/>
    <w:rsid w:val="00A06872"/>
    <w:rsid w:val="00A0761E"/>
    <w:rsid w:val="00A0781B"/>
    <w:rsid w:val="00A10B66"/>
    <w:rsid w:val="00A1152C"/>
    <w:rsid w:val="00A14119"/>
    <w:rsid w:val="00A143F2"/>
    <w:rsid w:val="00A14D58"/>
    <w:rsid w:val="00A15D0B"/>
    <w:rsid w:val="00A16956"/>
    <w:rsid w:val="00A16DFD"/>
    <w:rsid w:val="00A17F91"/>
    <w:rsid w:val="00A2030B"/>
    <w:rsid w:val="00A20AEC"/>
    <w:rsid w:val="00A20D35"/>
    <w:rsid w:val="00A21416"/>
    <w:rsid w:val="00A216A7"/>
    <w:rsid w:val="00A22C34"/>
    <w:rsid w:val="00A23BCA"/>
    <w:rsid w:val="00A24E81"/>
    <w:rsid w:val="00A25A00"/>
    <w:rsid w:val="00A25B0D"/>
    <w:rsid w:val="00A260EC"/>
    <w:rsid w:val="00A26191"/>
    <w:rsid w:val="00A26A39"/>
    <w:rsid w:val="00A279C5"/>
    <w:rsid w:val="00A30061"/>
    <w:rsid w:val="00A30C4D"/>
    <w:rsid w:val="00A30DD0"/>
    <w:rsid w:val="00A33A52"/>
    <w:rsid w:val="00A34423"/>
    <w:rsid w:val="00A35625"/>
    <w:rsid w:val="00A415D5"/>
    <w:rsid w:val="00A42E1D"/>
    <w:rsid w:val="00A44161"/>
    <w:rsid w:val="00A445D3"/>
    <w:rsid w:val="00A445FB"/>
    <w:rsid w:val="00A44AB9"/>
    <w:rsid w:val="00A46646"/>
    <w:rsid w:val="00A46AE4"/>
    <w:rsid w:val="00A47E49"/>
    <w:rsid w:val="00A50614"/>
    <w:rsid w:val="00A50FDB"/>
    <w:rsid w:val="00A52F3A"/>
    <w:rsid w:val="00A54427"/>
    <w:rsid w:val="00A5501E"/>
    <w:rsid w:val="00A5506F"/>
    <w:rsid w:val="00A551FD"/>
    <w:rsid w:val="00A55539"/>
    <w:rsid w:val="00A56EEA"/>
    <w:rsid w:val="00A570C5"/>
    <w:rsid w:val="00A57724"/>
    <w:rsid w:val="00A57B9A"/>
    <w:rsid w:val="00A6159B"/>
    <w:rsid w:val="00A61886"/>
    <w:rsid w:val="00A618E9"/>
    <w:rsid w:val="00A63536"/>
    <w:rsid w:val="00A63587"/>
    <w:rsid w:val="00A709F9"/>
    <w:rsid w:val="00A70BDD"/>
    <w:rsid w:val="00A70CE3"/>
    <w:rsid w:val="00A7310D"/>
    <w:rsid w:val="00A73154"/>
    <w:rsid w:val="00A73836"/>
    <w:rsid w:val="00A73C0A"/>
    <w:rsid w:val="00A75D94"/>
    <w:rsid w:val="00A77074"/>
    <w:rsid w:val="00A802DB"/>
    <w:rsid w:val="00A80464"/>
    <w:rsid w:val="00A80C67"/>
    <w:rsid w:val="00A80F89"/>
    <w:rsid w:val="00A8395F"/>
    <w:rsid w:val="00A83A37"/>
    <w:rsid w:val="00A83C57"/>
    <w:rsid w:val="00A849CF"/>
    <w:rsid w:val="00A84B9B"/>
    <w:rsid w:val="00A856B7"/>
    <w:rsid w:val="00A86486"/>
    <w:rsid w:val="00A87090"/>
    <w:rsid w:val="00A876A3"/>
    <w:rsid w:val="00A87B41"/>
    <w:rsid w:val="00A9006A"/>
    <w:rsid w:val="00A902A3"/>
    <w:rsid w:val="00A90322"/>
    <w:rsid w:val="00A903C1"/>
    <w:rsid w:val="00A912B3"/>
    <w:rsid w:val="00A92ACF"/>
    <w:rsid w:val="00A93821"/>
    <w:rsid w:val="00A9582A"/>
    <w:rsid w:val="00A95B90"/>
    <w:rsid w:val="00A97B9B"/>
    <w:rsid w:val="00AA09B6"/>
    <w:rsid w:val="00AA0BD8"/>
    <w:rsid w:val="00AA107D"/>
    <w:rsid w:val="00AA1756"/>
    <w:rsid w:val="00AA18C4"/>
    <w:rsid w:val="00AA2E2F"/>
    <w:rsid w:val="00AA2E38"/>
    <w:rsid w:val="00AA3346"/>
    <w:rsid w:val="00AA39DA"/>
    <w:rsid w:val="00AA3A22"/>
    <w:rsid w:val="00AA41C4"/>
    <w:rsid w:val="00AA6115"/>
    <w:rsid w:val="00AA6B80"/>
    <w:rsid w:val="00AA7AEA"/>
    <w:rsid w:val="00AB214B"/>
    <w:rsid w:val="00AB2778"/>
    <w:rsid w:val="00AB2D0E"/>
    <w:rsid w:val="00AB2DF2"/>
    <w:rsid w:val="00AB2E88"/>
    <w:rsid w:val="00AB42B1"/>
    <w:rsid w:val="00AB531C"/>
    <w:rsid w:val="00AB739E"/>
    <w:rsid w:val="00AB79EE"/>
    <w:rsid w:val="00AB7BE1"/>
    <w:rsid w:val="00AC19B4"/>
    <w:rsid w:val="00AC4487"/>
    <w:rsid w:val="00AC5640"/>
    <w:rsid w:val="00AC65E3"/>
    <w:rsid w:val="00AD04E6"/>
    <w:rsid w:val="00AD0863"/>
    <w:rsid w:val="00AD0AE2"/>
    <w:rsid w:val="00AD5553"/>
    <w:rsid w:val="00AD5910"/>
    <w:rsid w:val="00AD65BB"/>
    <w:rsid w:val="00AD7114"/>
    <w:rsid w:val="00AD7342"/>
    <w:rsid w:val="00AD7D0F"/>
    <w:rsid w:val="00AD7D1D"/>
    <w:rsid w:val="00AE01B7"/>
    <w:rsid w:val="00AE0995"/>
    <w:rsid w:val="00AE0CF9"/>
    <w:rsid w:val="00AE18B1"/>
    <w:rsid w:val="00AE208E"/>
    <w:rsid w:val="00AE2266"/>
    <w:rsid w:val="00AE36FB"/>
    <w:rsid w:val="00AE375A"/>
    <w:rsid w:val="00AE43EE"/>
    <w:rsid w:val="00AE729D"/>
    <w:rsid w:val="00AE72D7"/>
    <w:rsid w:val="00AF00D0"/>
    <w:rsid w:val="00AF1019"/>
    <w:rsid w:val="00AF2C15"/>
    <w:rsid w:val="00AF3976"/>
    <w:rsid w:val="00AF468F"/>
    <w:rsid w:val="00AF4D03"/>
    <w:rsid w:val="00AF4FB5"/>
    <w:rsid w:val="00AF5026"/>
    <w:rsid w:val="00AF541E"/>
    <w:rsid w:val="00AF7738"/>
    <w:rsid w:val="00B001BB"/>
    <w:rsid w:val="00B01A39"/>
    <w:rsid w:val="00B03058"/>
    <w:rsid w:val="00B032AD"/>
    <w:rsid w:val="00B04BF2"/>
    <w:rsid w:val="00B04EB1"/>
    <w:rsid w:val="00B05A6F"/>
    <w:rsid w:val="00B10208"/>
    <w:rsid w:val="00B106A1"/>
    <w:rsid w:val="00B10A7A"/>
    <w:rsid w:val="00B11651"/>
    <w:rsid w:val="00B11B67"/>
    <w:rsid w:val="00B125AC"/>
    <w:rsid w:val="00B12A37"/>
    <w:rsid w:val="00B13294"/>
    <w:rsid w:val="00B143BE"/>
    <w:rsid w:val="00B14830"/>
    <w:rsid w:val="00B14D71"/>
    <w:rsid w:val="00B150D9"/>
    <w:rsid w:val="00B1548B"/>
    <w:rsid w:val="00B15BE8"/>
    <w:rsid w:val="00B15C4C"/>
    <w:rsid w:val="00B161DD"/>
    <w:rsid w:val="00B16484"/>
    <w:rsid w:val="00B168DE"/>
    <w:rsid w:val="00B17656"/>
    <w:rsid w:val="00B2318D"/>
    <w:rsid w:val="00B237E3"/>
    <w:rsid w:val="00B24313"/>
    <w:rsid w:val="00B24F9D"/>
    <w:rsid w:val="00B26A8B"/>
    <w:rsid w:val="00B27A1D"/>
    <w:rsid w:val="00B302D3"/>
    <w:rsid w:val="00B31B64"/>
    <w:rsid w:val="00B32435"/>
    <w:rsid w:val="00B32504"/>
    <w:rsid w:val="00B32D09"/>
    <w:rsid w:val="00B3318C"/>
    <w:rsid w:val="00B333AC"/>
    <w:rsid w:val="00B3418B"/>
    <w:rsid w:val="00B354BD"/>
    <w:rsid w:val="00B35759"/>
    <w:rsid w:val="00B359C6"/>
    <w:rsid w:val="00B35DFA"/>
    <w:rsid w:val="00B36C81"/>
    <w:rsid w:val="00B37D91"/>
    <w:rsid w:val="00B408BD"/>
    <w:rsid w:val="00B41B99"/>
    <w:rsid w:val="00B4227F"/>
    <w:rsid w:val="00B42E87"/>
    <w:rsid w:val="00B43BE4"/>
    <w:rsid w:val="00B43E1E"/>
    <w:rsid w:val="00B456AA"/>
    <w:rsid w:val="00B456C5"/>
    <w:rsid w:val="00B46CF9"/>
    <w:rsid w:val="00B47C25"/>
    <w:rsid w:val="00B508BE"/>
    <w:rsid w:val="00B514C5"/>
    <w:rsid w:val="00B52245"/>
    <w:rsid w:val="00B52860"/>
    <w:rsid w:val="00B556B9"/>
    <w:rsid w:val="00B56282"/>
    <w:rsid w:val="00B56286"/>
    <w:rsid w:val="00B5653B"/>
    <w:rsid w:val="00B577A1"/>
    <w:rsid w:val="00B57A5C"/>
    <w:rsid w:val="00B57C66"/>
    <w:rsid w:val="00B608B8"/>
    <w:rsid w:val="00B60BDA"/>
    <w:rsid w:val="00B6249D"/>
    <w:rsid w:val="00B6274E"/>
    <w:rsid w:val="00B62CA1"/>
    <w:rsid w:val="00B6354D"/>
    <w:rsid w:val="00B64871"/>
    <w:rsid w:val="00B65263"/>
    <w:rsid w:val="00B6564B"/>
    <w:rsid w:val="00B66278"/>
    <w:rsid w:val="00B66B4D"/>
    <w:rsid w:val="00B70068"/>
    <w:rsid w:val="00B703AA"/>
    <w:rsid w:val="00B7317D"/>
    <w:rsid w:val="00B7388B"/>
    <w:rsid w:val="00B73F80"/>
    <w:rsid w:val="00B74BC2"/>
    <w:rsid w:val="00B75820"/>
    <w:rsid w:val="00B7721D"/>
    <w:rsid w:val="00B776E9"/>
    <w:rsid w:val="00B77BC1"/>
    <w:rsid w:val="00B77BC7"/>
    <w:rsid w:val="00B80ADD"/>
    <w:rsid w:val="00B80CE4"/>
    <w:rsid w:val="00B81108"/>
    <w:rsid w:val="00B82FA4"/>
    <w:rsid w:val="00B830E7"/>
    <w:rsid w:val="00B83795"/>
    <w:rsid w:val="00B849F0"/>
    <w:rsid w:val="00B84FAE"/>
    <w:rsid w:val="00B8534A"/>
    <w:rsid w:val="00B87B01"/>
    <w:rsid w:val="00B9226B"/>
    <w:rsid w:val="00B93224"/>
    <w:rsid w:val="00B95728"/>
    <w:rsid w:val="00B95909"/>
    <w:rsid w:val="00B96A56"/>
    <w:rsid w:val="00B96C17"/>
    <w:rsid w:val="00B97FC4"/>
    <w:rsid w:val="00BA082A"/>
    <w:rsid w:val="00BA218A"/>
    <w:rsid w:val="00BA24F7"/>
    <w:rsid w:val="00BA3249"/>
    <w:rsid w:val="00BA338F"/>
    <w:rsid w:val="00BA5CB3"/>
    <w:rsid w:val="00BA600C"/>
    <w:rsid w:val="00BA632B"/>
    <w:rsid w:val="00BA6D5C"/>
    <w:rsid w:val="00BA7CB2"/>
    <w:rsid w:val="00BA7F37"/>
    <w:rsid w:val="00BB0E74"/>
    <w:rsid w:val="00BB107F"/>
    <w:rsid w:val="00BB1AB8"/>
    <w:rsid w:val="00BB1F4B"/>
    <w:rsid w:val="00BB254B"/>
    <w:rsid w:val="00BB2B14"/>
    <w:rsid w:val="00BB33B6"/>
    <w:rsid w:val="00BB3F7F"/>
    <w:rsid w:val="00BB742F"/>
    <w:rsid w:val="00BC023F"/>
    <w:rsid w:val="00BC072C"/>
    <w:rsid w:val="00BC09D6"/>
    <w:rsid w:val="00BC132A"/>
    <w:rsid w:val="00BC1B66"/>
    <w:rsid w:val="00BC3220"/>
    <w:rsid w:val="00BC3255"/>
    <w:rsid w:val="00BC469B"/>
    <w:rsid w:val="00BC4D7D"/>
    <w:rsid w:val="00BC5CB1"/>
    <w:rsid w:val="00BC6965"/>
    <w:rsid w:val="00BC71A7"/>
    <w:rsid w:val="00BC7A76"/>
    <w:rsid w:val="00BD1100"/>
    <w:rsid w:val="00BD19D1"/>
    <w:rsid w:val="00BD1B64"/>
    <w:rsid w:val="00BD2006"/>
    <w:rsid w:val="00BD30A0"/>
    <w:rsid w:val="00BD47EA"/>
    <w:rsid w:val="00BD4998"/>
    <w:rsid w:val="00BD599C"/>
    <w:rsid w:val="00BE217A"/>
    <w:rsid w:val="00BE281B"/>
    <w:rsid w:val="00BE5706"/>
    <w:rsid w:val="00BE5D0A"/>
    <w:rsid w:val="00BE61EE"/>
    <w:rsid w:val="00BE7C8C"/>
    <w:rsid w:val="00BF02D4"/>
    <w:rsid w:val="00BF0335"/>
    <w:rsid w:val="00BF04F1"/>
    <w:rsid w:val="00BF279B"/>
    <w:rsid w:val="00BF2EB5"/>
    <w:rsid w:val="00BF35BA"/>
    <w:rsid w:val="00BF43E8"/>
    <w:rsid w:val="00BF5615"/>
    <w:rsid w:val="00BF5B40"/>
    <w:rsid w:val="00BF6C39"/>
    <w:rsid w:val="00BF6FC0"/>
    <w:rsid w:val="00C00769"/>
    <w:rsid w:val="00C00979"/>
    <w:rsid w:val="00C015E3"/>
    <w:rsid w:val="00C01F69"/>
    <w:rsid w:val="00C033E4"/>
    <w:rsid w:val="00C03B05"/>
    <w:rsid w:val="00C0407A"/>
    <w:rsid w:val="00C04A4B"/>
    <w:rsid w:val="00C05383"/>
    <w:rsid w:val="00C05604"/>
    <w:rsid w:val="00C071A3"/>
    <w:rsid w:val="00C0731F"/>
    <w:rsid w:val="00C10585"/>
    <w:rsid w:val="00C10D2F"/>
    <w:rsid w:val="00C10FB6"/>
    <w:rsid w:val="00C11964"/>
    <w:rsid w:val="00C13590"/>
    <w:rsid w:val="00C135A6"/>
    <w:rsid w:val="00C1383D"/>
    <w:rsid w:val="00C13CD1"/>
    <w:rsid w:val="00C13FF1"/>
    <w:rsid w:val="00C145C6"/>
    <w:rsid w:val="00C15BA7"/>
    <w:rsid w:val="00C16019"/>
    <w:rsid w:val="00C165DA"/>
    <w:rsid w:val="00C16FA8"/>
    <w:rsid w:val="00C2080A"/>
    <w:rsid w:val="00C21BAB"/>
    <w:rsid w:val="00C23430"/>
    <w:rsid w:val="00C24333"/>
    <w:rsid w:val="00C24DC8"/>
    <w:rsid w:val="00C24E95"/>
    <w:rsid w:val="00C2538A"/>
    <w:rsid w:val="00C30FF8"/>
    <w:rsid w:val="00C33646"/>
    <w:rsid w:val="00C33C5B"/>
    <w:rsid w:val="00C349AE"/>
    <w:rsid w:val="00C34DD6"/>
    <w:rsid w:val="00C360F9"/>
    <w:rsid w:val="00C36B44"/>
    <w:rsid w:val="00C37471"/>
    <w:rsid w:val="00C4005B"/>
    <w:rsid w:val="00C40C3C"/>
    <w:rsid w:val="00C41E8E"/>
    <w:rsid w:val="00C42B41"/>
    <w:rsid w:val="00C43835"/>
    <w:rsid w:val="00C46909"/>
    <w:rsid w:val="00C46CCF"/>
    <w:rsid w:val="00C50389"/>
    <w:rsid w:val="00C514E0"/>
    <w:rsid w:val="00C5426A"/>
    <w:rsid w:val="00C54779"/>
    <w:rsid w:val="00C5492A"/>
    <w:rsid w:val="00C54B83"/>
    <w:rsid w:val="00C55358"/>
    <w:rsid w:val="00C56C8C"/>
    <w:rsid w:val="00C57060"/>
    <w:rsid w:val="00C57CF8"/>
    <w:rsid w:val="00C60E15"/>
    <w:rsid w:val="00C61837"/>
    <w:rsid w:val="00C61E6D"/>
    <w:rsid w:val="00C62128"/>
    <w:rsid w:val="00C6213A"/>
    <w:rsid w:val="00C62DA4"/>
    <w:rsid w:val="00C62F2D"/>
    <w:rsid w:val="00C63171"/>
    <w:rsid w:val="00C64334"/>
    <w:rsid w:val="00C64838"/>
    <w:rsid w:val="00C64BD4"/>
    <w:rsid w:val="00C65BAF"/>
    <w:rsid w:val="00C65D09"/>
    <w:rsid w:val="00C66138"/>
    <w:rsid w:val="00C66E0D"/>
    <w:rsid w:val="00C72F37"/>
    <w:rsid w:val="00C75978"/>
    <w:rsid w:val="00C75C77"/>
    <w:rsid w:val="00C765A7"/>
    <w:rsid w:val="00C766D1"/>
    <w:rsid w:val="00C77DE8"/>
    <w:rsid w:val="00C8011C"/>
    <w:rsid w:val="00C804BE"/>
    <w:rsid w:val="00C80AFB"/>
    <w:rsid w:val="00C80F64"/>
    <w:rsid w:val="00C81345"/>
    <w:rsid w:val="00C83C2F"/>
    <w:rsid w:val="00C84372"/>
    <w:rsid w:val="00C84A51"/>
    <w:rsid w:val="00C854E3"/>
    <w:rsid w:val="00C862E0"/>
    <w:rsid w:val="00C86E9B"/>
    <w:rsid w:val="00C87926"/>
    <w:rsid w:val="00C920DF"/>
    <w:rsid w:val="00C9474E"/>
    <w:rsid w:val="00C94AAC"/>
    <w:rsid w:val="00C95B38"/>
    <w:rsid w:val="00C95CCA"/>
    <w:rsid w:val="00C96374"/>
    <w:rsid w:val="00C972DE"/>
    <w:rsid w:val="00CA006A"/>
    <w:rsid w:val="00CA033B"/>
    <w:rsid w:val="00CA0C3F"/>
    <w:rsid w:val="00CA16AF"/>
    <w:rsid w:val="00CA1F4A"/>
    <w:rsid w:val="00CA3A21"/>
    <w:rsid w:val="00CA543B"/>
    <w:rsid w:val="00CA7059"/>
    <w:rsid w:val="00CA7430"/>
    <w:rsid w:val="00CA7A6F"/>
    <w:rsid w:val="00CB0339"/>
    <w:rsid w:val="00CB0B97"/>
    <w:rsid w:val="00CB1C5C"/>
    <w:rsid w:val="00CB318E"/>
    <w:rsid w:val="00CB32BC"/>
    <w:rsid w:val="00CB422B"/>
    <w:rsid w:val="00CB7805"/>
    <w:rsid w:val="00CC123F"/>
    <w:rsid w:val="00CC15A1"/>
    <w:rsid w:val="00CC29F3"/>
    <w:rsid w:val="00CC2EA6"/>
    <w:rsid w:val="00CC2F17"/>
    <w:rsid w:val="00CC49C9"/>
    <w:rsid w:val="00CC4A8F"/>
    <w:rsid w:val="00CC4D89"/>
    <w:rsid w:val="00CC511E"/>
    <w:rsid w:val="00CC643E"/>
    <w:rsid w:val="00CC7B7A"/>
    <w:rsid w:val="00CD00A4"/>
    <w:rsid w:val="00CD2372"/>
    <w:rsid w:val="00CD279F"/>
    <w:rsid w:val="00CD553E"/>
    <w:rsid w:val="00CD5D76"/>
    <w:rsid w:val="00CD67AC"/>
    <w:rsid w:val="00CD7076"/>
    <w:rsid w:val="00CD731A"/>
    <w:rsid w:val="00CD73D7"/>
    <w:rsid w:val="00CD79C2"/>
    <w:rsid w:val="00CD7DD3"/>
    <w:rsid w:val="00CE01D4"/>
    <w:rsid w:val="00CE04DF"/>
    <w:rsid w:val="00CE0542"/>
    <w:rsid w:val="00CE0BB6"/>
    <w:rsid w:val="00CE4452"/>
    <w:rsid w:val="00CE4875"/>
    <w:rsid w:val="00CE5865"/>
    <w:rsid w:val="00CE7188"/>
    <w:rsid w:val="00CF049B"/>
    <w:rsid w:val="00CF0D87"/>
    <w:rsid w:val="00CF2970"/>
    <w:rsid w:val="00CF2C16"/>
    <w:rsid w:val="00CF3F95"/>
    <w:rsid w:val="00CF4CF9"/>
    <w:rsid w:val="00CF5007"/>
    <w:rsid w:val="00CF5567"/>
    <w:rsid w:val="00CF6088"/>
    <w:rsid w:val="00CF697D"/>
    <w:rsid w:val="00D012D6"/>
    <w:rsid w:val="00D01A37"/>
    <w:rsid w:val="00D025B9"/>
    <w:rsid w:val="00D02D72"/>
    <w:rsid w:val="00D03EFD"/>
    <w:rsid w:val="00D04877"/>
    <w:rsid w:val="00D04EA4"/>
    <w:rsid w:val="00D06D9F"/>
    <w:rsid w:val="00D0785C"/>
    <w:rsid w:val="00D11536"/>
    <w:rsid w:val="00D11DF8"/>
    <w:rsid w:val="00D1223D"/>
    <w:rsid w:val="00D122FF"/>
    <w:rsid w:val="00D12CF1"/>
    <w:rsid w:val="00D1597C"/>
    <w:rsid w:val="00D15F54"/>
    <w:rsid w:val="00D15FA3"/>
    <w:rsid w:val="00D16BB5"/>
    <w:rsid w:val="00D16F90"/>
    <w:rsid w:val="00D2048D"/>
    <w:rsid w:val="00D2221F"/>
    <w:rsid w:val="00D2231D"/>
    <w:rsid w:val="00D22835"/>
    <w:rsid w:val="00D22A09"/>
    <w:rsid w:val="00D250AD"/>
    <w:rsid w:val="00D25200"/>
    <w:rsid w:val="00D26A82"/>
    <w:rsid w:val="00D26CA0"/>
    <w:rsid w:val="00D27769"/>
    <w:rsid w:val="00D27F15"/>
    <w:rsid w:val="00D27FD8"/>
    <w:rsid w:val="00D30872"/>
    <w:rsid w:val="00D3268C"/>
    <w:rsid w:val="00D32D7B"/>
    <w:rsid w:val="00D33336"/>
    <w:rsid w:val="00D34A52"/>
    <w:rsid w:val="00D3658F"/>
    <w:rsid w:val="00D3752B"/>
    <w:rsid w:val="00D41784"/>
    <w:rsid w:val="00D41E90"/>
    <w:rsid w:val="00D42AFB"/>
    <w:rsid w:val="00D434D5"/>
    <w:rsid w:val="00D44472"/>
    <w:rsid w:val="00D44735"/>
    <w:rsid w:val="00D46929"/>
    <w:rsid w:val="00D46D14"/>
    <w:rsid w:val="00D47266"/>
    <w:rsid w:val="00D47B74"/>
    <w:rsid w:val="00D500F2"/>
    <w:rsid w:val="00D508FA"/>
    <w:rsid w:val="00D50B4E"/>
    <w:rsid w:val="00D50B9E"/>
    <w:rsid w:val="00D51076"/>
    <w:rsid w:val="00D516FD"/>
    <w:rsid w:val="00D5335D"/>
    <w:rsid w:val="00D53572"/>
    <w:rsid w:val="00D539D1"/>
    <w:rsid w:val="00D54C76"/>
    <w:rsid w:val="00D5630C"/>
    <w:rsid w:val="00D5695B"/>
    <w:rsid w:val="00D56A5F"/>
    <w:rsid w:val="00D56D20"/>
    <w:rsid w:val="00D64068"/>
    <w:rsid w:val="00D65C15"/>
    <w:rsid w:val="00D65ED3"/>
    <w:rsid w:val="00D6676A"/>
    <w:rsid w:val="00D70548"/>
    <w:rsid w:val="00D72B78"/>
    <w:rsid w:val="00D734E8"/>
    <w:rsid w:val="00D734FA"/>
    <w:rsid w:val="00D74314"/>
    <w:rsid w:val="00D743D4"/>
    <w:rsid w:val="00D74820"/>
    <w:rsid w:val="00D75C88"/>
    <w:rsid w:val="00D76054"/>
    <w:rsid w:val="00D774EC"/>
    <w:rsid w:val="00D81312"/>
    <w:rsid w:val="00D81E6F"/>
    <w:rsid w:val="00D82092"/>
    <w:rsid w:val="00D8348E"/>
    <w:rsid w:val="00D835AD"/>
    <w:rsid w:val="00D84D01"/>
    <w:rsid w:val="00D86459"/>
    <w:rsid w:val="00D87622"/>
    <w:rsid w:val="00D9129A"/>
    <w:rsid w:val="00D9146F"/>
    <w:rsid w:val="00D9178D"/>
    <w:rsid w:val="00D925CE"/>
    <w:rsid w:val="00D92DBA"/>
    <w:rsid w:val="00D939D3"/>
    <w:rsid w:val="00D93AB2"/>
    <w:rsid w:val="00D93B58"/>
    <w:rsid w:val="00D94225"/>
    <w:rsid w:val="00D95970"/>
    <w:rsid w:val="00D95A83"/>
    <w:rsid w:val="00D961EA"/>
    <w:rsid w:val="00D97E60"/>
    <w:rsid w:val="00DA0475"/>
    <w:rsid w:val="00DA0A43"/>
    <w:rsid w:val="00DA1881"/>
    <w:rsid w:val="00DA1CE9"/>
    <w:rsid w:val="00DA2C8A"/>
    <w:rsid w:val="00DA2EAA"/>
    <w:rsid w:val="00DA2F2D"/>
    <w:rsid w:val="00DA3043"/>
    <w:rsid w:val="00DA67CA"/>
    <w:rsid w:val="00DA6E9C"/>
    <w:rsid w:val="00DA7A10"/>
    <w:rsid w:val="00DA7C30"/>
    <w:rsid w:val="00DB0D5C"/>
    <w:rsid w:val="00DB0F98"/>
    <w:rsid w:val="00DB14C2"/>
    <w:rsid w:val="00DB2923"/>
    <w:rsid w:val="00DB2E2D"/>
    <w:rsid w:val="00DB3CB6"/>
    <w:rsid w:val="00DB3F85"/>
    <w:rsid w:val="00DB417C"/>
    <w:rsid w:val="00DB4340"/>
    <w:rsid w:val="00DB558C"/>
    <w:rsid w:val="00DB7E66"/>
    <w:rsid w:val="00DC04FE"/>
    <w:rsid w:val="00DC141F"/>
    <w:rsid w:val="00DC18B4"/>
    <w:rsid w:val="00DC2388"/>
    <w:rsid w:val="00DC2A34"/>
    <w:rsid w:val="00DC44C0"/>
    <w:rsid w:val="00DC52B2"/>
    <w:rsid w:val="00DC73F5"/>
    <w:rsid w:val="00DC75A5"/>
    <w:rsid w:val="00DC7FE6"/>
    <w:rsid w:val="00DD09B5"/>
    <w:rsid w:val="00DD0AA1"/>
    <w:rsid w:val="00DD2120"/>
    <w:rsid w:val="00DD2121"/>
    <w:rsid w:val="00DD25CA"/>
    <w:rsid w:val="00DD7517"/>
    <w:rsid w:val="00DE04C1"/>
    <w:rsid w:val="00DE100B"/>
    <w:rsid w:val="00DE1293"/>
    <w:rsid w:val="00DE1771"/>
    <w:rsid w:val="00DE1D76"/>
    <w:rsid w:val="00DE2542"/>
    <w:rsid w:val="00DE2B28"/>
    <w:rsid w:val="00DE2C46"/>
    <w:rsid w:val="00DE2FE4"/>
    <w:rsid w:val="00DE37C2"/>
    <w:rsid w:val="00DE3D29"/>
    <w:rsid w:val="00DE3DCD"/>
    <w:rsid w:val="00DE4F34"/>
    <w:rsid w:val="00DE56F5"/>
    <w:rsid w:val="00DE5E1F"/>
    <w:rsid w:val="00DE6C17"/>
    <w:rsid w:val="00DF069F"/>
    <w:rsid w:val="00DF15AC"/>
    <w:rsid w:val="00DF175D"/>
    <w:rsid w:val="00DF280B"/>
    <w:rsid w:val="00DF31F7"/>
    <w:rsid w:val="00DF40CC"/>
    <w:rsid w:val="00DF469F"/>
    <w:rsid w:val="00DF55DD"/>
    <w:rsid w:val="00DF6D16"/>
    <w:rsid w:val="00E01662"/>
    <w:rsid w:val="00E01D5D"/>
    <w:rsid w:val="00E01DA4"/>
    <w:rsid w:val="00E02918"/>
    <w:rsid w:val="00E02D20"/>
    <w:rsid w:val="00E02F49"/>
    <w:rsid w:val="00E03C9A"/>
    <w:rsid w:val="00E03F6B"/>
    <w:rsid w:val="00E05A20"/>
    <w:rsid w:val="00E05CC8"/>
    <w:rsid w:val="00E05E49"/>
    <w:rsid w:val="00E06C2D"/>
    <w:rsid w:val="00E103B2"/>
    <w:rsid w:val="00E10481"/>
    <w:rsid w:val="00E10D6C"/>
    <w:rsid w:val="00E13155"/>
    <w:rsid w:val="00E132ED"/>
    <w:rsid w:val="00E13396"/>
    <w:rsid w:val="00E164C6"/>
    <w:rsid w:val="00E177D0"/>
    <w:rsid w:val="00E20128"/>
    <w:rsid w:val="00E20D07"/>
    <w:rsid w:val="00E20F14"/>
    <w:rsid w:val="00E21018"/>
    <w:rsid w:val="00E21161"/>
    <w:rsid w:val="00E2222D"/>
    <w:rsid w:val="00E23B1D"/>
    <w:rsid w:val="00E2530E"/>
    <w:rsid w:val="00E25404"/>
    <w:rsid w:val="00E25CD4"/>
    <w:rsid w:val="00E260CC"/>
    <w:rsid w:val="00E26659"/>
    <w:rsid w:val="00E27E96"/>
    <w:rsid w:val="00E321BC"/>
    <w:rsid w:val="00E3236D"/>
    <w:rsid w:val="00E33166"/>
    <w:rsid w:val="00E333DE"/>
    <w:rsid w:val="00E3363B"/>
    <w:rsid w:val="00E33A3A"/>
    <w:rsid w:val="00E33B8A"/>
    <w:rsid w:val="00E33CEC"/>
    <w:rsid w:val="00E340A3"/>
    <w:rsid w:val="00E34729"/>
    <w:rsid w:val="00E34E16"/>
    <w:rsid w:val="00E35138"/>
    <w:rsid w:val="00E3577F"/>
    <w:rsid w:val="00E35B1D"/>
    <w:rsid w:val="00E36296"/>
    <w:rsid w:val="00E40300"/>
    <w:rsid w:val="00E4030C"/>
    <w:rsid w:val="00E41DA7"/>
    <w:rsid w:val="00E42238"/>
    <w:rsid w:val="00E4253F"/>
    <w:rsid w:val="00E42A62"/>
    <w:rsid w:val="00E430EE"/>
    <w:rsid w:val="00E4388D"/>
    <w:rsid w:val="00E43DD9"/>
    <w:rsid w:val="00E45778"/>
    <w:rsid w:val="00E512A2"/>
    <w:rsid w:val="00E52A2F"/>
    <w:rsid w:val="00E52D3E"/>
    <w:rsid w:val="00E53C9D"/>
    <w:rsid w:val="00E56D53"/>
    <w:rsid w:val="00E60162"/>
    <w:rsid w:val="00E60EB2"/>
    <w:rsid w:val="00E61107"/>
    <w:rsid w:val="00E61800"/>
    <w:rsid w:val="00E61C32"/>
    <w:rsid w:val="00E627D6"/>
    <w:rsid w:val="00E62A5B"/>
    <w:rsid w:val="00E63577"/>
    <w:rsid w:val="00E64C71"/>
    <w:rsid w:val="00E6516C"/>
    <w:rsid w:val="00E65651"/>
    <w:rsid w:val="00E65CBC"/>
    <w:rsid w:val="00E66630"/>
    <w:rsid w:val="00E66EFD"/>
    <w:rsid w:val="00E674AA"/>
    <w:rsid w:val="00E7116B"/>
    <w:rsid w:val="00E71BA7"/>
    <w:rsid w:val="00E724E9"/>
    <w:rsid w:val="00E73531"/>
    <w:rsid w:val="00E74BC7"/>
    <w:rsid w:val="00E74E09"/>
    <w:rsid w:val="00E75294"/>
    <w:rsid w:val="00E75537"/>
    <w:rsid w:val="00E76011"/>
    <w:rsid w:val="00E763A4"/>
    <w:rsid w:val="00E76A42"/>
    <w:rsid w:val="00E7729A"/>
    <w:rsid w:val="00E77625"/>
    <w:rsid w:val="00E77685"/>
    <w:rsid w:val="00E776BE"/>
    <w:rsid w:val="00E8198C"/>
    <w:rsid w:val="00E83F0D"/>
    <w:rsid w:val="00E841C1"/>
    <w:rsid w:val="00E84540"/>
    <w:rsid w:val="00E85606"/>
    <w:rsid w:val="00E872D0"/>
    <w:rsid w:val="00E877FF"/>
    <w:rsid w:val="00E90F52"/>
    <w:rsid w:val="00E916AD"/>
    <w:rsid w:val="00E9218D"/>
    <w:rsid w:val="00E92C39"/>
    <w:rsid w:val="00E92D66"/>
    <w:rsid w:val="00E93D8B"/>
    <w:rsid w:val="00E93ED2"/>
    <w:rsid w:val="00E95C9C"/>
    <w:rsid w:val="00E960D3"/>
    <w:rsid w:val="00E97208"/>
    <w:rsid w:val="00EA03B0"/>
    <w:rsid w:val="00EA0D1E"/>
    <w:rsid w:val="00EA23D1"/>
    <w:rsid w:val="00EA45FA"/>
    <w:rsid w:val="00EA4FC3"/>
    <w:rsid w:val="00EA6136"/>
    <w:rsid w:val="00EA6476"/>
    <w:rsid w:val="00EA6744"/>
    <w:rsid w:val="00EA77EF"/>
    <w:rsid w:val="00EA7F5C"/>
    <w:rsid w:val="00EB0059"/>
    <w:rsid w:val="00EB0819"/>
    <w:rsid w:val="00EB1396"/>
    <w:rsid w:val="00EB2D4A"/>
    <w:rsid w:val="00EB3131"/>
    <w:rsid w:val="00EB31B6"/>
    <w:rsid w:val="00EB3CF9"/>
    <w:rsid w:val="00EB40BA"/>
    <w:rsid w:val="00EB5F92"/>
    <w:rsid w:val="00EB6CE7"/>
    <w:rsid w:val="00EB7ED3"/>
    <w:rsid w:val="00EC1E3C"/>
    <w:rsid w:val="00EC25BE"/>
    <w:rsid w:val="00EC2783"/>
    <w:rsid w:val="00EC327F"/>
    <w:rsid w:val="00EC3410"/>
    <w:rsid w:val="00EC3B33"/>
    <w:rsid w:val="00EC3B70"/>
    <w:rsid w:val="00EC4498"/>
    <w:rsid w:val="00EC4BFB"/>
    <w:rsid w:val="00EC5042"/>
    <w:rsid w:val="00EC5CDB"/>
    <w:rsid w:val="00EC69C6"/>
    <w:rsid w:val="00ED0C3C"/>
    <w:rsid w:val="00ED140D"/>
    <w:rsid w:val="00ED43C0"/>
    <w:rsid w:val="00ED444A"/>
    <w:rsid w:val="00ED472A"/>
    <w:rsid w:val="00ED56F1"/>
    <w:rsid w:val="00ED62B6"/>
    <w:rsid w:val="00ED759E"/>
    <w:rsid w:val="00EE0F34"/>
    <w:rsid w:val="00EE199F"/>
    <w:rsid w:val="00EE19A4"/>
    <w:rsid w:val="00EE1C49"/>
    <w:rsid w:val="00EE269D"/>
    <w:rsid w:val="00EE27FE"/>
    <w:rsid w:val="00EE4F3C"/>
    <w:rsid w:val="00EE5F23"/>
    <w:rsid w:val="00EE6E13"/>
    <w:rsid w:val="00EE793F"/>
    <w:rsid w:val="00EE79C6"/>
    <w:rsid w:val="00EE7E9E"/>
    <w:rsid w:val="00EE7F9F"/>
    <w:rsid w:val="00EF0482"/>
    <w:rsid w:val="00EF1198"/>
    <w:rsid w:val="00EF2E27"/>
    <w:rsid w:val="00EF42CA"/>
    <w:rsid w:val="00EF430B"/>
    <w:rsid w:val="00EF6117"/>
    <w:rsid w:val="00EF6522"/>
    <w:rsid w:val="00EF6C4E"/>
    <w:rsid w:val="00EF7859"/>
    <w:rsid w:val="00EF7F09"/>
    <w:rsid w:val="00F0365A"/>
    <w:rsid w:val="00F05D6E"/>
    <w:rsid w:val="00F06D62"/>
    <w:rsid w:val="00F0727B"/>
    <w:rsid w:val="00F107E3"/>
    <w:rsid w:val="00F11B7D"/>
    <w:rsid w:val="00F1231F"/>
    <w:rsid w:val="00F127B2"/>
    <w:rsid w:val="00F12D61"/>
    <w:rsid w:val="00F1346E"/>
    <w:rsid w:val="00F13564"/>
    <w:rsid w:val="00F13BCC"/>
    <w:rsid w:val="00F1487A"/>
    <w:rsid w:val="00F155BF"/>
    <w:rsid w:val="00F15EE0"/>
    <w:rsid w:val="00F166F1"/>
    <w:rsid w:val="00F17480"/>
    <w:rsid w:val="00F207A5"/>
    <w:rsid w:val="00F21737"/>
    <w:rsid w:val="00F21EA9"/>
    <w:rsid w:val="00F2272A"/>
    <w:rsid w:val="00F23926"/>
    <w:rsid w:val="00F242ED"/>
    <w:rsid w:val="00F249FC"/>
    <w:rsid w:val="00F25092"/>
    <w:rsid w:val="00F2518F"/>
    <w:rsid w:val="00F3003F"/>
    <w:rsid w:val="00F30430"/>
    <w:rsid w:val="00F30590"/>
    <w:rsid w:val="00F31298"/>
    <w:rsid w:val="00F31301"/>
    <w:rsid w:val="00F3222B"/>
    <w:rsid w:val="00F32609"/>
    <w:rsid w:val="00F33ABC"/>
    <w:rsid w:val="00F33CAE"/>
    <w:rsid w:val="00F35938"/>
    <w:rsid w:val="00F36617"/>
    <w:rsid w:val="00F36CBB"/>
    <w:rsid w:val="00F36F10"/>
    <w:rsid w:val="00F41BF9"/>
    <w:rsid w:val="00F422B4"/>
    <w:rsid w:val="00F42516"/>
    <w:rsid w:val="00F42975"/>
    <w:rsid w:val="00F42F67"/>
    <w:rsid w:val="00F43A0C"/>
    <w:rsid w:val="00F460C7"/>
    <w:rsid w:val="00F47F51"/>
    <w:rsid w:val="00F50154"/>
    <w:rsid w:val="00F515FE"/>
    <w:rsid w:val="00F51678"/>
    <w:rsid w:val="00F52896"/>
    <w:rsid w:val="00F53E7A"/>
    <w:rsid w:val="00F54133"/>
    <w:rsid w:val="00F54B48"/>
    <w:rsid w:val="00F54DFD"/>
    <w:rsid w:val="00F55126"/>
    <w:rsid w:val="00F57A80"/>
    <w:rsid w:val="00F57BBE"/>
    <w:rsid w:val="00F6063A"/>
    <w:rsid w:val="00F60E5F"/>
    <w:rsid w:val="00F610F2"/>
    <w:rsid w:val="00F61516"/>
    <w:rsid w:val="00F61F2E"/>
    <w:rsid w:val="00F6212D"/>
    <w:rsid w:val="00F6229D"/>
    <w:rsid w:val="00F63D27"/>
    <w:rsid w:val="00F65EA7"/>
    <w:rsid w:val="00F674BF"/>
    <w:rsid w:val="00F70F5A"/>
    <w:rsid w:val="00F716AB"/>
    <w:rsid w:val="00F72191"/>
    <w:rsid w:val="00F7250D"/>
    <w:rsid w:val="00F72625"/>
    <w:rsid w:val="00F72F70"/>
    <w:rsid w:val="00F74698"/>
    <w:rsid w:val="00F74C36"/>
    <w:rsid w:val="00F76D28"/>
    <w:rsid w:val="00F771B7"/>
    <w:rsid w:val="00F772C5"/>
    <w:rsid w:val="00F77DF1"/>
    <w:rsid w:val="00F800BF"/>
    <w:rsid w:val="00F804CA"/>
    <w:rsid w:val="00F8152E"/>
    <w:rsid w:val="00F82B66"/>
    <w:rsid w:val="00F82E81"/>
    <w:rsid w:val="00F84526"/>
    <w:rsid w:val="00F84D0A"/>
    <w:rsid w:val="00F84F9A"/>
    <w:rsid w:val="00F8567F"/>
    <w:rsid w:val="00F86EB4"/>
    <w:rsid w:val="00F92C0D"/>
    <w:rsid w:val="00F92C8B"/>
    <w:rsid w:val="00F93BCD"/>
    <w:rsid w:val="00F9470A"/>
    <w:rsid w:val="00F94B9B"/>
    <w:rsid w:val="00F952D0"/>
    <w:rsid w:val="00F96704"/>
    <w:rsid w:val="00F96A3A"/>
    <w:rsid w:val="00FA1412"/>
    <w:rsid w:val="00FA2CF0"/>
    <w:rsid w:val="00FA3532"/>
    <w:rsid w:val="00FA40EC"/>
    <w:rsid w:val="00FA4545"/>
    <w:rsid w:val="00FA50D9"/>
    <w:rsid w:val="00FA5951"/>
    <w:rsid w:val="00FA6331"/>
    <w:rsid w:val="00FA651D"/>
    <w:rsid w:val="00FA6A9B"/>
    <w:rsid w:val="00FA7414"/>
    <w:rsid w:val="00FB0926"/>
    <w:rsid w:val="00FB0C25"/>
    <w:rsid w:val="00FB13ED"/>
    <w:rsid w:val="00FB1D90"/>
    <w:rsid w:val="00FB1E17"/>
    <w:rsid w:val="00FB2605"/>
    <w:rsid w:val="00FB2A2E"/>
    <w:rsid w:val="00FB2B82"/>
    <w:rsid w:val="00FB48FB"/>
    <w:rsid w:val="00FB4C9C"/>
    <w:rsid w:val="00FB527F"/>
    <w:rsid w:val="00FB6D83"/>
    <w:rsid w:val="00FB78A4"/>
    <w:rsid w:val="00FC0B4A"/>
    <w:rsid w:val="00FC0E3A"/>
    <w:rsid w:val="00FC1BBC"/>
    <w:rsid w:val="00FC1C2C"/>
    <w:rsid w:val="00FC1CB3"/>
    <w:rsid w:val="00FC1CB4"/>
    <w:rsid w:val="00FC2989"/>
    <w:rsid w:val="00FC4AFE"/>
    <w:rsid w:val="00FC4B19"/>
    <w:rsid w:val="00FC65E4"/>
    <w:rsid w:val="00FC6745"/>
    <w:rsid w:val="00FC7ABE"/>
    <w:rsid w:val="00FD02BD"/>
    <w:rsid w:val="00FD1A06"/>
    <w:rsid w:val="00FD35E4"/>
    <w:rsid w:val="00FD36AB"/>
    <w:rsid w:val="00FD3D91"/>
    <w:rsid w:val="00FD4004"/>
    <w:rsid w:val="00FD5A00"/>
    <w:rsid w:val="00FD69FF"/>
    <w:rsid w:val="00FD6DB1"/>
    <w:rsid w:val="00FD7252"/>
    <w:rsid w:val="00FD7A97"/>
    <w:rsid w:val="00FD7DC6"/>
    <w:rsid w:val="00FE029D"/>
    <w:rsid w:val="00FE0DF0"/>
    <w:rsid w:val="00FE16C6"/>
    <w:rsid w:val="00FE2E09"/>
    <w:rsid w:val="00FE330D"/>
    <w:rsid w:val="00FE425E"/>
    <w:rsid w:val="00FE4746"/>
    <w:rsid w:val="00FE6687"/>
    <w:rsid w:val="00FF0373"/>
    <w:rsid w:val="00FF1753"/>
    <w:rsid w:val="00FF19F9"/>
    <w:rsid w:val="00FF2DE7"/>
    <w:rsid w:val="00FF2EC6"/>
    <w:rsid w:val="00FF31B3"/>
    <w:rsid w:val="00FF44AE"/>
    <w:rsid w:val="00FF4AE4"/>
    <w:rsid w:val="00FF54E0"/>
    <w:rsid w:val="00FF575C"/>
    <w:rsid w:val="00FF6CF1"/>
  </w:rsids>
  <m:mathPr>
    <m:mathFont m:val="Cambria Math"/>
    <m:brkBin m:val="before"/>
    <m:brkBinSub m:val="--"/>
    <m:smallFrac m:val="0"/>
    <m:dispDef/>
    <m:lMargin m:val="0"/>
    <m:rMargin m:val="0"/>
    <m:defJc m:val="centerGroup"/>
    <m:wrapIndent m:val="1440"/>
    <m:intLim m:val="subSup"/>
    <m:naryLim m:val="undOvr"/>
  </m:mathPr>
  <w:themeFontLang w:val="es-C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0A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35" w:qFormat="1"/>
    <w:lsdException w:name="footnote reference" w:uiPriority="0" w:qFormat="1"/>
    <w:lsdException w:name="annotation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9"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1191E"/>
    <w:pPr>
      <w:keepNext/>
      <w:spacing w:before="240" w:after="60"/>
      <w:outlineLvl w:val="0"/>
    </w:pPr>
    <w:rPr>
      <w:rFonts w:ascii="Cambria" w:eastAsia="Times New Roman" w:hAnsi="Cambria" w:cs="Times New Roman"/>
      <w:b/>
      <w:bCs/>
      <w:kern w:val="32"/>
      <w:sz w:val="32"/>
      <w:szCs w:val="32"/>
      <w:lang w:val="x-none"/>
    </w:rPr>
  </w:style>
  <w:style w:type="paragraph" w:styleId="Ttulo2">
    <w:name w:val="heading 2"/>
    <w:basedOn w:val="Normal"/>
    <w:next w:val="Normal"/>
    <w:link w:val="Ttulo2Car"/>
    <w:qFormat/>
    <w:rsid w:val="0041191E"/>
    <w:pPr>
      <w:keepNext/>
      <w:numPr>
        <w:numId w:val="1"/>
      </w:numPr>
      <w:spacing w:after="0" w:line="240" w:lineRule="auto"/>
      <w:jc w:val="both"/>
      <w:outlineLvl w:val="1"/>
    </w:pPr>
    <w:rPr>
      <w:rFonts w:ascii="Calibri" w:eastAsia="Times New Roman" w:hAnsi="Calibri" w:cs="Times New Roman"/>
      <w:b/>
      <w:szCs w:val="20"/>
      <w:lang w:val="es-CO"/>
    </w:rPr>
  </w:style>
  <w:style w:type="paragraph" w:styleId="Ttulo3">
    <w:name w:val="heading 3"/>
    <w:basedOn w:val="Normal"/>
    <w:next w:val="Normal"/>
    <w:link w:val="Ttulo3Car"/>
    <w:uiPriority w:val="9"/>
    <w:qFormat/>
    <w:rsid w:val="0041191E"/>
    <w:pPr>
      <w:keepNext/>
      <w:spacing w:before="240" w:after="60" w:line="240" w:lineRule="auto"/>
      <w:outlineLvl w:val="2"/>
    </w:pPr>
    <w:rPr>
      <w:rFonts w:ascii="Cambria" w:eastAsia="Times New Roman" w:hAnsi="Cambria" w:cs="Times New Roman"/>
      <w:b/>
      <w:bCs/>
      <w:sz w:val="26"/>
      <w:szCs w:val="26"/>
      <w:lang w:val="es-ES_tradnl"/>
    </w:rPr>
  </w:style>
  <w:style w:type="paragraph" w:styleId="Ttulo5">
    <w:name w:val="heading 5"/>
    <w:basedOn w:val="Normal"/>
    <w:next w:val="Normal"/>
    <w:link w:val="Ttulo5Car"/>
    <w:uiPriority w:val="9"/>
    <w:qFormat/>
    <w:rsid w:val="0041191E"/>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Ttulo5"/>
    <w:next w:val="Normal"/>
    <w:link w:val="Ttulo6Car"/>
    <w:uiPriority w:val="9"/>
    <w:qFormat/>
    <w:rsid w:val="0041191E"/>
    <w:pPr>
      <w:numPr>
        <w:ilvl w:val="4"/>
        <w:numId w:val="2"/>
      </w:numPr>
      <w:spacing w:before="0" w:after="0" w:line="240" w:lineRule="auto"/>
      <w:jc w:val="both"/>
      <w:outlineLvl w:val="5"/>
    </w:pPr>
    <w:rPr>
      <w:rFonts w:ascii="Verdana" w:hAnsi="Verdana"/>
      <w:b w:val="0"/>
      <w:bCs w:val="0"/>
      <w:i w:val="0"/>
      <w:iCs w:val="0"/>
      <w:spacing w:val="-2"/>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191E"/>
    <w:rPr>
      <w:rFonts w:ascii="Cambria" w:eastAsia="Times New Roman" w:hAnsi="Cambria" w:cs="Times New Roman"/>
      <w:b/>
      <w:bCs/>
      <w:kern w:val="32"/>
      <w:sz w:val="32"/>
      <w:szCs w:val="32"/>
      <w:lang w:val="x-none"/>
    </w:rPr>
  </w:style>
  <w:style w:type="character" w:customStyle="1" w:styleId="Ttulo2Car">
    <w:name w:val="Título 2 Car"/>
    <w:basedOn w:val="Fuentedeprrafopredeter"/>
    <w:link w:val="Ttulo2"/>
    <w:rsid w:val="0041191E"/>
    <w:rPr>
      <w:rFonts w:ascii="Calibri" w:eastAsia="Times New Roman" w:hAnsi="Calibri" w:cs="Times New Roman"/>
      <w:b/>
      <w:szCs w:val="20"/>
      <w:lang w:val="es-CO"/>
    </w:rPr>
  </w:style>
  <w:style w:type="character" w:customStyle="1" w:styleId="Ttulo3Car">
    <w:name w:val="Título 3 Car"/>
    <w:basedOn w:val="Fuentedeprrafopredeter"/>
    <w:link w:val="Ttulo3"/>
    <w:uiPriority w:val="9"/>
    <w:rsid w:val="0041191E"/>
    <w:rPr>
      <w:rFonts w:ascii="Cambria" w:eastAsia="Times New Roman" w:hAnsi="Cambria" w:cs="Times New Roman"/>
      <w:b/>
      <w:bCs/>
      <w:sz w:val="26"/>
      <w:szCs w:val="26"/>
      <w:lang w:val="es-ES_tradnl"/>
    </w:rPr>
  </w:style>
  <w:style w:type="character" w:customStyle="1" w:styleId="Ttulo5Car">
    <w:name w:val="Título 5 Car"/>
    <w:basedOn w:val="Fuentedeprrafopredeter"/>
    <w:link w:val="Ttulo5"/>
    <w:rsid w:val="0041191E"/>
    <w:rPr>
      <w:rFonts w:ascii="Calibri" w:eastAsia="Times New Roman" w:hAnsi="Calibri" w:cs="Times New Roman"/>
      <w:b/>
      <w:bCs/>
      <w:i/>
      <w:iCs/>
      <w:sz w:val="26"/>
      <w:szCs w:val="26"/>
      <w:lang w:val="x-none"/>
    </w:rPr>
  </w:style>
  <w:style w:type="character" w:customStyle="1" w:styleId="Ttulo6Car">
    <w:name w:val="Título 6 Car"/>
    <w:basedOn w:val="Fuentedeprrafopredeter"/>
    <w:link w:val="Ttulo6"/>
    <w:uiPriority w:val="9"/>
    <w:rsid w:val="0041191E"/>
    <w:rPr>
      <w:rFonts w:ascii="Verdana" w:eastAsia="Times New Roman" w:hAnsi="Verdana" w:cs="Times New Roman"/>
      <w:spacing w:val="-2"/>
      <w:sz w:val="20"/>
      <w:szCs w:val="20"/>
      <w:lang w:val="es-ES_tradnl" w:eastAsia="x-none"/>
    </w:rPr>
  </w:style>
  <w:style w:type="numbering" w:customStyle="1" w:styleId="NoList1">
    <w:name w:val="No List1"/>
    <w:next w:val="Sinlista"/>
    <w:uiPriority w:val="99"/>
    <w:semiHidden/>
    <w:unhideWhenUsed/>
    <w:rsid w:val="0041191E"/>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Footnote Reference Char3"/>
    <w:link w:val="4GChar"/>
    <w:qFormat/>
    <w:rsid w:val="0041191E"/>
    <w:rPr>
      <w:vertAlign w:val="superscript"/>
    </w:rPr>
  </w:style>
  <w:style w:type="paragraph" w:styleId="Textonotapie">
    <w:name w:val="footnote text"/>
    <w:aliases w:val="Footnote Text Char Char Char Char Char,Footnote Text Char Char Char Char,footnote text,Footnote reference,FA Fu,Footnote Text Char Char Char,Footnote Text Cha,FA Fußnotentext,FA Fuﬂnotentext,Texto nota pie Car,Footnote Text Char Char,Ca,C"/>
    <w:basedOn w:val="Normal"/>
    <w:link w:val="TextonotapieCar1"/>
    <w:qFormat/>
    <w:rsid w:val="0041191E"/>
    <w:pPr>
      <w:spacing w:after="0" w:line="240" w:lineRule="auto"/>
    </w:pPr>
    <w:rPr>
      <w:rFonts w:ascii="Univers" w:eastAsia="Times New Roman" w:hAnsi="Univers" w:cs="Times New Roman"/>
      <w:sz w:val="20"/>
      <w:szCs w:val="20"/>
      <w:lang w:val="es-CO"/>
    </w:rPr>
  </w:style>
  <w:style w:type="character" w:customStyle="1" w:styleId="TextonotapieCar1">
    <w:name w:val="Texto nota pie Car1"/>
    <w:aliases w:val="Footnote Text Char Char Char Char Char Car,Footnote Text Char Char Char Char Car,footnote text Car,Footnote reference Car,FA Fu Car,Footnote Text Char Char Char Car,Footnote Text Cha Car,FA Fußnotentext Car,FA Fuﬂnotentext Car,Ca Car"/>
    <w:basedOn w:val="Fuentedeprrafopredeter"/>
    <w:link w:val="Textonotapie"/>
    <w:qFormat/>
    <w:rsid w:val="0041191E"/>
    <w:rPr>
      <w:rFonts w:ascii="Univers" w:eastAsia="Times New Roman" w:hAnsi="Univers" w:cs="Times New Roman"/>
      <w:sz w:val="20"/>
      <w:szCs w:val="20"/>
      <w:lang w:val="es-CO"/>
    </w:rPr>
  </w:style>
  <w:style w:type="paragraph" w:styleId="NormalWeb">
    <w:name w:val="Normal (Web)"/>
    <w:aliases w:val="Normal (Web) Char1,Normal (Web) Char Char,Normal (Web) Char1 Char,Normal (Web) Char Char Char"/>
    <w:basedOn w:val="Normal"/>
    <w:uiPriority w:val="39"/>
    <w:qFormat/>
    <w:rsid w:val="004119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uiPriority w:val="99"/>
    <w:rsid w:val="0041191E"/>
    <w:rPr>
      <w:color w:val="4659C4"/>
      <w:u w:val="single"/>
    </w:rPr>
  </w:style>
  <w:style w:type="character" w:customStyle="1" w:styleId="ifinal011">
    <w:name w:val="ifinal011"/>
    <w:rsid w:val="0041191E"/>
    <w:rPr>
      <w:rFonts w:ascii="Verdana" w:hAnsi="Verdana" w:hint="default"/>
      <w:color w:val="003399"/>
      <w:sz w:val="12"/>
      <w:szCs w:val="12"/>
    </w:rPr>
  </w:style>
  <w:style w:type="character" w:styleId="Textoennegrita">
    <w:name w:val="Strong"/>
    <w:uiPriority w:val="22"/>
    <w:qFormat/>
    <w:rsid w:val="0041191E"/>
    <w:rPr>
      <w:b/>
      <w:bCs/>
    </w:rPr>
  </w:style>
  <w:style w:type="character" w:customStyle="1" w:styleId="subtitle031">
    <w:name w:val="subtitle031"/>
    <w:rsid w:val="0041191E"/>
    <w:rPr>
      <w:rFonts w:ascii="Arial" w:hAnsi="Arial" w:cs="Arial" w:hint="default"/>
      <w:b/>
      <w:bCs/>
      <w:color w:val="616161"/>
      <w:sz w:val="11"/>
      <w:szCs w:val="11"/>
    </w:rPr>
  </w:style>
  <w:style w:type="paragraph" w:styleId="Prrafodelista">
    <w:name w:val="List Paragraph"/>
    <w:aliases w:val="List Paragraph2,Párrafo de lista1,List Paragraph1"/>
    <w:basedOn w:val="Normal"/>
    <w:link w:val="PrrafodelistaCar"/>
    <w:uiPriority w:val="34"/>
    <w:qFormat/>
    <w:rsid w:val="0041191E"/>
    <w:pPr>
      <w:spacing w:after="0" w:line="240" w:lineRule="auto"/>
      <w:ind w:left="720"/>
      <w:contextualSpacing/>
    </w:pPr>
    <w:rPr>
      <w:rFonts w:ascii="Univers" w:eastAsia="Times New Roman" w:hAnsi="Univers" w:cs="Times New Roman"/>
      <w:szCs w:val="20"/>
      <w:lang w:val="es-ES_tradnl"/>
    </w:rPr>
  </w:style>
  <w:style w:type="paragraph" w:styleId="Textodeglobo">
    <w:name w:val="Balloon Text"/>
    <w:basedOn w:val="Normal"/>
    <w:link w:val="TextodegloboCar"/>
    <w:uiPriority w:val="99"/>
    <w:semiHidden/>
    <w:unhideWhenUsed/>
    <w:rsid w:val="0041191E"/>
    <w:pPr>
      <w:spacing w:after="0" w:line="240" w:lineRule="auto"/>
    </w:pPr>
    <w:rPr>
      <w:rFonts w:ascii="Tahoma" w:eastAsia="Times New Roman" w:hAnsi="Tahoma" w:cs="Tahoma"/>
      <w:sz w:val="16"/>
      <w:szCs w:val="16"/>
      <w:lang w:val="es-ES_tradnl"/>
    </w:rPr>
  </w:style>
  <w:style w:type="character" w:customStyle="1" w:styleId="TextodegloboCar">
    <w:name w:val="Texto de globo Car"/>
    <w:basedOn w:val="Fuentedeprrafopredeter"/>
    <w:link w:val="Textodeglobo"/>
    <w:uiPriority w:val="99"/>
    <w:semiHidden/>
    <w:rsid w:val="0041191E"/>
    <w:rPr>
      <w:rFonts w:ascii="Tahoma" w:eastAsia="Times New Roman" w:hAnsi="Tahoma" w:cs="Tahoma"/>
      <w:sz w:val="16"/>
      <w:szCs w:val="16"/>
      <w:lang w:val="es-ES_tradnl"/>
    </w:rPr>
  </w:style>
  <w:style w:type="paragraph" w:customStyle="1" w:styleId="Sangradetindependiente2">
    <w:name w:val="Sangría de t. independiente2"/>
    <w:basedOn w:val="Normal"/>
    <w:rsid w:val="0041191E"/>
    <w:pPr>
      <w:widowControl w:val="0"/>
      <w:spacing w:after="0" w:line="360" w:lineRule="atLeast"/>
    </w:pPr>
    <w:rPr>
      <w:rFonts w:ascii="Arial" w:eastAsia="Times New Roman" w:hAnsi="Arial" w:cs="Times New Roman"/>
      <w:sz w:val="24"/>
      <w:szCs w:val="20"/>
      <w:lang w:val="es-ES_tradnl"/>
    </w:rPr>
  </w:style>
  <w:style w:type="numbering" w:customStyle="1" w:styleId="NoList11">
    <w:name w:val="No List11"/>
    <w:next w:val="Sinlista"/>
    <w:uiPriority w:val="99"/>
    <w:semiHidden/>
    <w:unhideWhenUsed/>
    <w:rsid w:val="0041191E"/>
  </w:style>
  <w:style w:type="character" w:customStyle="1" w:styleId="ColorfulList-Accent1Char">
    <w:name w:val="Colorful List - Accent 1 Char"/>
    <w:basedOn w:val="Fuentedeprrafopredeter"/>
    <w:link w:val="Listavistosa-nfasis1"/>
    <w:uiPriority w:val="99"/>
    <w:locked/>
    <w:rsid w:val="0041191E"/>
  </w:style>
  <w:style w:type="paragraph" w:styleId="Encabezado">
    <w:name w:val="header"/>
    <w:basedOn w:val="Normal"/>
    <w:link w:val="EncabezadoCar"/>
    <w:unhideWhenUsed/>
    <w:rsid w:val="0041191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41191E"/>
    <w:rPr>
      <w:rFonts w:ascii="Calibri" w:eastAsia="Calibri" w:hAnsi="Calibri" w:cs="Times New Roman"/>
    </w:rPr>
  </w:style>
  <w:style w:type="paragraph" w:styleId="Piedepgina">
    <w:name w:val="footer"/>
    <w:basedOn w:val="Normal"/>
    <w:link w:val="PiedepginaCar"/>
    <w:uiPriority w:val="99"/>
    <w:unhideWhenUsed/>
    <w:rsid w:val="0041191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1191E"/>
    <w:rPr>
      <w:rFonts w:ascii="Calibri" w:eastAsia="Calibri" w:hAnsi="Calibri" w:cs="Times New Roman"/>
    </w:rPr>
  </w:style>
  <w:style w:type="paragraph" w:customStyle="1" w:styleId="ColorfulList-Accent11">
    <w:name w:val="Colorful List - Accent 11"/>
    <w:basedOn w:val="Normal"/>
    <w:uiPriority w:val="34"/>
    <w:qFormat/>
    <w:rsid w:val="0041191E"/>
    <w:pPr>
      <w:spacing w:after="0" w:line="240" w:lineRule="auto"/>
      <w:ind w:left="720"/>
      <w:contextualSpacing/>
    </w:pPr>
    <w:rPr>
      <w:rFonts w:ascii="Times New Roman" w:eastAsia="MS Mincho" w:hAnsi="Times New Roman" w:cs="Times New Roman"/>
      <w:sz w:val="24"/>
      <w:szCs w:val="24"/>
      <w:lang w:val="es-ES" w:eastAsia="es-ES"/>
    </w:rPr>
  </w:style>
  <w:style w:type="character" w:styleId="Refdecomentario">
    <w:name w:val="annotation reference"/>
    <w:uiPriority w:val="99"/>
    <w:unhideWhenUsed/>
    <w:qFormat/>
    <w:rsid w:val="0041191E"/>
    <w:rPr>
      <w:sz w:val="18"/>
      <w:szCs w:val="18"/>
    </w:rPr>
  </w:style>
  <w:style w:type="paragraph" w:styleId="Textocomentario">
    <w:name w:val="annotation text"/>
    <w:basedOn w:val="Normal"/>
    <w:link w:val="TextocomentarioCar"/>
    <w:uiPriority w:val="99"/>
    <w:unhideWhenUsed/>
    <w:qFormat/>
    <w:rsid w:val="0041191E"/>
    <w:pPr>
      <w:spacing w:after="0" w:line="240" w:lineRule="auto"/>
    </w:pPr>
    <w:rPr>
      <w:rFonts w:ascii="Arial" w:eastAsia="Cambria" w:hAnsi="Arial" w:cs="Times New Roman"/>
      <w:sz w:val="24"/>
      <w:szCs w:val="24"/>
      <w:lang w:val="es-ES_tradnl" w:eastAsia="x-none"/>
    </w:rPr>
  </w:style>
  <w:style w:type="character" w:customStyle="1" w:styleId="TextocomentarioCar">
    <w:name w:val="Texto comentario Car"/>
    <w:basedOn w:val="Fuentedeprrafopredeter"/>
    <w:link w:val="Textocomentario"/>
    <w:uiPriority w:val="99"/>
    <w:rsid w:val="0041191E"/>
    <w:rPr>
      <w:rFonts w:ascii="Arial" w:eastAsia="Cambria" w:hAnsi="Arial" w:cs="Times New Roman"/>
      <w:sz w:val="24"/>
      <w:szCs w:val="24"/>
      <w:lang w:val="es-ES_tradnl" w:eastAsia="x-none"/>
    </w:rPr>
  </w:style>
  <w:style w:type="paragraph" w:styleId="Asuntodelcomentario">
    <w:name w:val="annotation subject"/>
    <w:basedOn w:val="Textocomentario"/>
    <w:next w:val="Textocomentario"/>
    <w:link w:val="AsuntodelcomentarioCar"/>
    <w:uiPriority w:val="99"/>
    <w:semiHidden/>
    <w:unhideWhenUsed/>
    <w:rsid w:val="0041191E"/>
    <w:pPr>
      <w:spacing w:after="200" w:line="276" w:lineRule="auto"/>
    </w:pPr>
    <w:rPr>
      <w:b/>
      <w:bCs/>
      <w:lang w:eastAsia="en-US"/>
    </w:rPr>
  </w:style>
  <w:style w:type="character" w:customStyle="1" w:styleId="AsuntodelcomentarioCar">
    <w:name w:val="Asunto del comentario Car"/>
    <w:basedOn w:val="TextocomentarioCar"/>
    <w:link w:val="Asuntodelcomentario"/>
    <w:uiPriority w:val="99"/>
    <w:semiHidden/>
    <w:rsid w:val="0041191E"/>
    <w:rPr>
      <w:rFonts w:ascii="Arial" w:eastAsia="Cambria" w:hAnsi="Arial" w:cs="Times New Roman"/>
      <w:b/>
      <w:bCs/>
      <w:sz w:val="24"/>
      <w:szCs w:val="24"/>
      <w:lang w:val="es-ES_tradnl" w:eastAsia="x-none"/>
    </w:rPr>
  </w:style>
  <w:style w:type="paragraph" w:customStyle="1" w:styleId="BodyText21">
    <w:name w:val="Body Text 21"/>
    <w:basedOn w:val="Normal"/>
    <w:rsid w:val="0041191E"/>
    <w:pPr>
      <w:overflowPunct w:val="0"/>
      <w:autoSpaceDE w:val="0"/>
      <w:autoSpaceDN w:val="0"/>
      <w:adjustRightInd w:val="0"/>
      <w:spacing w:after="0" w:line="240" w:lineRule="auto"/>
      <w:ind w:right="-720"/>
      <w:jc w:val="both"/>
      <w:textAlignment w:val="baseline"/>
    </w:pPr>
    <w:rPr>
      <w:rFonts w:ascii="Palatino" w:eastAsia="Times New Roman" w:hAnsi="Palatino" w:cs="Times New Roman"/>
      <w:sz w:val="24"/>
      <w:szCs w:val="20"/>
      <w:lang w:val="en-US" w:eastAsia="es-ES"/>
    </w:rPr>
  </w:style>
  <w:style w:type="paragraph" w:styleId="Sangradetextonormal">
    <w:name w:val="Body Text Indent"/>
    <w:basedOn w:val="Normal"/>
    <w:link w:val="SangradetextonormalCar"/>
    <w:rsid w:val="0041191E"/>
    <w:pPr>
      <w:spacing w:after="0" w:line="240" w:lineRule="auto"/>
      <w:ind w:left="1416"/>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rsid w:val="0041191E"/>
    <w:rPr>
      <w:rFonts w:ascii="Times New Roman" w:eastAsia="Times New Roman" w:hAnsi="Times New Roman" w:cs="Times New Roman"/>
      <w:sz w:val="24"/>
      <w:szCs w:val="24"/>
      <w:lang w:val="es-ES_tradnl" w:eastAsia="es-ES"/>
    </w:rPr>
  </w:style>
  <w:style w:type="character" w:styleId="nfasis">
    <w:name w:val="Emphasis"/>
    <w:uiPriority w:val="20"/>
    <w:qFormat/>
    <w:rsid w:val="0041191E"/>
    <w:rPr>
      <w:i/>
      <w:iCs/>
    </w:rPr>
  </w:style>
  <w:style w:type="paragraph" w:customStyle="1" w:styleId="PargrafodaLista">
    <w:name w:val="Parágrafo da Lista"/>
    <w:basedOn w:val="Normal"/>
    <w:uiPriority w:val="34"/>
    <w:qFormat/>
    <w:rsid w:val="0041191E"/>
    <w:pPr>
      <w:spacing w:after="0" w:line="240" w:lineRule="auto"/>
      <w:ind w:left="708"/>
    </w:pPr>
    <w:rPr>
      <w:rFonts w:ascii="Times New Roman" w:eastAsia="Times New Roman" w:hAnsi="Times New Roman" w:cs="Times New Roman"/>
      <w:sz w:val="24"/>
      <w:szCs w:val="24"/>
      <w:lang w:val="en-US"/>
    </w:rPr>
  </w:style>
  <w:style w:type="paragraph" w:styleId="Sangra2detindependiente">
    <w:name w:val="Body Text Indent 2"/>
    <w:basedOn w:val="Normal"/>
    <w:link w:val="Sangra2detindependienteCar"/>
    <w:rsid w:val="0041191E"/>
    <w:pPr>
      <w:spacing w:after="120" w:line="480" w:lineRule="auto"/>
      <w:ind w:left="360"/>
    </w:pPr>
    <w:rPr>
      <w:rFonts w:ascii="Times New Roman" w:eastAsia="Times New Roman" w:hAnsi="Times New Roman" w:cs="Times New Roman"/>
      <w:sz w:val="24"/>
      <w:szCs w:val="24"/>
      <w:lang w:val="en-US"/>
    </w:rPr>
  </w:style>
  <w:style w:type="character" w:customStyle="1" w:styleId="Sangra2detindependienteCar">
    <w:name w:val="Sangría 2 de t. independiente Car"/>
    <w:basedOn w:val="Fuentedeprrafopredeter"/>
    <w:link w:val="Sangra2detindependiente"/>
    <w:rsid w:val="0041191E"/>
    <w:rPr>
      <w:rFonts w:ascii="Times New Roman" w:eastAsia="Times New Roman" w:hAnsi="Times New Roman" w:cs="Times New Roman"/>
      <w:sz w:val="24"/>
      <w:szCs w:val="24"/>
      <w:lang w:val="en-US"/>
    </w:rPr>
  </w:style>
  <w:style w:type="character" w:customStyle="1" w:styleId="estilo721">
    <w:name w:val="estilo721"/>
    <w:rsid w:val="0041191E"/>
    <w:rPr>
      <w:b/>
      <w:bCs/>
      <w:color w:val="990000"/>
      <w:sz w:val="16"/>
      <w:szCs w:val="16"/>
    </w:rPr>
  </w:style>
  <w:style w:type="character" w:customStyle="1" w:styleId="ListParagraphChar2">
    <w:name w:val="List Paragraph Char2"/>
    <w:uiPriority w:val="34"/>
    <w:locked/>
    <w:rsid w:val="0041191E"/>
    <w:rPr>
      <w:rFonts w:ascii="Verdana" w:eastAsia="Times New Roman" w:hAnsi="Verdana"/>
      <w:szCs w:val="24"/>
      <w:lang w:val="es-ES_tradnl" w:eastAsia="en-US"/>
    </w:rPr>
  </w:style>
  <w:style w:type="paragraph" w:styleId="Textoindependiente3">
    <w:name w:val="Body Text 3"/>
    <w:basedOn w:val="Normal"/>
    <w:link w:val="Textoindependiente3Car"/>
    <w:uiPriority w:val="99"/>
    <w:semiHidden/>
    <w:unhideWhenUsed/>
    <w:rsid w:val="0041191E"/>
    <w:pPr>
      <w:spacing w:after="120"/>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semiHidden/>
    <w:rsid w:val="0041191E"/>
    <w:rPr>
      <w:rFonts w:ascii="Calibri" w:eastAsia="Calibri" w:hAnsi="Calibri" w:cs="Times New Roman"/>
      <w:sz w:val="16"/>
      <w:szCs w:val="16"/>
      <w:lang w:val="x-none"/>
    </w:rPr>
  </w:style>
  <w:style w:type="paragraph" w:styleId="Ttulo">
    <w:name w:val="Title"/>
    <w:basedOn w:val="Normal"/>
    <w:link w:val="TtuloCar"/>
    <w:qFormat/>
    <w:rsid w:val="0041191E"/>
    <w:pPr>
      <w:numPr>
        <w:numId w:val="3"/>
      </w:numPr>
      <w:spacing w:after="0" w:line="240" w:lineRule="auto"/>
      <w:jc w:val="both"/>
    </w:pPr>
    <w:rPr>
      <w:rFonts w:ascii="Verdana" w:eastAsia="Times New Roman" w:hAnsi="Verdana" w:cs="Times New Roman"/>
      <w:b/>
      <w:sz w:val="20"/>
      <w:szCs w:val="20"/>
      <w:lang w:val="es-ES_tradnl" w:eastAsia="es-ES" w:bidi="en-US"/>
    </w:rPr>
  </w:style>
  <w:style w:type="character" w:customStyle="1" w:styleId="TtuloCar">
    <w:name w:val="Título Car"/>
    <w:basedOn w:val="Fuentedeprrafopredeter"/>
    <w:link w:val="Ttulo"/>
    <w:rsid w:val="0041191E"/>
    <w:rPr>
      <w:rFonts w:ascii="Verdana" w:eastAsia="Times New Roman" w:hAnsi="Verdana" w:cs="Times New Roman"/>
      <w:b/>
      <w:sz w:val="20"/>
      <w:szCs w:val="20"/>
      <w:lang w:val="es-ES_tradnl" w:eastAsia="es-ES" w:bidi="en-US"/>
    </w:rPr>
  </w:style>
  <w:style w:type="table" w:styleId="Tablaconcuadrcula">
    <w:name w:val="Table Grid"/>
    <w:basedOn w:val="Tablanormal"/>
    <w:uiPriority w:val="59"/>
    <w:rsid w:val="0041191E"/>
    <w:pPr>
      <w:spacing w:after="0" w:line="240" w:lineRule="auto"/>
    </w:pPr>
    <w:rPr>
      <w:rFonts w:ascii="Calibri" w:eastAsia="Calibri" w:hAnsi="Calibri"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vistosa-nfasis11">
    <w:name w:val="Lista vistosa - Énfasis 11"/>
    <w:basedOn w:val="Tablanormal"/>
    <w:next w:val="Listavistosa-nfasis1"/>
    <w:uiPriority w:val="99"/>
    <w:rsid w:val="0041191E"/>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1">
    <w:name w:val="Sombreado claro1"/>
    <w:basedOn w:val="Tablanormal"/>
    <w:next w:val="Sombreadoclaro"/>
    <w:uiPriority w:val="60"/>
    <w:rsid w:val="0041191E"/>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1">
    <w:name w:val="Colorful List Accent 1"/>
    <w:basedOn w:val="Tablanormal"/>
    <w:link w:val="ColorfulList-Accent1Char"/>
    <w:uiPriority w:val="99"/>
    <w:rsid w:val="0041191E"/>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ombreadoclaro">
    <w:name w:val="Light Shading"/>
    <w:basedOn w:val="Tablanormal"/>
    <w:uiPriority w:val="60"/>
    <w:rsid w:val="0041191E"/>
    <w:pPr>
      <w:spacing w:after="0" w:line="240" w:lineRule="auto"/>
    </w:pPr>
    <w:rPr>
      <w:color w:val="000000" w:themeColor="text1" w:themeShade="BF"/>
      <w:lang w:val="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41191E"/>
    <w:pPr>
      <w:spacing w:after="0" w:line="240" w:lineRule="auto"/>
    </w:pPr>
    <w:rPr>
      <w:lang w:val="es-MX"/>
    </w:rPr>
  </w:style>
  <w:style w:type="table" w:customStyle="1" w:styleId="TableGrid1">
    <w:name w:val="Table Grid1"/>
    <w:basedOn w:val="Tablanormal"/>
    <w:next w:val="Tablaconcuadrcula"/>
    <w:uiPriority w:val="59"/>
    <w:rsid w:val="00411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anormal"/>
    <w:next w:val="Tablaconcuadrcula"/>
    <w:uiPriority w:val="59"/>
    <w:rsid w:val="00411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3CD1"/>
    <w:pPr>
      <w:autoSpaceDE w:val="0"/>
      <w:autoSpaceDN w:val="0"/>
      <w:adjustRightInd w:val="0"/>
      <w:spacing w:after="0" w:line="240" w:lineRule="auto"/>
    </w:pPr>
    <w:rPr>
      <w:rFonts w:ascii="Univers" w:eastAsiaTheme="minorEastAsia" w:hAnsi="Univers" w:cs="Univers"/>
      <w:color w:val="000000"/>
      <w:sz w:val="24"/>
      <w:szCs w:val="24"/>
      <w:lang w:val="en-US"/>
    </w:rPr>
  </w:style>
  <w:style w:type="paragraph" w:customStyle="1" w:styleId="Prrafodelista2">
    <w:name w:val="Párrafo de lista2"/>
    <w:basedOn w:val="Normal"/>
    <w:uiPriority w:val="99"/>
    <w:rsid w:val="00C13CD1"/>
    <w:pPr>
      <w:spacing w:after="0" w:line="240" w:lineRule="auto"/>
      <w:ind w:left="720"/>
    </w:pPr>
    <w:rPr>
      <w:rFonts w:ascii="Verdana" w:eastAsia="MS Mincho" w:hAnsi="Verdana" w:cs="Times New Roman"/>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7A5E60"/>
    <w:pPr>
      <w:spacing w:after="0" w:line="240" w:lineRule="auto"/>
      <w:jc w:val="both"/>
    </w:pPr>
    <w:rPr>
      <w:vertAlign w:val="superscript"/>
    </w:rPr>
  </w:style>
  <w:style w:type="character" w:customStyle="1" w:styleId="PrrafodelistaCar">
    <w:name w:val="Párrafo de lista Car"/>
    <w:aliases w:val="List Paragraph2 Car,Párrafo de lista1 Car,List Paragraph1 Car"/>
    <w:link w:val="Prrafodelista"/>
    <w:uiPriority w:val="34"/>
    <w:locked/>
    <w:rsid w:val="007B3B4E"/>
    <w:rPr>
      <w:rFonts w:ascii="Univers" w:eastAsia="Times New Roman" w:hAnsi="Univers" w:cs="Times New Roman"/>
      <w:szCs w:val="20"/>
      <w:lang w:val="es-ES_tradnl"/>
    </w:rPr>
  </w:style>
  <w:style w:type="character" w:customStyle="1" w:styleId="apple-converted-space">
    <w:name w:val="apple-converted-space"/>
    <w:basedOn w:val="Fuentedeprrafopredeter"/>
    <w:rsid w:val="007B3B4E"/>
  </w:style>
  <w:style w:type="character" w:customStyle="1" w:styleId="Estilo1Char">
    <w:name w:val="Estilo1 Char"/>
    <w:link w:val="Estilo1"/>
    <w:locked/>
    <w:rsid w:val="00614429"/>
    <w:rPr>
      <w:rFonts w:ascii="Verdana" w:eastAsia="Calibri" w:hAnsi="Verdana" w:cs="Times New Roman"/>
      <w:sz w:val="20"/>
      <w:szCs w:val="20"/>
      <w:lang w:val="es-ES"/>
    </w:rPr>
  </w:style>
  <w:style w:type="paragraph" w:customStyle="1" w:styleId="Estilo1">
    <w:name w:val="Estilo1"/>
    <w:basedOn w:val="Normal"/>
    <w:link w:val="Estilo1Char"/>
    <w:qFormat/>
    <w:rsid w:val="00614429"/>
    <w:pPr>
      <w:tabs>
        <w:tab w:val="left" w:pos="567"/>
        <w:tab w:val="left" w:pos="1134"/>
        <w:tab w:val="num" w:pos="30034"/>
      </w:tabs>
      <w:spacing w:after="120" w:line="240" w:lineRule="auto"/>
      <w:jc w:val="both"/>
    </w:pPr>
    <w:rPr>
      <w:rFonts w:ascii="Verdana" w:eastAsia="Calibri" w:hAnsi="Verdana" w:cs="Times New Roman"/>
      <w:sz w:val="20"/>
      <w:szCs w:val="20"/>
      <w:lang w:val="es-ES"/>
    </w:rPr>
  </w:style>
  <w:style w:type="paragraph" w:customStyle="1" w:styleId="Estilo2">
    <w:name w:val="Estilo2"/>
    <w:basedOn w:val="Normal"/>
    <w:link w:val="Estilo2Car"/>
    <w:qFormat/>
    <w:rsid w:val="00614429"/>
    <w:pPr>
      <w:tabs>
        <w:tab w:val="left" w:pos="567"/>
        <w:tab w:val="left" w:pos="1134"/>
        <w:tab w:val="num" w:pos="4767"/>
      </w:tabs>
      <w:spacing w:after="120" w:line="240" w:lineRule="auto"/>
      <w:ind w:left="4767" w:hanging="360"/>
      <w:jc w:val="both"/>
    </w:pPr>
    <w:rPr>
      <w:rFonts w:ascii="Verdana" w:eastAsia="Calibri" w:hAnsi="Verdana" w:cs="Times New Roman"/>
      <w:sz w:val="20"/>
      <w:szCs w:val="20"/>
      <w:lang w:val="es-ES"/>
    </w:rPr>
  </w:style>
  <w:style w:type="paragraph" w:customStyle="1" w:styleId="Estilo4">
    <w:name w:val="Estilo4"/>
    <w:basedOn w:val="Prrafodelista"/>
    <w:qFormat/>
    <w:rsid w:val="00BD30A0"/>
    <w:pPr>
      <w:numPr>
        <w:ilvl w:val="1"/>
        <w:numId w:val="6"/>
      </w:numPr>
      <w:tabs>
        <w:tab w:val="num" w:pos="360"/>
      </w:tabs>
      <w:spacing w:after="120"/>
      <w:ind w:left="0" w:firstLine="357"/>
      <w:contextualSpacing w:val="0"/>
      <w:jc w:val="both"/>
    </w:pPr>
    <w:rPr>
      <w:rFonts w:ascii="Verdana" w:hAnsi="Verdana"/>
      <w:spacing w:val="-2"/>
      <w:sz w:val="20"/>
      <w:lang w:val="es-CR"/>
    </w:rPr>
  </w:style>
  <w:style w:type="character" w:customStyle="1" w:styleId="Estilo2Car">
    <w:name w:val="Estilo2 Car"/>
    <w:basedOn w:val="Fuentedeprrafopredeter"/>
    <w:link w:val="Estilo2"/>
    <w:locked/>
    <w:rsid w:val="00FC0E3A"/>
    <w:rPr>
      <w:rFonts w:ascii="Verdana" w:eastAsia="Calibri" w:hAnsi="Verdana" w:cs="Times New Roman"/>
      <w:sz w:val="20"/>
      <w:szCs w:val="20"/>
      <w:lang w:val="es-ES"/>
    </w:rPr>
  </w:style>
  <w:style w:type="character" w:customStyle="1" w:styleId="apple-style-span">
    <w:name w:val="apple-style-span"/>
    <w:qFormat/>
    <w:rsid w:val="007C386A"/>
    <w:rPr>
      <w:rFonts w:cs="Times New Roman"/>
    </w:rPr>
  </w:style>
  <w:style w:type="paragraph" w:customStyle="1" w:styleId="Footnotes">
    <w:name w:val="**. Footnotes"/>
    <w:basedOn w:val="Textonotapie"/>
    <w:link w:val="FootnotesChar"/>
    <w:autoRedefine/>
    <w:qFormat/>
    <w:rsid w:val="00C854E3"/>
    <w:pPr>
      <w:tabs>
        <w:tab w:val="left" w:pos="0"/>
      </w:tabs>
      <w:spacing w:before="120" w:after="60"/>
      <w:jc w:val="both"/>
    </w:pPr>
    <w:rPr>
      <w:rFonts w:ascii="Verdana" w:eastAsia="Batang" w:hAnsi="Verdana" w:cs="Palatino-Italic"/>
      <w:iCs/>
      <w:sz w:val="16"/>
      <w:szCs w:val="16"/>
      <w:lang w:val="es-ES"/>
    </w:rPr>
  </w:style>
  <w:style w:type="character" w:customStyle="1" w:styleId="FootnotesChar">
    <w:name w:val="**. Footnotes Char"/>
    <w:basedOn w:val="Fuentedeprrafopredeter"/>
    <w:link w:val="Footnotes"/>
    <w:rsid w:val="00C854E3"/>
    <w:rPr>
      <w:rFonts w:ascii="Verdana" w:eastAsia="Batang" w:hAnsi="Verdana" w:cs="Palatino-Italic"/>
      <w:iCs/>
      <w:sz w:val="16"/>
      <w:szCs w:val="16"/>
      <w:lang w:val="es-ES"/>
    </w:rPr>
  </w:style>
  <w:style w:type="character" w:styleId="Hipervnculovisitado">
    <w:name w:val="FollowedHyperlink"/>
    <w:basedOn w:val="Fuentedeprrafopredeter"/>
    <w:uiPriority w:val="99"/>
    <w:semiHidden/>
    <w:unhideWhenUsed/>
    <w:rsid w:val="00F1346E"/>
    <w:rPr>
      <w:color w:val="800080" w:themeColor="followedHyperlink"/>
      <w:u w:val="single"/>
    </w:rPr>
  </w:style>
  <w:style w:type="paragraph" w:styleId="Textoindependiente2">
    <w:name w:val="Body Text 2"/>
    <w:basedOn w:val="Normal"/>
    <w:link w:val="Textoindependiente2Car"/>
    <w:uiPriority w:val="99"/>
    <w:unhideWhenUsed/>
    <w:rsid w:val="002E273E"/>
    <w:pPr>
      <w:spacing w:after="120" w:line="480" w:lineRule="auto"/>
    </w:pPr>
  </w:style>
  <w:style w:type="character" w:customStyle="1" w:styleId="Textoindependiente2Car">
    <w:name w:val="Texto independiente 2 Car"/>
    <w:basedOn w:val="Fuentedeprrafopredeter"/>
    <w:link w:val="Textoindependiente2"/>
    <w:uiPriority w:val="99"/>
    <w:rsid w:val="002E273E"/>
  </w:style>
  <w:style w:type="paragraph" w:styleId="TtulodeTDC">
    <w:name w:val="TOC Heading"/>
    <w:basedOn w:val="Ttulo1"/>
    <w:next w:val="Normal"/>
    <w:uiPriority w:val="39"/>
    <w:unhideWhenUsed/>
    <w:qFormat/>
    <w:rsid w:val="00476FD9"/>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DC1">
    <w:name w:val="toc 1"/>
    <w:basedOn w:val="Normal"/>
    <w:next w:val="Normal"/>
    <w:autoRedefine/>
    <w:uiPriority w:val="39"/>
    <w:unhideWhenUsed/>
    <w:rsid w:val="00506FD5"/>
    <w:pPr>
      <w:tabs>
        <w:tab w:val="right" w:leader="dot" w:pos="9771"/>
      </w:tabs>
      <w:spacing w:after="60" w:line="240" w:lineRule="auto"/>
    </w:pPr>
    <w:rPr>
      <w:rFonts w:ascii="Verdana" w:hAnsi="Verdana"/>
      <w:noProof/>
      <w:sz w:val="20"/>
    </w:rPr>
  </w:style>
  <w:style w:type="paragraph" w:styleId="TDC2">
    <w:name w:val="toc 2"/>
    <w:basedOn w:val="Normal"/>
    <w:next w:val="Normal"/>
    <w:autoRedefine/>
    <w:uiPriority w:val="39"/>
    <w:unhideWhenUsed/>
    <w:rsid w:val="00476FD9"/>
    <w:pPr>
      <w:tabs>
        <w:tab w:val="left" w:pos="880"/>
        <w:tab w:val="right" w:leader="dot" w:pos="9345"/>
      </w:tabs>
      <w:spacing w:after="100"/>
      <w:ind w:left="220"/>
      <w:jc w:val="both"/>
    </w:pPr>
    <w:rPr>
      <w:rFonts w:ascii="Verdana" w:eastAsia="Times New Roman" w:hAnsi="Verdana" w:cs="Times New Roman"/>
      <w:bCs/>
      <w:i/>
      <w:iCs/>
      <w:noProof/>
      <w:sz w:val="20"/>
      <w:szCs w:val="20"/>
      <w:lang w:val="es-ES_tradnl"/>
    </w:rPr>
  </w:style>
  <w:style w:type="character" w:styleId="Nmerodelnea">
    <w:name w:val="line number"/>
    <w:basedOn w:val="Fuentedeprrafopredeter"/>
    <w:uiPriority w:val="99"/>
    <w:semiHidden/>
    <w:unhideWhenUsed/>
    <w:rsid w:val="0017767A"/>
  </w:style>
  <w:style w:type="paragraph" w:customStyle="1" w:styleId="Estilo5">
    <w:name w:val="Estilo5"/>
    <w:basedOn w:val="Estilo2"/>
    <w:link w:val="Estilo5Car"/>
    <w:qFormat/>
    <w:rsid w:val="000E5864"/>
    <w:pPr>
      <w:numPr>
        <w:numId w:val="7"/>
      </w:numPr>
      <w:tabs>
        <w:tab w:val="clear" w:pos="567"/>
        <w:tab w:val="clear" w:pos="1134"/>
        <w:tab w:val="left" w:pos="720"/>
      </w:tabs>
      <w:ind w:right="-522"/>
    </w:pPr>
    <w:rPr>
      <w:spacing w:val="-2"/>
    </w:rPr>
  </w:style>
  <w:style w:type="character" w:customStyle="1" w:styleId="Estilo5Car">
    <w:name w:val="Estilo5 Car"/>
    <w:basedOn w:val="Estilo2Car"/>
    <w:link w:val="Estilo5"/>
    <w:rsid w:val="000E5864"/>
    <w:rPr>
      <w:rFonts w:ascii="Verdana" w:eastAsia="Calibri" w:hAnsi="Verdana" w:cs="Times New Roman"/>
      <w:spacing w:val="-2"/>
      <w:sz w:val="20"/>
      <w:szCs w:val="20"/>
      <w:lang w:val="es-ES"/>
    </w:rPr>
  </w:style>
  <w:style w:type="paragraph" w:styleId="Cita">
    <w:name w:val="Quote"/>
    <w:basedOn w:val="Normal"/>
    <w:next w:val="Normal"/>
    <w:link w:val="CitaCar"/>
    <w:uiPriority w:val="29"/>
    <w:qFormat/>
    <w:rsid w:val="00297E38"/>
    <w:pPr>
      <w:spacing w:after="0" w:line="240" w:lineRule="auto"/>
    </w:pPr>
    <w:rPr>
      <w:rFonts w:eastAsiaTheme="minorEastAsia"/>
      <w:i/>
      <w:iCs/>
      <w:color w:val="000000" w:themeColor="text1"/>
      <w:sz w:val="24"/>
      <w:szCs w:val="24"/>
      <w:lang w:val="es-ES_tradnl"/>
    </w:rPr>
  </w:style>
  <w:style w:type="character" w:customStyle="1" w:styleId="CitaCar">
    <w:name w:val="Cita Car"/>
    <w:basedOn w:val="Fuentedeprrafopredeter"/>
    <w:link w:val="Cita"/>
    <w:uiPriority w:val="29"/>
    <w:rsid w:val="00297E38"/>
    <w:rPr>
      <w:rFonts w:eastAsiaTheme="minorEastAsia"/>
      <w:i/>
      <w:iCs/>
      <w:color w:val="000000" w:themeColor="text1"/>
      <w:sz w:val="24"/>
      <w:szCs w:val="24"/>
      <w:lang w:val="es-ES_tradnl"/>
    </w:rPr>
  </w:style>
  <w:style w:type="paragraph" w:customStyle="1" w:styleId="PrrafodeSentencia">
    <w:name w:val="*. Párrafo de Sentencia"/>
    <w:basedOn w:val="Normal"/>
    <w:link w:val="PrrafodeSentenciaChar"/>
    <w:qFormat/>
    <w:rsid w:val="00EA6744"/>
    <w:pPr>
      <w:tabs>
        <w:tab w:val="left" w:pos="567"/>
        <w:tab w:val="num" w:pos="12305"/>
      </w:tabs>
      <w:spacing w:after="0" w:line="240" w:lineRule="auto"/>
      <w:jc w:val="both"/>
    </w:pPr>
    <w:rPr>
      <w:rFonts w:ascii="Verdana" w:eastAsia="Batang" w:hAnsi="Verdana" w:cs="Times New Roman"/>
      <w:sz w:val="20"/>
      <w:szCs w:val="20"/>
      <w:lang w:val="es-ES_tradnl" w:eastAsia="es-MX"/>
    </w:rPr>
  </w:style>
  <w:style w:type="character" w:customStyle="1" w:styleId="PrrafodeSentenciaChar">
    <w:name w:val="*. Párrafo de Sentencia Char"/>
    <w:link w:val="PrrafodeSentencia"/>
    <w:rsid w:val="00EA6744"/>
    <w:rPr>
      <w:rFonts w:ascii="Verdana" w:eastAsia="Batang" w:hAnsi="Verdana" w:cs="Times New Roman"/>
      <w:sz w:val="20"/>
      <w:szCs w:val="20"/>
      <w:lang w:val="es-ES_tradnl" w:eastAsia="es-MX"/>
    </w:rPr>
  </w:style>
  <w:style w:type="paragraph" w:customStyle="1" w:styleId="1">
    <w:name w:val="1"/>
    <w:basedOn w:val="Normal"/>
    <w:rsid w:val="009A4633"/>
    <w:pPr>
      <w:spacing w:after="160" w:line="240" w:lineRule="exact"/>
    </w:pPr>
    <w:rPr>
      <w:vertAlign w:val="superscript"/>
      <w:lang w:val="en-US"/>
    </w:rPr>
  </w:style>
  <w:style w:type="character" w:customStyle="1" w:styleId="st1">
    <w:name w:val="st1"/>
    <w:basedOn w:val="Fuentedeprrafopredeter"/>
    <w:rsid w:val="009A4633"/>
  </w:style>
  <w:style w:type="character" w:styleId="CitaHTML">
    <w:name w:val="HTML Cite"/>
    <w:rsid w:val="009A4633"/>
    <w:rPr>
      <w:i/>
      <w:iCs/>
    </w:rPr>
  </w:style>
  <w:style w:type="paragraph" w:customStyle="1" w:styleId="Style13">
    <w:name w:val="Style 13"/>
    <w:basedOn w:val="Normal"/>
    <w:rsid w:val="009A4633"/>
    <w:pPr>
      <w:widowControl w:val="0"/>
      <w:autoSpaceDE w:val="0"/>
      <w:autoSpaceDN w:val="0"/>
      <w:spacing w:before="252" w:after="0" w:line="240" w:lineRule="exact"/>
      <w:ind w:right="72"/>
      <w:jc w:val="both"/>
    </w:pPr>
    <w:rPr>
      <w:rFonts w:ascii="Times New Roman" w:eastAsia="MS Mincho" w:hAnsi="Times New Roman" w:cs="Times New Roman"/>
      <w:sz w:val="24"/>
      <w:szCs w:val="24"/>
      <w:lang w:val="en-US"/>
    </w:rPr>
  </w:style>
  <w:style w:type="paragraph" w:customStyle="1" w:styleId="Style29">
    <w:name w:val="Style 29"/>
    <w:basedOn w:val="Normal"/>
    <w:uiPriority w:val="99"/>
    <w:rsid w:val="009A4633"/>
    <w:pPr>
      <w:widowControl w:val="0"/>
      <w:autoSpaceDE w:val="0"/>
      <w:autoSpaceDN w:val="0"/>
      <w:spacing w:before="252" w:after="0" w:line="240" w:lineRule="exact"/>
      <w:jc w:val="both"/>
    </w:pPr>
    <w:rPr>
      <w:rFonts w:ascii="Times New Roman" w:eastAsia="MS Mincho" w:hAnsi="Times New Roman" w:cs="Times New Roman"/>
      <w:sz w:val="24"/>
      <w:szCs w:val="24"/>
      <w:lang w:val="en-US"/>
    </w:rPr>
  </w:style>
  <w:style w:type="paragraph" w:customStyle="1" w:styleId="Style25">
    <w:name w:val="Style 25"/>
    <w:basedOn w:val="Normal"/>
    <w:rsid w:val="009A4633"/>
    <w:pPr>
      <w:widowControl w:val="0"/>
      <w:autoSpaceDE w:val="0"/>
      <w:autoSpaceDN w:val="0"/>
      <w:spacing w:after="0" w:line="240" w:lineRule="auto"/>
      <w:jc w:val="both"/>
    </w:pPr>
    <w:rPr>
      <w:rFonts w:ascii="Times New Roman" w:eastAsia="MS Mincho" w:hAnsi="Times New Roman" w:cs="Times New Roman"/>
      <w:sz w:val="24"/>
      <w:szCs w:val="24"/>
      <w:lang w:val="en-US"/>
    </w:rPr>
  </w:style>
  <w:style w:type="character" w:customStyle="1" w:styleId="st">
    <w:name w:val="st"/>
    <w:rsid w:val="009A4633"/>
  </w:style>
  <w:style w:type="paragraph" w:customStyle="1" w:styleId="Estilo3">
    <w:name w:val="Estilo3"/>
    <w:basedOn w:val="Prrafodelista"/>
    <w:link w:val="Estilo3Car"/>
    <w:qFormat/>
    <w:rsid w:val="00C135A6"/>
    <w:pPr>
      <w:tabs>
        <w:tab w:val="num" w:pos="360"/>
      </w:tabs>
      <w:spacing w:after="120" w:line="216" w:lineRule="auto"/>
      <w:ind w:right="17"/>
      <w:contextualSpacing w:val="0"/>
      <w:jc w:val="both"/>
    </w:pPr>
    <w:rPr>
      <w:rFonts w:ascii="Verdana" w:eastAsia="Calibri" w:hAnsi="Verdana"/>
      <w:spacing w:val="-2"/>
      <w:sz w:val="20"/>
      <w:lang w:val="es-MX" w:eastAsia="x-none"/>
    </w:rPr>
  </w:style>
  <w:style w:type="paragraph" w:customStyle="1" w:styleId="Estilo8">
    <w:name w:val="Estilo8"/>
    <w:basedOn w:val="Estilo3"/>
    <w:qFormat/>
    <w:rsid w:val="00C135A6"/>
    <w:pPr>
      <w:ind w:left="1080" w:hanging="358"/>
    </w:pPr>
  </w:style>
  <w:style w:type="character" w:customStyle="1" w:styleId="FootnoteAnchor">
    <w:name w:val="Footnote Anchor"/>
    <w:rsid w:val="00522E47"/>
    <w:rPr>
      <w:vertAlign w:val="superscript"/>
    </w:rPr>
  </w:style>
  <w:style w:type="character" w:customStyle="1" w:styleId="Estilo3Car">
    <w:name w:val="Estilo3 Car"/>
    <w:link w:val="Estilo3"/>
    <w:rsid w:val="006B03D1"/>
    <w:rPr>
      <w:rFonts w:ascii="Verdana" w:eastAsia="Calibri" w:hAnsi="Verdana" w:cs="Times New Roman"/>
      <w:spacing w:val="-2"/>
      <w:sz w:val="20"/>
      <w:szCs w:val="20"/>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35" w:qFormat="1"/>
    <w:lsdException w:name="footnote reference" w:uiPriority="0" w:qFormat="1"/>
    <w:lsdException w:name="annotation reference"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39"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41191E"/>
    <w:pPr>
      <w:keepNext/>
      <w:spacing w:before="240" w:after="60"/>
      <w:outlineLvl w:val="0"/>
    </w:pPr>
    <w:rPr>
      <w:rFonts w:ascii="Cambria" w:eastAsia="Times New Roman" w:hAnsi="Cambria" w:cs="Times New Roman"/>
      <w:b/>
      <w:bCs/>
      <w:kern w:val="32"/>
      <w:sz w:val="32"/>
      <w:szCs w:val="32"/>
      <w:lang w:val="x-none"/>
    </w:rPr>
  </w:style>
  <w:style w:type="paragraph" w:styleId="Ttulo2">
    <w:name w:val="heading 2"/>
    <w:basedOn w:val="Normal"/>
    <w:next w:val="Normal"/>
    <w:link w:val="Ttulo2Car"/>
    <w:qFormat/>
    <w:rsid w:val="0041191E"/>
    <w:pPr>
      <w:keepNext/>
      <w:numPr>
        <w:numId w:val="1"/>
      </w:numPr>
      <w:spacing w:after="0" w:line="240" w:lineRule="auto"/>
      <w:jc w:val="both"/>
      <w:outlineLvl w:val="1"/>
    </w:pPr>
    <w:rPr>
      <w:rFonts w:ascii="Calibri" w:eastAsia="Times New Roman" w:hAnsi="Calibri" w:cs="Times New Roman"/>
      <w:b/>
      <w:szCs w:val="20"/>
      <w:lang w:val="es-CO"/>
    </w:rPr>
  </w:style>
  <w:style w:type="paragraph" w:styleId="Ttulo3">
    <w:name w:val="heading 3"/>
    <w:basedOn w:val="Normal"/>
    <w:next w:val="Normal"/>
    <w:link w:val="Ttulo3Car"/>
    <w:uiPriority w:val="9"/>
    <w:qFormat/>
    <w:rsid w:val="0041191E"/>
    <w:pPr>
      <w:keepNext/>
      <w:spacing w:before="240" w:after="60" w:line="240" w:lineRule="auto"/>
      <w:outlineLvl w:val="2"/>
    </w:pPr>
    <w:rPr>
      <w:rFonts w:ascii="Cambria" w:eastAsia="Times New Roman" w:hAnsi="Cambria" w:cs="Times New Roman"/>
      <w:b/>
      <w:bCs/>
      <w:sz w:val="26"/>
      <w:szCs w:val="26"/>
      <w:lang w:val="es-ES_tradnl"/>
    </w:rPr>
  </w:style>
  <w:style w:type="paragraph" w:styleId="Ttulo5">
    <w:name w:val="heading 5"/>
    <w:basedOn w:val="Normal"/>
    <w:next w:val="Normal"/>
    <w:link w:val="Ttulo5Car"/>
    <w:uiPriority w:val="9"/>
    <w:qFormat/>
    <w:rsid w:val="0041191E"/>
    <w:pPr>
      <w:spacing w:before="240" w:after="60"/>
      <w:outlineLvl w:val="4"/>
    </w:pPr>
    <w:rPr>
      <w:rFonts w:ascii="Calibri" w:eastAsia="Times New Roman" w:hAnsi="Calibri" w:cs="Times New Roman"/>
      <w:b/>
      <w:bCs/>
      <w:i/>
      <w:iCs/>
      <w:sz w:val="26"/>
      <w:szCs w:val="26"/>
      <w:lang w:val="x-none"/>
    </w:rPr>
  </w:style>
  <w:style w:type="paragraph" w:styleId="Ttulo6">
    <w:name w:val="heading 6"/>
    <w:basedOn w:val="Ttulo5"/>
    <w:next w:val="Normal"/>
    <w:link w:val="Ttulo6Car"/>
    <w:uiPriority w:val="9"/>
    <w:qFormat/>
    <w:rsid w:val="0041191E"/>
    <w:pPr>
      <w:numPr>
        <w:ilvl w:val="4"/>
        <w:numId w:val="2"/>
      </w:numPr>
      <w:spacing w:before="0" w:after="0" w:line="240" w:lineRule="auto"/>
      <w:jc w:val="both"/>
      <w:outlineLvl w:val="5"/>
    </w:pPr>
    <w:rPr>
      <w:rFonts w:ascii="Verdana" w:hAnsi="Verdana"/>
      <w:b w:val="0"/>
      <w:bCs w:val="0"/>
      <w:i w:val="0"/>
      <w:iCs w:val="0"/>
      <w:spacing w:val="-2"/>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191E"/>
    <w:rPr>
      <w:rFonts w:ascii="Cambria" w:eastAsia="Times New Roman" w:hAnsi="Cambria" w:cs="Times New Roman"/>
      <w:b/>
      <w:bCs/>
      <w:kern w:val="32"/>
      <w:sz w:val="32"/>
      <w:szCs w:val="32"/>
      <w:lang w:val="x-none"/>
    </w:rPr>
  </w:style>
  <w:style w:type="character" w:customStyle="1" w:styleId="Ttulo2Car">
    <w:name w:val="Título 2 Car"/>
    <w:basedOn w:val="Fuentedeprrafopredeter"/>
    <w:link w:val="Ttulo2"/>
    <w:rsid w:val="0041191E"/>
    <w:rPr>
      <w:rFonts w:ascii="Calibri" w:eastAsia="Times New Roman" w:hAnsi="Calibri" w:cs="Times New Roman"/>
      <w:b/>
      <w:szCs w:val="20"/>
      <w:lang w:val="es-CO"/>
    </w:rPr>
  </w:style>
  <w:style w:type="character" w:customStyle="1" w:styleId="Ttulo3Car">
    <w:name w:val="Título 3 Car"/>
    <w:basedOn w:val="Fuentedeprrafopredeter"/>
    <w:link w:val="Ttulo3"/>
    <w:uiPriority w:val="9"/>
    <w:rsid w:val="0041191E"/>
    <w:rPr>
      <w:rFonts w:ascii="Cambria" w:eastAsia="Times New Roman" w:hAnsi="Cambria" w:cs="Times New Roman"/>
      <w:b/>
      <w:bCs/>
      <w:sz w:val="26"/>
      <w:szCs w:val="26"/>
      <w:lang w:val="es-ES_tradnl"/>
    </w:rPr>
  </w:style>
  <w:style w:type="character" w:customStyle="1" w:styleId="Ttulo5Car">
    <w:name w:val="Título 5 Car"/>
    <w:basedOn w:val="Fuentedeprrafopredeter"/>
    <w:link w:val="Ttulo5"/>
    <w:rsid w:val="0041191E"/>
    <w:rPr>
      <w:rFonts w:ascii="Calibri" w:eastAsia="Times New Roman" w:hAnsi="Calibri" w:cs="Times New Roman"/>
      <w:b/>
      <w:bCs/>
      <w:i/>
      <w:iCs/>
      <w:sz w:val="26"/>
      <w:szCs w:val="26"/>
      <w:lang w:val="x-none"/>
    </w:rPr>
  </w:style>
  <w:style w:type="character" w:customStyle="1" w:styleId="Ttulo6Car">
    <w:name w:val="Título 6 Car"/>
    <w:basedOn w:val="Fuentedeprrafopredeter"/>
    <w:link w:val="Ttulo6"/>
    <w:uiPriority w:val="9"/>
    <w:rsid w:val="0041191E"/>
    <w:rPr>
      <w:rFonts w:ascii="Verdana" w:eastAsia="Times New Roman" w:hAnsi="Verdana" w:cs="Times New Roman"/>
      <w:spacing w:val="-2"/>
      <w:sz w:val="20"/>
      <w:szCs w:val="20"/>
      <w:lang w:val="es-ES_tradnl" w:eastAsia="x-none"/>
    </w:rPr>
  </w:style>
  <w:style w:type="numbering" w:customStyle="1" w:styleId="NoList1">
    <w:name w:val="No List1"/>
    <w:next w:val="Sinlista"/>
    <w:uiPriority w:val="99"/>
    <w:semiHidden/>
    <w:unhideWhenUsed/>
    <w:rsid w:val="0041191E"/>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Footnote Reference Char3"/>
    <w:link w:val="4GChar"/>
    <w:qFormat/>
    <w:rsid w:val="0041191E"/>
    <w:rPr>
      <w:vertAlign w:val="superscript"/>
    </w:rPr>
  </w:style>
  <w:style w:type="paragraph" w:styleId="Textonotapie">
    <w:name w:val="footnote text"/>
    <w:aliases w:val="Footnote Text Char Char Char Char Char,Footnote Text Char Char Char Char,footnote text,Footnote reference,FA Fu,Footnote Text Char Char Char,Footnote Text Cha,FA Fußnotentext,FA Fuﬂnotentext,Texto nota pie Car,Footnote Text Char Char,Ca,C"/>
    <w:basedOn w:val="Normal"/>
    <w:link w:val="TextonotapieCar1"/>
    <w:qFormat/>
    <w:rsid w:val="0041191E"/>
    <w:pPr>
      <w:spacing w:after="0" w:line="240" w:lineRule="auto"/>
    </w:pPr>
    <w:rPr>
      <w:rFonts w:ascii="Univers" w:eastAsia="Times New Roman" w:hAnsi="Univers" w:cs="Times New Roman"/>
      <w:sz w:val="20"/>
      <w:szCs w:val="20"/>
      <w:lang w:val="es-CO"/>
    </w:rPr>
  </w:style>
  <w:style w:type="character" w:customStyle="1" w:styleId="TextonotapieCar1">
    <w:name w:val="Texto nota pie Car1"/>
    <w:aliases w:val="Footnote Text Char Char Char Char Char Car,Footnote Text Char Char Char Char Car,footnote text Car,Footnote reference Car,FA Fu Car,Footnote Text Char Char Char Car,Footnote Text Cha Car,FA Fußnotentext Car,FA Fuﬂnotentext Car,Ca Car"/>
    <w:basedOn w:val="Fuentedeprrafopredeter"/>
    <w:link w:val="Textonotapie"/>
    <w:qFormat/>
    <w:rsid w:val="0041191E"/>
    <w:rPr>
      <w:rFonts w:ascii="Univers" w:eastAsia="Times New Roman" w:hAnsi="Univers" w:cs="Times New Roman"/>
      <w:sz w:val="20"/>
      <w:szCs w:val="20"/>
      <w:lang w:val="es-CO"/>
    </w:rPr>
  </w:style>
  <w:style w:type="paragraph" w:styleId="NormalWeb">
    <w:name w:val="Normal (Web)"/>
    <w:aliases w:val="Normal (Web) Char1,Normal (Web) Char Char,Normal (Web) Char1 Char,Normal (Web) Char Char Char"/>
    <w:basedOn w:val="Normal"/>
    <w:uiPriority w:val="39"/>
    <w:qFormat/>
    <w:rsid w:val="004119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uiPriority w:val="99"/>
    <w:rsid w:val="0041191E"/>
    <w:rPr>
      <w:color w:val="4659C4"/>
      <w:u w:val="single"/>
    </w:rPr>
  </w:style>
  <w:style w:type="character" w:customStyle="1" w:styleId="ifinal011">
    <w:name w:val="ifinal011"/>
    <w:rsid w:val="0041191E"/>
    <w:rPr>
      <w:rFonts w:ascii="Verdana" w:hAnsi="Verdana" w:hint="default"/>
      <w:color w:val="003399"/>
      <w:sz w:val="12"/>
      <w:szCs w:val="12"/>
    </w:rPr>
  </w:style>
  <w:style w:type="character" w:styleId="Textoennegrita">
    <w:name w:val="Strong"/>
    <w:uiPriority w:val="22"/>
    <w:qFormat/>
    <w:rsid w:val="0041191E"/>
    <w:rPr>
      <w:b/>
      <w:bCs/>
    </w:rPr>
  </w:style>
  <w:style w:type="character" w:customStyle="1" w:styleId="subtitle031">
    <w:name w:val="subtitle031"/>
    <w:rsid w:val="0041191E"/>
    <w:rPr>
      <w:rFonts w:ascii="Arial" w:hAnsi="Arial" w:cs="Arial" w:hint="default"/>
      <w:b/>
      <w:bCs/>
      <w:color w:val="616161"/>
      <w:sz w:val="11"/>
      <w:szCs w:val="11"/>
    </w:rPr>
  </w:style>
  <w:style w:type="paragraph" w:styleId="Prrafodelista">
    <w:name w:val="List Paragraph"/>
    <w:aliases w:val="List Paragraph2,Párrafo de lista1,List Paragraph1"/>
    <w:basedOn w:val="Normal"/>
    <w:link w:val="PrrafodelistaCar"/>
    <w:uiPriority w:val="34"/>
    <w:qFormat/>
    <w:rsid w:val="0041191E"/>
    <w:pPr>
      <w:spacing w:after="0" w:line="240" w:lineRule="auto"/>
      <w:ind w:left="720"/>
      <w:contextualSpacing/>
    </w:pPr>
    <w:rPr>
      <w:rFonts w:ascii="Univers" w:eastAsia="Times New Roman" w:hAnsi="Univers" w:cs="Times New Roman"/>
      <w:szCs w:val="20"/>
      <w:lang w:val="es-ES_tradnl"/>
    </w:rPr>
  </w:style>
  <w:style w:type="paragraph" w:styleId="Textodeglobo">
    <w:name w:val="Balloon Text"/>
    <w:basedOn w:val="Normal"/>
    <w:link w:val="TextodegloboCar"/>
    <w:uiPriority w:val="99"/>
    <w:semiHidden/>
    <w:unhideWhenUsed/>
    <w:rsid w:val="0041191E"/>
    <w:pPr>
      <w:spacing w:after="0" w:line="240" w:lineRule="auto"/>
    </w:pPr>
    <w:rPr>
      <w:rFonts w:ascii="Tahoma" w:eastAsia="Times New Roman" w:hAnsi="Tahoma" w:cs="Tahoma"/>
      <w:sz w:val="16"/>
      <w:szCs w:val="16"/>
      <w:lang w:val="es-ES_tradnl"/>
    </w:rPr>
  </w:style>
  <w:style w:type="character" w:customStyle="1" w:styleId="TextodegloboCar">
    <w:name w:val="Texto de globo Car"/>
    <w:basedOn w:val="Fuentedeprrafopredeter"/>
    <w:link w:val="Textodeglobo"/>
    <w:uiPriority w:val="99"/>
    <w:semiHidden/>
    <w:rsid w:val="0041191E"/>
    <w:rPr>
      <w:rFonts w:ascii="Tahoma" w:eastAsia="Times New Roman" w:hAnsi="Tahoma" w:cs="Tahoma"/>
      <w:sz w:val="16"/>
      <w:szCs w:val="16"/>
      <w:lang w:val="es-ES_tradnl"/>
    </w:rPr>
  </w:style>
  <w:style w:type="paragraph" w:customStyle="1" w:styleId="Sangradetindependiente2">
    <w:name w:val="Sangría de t. independiente2"/>
    <w:basedOn w:val="Normal"/>
    <w:rsid w:val="0041191E"/>
    <w:pPr>
      <w:widowControl w:val="0"/>
      <w:spacing w:after="0" w:line="360" w:lineRule="atLeast"/>
    </w:pPr>
    <w:rPr>
      <w:rFonts w:ascii="Arial" w:eastAsia="Times New Roman" w:hAnsi="Arial" w:cs="Times New Roman"/>
      <w:sz w:val="24"/>
      <w:szCs w:val="20"/>
      <w:lang w:val="es-ES_tradnl"/>
    </w:rPr>
  </w:style>
  <w:style w:type="numbering" w:customStyle="1" w:styleId="NoList11">
    <w:name w:val="No List11"/>
    <w:next w:val="Sinlista"/>
    <w:uiPriority w:val="99"/>
    <w:semiHidden/>
    <w:unhideWhenUsed/>
    <w:rsid w:val="0041191E"/>
  </w:style>
  <w:style w:type="character" w:customStyle="1" w:styleId="ColorfulList-Accent1Char">
    <w:name w:val="Colorful List - Accent 1 Char"/>
    <w:basedOn w:val="Fuentedeprrafopredeter"/>
    <w:link w:val="Listavistosa-nfasis1"/>
    <w:uiPriority w:val="99"/>
    <w:locked/>
    <w:rsid w:val="0041191E"/>
  </w:style>
  <w:style w:type="paragraph" w:styleId="Encabezado">
    <w:name w:val="header"/>
    <w:basedOn w:val="Normal"/>
    <w:link w:val="EncabezadoCar"/>
    <w:unhideWhenUsed/>
    <w:rsid w:val="0041191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41191E"/>
    <w:rPr>
      <w:rFonts w:ascii="Calibri" w:eastAsia="Calibri" w:hAnsi="Calibri" w:cs="Times New Roman"/>
    </w:rPr>
  </w:style>
  <w:style w:type="paragraph" w:styleId="Piedepgina">
    <w:name w:val="footer"/>
    <w:basedOn w:val="Normal"/>
    <w:link w:val="PiedepginaCar"/>
    <w:uiPriority w:val="99"/>
    <w:unhideWhenUsed/>
    <w:rsid w:val="0041191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1191E"/>
    <w:rPr>
      <w:rFonts w:ascii="Calibri" w:eastAsia="Calibri" w:hAnsi="Calibri" w:cs="Times New Roman"/>
    </w:rPr>
  </w:style>
  <w:style w:type="paragraph" w:customStyle="1" w:styleId="ColorfulList-Accent11">
    <w:name w:val="Colorful List - Accent 11"/>
    <w:basedOn w:val="Normal"/>
    <w:uiPriority w:val="34"/>
    <w:qFormat/>
    <w:rsid w:val="0041191E"/>
    <w:pPr>
      <w:spacing w:after="0" w:line="240" w:lineRule="auto"/>
      <w:ind w:left="720"/>
      <w:contextualSpacing/>
    </w:pPr>
    <w:rPr>
      <w:rFonts w:ascii="Times New Roman" w:eastAsia="MS Mincho" w:hAnsi="Times New Roman" w:cs="Times New Roman"/>
      <w:sz w:val="24"/>
      <w:szCs w:val="24"/>
      <w:lang w:val="es-ES" w:eastAsia="es-ES"/>
    </w:rPr>
  </w:style>
  <w:style w:type="character" w:styleId="Refdecomentario">
    <w:name w:val="annotation reference"/>
    <w:uiPriority w:val="99"/>
    <w:unhideWhenUsed/>
    <w:qFormat/>
    <w:rsid w:val="0041191E"/>
    <w:rPr>
      <w:sz w:val="18"/>
      <w:szCs w:val="18"/>
    </w:rPr>
  </w:style>
  <w:style w:type="paragraph" w:styleId="Textocomentario">
    <w:name w:val="annotation text"/>
    <w:basedOn w:val="Normal"/>
    <w:link w:val="TextocomentarioCar"/>
    <w:uiPriority w:val="99"/>
    <w:unhideWhenUsed/>
    <w:qFormat/>
    <w:rsid w:val="0041191E"/>
    <w:pPr>
      <w:spacing w:after="0" w:line="240" w:lineRule="auto"/>
    </w:pPr>
    <w:rPr>
      <w:rFonts w:ascii="Arial" w:eastAsia="Cambria" w:hAnsi="Arial" w:cs="Times New Roman"/>
      <w:sz w:val="24"/>
      <w:szCs w:val="24"/>
      <w:lang w:val="es-ES_tradnl" w:eastAsia="x-none"/>
    </w:rPr>
  </w:style>
  <w:style w:type="character" w:customStyle="1" w:styleId="TextocomentarioCar">
    <w:name w:val="Texto comentario Car"/>
    <w:basedOn w:val="Fuentedeprrafopredeter"/>
    <w:link w:val="Textocomentario"/>
    <w:uiPriority w:val="99"/>
    <w:rsid w:val="0041191E"/>
    <w:rPr>
      <w:rFonts w:ascii="Arial" w:eastAsia="Cambria" w:hAnsi="Arial" w:cs="Times New Roman"/>
      <w:sz w:val="24"/>
      <w:szCs w:val="24"/>
      <w:lang w:val="es-ES_tradnl" w:eastAsia="x-none"/>
    </w:rPr>
  </w:style>
  <w:style w:type="paragraph" w:styleId="Asuntodelcomentario">
    <w:name w:val="annotation subject"/>
    <w:basedOn w:val="Textocomentario"/>
    <w:next w:val="Textocomentario"/>
    <w:link w:val="AsuntodelcomentarioCar"/>
    <w:uiPriority w:val="99"/>
    <w:semiHidden/>
    <w:unhideWhenUsed/>
    <w:rsid w:val="0041191E"/>
    <w:pPr>
      <w:spacing w:after="200" w:line="276" w:lineRule="auto"/>
    </w:pPr>
    <w:rPr>
      <w:b/>
      <w:bCs/>
      <w:lang w:eastAsia="en-US"/>
    </w:rPr>
  </w:style>
  <w:style w:type="character" w:customStyle="1" w:styleId="AsuntodelcomentarioCar">
    <w:name w:val="Asunto del comentario Car"/>
    <w:basedOn w:val="TextocomentarioCar"/>
    <w:link w:val="Asuntodelcomentario"/>
    <w:uiPriority w:val="99"/>
    <w:semiHidden/>
    <w:rsid w:val="0041191E"/>
    <w:rPr>
      <w:rFonts w:ascii="Arial" w:eastAsia="Cambria" w:hAnsi="Arial" w:cs="Times New Roman"/>
      <w:b/>
      <w:bCs/>
      <w:sz w:val="24"/>
      <w:szCs w:val="24"/>
      <w:lang w:val="es-ES_tradnl" w:eastAsia="x-none"/>
    </w:rPr>
  </w:style>
  <w:style w:type="paragraph" w:customStyle="1" w:styleId="BodyText21">
    <w:name w:val="Body Text 21"/>
    <w:basedOn w:val="Normal"/>
    <w:rsid w:val="0041191E"/>
    <w:pPr>
      <w:overflowPunct w:val="0"/>
      <w:autoSpaceDE w:val="0"/>
      <w:autoSpaceDN w:val="0"/>
      <w:adjustRightInd w:val="0"/>
      <w:spacing w:after="0" w:line="240" w:lineRule="auto"/>
      <w:ind w:right="-720"/>
      <w:jc w:val="both"/>
      <w:textAlignment w:val="baseline"/>
    </w:pPr>
    <w:rPr>
      <w:rFonts w:ascii="Palatino" w:eastAsia="Times New Roman" w:hAnsi="Palatino" w:cs="Times New Roman"/>
      <w:sz w:val="24"/>
      <w:szCs w:val="20"/>
      <w:lang w:val="en-US" w:eastAsia="es-ES"/>
    </w:rPr>
  </w:style>
  <w:style w:type="paragraph" w:styleId="Sangradetextonormal">
    <w:name w:val="Body Text Indent"/>
    <w:basedOn w:val="Normal"/>
    <w:link w:val="SangradetextonormalCar"/>
    <w:rsid w:val="0041191E"/>
    <w:pPr>
      <w:spacing w:after="0" w:line="240" w:lineRule="auto"/>
      <w:ind w:left="1416"/>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rsid w:val="0041191E"/>
    <w:rPr>
      <w:rFonts w:ascii="Times New Roman" w:eastAsia="Times New Roman" w:hAnsi="Times New Roman" w:cs="Times New Roman"/>
      <w:sz w:val="24"/>
      <w:szCs w:val="24"/>
      <w:lang w:val="es-ES_tradnl" w:eastAsia="es-ES"/>
    </w:rPr>
  </w:style>
  <w:style w:type="character" w:styleId="nfasis">
    <w:name w:val="Emphasis"/>
    <w:uiPriority w:val="20"/>
    <w:qFormat/>
    <w:rsid w:val="0041191E"/>
    <w:rPr>
      <w:i/>
      <w:iCs/>
    </w:rPr>
  </w:style>
  <w:style w:type="paragraph" w:customStyle="1" w:styleId="PargrafodaLista">
    <w:name w:val="Parágrafo da Lista"/>
    <w:basedOn w:val="Normal"/>
    <w:uiPriority w:val="34"/>
    <w:qFormat/>
    <w:rsid w:val="0041191E"/>
    <w:pPr>
      <w:spacing w:after="0" w:line="240" w:lineRule="auto"/>
      <w:ind w:left="708"/>
    </w:pPr>
    <w:rPr>
      <w:rFonts w:ascii="Times New Roman" w:eastAsia="Times New Roman" w:hAnsi="Times New Roman" w:cs="Times New Roman"/>
      <w:sz w:val="24"/>
      <w:szCs w:val="24"/>
      <w:lang w:val="en-US"/>
    </w:rPr>
  </w:style>
  <w:style w:type="paragraph" w:styleId="Sangra2detindependiente">
    <w:name w:val="Body Text Indent 2"/>
    <w:basedOn w:val="Normal"/>
    <w:link w:val="Sangra2detindependienteCar"/>
    <w:rsid w:val="0041191E"/>
    <w:pPr>
      <w:spacing w:after="120" w:line="480" w:lineRule="auto"/>
      <w:ind w:left="360"/>
    </w:pPr>
    <w:rPr>
      <w:rFonts w:ascii="Times New Roman" w:eastAsia="Times New Roman" w:hAnsi="Times New Roman" w:cs="Times New Roman"/>
      <w:sz w:val="24"/>
      <w:szCs w:val="24"/>
      <w:lang w:val="en-US"/>
    </w:rPr>
  </w:style>
  <w:style w:type="character" w:customStyle="1" w:styleId="Sangra2detindependienteCar">
    <w:name w:val="Sangría 2 de t. independiente Car"/>
    <w:basedOn w:val="Fuentedeprrafopredeter"/>
    <w:link w:val="Sangra2detindependiente"/>
    <w:rsid w:val="0041191E"/>
    <w:rPr>
      <w:rFonts w:ascii="Times New Roman" w:eastAsia="Times New Roman" w:hAnsi="Times New Roman" w:cs="Times New Roman"/>
      <w:sz w:val="24"/>
      <w:szCs w:val="24"/>
      <w:lang w:val="en-US"/>
    </w:rPr>
  </w:style>
  <w:style w:type="character" w:customStyle="1" w:styleId="estilo721">
    <w:name w:val="estilo721"/>
    <w:rsid w:val="0041191E"/>
    <w:rPr>
      <w:b/>
      <w:bCs/>
      <w:color w:val="990000"/>
      <w:sz w:val="16"/>
      <w:szCs w:val="16"/>
    </w:rPr>
  </w:style>
  <w:style w:type="character" w:customStyle="1" w:styleId="ListParagraphChar2">
    <w:name w:val="List Paragraph Char2"/>
    <w:uiPriority w:val="34"/>
    <w:locked/>
    <w:rsid w:val="0041191E"/>
    <w:rPr>
      <w:rFonts w:ascii="Verdana" w:eastAsia="Times New Roman" w:hAnsi="Verdana"/>
      <w:szCs w:val="24"/>
      <w:lang w:val="es-ES_tradnl" w:eastAsia="en-US"/>
    </w:rPr>
  </w:style>
  <w:style w:type="paragraph" w:styleId="Textoindependiente3">
    <w:name w:val="Body Text 3"/>
    <w:basedOn w:val="Normal"/>
    <w:link w:val="Textoindependiente3Car"/>
    <w:uiPriority w:val="99"/>
    <w:semiHidden/>
    <w:unhideWhenUsed/>
    <w:rsid w:val="0041191E"/>
    <w:pPr>
      <w:spacing w:after="120"/>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semiHidden/>
    <w:rsid w:val="0041191E"/>
    <w:rPr>
      <w:rFonts w:ascii="Calibri" w:eastAsia="Calibri" w:hAnsi="Calibri" w:cs="Times New Roman"/>
      <w:sz w:val="16"/>
      <w:szCs w:val="16"/>
      <w:lang w:val="x-none"/>
    </w:rPr>
  </w:style>
  <w:style w:type="paragraph" w:styleId="Ttulo">
    <w:name w:val="Title"/>
    <w:basedOn w:val="Normal"/>
    <w:link w:val="TtuloCar"/>
    <w:qFormat/>
    <w:rsid w:val="0041191E"/>
    <w:pPr>
      <w:numPr>
        <w:numId w:val="3"/>
      </w:numPr>
      <w:spacing w:after="0" w:line="240" w:lineRule="auto"/>
      <w:jc w:val="both"/>
    </w:pPr>
    <w:rPr>
      <w:rFonts w:ascii="Verdana" w:eastAsia="Times New Roman" w:hAnsi="Verdana" w:cs="Times New Roman"/>
      <w:b/>
      <w:sz w:val="20"/>
      <w:szCs w:val="20"/>
      <w:lang w:val="es-ES_tradnl" w:eastAsia="es-ES" w:bidi="en-US"/>
    </w:rPr>
  </w:style>
  <w:style w:type="character" w:customStyle="1" w:styleId="TtuloCar">
    <w:name w:val="Título Car"/>
    <w:basedOn w:val="Fuentedeprrafopredeter"/>
    <w:link w:val="Ttulo"/>
    <w:rsid w:val="0041191E"/>
    <w:rPr>
      <w:rFonts w:ascii="Verdana" w:eastAsia="Times New Roman" w:hAnsi="Verdana" w:cs="Times New Roman"/>
      <w:b/>
      <w:sz w:val="20"/>
      <w:szCs w:val="20"/>
      <w:lang w:val="es-ES_tradnl" w:eastAsia="es-ES" w:bidi="en-US"/>
    </w:rPr>
  </w:style>
  <w:style w:type="table" w:styleId="Tablaconcuadrcula">
    <w:name w:val="Table Grid"/>
    <w:basedOn w:val="Tablanormal"/>
    <w:uiPriority w:val="59"/>
    <w:rsid w:val="0041191E"/>
    <w:pPr>
      <w:spacing w:after="0" w:line="240" w:lineRule="auto"/>
    </w:pPr>
    <w:rPr>
      <w:rFonts w:ascii="Calibri" w:eastAsia="Calibri" w:hAnsi="Calibri"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vistosa-nfasis11">
    <w:name w:val="Lista vistosa - Énfasis 11"/>
    <w:basedOn w:val="Tablanormal"/>
    <w:next w:val="Listavistosa-nfasis1"/>
    <w:uiPriority w:val="99"/>
    <w:rsid w:val="0041191E"/>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1">
    <w:name w:val="Sombreado claro1"/>
    <w:basedOn w:val="Tablanormal"/>
    <w:next w:val="Sombreadoclaro"/>
    <w:uiPriority w:val="60"/>
    <w:rsid w:val="0041191E"/>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1">
    <w:name w:val="Colorful List Accent 1"/>
    <w:basedOn w:val="Tablanormal"/>
    <w:link w:val="ColorfulList-Accent1Char"/>
    <w:uiPriority w:val="99"/>
    <w:rsid w:val="0041191E"/>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ombreadoclaro">
    <w:name w:val="Light Shading"/>
    <w:basedOn w:val="Tablanormal"/>
    <w:uiPriority w:val="60"/>
    <w:rsid w:val="0041191E"/>
    <w:pPr>
      <w:spacing w:after="0" w:line="240" w:lineRule="auto"/>
    </w:pPr>
    <w:rPr>
      <w:color w:val="000000" w:themeColor="text1" w:themeShade="BF"/>
      <w:lang w:val="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41191E"/>
    <w:pPr>
      <w:spacing w:after="0" w:line="240" w:lineRule="auto"/>
    </w:pPr>
    <w:rPr>
      <w:lang w:val="es-MX"/>
    </w:rPr>
  </w:style>
  <w:style w:type="table" w:customStyle="1" w:styleId="TableGrid1">
    <w:name w:val="Table Grid1"/>
    <w:basedOn w:val="Tablanormal"/>
    <w:next w:val="Tablaconcuadrcula"/>
    <w:uiPriority w:val="59"/>
    <w:rsid w:val="00411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anormal"/>
    <w:next w:val="Tablaconcuadrcula"/>
    <w:uiPriority w:val="59"/>
    <w:rsid w:val="0041191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3CD1"/>
    <w:pPr>
      <w:autoSpaceDE w:val="0"/>
      <w:autoSpaceDN w:val="0"/>
      <w:adjustRightInd w:val="0"/>
      <w:spacing w:after="0" w:line="240" w:lineRule="auto"/>
    </w:pPr>
    <w:rPr>
      <w:rFonts w:ascii="Univers" w:eastAsiaTheme="minorEastAsia" w:hAnsi="Univers" w:cs="Univers"/>
      <w:color w:val="000000"/>
      <w:sz w:val="24"/>
      <w:szCs w:val="24"/>
      <w:lang w:val="en-US"/>
    </w:rPr>
  </w:style>
  <w:style w:type="paragraph" w:customStyle="1" w:styleId="Prrafodelista2">
    <w:name w:val="Párrafo de lista2"/>
    <w:basedOn w:val="Normal"/>
    <w:uiPriority w:val="99"/>
    <w:rsid w:val="00C13CD1"/>
    <w:pPr>
      <w:spacing w:after="0" w:line="240" w:lineRule="auto"/>
      <w:ind w:left="720"/>
    </w:pPr>
    <w:rPr>
      <w:rFonts w:ascii="Verdana" w:eastAsia="MS Mincho" w:hAnsi="Verdana" w:cs="Times New Roman"/>
      <w:sz w:val="20"/>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7A5E60"/>
    <w:pPr>
      <w:spacing w:after="0" w:line="240" w:lineRule="auto"/>
      <w:jc w:val="both"/>
    </w:pPr>
    <w:rPr>
      <w:vertAlign w:val="superscript"/>
    </w:rPr>
  </w:style>
  <w:style w:type="character" w:customStyle="1" w:styleId="PrrafodelistaCar">
    <w:name w:val="Párrafo de lista Car"/>
    <w:aliases w:val="List Paragraph2 Car,Párrafo de lista1 Car,List Paragraph1 Car"/>
    <w:link w:val="Prrafodelista"/>
    <w:uiPriority w:val="34"/>
    <w:locked/>
    <w:rsid w:val="007B3B4E"/>
    <w:rPr>
      <w:rFonts w:ascii="Univers" w:eastAsia="Times New Roman" w:hAnsi="Univers" w:cs="Times New Roman"/>
      <w:szCs w:val="20"/>
      <w:lang w:val="es-ES_tradnl"/>
    </w:rPr>
  </w:style>
  <w:style w:type="character" w:customStyle="1" w:styleId="apple-converted-space">
    <w:name w:val="apple-converted-space"/>
    <w:basedOn w:val="Fuentedeprrafopredeter"/>
    <w:rsid w:val="007B3B4E"/>
  </w:style>
  <w:style w:type="character" w:customStyle="1" w:styleId="Estilo1Char">
    <w:name w:val="Estilo1 Char"/>
    <w:link w:val="Estilo1"/>
    <w:locked/>
    <w:rsid w:val="00614429"/>
    <w:rPr>
      <w:rFonts w:ascii="Verdana" w:eastAsia="Calibri" w:hAnsi="Verdana" w:cs="Times New Roman"/>
      <w:sz w:val="20"/>
      <w:szCs w:val="20"/>
      <w:lang w:val="es-ES"/>
    </w:rPr>
  </w:style>
  <w:style w:type="paragraph" w:customStyle="1" w:styleId="Estilo1">
    <w:name w:val="Estilo1"/>
    <w:basedOn w:val="Normal"/>
    <w:link w:val="Estilo1Char"/>
    <w:qFormat/>
    <w:rsid w:val="00614429"/>
    <w:pPr>
      <w:tabs>
        <w:tab w:val="left" w:pos="567"/>
        <w:tab w:val="left" w:pos="1134"/>
        <w:tab w:val="num" w:pos="30034"/>
      </w:tabs>
      <w:spacing w:after="120" w:line="240" w:lineRule="auto"/>
      <w:jc w:val="both"/>
    </w:pPr>
    <w:rPr>
      <w:rFonts w:ascii="Verdana" w:eastAsia="Calibri" w:hAnsi="Verdana" w:cs="Times New Roman"/>
      <w:sz w:val="20"/>
      <w:szCs w:val="20"/>
      <w:lang w:val="es-ES"/>
    </w:rPr>
  </w:style>
  <w:style w:type="paragraph" w:customStyle="1" w:styleId="Estilo2">
    <w:name w:val="Estilo2"/>
    <w:basedOn w:val="Normal"/>
    <w:link w:val="Estilo2Car"/>
    <w:qFormat/>
    <w:rsid w:val="00614429"/>
    <w:pPr>
      <w:tabs>
        <w:tab w:val="left" w:pos="567"/>
        <w:tab w:val="left" w:pos="1134"/>
        <w:tab w:val="num" w:pos="4767"/>
      </w:tabs>
      <w:spacing w:after="120" w:line="240" w:lineRule="auto"/>
      <w:ind w:left="4767" w:hanging="360"/>
      <w:jc w:val="both"/>
    </w:pPr>
    <w:rPr>
      <w:rFonts w:ascii="Verdana" w:eastAsia="Calibri" w:hAnsi="Verdana" w:cs="Times New Roman"/>
      <w:sz w:val="20"/>
      <w:szCs w:val="20"/>
      <w:lang w:val="es-ES"/>
    </w:rPr>
  </w:style>
  <w:style w:type="paragraph" w:customStyle="1" w:styleId="Estilo4">
    <w:name w:val="Estilo4"/>
    <w:basedOn w:val="Prrafodelista"/>
    <w:qFormat/>
    <w:rsid w:val="00BD30A0"/>
    <w:pPr>
      <w:numPr>
        <w:ilvl w:val="1"/>
        <w:numId w:val="6"/>
      </w:numPr>
      <w:tabs>
        <w:tab w:val="num" w:pos="360"/>
      </w:tabs>
      <w:spacing w:after="120"/>
      <w:ind w:left="0" w:firstLine="357"/>
      <w:contextualSpacing w:val="0"/>
      <w:jc w:val="both"/>
    </w:pPr>
    <w:rPr>
      <w:rFonts w:ascii="Verdana" w:hAnsi="Verdana"/>
      <w:spacing w:val="-2"/>
      <w:sz w:val="20"/>
      <w:lang w:val="es-CR"/>
    </w:rPr>
  </w:style>
  <w:style w:type="character" w:customStyle="1" w:styleId="Estilo2Car">
    <w:name w:val="Estilo2 Car"/>
    <w:basedOn w:val="Fuentedeprrafopredeter"/>
    <w:link w:val="Estilo2"/>
    <w:locked/>
    <w:rsid w:val="00FC0E3A"/>
    <w:rPr>
      <w:rFonts w:ascii="Verdana" w:eastAsia="Calibri" w:hAnsi="Verdana" w:cs="Times New Roman"/>
      <w:sz w:val="20"/>
      <w:szCs w:val="20"/>
      <w:lang w:val="es-ES"/>
    </w:rPr>
  </w:style>
  <w:style w:type="character" w:customStyle="1" w:styleId="apple-style-span">
    <w:name w:val="apple-style-span"/>
    <w:qFormat/>
    <w:rsid w:val="007C386A"/>
    <w:rPr>
      <w:rFonts w:cs="Times New Roman"/>
    </w:rPr>
  </w:style>
  <w:style w:type="paragraph" w:customStyle="1" w:styleId="Footnotes">
    <w:name w:val="**. Footnotes"/>
    <w:basedOn w:val="Textonotapie"/>
    <w:link w:val="FootnotesChar"/>
    <w:autoRedefine/>
    <w:qFormat/>
    <w:rsid w:val="00C854E3"/>
    <w:pPr>
      <w:tabs>
        <w:tab w:val="left" w:pos="0"/>
      </w:tabs>
      <w:spacing w:before="120" w:after="60"/>
      <w:jc w:val="both"/>
    </w:pPr>
    <w:rPr>
      <w:rFonts w:ascii="Verdana" w:eastAsia="Batang" w:hAnsi="Verdana" w:cs="Palatino-Italic"/>
      <w:iCs/>
      <w:sz w:val="16"/>
      <w:szCs w:val="16"/>
      <w:lang w:val="es-ES"/>
    </w:rPr>
  </w:style>
  <w:style w:type="character" w:customStyle="1" w:styleId="FootnotesChar">
    <w:name w:val="**. Footnotes Char"/>
    <w:basedOn w:val="Fuentedeprrafopredeter"/>
    <w:link w:val="Footnotes"/>
    <w:rsid w:val="00C854E3"/>
    <w:rPr>
      <w:rFonts w:ascii="Verdana" w:eastAsia="Batang" w:hAnsi="Verdana" w:cs="Palatino-Italic"/>
      <w:iCs/>
      <w:sz w:val="16"/>
      <w:szCs w:val="16"/>
      <w:lang w:val="es-ES"/>
    </w:rPr>
  </w:style>
  <w:style w:type="character" w:styleId="Hipervnculovisitado">
    <w:name w:val="FollowedHyperlink"/>
    <w:basedOn w:val="Fuentedeprrafopredeter"/>
    <w:uiPriority w:val="99"/>
    <w:semiHidden/>
    <w:unhideWhenUsed/>
    <w:rsid w:val="00F1346E"/>
    <w:rPr>
      <w:color w:val="800080" w:themeColor="followedHyperlink"/>
      <w:u w:val="single"/>
    </w:rPr>
  </w:style>
  <w:style w:type="paragraph" w:styleId="Textoindependiente2">
    <w:name w:val="Body Text 2"/>
    <w:basedOn w:val="Normal"/>
    <w:link w:val="Textoindependiente2Car"/>
    <w:uiPriority w:val="99"/>
    <w:unhideWhenUsed/>
    <w:rsid w:val="002E273E"/>
    <w:pPr>
      <w:spacing w:after="120" w:line="480" w:lineRule="auto"/>
    </w:pPr>
  </w:style>
  <w:style w:type="character" w:customStyle="1" w:styleId="Textoindependiente2Car">
    <w:name w:val="Texto independiente 2 Car"/>
    <w:basedOn w:val="Fuentedeprrafopredeter"/>
    <w:link w:val="Textoindependiente2"/>
    <w:uiPriority w:val="99"/>
    <w:rsid w:val="002E273E"/>
  </w:style>
  <w:style w:type="paragraph" w:styleId="TtulodeTDC">
    <w:name w:val="TOC Heading"/>
    <w:basedOn w:val="Ttulo1"/>
    <w:next w:val="Normal"/>
    <w:uiPriority w:val="39"/>
    <w:unhideWhenUsed/>
    <w:qFormat/>
    <w:rsid w:val="00476FD9"/>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DC1">
    <w:name w:val="toc 1"/>
    <w:basedOn w:val="Normal"/>
    <w:next w:val="Normal"/>
    <w:autoRedefine/>
    <w:uiPriority w:val="39"/>
    <w:unhideWhenUsed/>
    <w:rsid w:val="00506FD5"/>
    <w:pPr>
      <w:tabs>
        <w:tab w:val="right" w:leader="dot" w:pos="9771"/>
      </w:tabs>
      <w:spacing w:after="60" w:line="240" w:lineRule="auto"/>
    </w:pPr>
    <w:rPr>
      <w:rFonts w:ascii="Verdana" w:hAnsi="Verdana"/>
      <w:noProof/>
      <w:sz w:val="20"/>
    </w:rPr>
  </w:style>
  <w:style w:type="paragraph" w:styleId="TDC2">
    <w:name w:val="toc 2"/>
    <w:basedOn w:val="Normal"/>
    <w:next w:val="Normal"/>
    <w:autoRedefine/>
    <w:uiPriority w:val="39"/>
    <w:unhideWhenUsed/>
    <w:rsid w:val="00476FD9"/>
    <w:pPr>
      <w:tabs>
        <w:tab w:val="left" w:pos="880"/>
        <w:tab w:val="right" w:leader="dot" w:pos="9345"/>
      </w:tabs>
      <w:spacing w:after="100"/>
      <w:ind w:left="220"/>
      <w:jc w:val="both"/>
    </w:pPr>
    <w:rPr>
      <w:rFonts w:ascii="Verdana" w:eastAsia="Times New Roman" w:hAnsi="Verdana" w:cs="Times New Roman"/>
      <w:bCs/>
      <w:i/>
      <w:iCs/>
      <w:noProof/>
      <w:sz w:val="20"/>
      <w:szCs w:val="20"/>
      <w:lang w:val="es-ES_tradnl"/>
    </w:rPr>
  </w:style>
  <w:style w:type="character" w:styleId="Nmerodelnea">
    <w:name w:val="line number"/>
    <w:basedOn w:val="Fuentedeprrafopredeter"/>
    <w:uiPriority w:val="99"/>
    <w:semiHidden/>
    <w:unhideWhenUsed/>
    <w:rsid w:val="0017767A"/>
  </w:style>
  <w:style w:type="paragraph" w:customStyle="1" w:styleId="Estilo5">
    <w:name w:val="Estilo5"/>
    <w:basedOn w:val="Estilo2"/>
    <w:link w:val="Estilo5Car"/>
    <w:qFormat/>
    <w:rsid w:val="000E5864"/>
    <w:pPr>
      <w:numPr>
        <w:numId w:val="7"/>
      </w:numPr>
      <w:tabs>
        <w:tab w:val="clear" w:pos="567"/>
        <w:tab w:val="clear" w:pos="1134"/>
        <w:tab w:val="left" w:pos="720"/>
      </w:tabs>
      <w:ind w:right="-522"/>
    </w:pPr>
    <w:rPr>
      <w:spacing w:val="-2"/>
    </w:rPr>
  </w:style>
  <w:style w:type="character" w:customStyle="1" w:styleId="Estilo5Car">
    <w:name w:val="Estilo5 Car"/>
    <w:basedOn w:val="Estilo2Car"/>
    <w:link w:val="Estilo5"/>
    <w:rsid w:val="000E5864"/>
    <w:rPr>
      <w:rFonts w:ascii="Verdana" w:eastAsia="Calibri" w:hAnsi="Verdana" w:cs="Times New Roman"/>
      <w:spacing w:val="-2"/>
      <w:sz w:val="20"/>
      <w:szCs w:val="20"/>
      <w:lang w:val="es-ES"/>
    </w:rPr>
  </w:style>
  <w:style w:type="paragraph" w:styleId="Cita">
    <w:name w:val="Quote"/>
    <w:basedOn w:val="Normal"/>
    <w:next w:val="Normal"/>
    <w:link w:val="CitaCar"/>
    <w:uiPriority w:val="29"/>
    <w:qFormat/>
    <w:rsid w:val="00297E38"/>
    <w:pPr>
      <w:spacing w:after="0" w:line="240" w:lineRule="auto"/>
    </w:pPr>
    <w:rPr>
      <w:rFonts w:eastAsiaTheme="minorEastAsia"/>
      <w:i/>
      <w:iCs/>
      <w:color w:val="000000" w:themeColor="text1"/>
      <w:sz w:val="24"/>
      <w:szCs w:val="24"/>
      <w:lang w:val="es-ES_tradnl"/>
    </w:rPr>
  </w:style>
  <w:style w:type="character" w:customStyle="1" w:styleId="CitaCar">
    <w:name w:val="Cita Car"/>
    <w:basedOn w:val="Fuentedeprrafopredeter"/>
    <w:link w:val="Cita"/>
    <w:uiPriority w:val="29"/>
    <w:rsid w:val="00297E38"/>
    <w:rPr>
      <w:rFonts w:eastAsiaTheme="minorEastAsia"/>
      <w:i/>
      <w:iCs/>
      <w:color w:val="000000" w:themeColor="text1"/>
      <w:sz w:val="24"/>
      <w:szCs w:val="24"/>
      <w:lang w:val="es-ES_tradnl"/>
    </w:rPr>
  </w:style>
  <w:style w:type="paragraph" w:customStyle="1" w:styleId="PrrafodeSentencia">
    <w:name w:val="*. Párrafo de Sentencia"/>
    <w:basedOn w:val="Normal"/>
    <w:link w:val="PrrafodeSentenciaChar"/>
    <w:qFormat/>
    <w:rsid w:val="00EA6744"/>
    <w:pPr>
      <w:tabs>
        <w:tab w:val="left" w:pos="567"/>
        <w:tab w:val="num" w:pos="12305"/>
      </w:tabs>
      <w:spacing w:after="0" w:line="240" w:lineRule="auto"/>
      <w:jc w:val="both"/>
    </w:pPr>
    <w:rPr>
      <w:rFonts w:ascii="Verdana" w:eastAsia="Batang" w:hAnsi="Verdana" w:cs="Times New Roman"/>
      <w:sz w:val="20"/>
      <w:szCs w:val="20"/>
      <w:lang w:val="es-ES_tradnl" w:eastAsia="es-MX"/>
    </w:rPr>
  </w:style>
  <w:style w:type="character" w:customStyle="1" w:styleId="PrrafodeSentenciaChar">
    <w:name w:val="*. Párrafo de Sentencia Char"/>
    <w:link w:val="PrrafodeSentencia"/>
    <w:rsid w:val="00EA6744"/>
    <w:rPr>
      <w:rFonts w:ascii="Verdana" w:eastAsia="Batang" w:hAnsi="Verdana" w:cs="Times New Roman"/>
      <w:sz w:val="20"/>
      <w:szCs w:val="20"/>
      <w:lang w:val="es-ES_tradnl" w:eastAsia="es-MX"/>
    </w:rPr>
  </w:style>
  <w:style w:type="paragraph" w:customStyle="1" w:styleId="1">
    <w:name w:val="1"/>
    <w:basedOn w:val="Normal"/>
    <w:rsid w:val="009A4633"/>
    <w:pPr>
      <w:spacing w:after="160" w:line="240" w:lineRule="exact"/>
    </w:pPr>
    <w:rPr>
      <w:vertAlign w:val="superscript"/>
      <w:lang w:val="en-US"/>
    </w:rPr>
  </w:style>
  <w:style w:type="character" w:customStyle="1" w:styleId="st1">
    <w:name w:val="st1"/>
    <w:basedOn w:val="Fuentedeprrafopredeter"/>
    <w:rsid w:val="009A4633"/>
  </w:style>
  <w:style w:type="character" w:styleId="CitaHTML">
    <w:name w:val="HTML Cite"/>
    <w:rsid w:val="009A4633"/>
    <w:rPr>
      <w:i/>
      <w:iCs/>
    </w:rPr>
  </w:style>
  <w:style w:type="paragraph" w:customStyle="1" w:styleId="Style13">
    <w:name w:val="Style 13"/>
    <w:basedOn w:val="Normal"/>
    <w:rsid w:val="009A4633"/>
    <w:pPr>
      <w:widowControl w:val="0"/>
      <w:autoSpaceDE w:val="0"/>
      <w:autoSpaceDN w:val="0"/>
      <w:spacing w:before="252" w:after="0" w:line="240" w:lineRule="exact"/>
      <w:ind w:right="72"/>
      <w:jc w:val="both"/>
    </w:pPr>
    <w:rPr>
      <w:rFonts w:ascii="Times New Roman" w:eastAsia="MS Mincho" w:hAnsi="Times New Roman" w:cs="Times New Roman"/>
      <w:sz w:val="24"/>
      <w:szCs w:val="24"/>
      <w:lang w:val="en-US"/>
    </w:rPr>
  </w:style>
  <w:style w:type="paragraph" w:customStyle="1" w:styleId="Style29">
    <w:name w:val="Style 29"/>
    <w:basedOn w:val="Normal"/>
    <w:uiPriority w:val="99"/>
    <w:rsid w:val="009A4633"/>
    <w:pPr>
      <w:widowControl w:val="0"/>
      <w:autoSpaceDE w:val="0"/>
      <w:autoSpaceDN w:val="0"/>
      <w:spacing w:before="252" w:after="0" w:line="240" w:lineRule="exact"/>
      <w:jc w:val="both"/>
    </w:pPr>
    <w:rPr>
      <w:rFonts w:ascii="Times New Roman" w:eastAsia="MS Mincho" w:hAnsi="Times New Roman" w:cs="Times New Roman"/>
      <w:sz w:val="24"/>
      <w:szCs w:val="24"/>
      <w:lang w:val="en-US"/>
    </w:rPr>
  </w:style>
  <w:style w:type="paragraph" w:customStyle="1" w:styleId="Style25">
    <w:name w:val="Style 25"/>
    <w:basedOn w:val="Normal"/>
    <w:rsid w:val="009A4633"/>
    <w:pPr>
      <w:widowControl w:val="0"/>
      <w:autoSpaceDE w:val="0"/>
      <w:autoSpaceDN w:val="0"/>
      <w:spacing w:after="0" w:line="240" w:lineRule="auto"/>
      <w:jc w:val="both"/>
    </w:pPr>
    <w:rPr>
      <w:rFonts w:ascii="Times New Roman" w:eastAsia="MS Mincho" w:hAnsi="Times New Roman" w:cs="Times New Roman"/>
      <w:sz w:val="24"/>
      <w:szCs w:val="24"/>
      <w:lang w:val="en-US"/>
    </w:rPr>
  </w:style>
  <w:style w:type="character" w:customStyle="1" w:styleId="st">
    <w:name w:val="st"/>
    <w:rsid w:val="009A4633"/>
  </w:style>
  <w:style w:type="paragraph" w:customStyle="1" w:styleId="Estilo3">
    <w:name w:val="Estilo3"/>
    <w:basedOn w:val="Prrafodelista"/>
    <w:link w:val="Estilo3Car"/>
    <w:qFormat/>
    <w:rsid w:val="00C135A6"/>
    <w:pPr>
      <w:tabs>
        <w:tab w:val="num" w:pos="360"/>
      </w:tabs>
      <w:spacing w:after="120" w:line="216" w:lineRule="auto"/>
      <w:ind w:right="17"/>
      <w:contextualSpacing w:val="0"/>
      <w:jc w:val="both"/>
    </w:pPr>
    <w:rPr>
      <w:rFonts w:ascii="Verdana" w:eastAsia="Calibri" w:hAnsi="Verdana"/>
      <w:spacing w:val="-2"/>
      <w:sz w:val="20"/>
      <w:lang w:val="es-MX" w:eastAsia="x-none"/>
    </w:rPr>
  </w:style>
  <w:style w:type="paragraph" w:customStyle="1" w:styleId="Estilo8">
    <w:name w:val="Estilo8"/>
    <w:basedOn w:val="Estilo3"/>
    <w:qFormat/>
    <w:rsid w:val="00C135A6"/>
    <w:pPr>
      <w:ind w:left="1080" w:hanging="358"/>
    </w:pPr>
  </w:style>
  <w:style w:type="character" w:customStyle="1" w:styleId="FootnoteAnchor">
    <w:name w:val="Footnote Anchor"/>
    <w:rsid w:val="00522E47"/>
    <w:rPr>
      <w:vertAlign w:val="superscript"/>
    </w:rPr>
  </w:style>
  <w:style w:type="character" w:customStyle="1" w:styleId="Estilo3Car">
    <w:name w:val="Estilo3 Car"/>
    <w:link w:val="Estilo3"/>
    <w:rsid w:val="006B03D1"/>
    <w:rPr>
      <w:rFonts w:ascii="Verdana" w:eastAsia="Calibri" w:hAnsi="Verdana" w:cs="Times New Roman"/>
      <w:spacing w:val="-2"/>
      <w:sz w:val="20"/>
      <w:szCs w:val="20"/>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698">
      <w:bodyDiv w:val="1"/>
      <w:marLeft w:val="0"/>
      <w:marRight w:val="0"/>
      <w:marTop w:val="0"/>
      <w:marBottom w:val="0"/>
      <w:divBdr>
        <w:top w:val="none" w:sz="0" w:space="0" w:color="auto"/>
        <w:left w:val="none" w:sz="0" w:space="0" w:color="auto"/>
        <w:bottom w:val="none" w:sz="0" w:space="0" w:color="auto"/>
        <w:right w:val="none" w:sz="0" w:space="0" w:color="auto"/>
      </w:divBdr>
    </w:div>
    <w:div w:id="32077797">
      <w:bodyDiv w:val="1"/>
      <w:marLeft w:val="0"/>
      <w:marRight w:val="0"/>
      <w:marTop w:val="0"/>
      <w:marBottom w:val="0"/>
      <w:divBdr>
        <w:top w:val="none" w:sz="0" w:space="0" w:color="auto"/>
        <w:left w:val="none" w:sz="0" w:space="0" w:color="auto"/>
        <w:bottom w:val="none" w:sz="0" w:space="0" w:color="auto"/>
        <w:right w:val="none" w:sz="0" w:space="0" w:color="auto"/>
      </w:divBdr>
    </w:div>
    <w:div w:id="89469939">
      <w:bodyDiv w:val="1"/>
      <w:marLeft w:val="0"/>
      <w:marRight w:val="0"/>
      <w:marTop w:val="0"/>
      <w:marBottom w:val="0"/>
      <w:divBdr>
        <w:top w:val="none" w:sz="0" w:space="0" w:color="auto"/>
        <w:left w:val="none" w:sz="0" w:space="0" w:color="auto"/>
        <w:bottom w:val="none" w:sz="0" w:space="0" w:color="auto"/>
        <w:right w:val="none" w:sz="0" w:space="0" w:color="auto"/>
      </w:divBdr>
    </w:div>
    <w:div w:id="116992225">
      <w:bodyDiv w:val="1"/>
      <w:marLeft w:val="0"/>
      <w:marRight w:val="0"/>
      <w:marTop w:val="0"/>
      <w:marBottom w:val="0"/>
      <w:divBdr>
        <w:top w:val="none" w:sz="0" w:space="0" w:color="auto"/>
        <w:left w:val="none" w:sz="0" w:space="0" w:color="auto"/>
        <w:bottom w:val="none" w:sz="0" w:space="0" w:color="auto"/>
        <w:right w:val="none" w:sz="0" w:space="0" w:color="auto"/>
      </w:divBdr>
    </w:div>
    <w:div w:id="134876971">
      <w:bodyDiv w:val="1"/>
      <w:marLeft w:val="0"/>
      <w:marRight w:val="0"/>
      <w:marTop w:val="0"/>
      <w:marBottom w:val="0"/>
      <w:divBdr>
        <w:top w:val="none" w:sz="0" w:space="0" w:color="auto"/>
        <w:left w:val="none" w:sz="0" w:space="0" w:color="auto"/>
        <w:bottom w:val="none" w:sz="0" w:space="0" w:color="auto"/>
        <w:right w:val="none" w:sz="0" w:space="0" w:color="auto"/>
      </w:divBdr>
    </w:div>
    <w:div w:id="162204186">
      <w:bodyDiv w:val="1"/>
      <w:marLeft w:val="0"/>
      <w:marRight w:val="0"/>
      <w:marTop w:val="0"/>
      <w:marBottom w:val="0"/>
      <w:divBdr>
        <w:top w:val="none" w:sz="0" w:space="0" w:color="auto"/>
        <w:left w:val="none" w:sz="0" w:space="0" w:color="auto"/>
        <w:bottom w:val="none" w:sz="0" w:space="0" w:color="auto"/>
        <w:right w:val="none" w:sz="0" w:space="0" w:color="auto"/>
      </w:divBdr>
    </w:div>
    <w:div w:id="177013360">
      <w:bodyDiv w:val="1"/>
      <w:marLeft w:val="0"/>
      <w:marRight w:val="0"/>
      <w:marTop w:val="0"/>
      <w:marBottom w:val="0"/>
      <w:divBdr>
        <w:top w:val="none" w:sz="0" w:space="0" w:color="auto"/>
        <w:left w:val="none" w:sz="0" w:space="0" w:color="auto"/>
        <w:bottom w:val="none" w:sz="0" w:space="0" w:color="auto"/>
        <w:right w:val="none" w:sz="0" w:space="0" w:color="auto"/>
      </w:divBdr>
    </w:div>
    <w:div w:id="182403379">
      <w:bodyDiv w:val="1"/>
      <w:marLeft w:val="0"/>
      <w:marRight w:val="0"/>
      <w:marTop w:val="0"/>
      <w:marBottom w:val="0"/>
      <w:divBdr>
        <w:top w:val="none" w:sz="0" w:space="0" w:color="auto"/>
        <w:left w:val="none" w:sz="0" w:space="0" w:color="auto"/>
        <w:bottom w:val="none" w:sz="0" w:space="0" w:color="auto"/>
        <w:right w:val="none" w:sz="0" w:space="0" w:color="auto"/>
      </w:divBdr>
    </w:div>
    <w:div w:id="191378968">
      <w:bodyDiv w:val="1"/>
      <w:marLeft w:val="0"/>
      <w:marRight w:val="0"/>
      <w:marTop w:val="0"/>
      <w:marBottom w:val="0"/>
      <w:divBdr>
        <w:top w:val="none" w:sz="0" w:space="0" w:color="auto"/>
        <w:left w:val="none" w:sz="0" w:space="0" w:color="auto"/>
        <w:bottom w:val="none" w:sz="0" w:space="0" w:color="auto"/>
        <w:right w:val="none" w:sz="0" w:space="0" w:color="auto"/>
      </w:divBdr>
    </w:div>
    <w:div w:id="217203427">
      <w:bodyDiv w:val="1"/>
      <w:marLeft w:val="0"/>
      <w:marRight w:val="0"/>
      <w:marTop w:val="0"/>
      <w:marBottom w:val="0"/>
      <w:divBdr>
        <w:top w:val="none" w:sz="0" w:space="0" w:color="auto"/>
        <w:left w:val="none" w:sz="0" w:space="0" w:color="auto"/>
        <w:bottom w:val="none" w:sz="0" w:space="0" w:color="auto"/>
        <w:right w:val="none" w:sz="0" w:space="0" w:color="auto"/>
      </w:divBdr>
    </w:div>
    <w:div w:id="232929546">
      <w:bodyDiv w:val="1"/>
      <w:marLeft w:val="0"/>
      <w:marRight w:val="0"/>
      <w:marTop w:val="0"/>
      <w:marBottom w:val="0"/>
      <w:divBdr>
        <w:top w:val="none" w:sz="0" w:space="0" w:color="auto"/>
        <w:left w:val="none" w:sz="0" w:space="0" w:color="auto"/>
        <w:bottom w:val="none" w:sz="0" w:space="0" w:color="auto"/>
        <w:right w:val="none" w:sz="0" w:space="0" w:color="auto"/>
      </w:divBdr>
    </w:div>
    <w:div w:id="246229129">
      <w:bodyDiv w:val="1"/>
      <w:marLeft w:val="0"/>
      <w:marRight w:val="0"/>
      <w:marTop w:val="0"/>
      <w:marBottom w:val="0"/>
      <w:divBdr>
        <w:top w:val="none" w:sz="0" w:space="0" w:color="auto"/>
        <w:left w:val="none" w:sz="0" w:space="0" w:color="auto"/>
        <w:bottom w:val="none" w:sz="0" w:space="0" w:color="auto"/>
        <w:right w:val="none" w:sz="0" w:space="0" w:color="auto"/>
      </w:divBdr>
    </w:div>
    <w:div w:id="253562588">
      <w:bodyDiv w:val="1"/>
      <w:marLeft w:val="0"/>
      <w:marRight w:val="0"/>
      <w:marTop w:val="0"/>
      <w:marBottom w:val="0"/>
      <w:divBdr>
        <w:top w:val="none" w:sz="0" w:space="0" w:color="auto"/>
        <w:left w:val="none" w:sz="0" w:space="0" w:color="auto"/>
        <w:bottom w:val="none" w:sz="0" w:space="0" w:color="auto"/>
        <w:right w:val="none" w:sz="0" w:space="0" w:color="auto"/>
      </w:divBdr>
    </w:div>
    <w:div w:id="267544494">
      <w:bodyDiv w:val="1"/>
      <w:marLeft w:val="0"/>
      <w:marRight w:val="0"/>
      <w:marTop w:val="0"/>
      <w:marBottom w:val="0"/>
      <w:divBdr>
        <w:top w:val="none" w:sz="0" w:space="0" w:color="auto"/>
        <w:left w:val="none" w:sz="0" w:space="0" w:color="auto"/>
        <w:bottom w:val="none" w:sz="0" w:space="0" w:color="auto"/>
        <w:right w:val="none" w:sz="0" w:space="0" w:color="auto"/>
      </w:divBdr>
    </w:div>
    <w:div w:id="351036989">
      <w:bodyDiv w:val="1"/>
      <w:marLeft w:val="0"/>
      <w:marRight w:val="0"/>
      <w:marTop w:val="0"/>
      <w:marBottom w:val="0"/>
      <w:divBdr>
        <w:top w:val="none" w:sz="0" w:space="0" w:color="auto"/>
        <w:left w:val="none" w:sz="0" w:space="0" w:color="auto"/>
        <w:bottom w:val="none" w:sz="0" w:space="0" w:color="auto"/>
        <w:right w:val="none" w:sz="0" w:space="0" w:color="auto"/>
      </w:divBdr>
    </w:div>
    <w:div w:id="354040374">
      <w:bodyDiv w:val="1"/>
      <w:marLeft w:val="0"/>
      <w:marRight w:val="0"/>
      <w:marTop w:val="0"/>
      <w:marBottom w:val="0"/>
      <w:divBdr>
        <w:top w:val="none" w:sz="0" w:space="0" w:color="auto"/>
        <w:left w:val="none" w:sz="0" w:space="0" w:color="auto"/>
        <w:bottom w:val="none" w:sz="0" w:space="0" w:color="auto"/>
        <w:right w:val="none" w:sz="0" w:space="0" w:color="auto"/>
      </w:divBdr>
    </w:div>
    <w:div w:id="367923935">
      <w:bodyDiv w:val="1"/>
      <w:marLeft w:val="0"/>
      <w:marRight w:val="0"/>
      <w:marTop w:val="0"/>
      <w:marBottom w:val="0"/>
      <w:divBdr>
        <w:top w:val="none" w:sz="0" w:space="0" w:color="auto"/>
        <w:left w:val="none" w:sz="0" w:space="0" w:color="auto"/>
        <w:bottom w:val="none" w:sz="0" w:space="0" w:color="auto"/>
        <w:right w:val="none" w:sz="0" w:space="0" w:color="auto"/>
      </w:divBdr>
    </w:div>
    <w:div w:id="420611973">
      <w:bodyDiv w:val="1"/>
      <w:marLeft w:val="0"/>
      <w:marRight w:val="0"/>
      <w:marTop w:val="0"/>
      <w:marBottom w:val="0"/>
      <w:divBdr>
        <w:top w:val="none" w:sz="0" w:space="0" w:color="auto"/>
        <w:left w:val="none" w:sz="0" w:space="0" w:color="auto"/>
        <w:bottom w:val="none" w:sz="0" w:space="0" w:color="auto"/>
        <w:right w:val="none" w:sz="0" w:space="0" w:color="auto"/>
      </w:divBdr>
    </w:div>
    <w:div w:id="463280829">
      <w:bodyDiv w:val="1"/>
      <w:marLeft w:val="0"/>
      <w:marRight w:val="0"/>
      <w:marTop w:val="0"/>
      <w:marBottom w:val="0"/>
      <w:divBdr>
        <w:top w:val="none" w:sz="0" w:space="0" w:color="auto"/>
        <w:left w:val="none" w:sz="0" w:space="0" w:color="auto"/>
        <w:bottom w:val="none" w:sz="0" w:space="0" w:color="auto"/>
        <w:right w:val="none" w:sz="0" w:space="0" w:color="auto"/>
      </w:divBdr>
    </w:div>
    <w:div w:id="542210808">
      <w:bodyDiv w:val="1"/>
      <w:marLeft w:val="0"/>
      <w:marRight w:val="0"/>
      <w:marTop w:val="0"/>
      <w:marBottom w:val="0"/>
      <w:divBdr>
        <w:top w:val="none" w:sz="0" w:space="0" w:color="auto"/>
        <w:left w:val="none" w:sz="0" w:space="0" w:color="auto"/>
        <w:bottom w:val="none" w:sz="0" w:space="0" w:color="auto"/>
        <w:right w:val="none" w:sz="0" w:space="0" w:color="auto"/>
      </w:divBdr>
    </w:div>
    <w:div w:id="621231546">
      <w:bodyDiv w:val="1"/>
      <w:marLeft w:val="0"/>
      <w:marRight w:val="0"/>
      <w:marTop w:val="0"/>
      <w:marBottom w:val="0"/>
      <w:divBdr>
        <w:top w:val="none" w:sz="0" w:space="0" w:color="auto"/>
        <w:left w:val="none" w:sz="0" w:space="0" w:color="auto"/>
        <w:bottom w:val="none" w:sz="0" w:space="0" w:color="auto"/>
        <w:right w:val="none" w:sz="0" w:space="0" w:color="auto"/>
      </w:divBdr>
    </w:div>
    <w:div w:id="674961324">
      <w:bodyDiv w:val="1"/>
      <w:marLeft w:val="0"/>
      <w:marRight w:val="0"/>
      <w:marTop w:val="0"/>
      <w:marBottom w:val="0"/>
      <w:divBdr>
        <w:top w:val="none" w:sz="0" w:space="0" w:color="auto"/>
        <w:left w:val="none" w:sz="0" w:space="0" w:color="auto"/>
        <w:bottom w:val="none" w:sz="0" w:space="0" w:color="auto"/>
        <w:right w:val="none" w:sz="0" w:space="0" w:color="auto"/>
      </w:divBdr>
    </w:div>
    <w:div w:id="703020426">
      <w:bodyDiv w:val="1"/>
      <w:marLeft w:val="0"/>
      <w:marRight w:val="0"/>
      <w:marTop w:val="0"/>
      <w:marBottom w:val="0"/>
      <w:divBdr>
        <w:top w:val="none" w:sz="0" w:space="0" w:color="auto"/>
        <w:left w:val="none" w:sz="0" w:space="0" w:color="auto"/>
        <w:bottom w:val="none" w:sz="0" w:space="0" w:color="auto"/>
        <w:right w:val="none" w:sz="0" w:space="0" w:color="auto"/>
      </w:divBdr>
    </w:div>
    <w:div w:id="708996678">
      <w:bodyDiv w:val="1"/>
      <w:marLeft w:val="0"/>
      <w:marRight w:val="0"/>
      <w:marTop w:val="0"/>
      <w:marBottom w:val="0"/>
      <w:divBdr>
        <w:top w:val="none" w:sz="0" w:space="0" w:color="auto"/>
        <w:left w:val="none" w:sz="0" w:space="0" w:color="auto"/>
        <w:bottom w:val="none" w:sz="0" w:space="0" w:color="auto"/>
        <w:right w:val="none" w:sz="0" w:space="0" w:color="auto"/>
      </w:divBdr>
    </w:div>
    <w:div w:id="716592652">
      <w:bodyDiv w:val="1"/>
      <w:marLeft w:val="0"/>
      <w:marRight w:val="0"/>
      <w:marTop w:val="0"/>
      <w:marBottom w:val="0"/>
      <w:divBdr>
        <w:top w:val="none" w:sz="0" w:space="0" w:color="auto"/>
        <w:left w:val="none" w:sz="0" w:space="0" w:color="auto"/>
        <w:bottom w:val="none" w:sz="0" w:space="0" w:color="auto"/>
        <w:right w:val="none" w:sz="0" w:space="0" w:color="auto"/>
      </w:divBdr>
    </w:div>
    <w:div w:id="741411762">
      <w:bodyDiv w:val="1"/>
      <w:marLeft w:val="0"/>
      <w:marRight w:val="0"/>
      <w:marTop w:val="0"/>
      <w:marBottom w:val="0"/>
      <w:divBdr>
        <w:top w:val="none" w:sz="0" w:space="0" w:color="auto"/>
        <w:left w:val="none" w:sz="0" w:space="0" w:color="auto"/>
        <w:bottom w:val="none" w:sz="0" w:space="0" w:color="auto"/>
        <w:right w:val="none" w:sz="0" w:space="0" w:color="auto"/>
      </w:divBdr>
    </w:div>
    <w:div w:id="788208682">
      <w:bodyDiv w:val="1"/>
      <w:marLeft w:val="0"/>
      <w:marRight w:val="0"/>
      <w:marTop w:val="0"/>
      <w:marBottom w:val="0"/>
      <w:divBdr>
        <w:top w:val="none" w:sz="0" w:space="0" w:color="auto"/>
        <w:left w:val="none" w:sz="0" w:space="0" w:color="auto"/>
        <w:bottom w:val="none" w:sz="0" w:space="0" w:color="auto"/>
        <w:right w:val="none" w:sz="0" w:space="0" w:color="auto"/>
      </w:divBdr>
    </w:div>
    <w:div w:id="822508205">
      <w:bodyDiv w:val="1"/>
      <w:marLeft w:val="0"/>
      <w:marRight w:val="0"/>
      <w:marTop w:val="0"/>
      <w:marBottom w:val="0"/>
      <w:divBdr>
        <w:top w:val="none" w:sz="0" w:space="0" w:color="auto"/>
        <w:left w:val="none" w:sz="0" w:space="0" w:color="auto"/>
        <w:bottom w:val="none" w:sz="0" w:space="0" w:color="auto"/>
        <w:right w:val="none" w:sz="0" w:space="0" w:color="auto"/>
      </w:divBdr>
    </w:div>
    <w:div w:id="837841715">
      <w:bodyDiv w:val="1"/>
      <w:marLeft w:val="0"/>
      <w:marRight w:val="0"/>
      <w:marTop w:val="0"/>
      <w:marBottom w:val="0"/>
      <w:divBdr>
        <w:top w:val="none" w:sz="0" w:space="0" w:color="auto"/>
        <w:left w:val="none" w:sz="0" w:space="0" w:color="auto"/>
        <w:bottom w:val="none" w:sz="0" w:space="0" w:color="auto"/>
        <w:right w:val="none" w:sz="0" w:space="0" w:color="auto"/>
      </w:divBdr>
      <w:divsChild>
        <w:div w:id="684525601">
          <w:marLeft w:val="0"/>
          <w:marRight w:val="0"/>
          <w:marTop w:val="0"/>
          <w:marBottom w:val="0"/>
          <w:divBdr>
            <w:top w:val="none" w:sz="0" w:space="0" w:color="auto"/>
            <w:left w:val="none" w:sz="0" w:space="0" w:color="auto"/>
            <w:bottom w:val="none" w:sz="0" w:space="0" w:color="auto"/>
            <w:right w:val="none" w:sz="0" w:space="0" w:color="auto"/>
          </w:divBdr>
        </w:div>
        <w:div w:id="1487549216">
          <w:marLeft w:val="0"/>
          <w:marRight w:val="0"/>
          <w:marTop w:val="0"/>
          <w:marBottom w:val="0"/>
          <w:divBdr>
            <w:top w:val="none" w:sz="0" w:space="0" w:color="auto"/>
            <w:left w:val="none" w:sz="0" w:space="0" w:color="auto"/>
            <w:bottom w:val="none" w:sz="0" w:space="0" w:color="auto"/>
            <w:right w:val="none" w:sz="0" w:space="0" w:color="auto"/>
          </w:divBdr>
        </w:div>
        <w:div w:id="1805998214">
          <w:marLeft w:val="0"/>
          <w:marRight w:val="0"/>
          <w:marTop w:val="0"/>
          <w:marBottom w:val="0"/>
          <w:divBdr>
            <w:top w:val="none" w:sz="0" w:space="0" w:color="auto"/>
            <w:left w:val="none" w:sz="0" w:space="0" w:color="auto"/>
            <w:bottom w:val="none" w:sz="0" w:space="0" w:color="auto"/>
            <w:right w:val="none" w:sz="0" w:space="0" w:color="auto"/>
          </w:divBdr>
        </w:div>
        <w:div w:id="2093506256">
          <w:marLeft w:val="0"/>
          <w:marRight w:val="0"/>
          <w:marTop w:val="0"/>
          <w:marBottom w:val="0"/>
          <w:divBdr>
            <w:top w:val="none" w:sz="0" w:space="0" w:color="auto"/>
            <w:left w:val="none" w:sz="0" w:space="0" w:color="auto"/>
            <w:bottom w:val="none" w:sz="0" w:space="0" w:color="auto"/>
            <w:right w:val="none" w:sz="0" w:space="0" w:color="auto"/>
          </w:divBdr>
        </w:div>
      </w:divsChild>
    </w:div>
    <w:div w:id="851378863">
      <w:bodyDiv w:val="1"/>
      <w:marLeft w:val="0"/>
      <w:marRight w:val="0"/>
      <w:marTop w:val="0"/>
      <w:marBottom w:val="0"/>
      <w:divBdr>
        <w:top w:val="none" w:sz="0" w:space="0" w:color="auto"/>
        <w:left w:val="none" w:sz="0" w:space="0" w:color="auto"/>
        <w:bottom w:val="none" w:sz="0" w:space="0" w:color="auto"/>
        <w:right w:val="none" w:sz="0" w:space="0" w:color="auto"/>
      </w:divBdr>
    </w:div>
    <w:div w:id="966928518">
      <w:bodyDiv w:val="1"/>
      <w:marLeft w:val="0"/>
      <w:marRight w:val="0"/>
      <w:marTop w:val="0"/>
      <w:marBottom w:val="0"/>
      <w:divBdr>
        <w:top w:val="none" w:sz="0" w:space="0" w:color="auto"/>
        <w:left w:val="none" w:sz="0" w:space="0" w:color="auto"/>
        <w:bottom w:val="none" w:sz="0" w:space="0" w:color="auto"/>
        <w:right w:val="none" w:sz="0" w:space="0" w:color="auto"/>
      </w:divBdr>
    </w:div>
    <w:div w:id="1017200513">
      <w:bodyDiv w:val="1"/>
      <w:marLeft w:val="0"/>
      <w:marRight w:val="0"/>
      <w:marTop w:val="0"/>
      <w:marBottom w:val="0"/>
      <w:divBdr>
        <w:top w:val="none" w:sz="0" w:space="0" w:color="auto"/>
        <w:left w:val="none" w:sz="0" w:space="0" w:color="auto"/>
        <w:bottom w:val="none" w:sz="0" w:space="0" w:color="auto"/>
        <w:right w:val="none" w:sz="0" w:space="0" w:color="auto"/>
      </w:divBdr>
    </w:div>
    <w:div w:id="1021668869">
      <w:bodyDiv w:val="1"/>
      <w:marLeft w:val="0"/>
      <w:marRight w:val="0"/>
      <w:marTop w:val="0"/>
      <w:marBottom w:val="0"/>
      <w:divBdr>
        <w:top w:val="none" w:sz="0" w:space="0" w:color="auto"/>
        <w:left w:val="none" w:sz="0" w:space="0" w:color="auto"/>
        <w:bottom w:val="none" w:sz="0" w:space="0" w:color="auto"/>
        <w:right w:val="none" w:sz="0" w:space="0" w:color="auto"/>
      </w:divBdr>
    </w:div>
    <w:div w:id="1037198960">
      <w:bodyDiv w:val="1"/>
      <w:marLeft w:val="0"/>
      <w:marRight w:val="0"/>
      <w:marTop w:val="0"/>
      <w:marBottom w:val="0"/>
      <w:divBdr>
        <w:top w:val="none" w:sz="0" w:space="0" w:color="auto"/>
        <w:left w:val="none" w:sz="0" w:space="0" w:color="auto"/>
        <w:bottom w:val="none" w:sz="0" w:space="0" w:color="auto"/>
        <w:right w:val="none" w:sz="0" w:space="0" w:color="auto"/>
      </w:divBdr>
    </w:div>
    <w:div w:id="1063944113">
      <w:bodyDiv w:val="1"/>
      <w:marLeft w:val="0"/>
      <w:marRight w:val="0"/>
      <w:marTop w:val="0"/>
      <w:marBottom w:val="0"/>
      <w:divBdr>
        <w:top w:val="none" w:sz="0" w:space="0" w:color="auto"/>
        <w:left w:val="none" w:sz="0" w:space="0" w:color="auto"/>
        <w:bottom w:val="none" w:sz="0" w:space="0" w:color="auto"/>
        <w:right w:val="none" w:sz="0" w:space="0" w:color="auto"/>
      </w:divBdr>
    </w:div>
    <w:div w:id="1119035624">
      <w:bodyDiv w:val="1"/>
      <w:marLeft w:val="0"/>
      <w:marRight w:val="0"/>
      <w:marTop w:val="0"/>
      <w:marBottom w:val="0"/>
      <w:divBdr>
        <w:top w:val="none" w:sz="0" w:space="0" w:color="auto"/>
        <w:left w:val="none" w:sz="0" w:space="0" w:color="auto"/>
        <w:bottom w:val="none" w:sz="0" w:space="0" w:color="auto"/>
        <w:right w:val="none" w:sz="0" w:space="0" w:color="auto"/>
      </w:divBdr>
    </w:div>
    <w:div w:id="1185023742">
      <w:bodyDiv w:val="1"/>
      <w:marLeft w:val="0"/>
      <w:marRight w:val="0"/>
      <w:marTop w:val="0"/>
      <w:marBottom w:val="0"/>
      <w:divBdr>
        <w:top w:val="none" w:sz="0" w:space="0" w:color="auto"/>
        <w:left w:val="none" w:sz="0" w:space="0" w:color="auto"/>
        <w:bottom w:val="none" w:sz="0" w:space="0" w:color="auto"/>
        <w:right w:val="none" w:sz="0" w:space="0" w:color="auto"/>
      </w:divBdr>
    </w:div>
    <w:div w:id="1185174824">
      <w:bodyDiv w:val="1"/>
      <w:marLeft w:val="0"/>
      <w:marRight w:val="0"/>
      <w:marTop w:val="0"/>
      <w:marBottom w:val="0"/>
      <w:divBdr>
        <w:top w:val="none" w:sz="0" w:space="0" w:color="auto"/>
        <w:left w:val="none" w:sz="0" w:space="0" w:color="auto"/>
        <w:bottom w:val="none" w:sz="0" w:space="0" w:color="auto"/>
        <w:right w:val="none" w:sz="0" w:space="0" w:color="auto"/>
      </w:divBdr>
    </w:div>
    <w:div w:id="1195775329">
      <w:bodyDiv w:val="1"/>
      <w:marLeft w:val="0"/>
      <w:marRight w:val="0"/>
      <w:marTop w:val="0"/>
      <w:marBottom w:val="0"/>
      <w:divBdr>
        <w:top w:val="none" w:sz="0" w:space="0" w:color="auto"/>
        <w:left w:val="none" w:sz="0" w:space="0" w:color="auto"/>
        <w:bottom w:val="none" w:sz="0" w:space="0" w:color="auto"/>
        <w:right w:val="none" w:sz="0" w:space="0" w:color="auto"/>
      </w:divBdr>
    </w:div>
    <w:div w:id="1335840593">
      <w:bodyDiv w:val="1"/>
      <w:marLeft w:val="0"/>
      <w:marRight w:val="0"/>
      <w:marTop w:val="0"/>
      <w:marBottom w:val="0"/>
      <w:divBdr>
        <w:top w:val="none" w:sz="0" w:space="0" w:color="auto"/>
        <w:left w:val="none" w:sz="0" w:space="0" w:color="auto"/>
        <w:bottom w:val="none" w:sz="0" w:space="0" w:color="auto"/>
        <w:right w:val="none" w:sz="0" w:space="0" w:color="auto"/>
      </w:divBdr>
      <w:divsChild>
        <w:div w:id="1093550547">
          <w:marLeft w:val="0"/>
          <w:marRight w:val="0"/>
          <w:marTop w:val="0"/>
          <w:marBottom w:val="0"/>
          <w:divBdr>
            <w:top w:val="none" w:sz="0" w:space="0" w:color="auto"/>
            <w:left w:val="none" w:sz="0" w:space="0" w:color="auto"/>
            <w:bottom w:val="none" w:sz="0" w:space="0" w:color="auto"/>
            <w:right w:val="none" w:sz="0" w:space="0" w:color="auto"/>
          </w:divBdr>
        </w:div>
        <w:div w:id="1206024759">
          <w:marLeft w:val="0"/>
          <w:marRight w:val="0"/>
          <w:marTop w:val="0"/>
          <w:marBottom w:val="0"/>
          <w:divBdr>
            <w:top w:val="none" w:sz="0" w:space="0" w:color="auto"/>
            <w:left w:val="none" w:sz="0" w:space="0" w:color="auto"/>
            <w:bottom w:val="none" w:sz="0" w:space="0" w:color="auto"/>
            <w:right w:val="none" w:sz="0" w:space="0" w:color="auto"/>
          </w:divBdr>
        </w:div>
        <w:div w:id="1327324830">
          <w:marLeft w:val="0"/>
          <w:marRight w:val="0"/>
          <w:marTop w:val="0"/>
          <w:marBottom w:val="0"/>
          <w:divBdr>
            <w:top w:val="none" w:sz="0" w:space="0" w:color="auto"/>
            <w:left w:val="none" w:sz="0" w:space="0" w:color="auto"/>
            <w:bottom w:val="none" w:sz="0" w:space="0" w:color="auto"/>
            <w:right w:val="none" w:sz="0" w:space="0" w:color="auto"/>
          </w:divBdr>
        </w:div>
        <w:div w:id="1901821229">
          <w:marLeft w:val="0"/>
          <w:marRight w:val="0"/>
          <w:marTop w:val="0"/>
          <w:marBottom w:val="0"/>
          <w:divBdr>
            <w:top w:val="none" w:sz="0" w:space="0" w:color="auto"/>
            <w:left w:val="none" w:sz="0" w:space="0" w:color="auto"/>
            <w:bottom w:val="none" w:sz="0" w:space="0" w:color="auto"/>
            <w:right w:val="none" w:sz="0" w:space="0" w:color="auto"/>
          </w:divBdr>
        </w:div>
      </w:divsChild>
    </w:div>
    <w:div w:id="1350369806">
      <w:bodyDiv w:val="1"/>
      <w:marLeft w:val="0"/>
      <w:marRight w:val="0"/>
      <w:marTop w:val="0"/>
      <w:marBottom w:val="0"/>
      <w:divBdr>
        <w:top w:val="none" w:sz="0" w:space="0" w:color="auto"/>
        <w:left w:val="none" w:sz="0" w:space="0" w:color="auto"/>
        <w:bottom w:val="none" w:sz="0" w:space="0" w:color="auto"/>
        <w:right w:val="none" w:sz="0" w:space="0" w:color="auto"/>
      </w:divBdr>
    </w:div>
    <w:div w:id="1426875959">
      <w:bodyDiv w:val="1"/>
      <w:marLeft w:val="0"/>
      <w:marRight w:val="0"/>
      <w:marTop w:val="0"/>
      <w:marBottom w:val="0"/>
      <w:divBdr>
        <w:top w:val="none" w:sz="0" w:space="0" w:color="auto"/>
        <w:left w:val="none" w:sz="0" w:space="0" w:color="auto"/>
        <w:bottom w:val="none" w:sz="0" w:space="0" w:color="auto"/>
        <w:right w:val="none" w:sz="0" w:space="0" w:color="auto"/>
      </w:divBdr>
    </w:div>
    <w:div w:id="1438410234">
      <w:bodyDiv w:val="1"/>
      <w:marLeft w:val="0"/>
      <w:marRight w:val="0"/>
      <w:marTop w:val="0"/>
      <w:marBottom w:val="0"/>
      <w:divBdr>
        <w:top w:val="none" w:sz="0" w:space="0" w:color="auto"/>
        <w:left w:val="none" w:sz="0" w:space="0" w:color="auto"/>
        <w:bottom w:val="none" w:sz="0" w:space="0" w:color="auto"/>
        <w:right w:val="none" w:sz="0" w:space="0" w:color="auto"/>
      </w:divBdr>
    </w:div>
    <w:div w:id="1496264832">
      <w:bodyDiv w:val="1"/>
      <w:marLeft w:val="0"/>
      <w:marRight w:val="0"/>
      <w:marTop w:val="0"/>
      <w:marBottom w:val="0"/>
      <w:divBdr>
        <w:top w:val="none" w:sz="0" w:space="0" w:color="auto"/>
        <w:left w:val="none" w:sz="0" w:space="0" w:color="auto"/>
        <w:bottom w:val="none" w:sz="0" w:space="0" w:color="auto"/>
        <w:right w:val="none" w:sz="0" w:space="0" w:color="auto"/>
      </w:divBdr>
    </w:div>
    <w:div w:id="1502505939">
      <w:bodyDiv w:val="1"/>
      <w:marLeft w:val="0"/>
      <w:marRight w:val="0"/>
      <w:marTop w:val="0"/>
      <w:marBottom w:val="0"/>
      <w:divBdr>
        <w:top w:val="none" w:sz="0" w:space="0" w:color="auto"/>
        <w:left w:val="none" w:sz="0" w:space="0" w:color="auto"/>
        <w:bottom w:val="none" w:sz="0" w:space="0" w:color="auto"/>
        <w:right w:val="none" w:sz="0" w:space="0" w:color="auto"/>
      </w:divBdr>
    </w:div>
    <w:div w:id="1528447837">
      <w:bodyDiv w:val="1"/>
      <w:marLeft w:val="0"/>
      <w:marRight w:val="0"/>
      <w:marTop w:val="0"/>
      <w:marBottom w:val="0"/>
      <w:divBdr>
        <w:top w:val="none" w:sz="0" w:space="0" w:color="auto"/>
        <w:left w:val="none" w:sz="0" w:space="0" w:color="auto"/>
        <w:bottom w:val="none" w:sz="0" w:space="0" w:color="auto"/>
        <w:right w:val="none" w:sz="0" w:space="0" w:color="auto"/>
      </w:divBdr>
    </w:div>
    <w:div w:id="1531722864">
      <w:bodyDiv w:val="1"/>
      <w:marLeft w:val="0"/>
      <w:marRight w:val="0"/>
      <w:marTop w:val="0"/>
      <w:marBottom w:val="0"/>
      <w:divBdr>
        <w:top w:val="none" w:sz="0" w:space="0" w:color="auto"/>
        <w:left w:val="none" w:sz="0" w:space="0" w:color="auto"/>
        <w:bottom w:val="none" w:sz="0" w:space="0" w:color="auto"/>
        <w:right w:val="none" w:sz="0" w:space="0" w:color="auto"/>
      </w:divBdr>
    </w:div>
    <w:div w:id="1589076464">
      <w:bodyDiv w:val="1"/>
      <w:marLeft w:val="0"/>
      <w:marRight w:val="0"/>
      <w:marTop w:val="0"/>
      <w:marBottom w:val="0"/>
      <w:divBdr>
        <w:top w:val="none" w:sz="0" w:space="0" w:color="auto"/>
        <w:left w:val="none" w:sz="0" w:space="0" w:color="auto"/>
        <w:bottom w:val="none" w:sz="0" w:space="0" w:color="auto"/>
        <w:right w:val="none" w:sz="0" w:space="0" w:color="auto"/>
      </w:divBdr>
    </w:div>
    <w:div w:id="1622807589">
      <w:bodyDiv w:val="1"/>
      <w:marLeft w:val="0"/>
      <w:marRight w:val="0"/>
      <w:marTop w:val="0"/>
      <w:marBottom w:val="0"/>
      <w:divBdr>
        <w:top w:val="none" w:sz="0" w:space="0" w:color="auto"/>
        <w:left w:val="none" w:sz="0" w:space="0" w:color="auto"/>
        <w:bottom w:val="none" w:sz="0" w:space="0" w:color="auto"/>
        <w:right w:val="none" w:sz="0" w:space="0" w:color="auto"/>
      </w:divBdr>
    </w:div>
    <w:div w:id="1640378340">
      <w:bodyDiv w:val="1"/>
      <w:marLeft w:val="0"/>
      <w:marRight w:val="0"/>
      <w:marTop w:val="0"/>
      <w:marBottom w:val="0"/>
      <w:divBdr>
        <w:top w:val="none" w:sz="0" w:space="0" w:color="auto"/>
        <w:left w:val="none" w:sz="0" w:space="0" w:color="auto"/>
        <w:bottom w:val="none" w:sz="0" w:space="0" w:color="auto"/>
        <w:right w:val="none" w:sz="0" w:space="0" w:color="auto"/>
      </w:divBdr>
    </w:div>
    <w:div w:id="1704280147">
      <w:bodyDiv w:val="1"/>
      <w:marLeft w:val="0"/>
      <w:marRight w:val="0"/>
      <w:marTop w:val="0"/>
      <w:marBottom w:val="0"/>
      <w:divBdr>
        <w:top w:val="none" w:sz="0" w:space="0" w:color="auto"/>
        <w:left w:val="none" w:sz="0" w:space="0" w:color="auto"/>
        <w:bottom w:val="none" w:sz="0" w:space="0" w:color="auto"/>
        <w:right w:val="none" w:sz="0" w:space="0" w:color="auto"/>
      </w:divBdr>
    </w:div>
    <w:div w:id="1717048265">
      <w:bodyDiv w:val="1"/>
      <w:marLeft w:val="0"/>
      <w:marRight w:val="0"/>
      <w:marTop w:val="0"/>
      <w:marBottom w:val="0"/>
      <w:divBdr>
        <w:top w:val="none" w:sz="0" w:space="0" w:color="auto"/>
        <w:left w:val="none" w:sz="0" w:space="0" w:color="auto"/>
        <w:bottom w:val="none" w:sz="0" w:space="0" w:color="auto"/>
        <w:right w:val="none" w:sz="0" w:space="0" w:color="auto"/>
      </w:divBdr>
    </w:div>
    <w:div w:id="1728139759">
      <w:bodyDiv w:val="1"/>
      <w:marLeft w:val="0"/>
      <w:marRight w:val="0"/>
      <w:marTop w:val="0"/>
      <w:marBottom w:val="0"/>
      <w:divBdr>
        <w:top w:val="none" w:sz="0" w:space="0" w:color="auto"/>
        <w:left w:val="none" w:sz="0" w:space="0" w:color="auto"/>
        <w:bottom w:val="none" w:sz="0" w:space="0" w:color="auto"/>
        <w:right w:val="none" w:sz="0" w:space="0" w:color="auto"/>
      </w:divBdr>
    </w:div>
    <w:div w:id="1764373859">
      <w:bodyDiv w:val="1"/>
      <w:marLeft w:val="0"/>
      <w:marRight w:val="0"/>
      <w:marTop w:val="0"/>
      <w:marBottom w:val="0"/>
      <w:divBdr>
        <w:top w:val="none" w:sz="0" w:space="0" w:color="auto"/>
        <w:left w:val="none" w:sz="0" w:space="0" w:color="auto"/>
        <w:bottom w:val="none" w:sz="0" w:space="0" w:color="auto"/>
        <w:right w:val="none" w:sz="0" w:space="0" w:color="auto"/>
      </w:divBdr>
    </w:div>
    <w:div w:id="1827429823">
      <w:bodyDiv w:val="1"/>
      <w:marLeft w:val="0"/>
      <w:marRight w:val="0"/>
      <w:marTop w:val="0"/>
      <w:marBottom w:val="0"/>
      <w:divBdr>
        <w:top w:val="none" w:sz="0" w:space="0" w:color="auto"/>
        <w:left w:val="none" w:sz="0" w:space="0" w:color="auto"/>
        <w:bottom w:val="none" w:sz="0" w:space="0" w:color="auto"/>
        <w:right w:val="none" w:sz="0" w:space="0" w:color="auto"/>
      </w:divBdr>
    </w:div>
    <w:div w:id="1868248647">
      <w:bodyDiv w:val="1"/>
      <w:marLeft w:val="0"/>
      <w:marRight w:val="0"/>
      <w:marTop w:val="0"/>
      <w:marBottom w:val="0"/>
      <w:divBdr>
        <w:top w:val="none" w:sz="0" w:space="0" w:color="auto"/>
        <w:left w:val="none" w:sz="0" w:space="0" w:color="auto"/>
        <w:bottom w:val="none" w:sz="0" w:space="0" w:color="auto"/>
        <w:right w:val="none" w:sz="0" w:space="0" w:color="auto"/>
      </w:divBdr>
    </w:div>
    <w:div w:id="1893080065">
      <w:bodyDiv w:val="1"/>
      <w:marLeft w:val="0"/>
      <w:marRight w:val="0"/>
      <w:marTop w:val="0"/>
      <w:marBottom w:val="0"/>
      <w:divBdr>
        <w:top w:val="none" w:sz="0" w:space="0" w:color="auto"/>
        <w:left w:val="none" w:sz="0" w:space="0" w:color="auto"/>
        <w:bottom w:val="none" w:sz="0" w:space="0" w:color="auto"/>
        <w:right w:val="none" w:sz="0" w:space="0" w:color="auto"/>
      </w:divBdr>
    </w:div>
    <w:div w:id="1923103631">
      <w:bodyDiv w:val="1"/>
      <w:marLeft w:val="0"/>
      <w:marRight w:val="0"/>
      <w:marTop w:val="0"/>
      <w:marBottom w:val="0"/>
      <w:divBdr>
        <w:top w:val="none" w:sz="0" w:space="0" w:color="auto"/>
        <w:left w:val="none" w:sz="0" w:space="0" w:color="auto"/>
        <w:bottom w:val="none" w:sz="0" w:space="0" w:color="auto"/>
        <w:right w:val="none" w:sz="0" w:space="0" w:color="auto"/>
      </w:divBdr>
    </w:div>
    <w:div w:id="1928728124">
      <w:bodyDiv w:val="1"/>
      <w:marLeft w:val="0"/>
      <w:marRight w:val="0"/>
      <w:marTop w:val="0"/>
      <w:marBottom w:val="0"/>
      <w:divBdr>
        <w:top w:val="none" w:sz="0" w:space="0" w:color="auto"/>
        <w:left w:val="none" w:sz="0" w:space="0" w:color="auto"/>
        <w:bottom w:val="none" w:sz="0" w:space="0" w:color="auto"/>
        <w:right w:val="none" w:sz="0" w:space="0" w:color="auto"/>
      </w:divBdr>
    </w:div>
    <w:div w:id="2025546035">
      <w:bodyDiv w:val="1"/>
      <w:marLeft w:val="0"/>
      <w:marRight w:val="0"/>
      <w:marTop w:val="0"/>
      <w:marBottom w:val="0"/>
      <w:divBdr>
        <w:top w:val="none" w:sz="0" w:space="0" w:color="auto"/>
        <w:left w:val="none" w:sz="0" w:space="0" w:color="auto"/>
        <w:bottom w:val="none" w:sz="0" w:space="0" w:color="auto"/>
        <w:right w:val="none" w:sz="0" w:space="0" w:color="auto"/>
      </w:divBdr>
    </w:div>
    <w:div w:id="2026396846">
      <w:bodyDiv w:val="1"/>
      <w:marLeft w:val="0"/>
      <w:marRight w:val="0"/>
      <w:marTop w:val="0"/>
      <w:marBottom w:val="0"/>
      <w:divBdr>
        <w:top w:val="none" w:sz="0" w:space="0" w:color="auto"/>
        <w:left w:val="none" w:sz="0" w:space="0" w:color="auto"/>
        <w:bottom w:val="none" w:sz="0" w:space="0" w:color="auto"/>
        <w:right w:val="none" w:sz="0" w:space="0" w:color="auto"/>
      </w:divBdr>
    </w:div>
    <w:div w:id="2050759292">
      <w:bodyDiv w:val="1"/>
      <w:marLeft w:val="0"/>
      <w:marRight w:val="0"/>
      <w:marTop w:val="0"/>
      <w:marBottom w:val="0"/>
      <w:divBdr>
        <w:top w:val="none" w:sz="0" w:space="0" w:color="auto"/>
        <w:left w:val="none" w:sz="0" w:space="0" w:color="auto"/>
        <w:bottom w:val="none" w:sz="0" w:space="0" w:color="auto"/>
        <w:right w:val="none" w:sz="0" w:space="0" w:color="auto"/>
      </w:divBdr>
    </w:div>
    <w:div w:id="2057267454">
      <w:bodyDiv w:val="1"/>
      <w:marLeft w:val="0"/>
      <w:marRight w:val="0"/>
      <w:marTop w:val="0"/>
      <w:marBottom w:val="0"/>
      <w:divBdr>
        <w:top w:val="none" w:sz="0" w:space="0" w:color="auto"/>
        <w:left w:val="none" w:sz="0" w:space="0" w:color="auto"/>
        <w:bottom w:val="none" w:sz="0" w:space="0" w:color="auto"/>
        <w:right w:val="none" w:sz="0" w:space="0" w:color="auto"/>
      </w:divBdr>
    </w:div>
    <w:div w:id="2063402398">
      <w:bodyDiv w:val="1"/>
      <w:marLeft w:val="0"/>
      <w:marRight w:val="0"/>
      <w:marTop w:val="0"/>
      <w:marBottom w:val="0"/>
      <w:divBdr>
        <w:top w:val="none" w:sz="0" w:space="0" w:color="auto"/>
        <w:left w:val="none" w:sz="0" w:space="0" w:color="auto"/>
        <w:bottom w:val="none" w:sz="0" w:space="0" w:color="auto"/>
        <w:right w:val="none" w:sz="0" w:space="0" w:color="auto"/>
      </w:divBdr>
    </w:div>
    <w:div w:id="2092461980">
      <w:bodyDiv w:val="1"/>
      <w:marLeft w:val="0"/>
      <w:marRight w:val="0"/>
      <w:marTop w:val="0"/>
      <w:marBottom w:val="0"/>
      <w:divBdr>
        <w:top w:val="none" w:sz="0" w:space="0" w:color="auto"/>
        <w:left w:val="none" w:sz="0" w:space="0" w:color="auto"/>
        <w:bottom w:val="none" w:sz="0" w:space="0" w:color="auto"/>
        <w:right w:val="none" w:sz="0" w:space="0" w:color="auto"/>
      </w:divBdr>
    </w:div>
    <w:div w:id="2099784461">
      <w:bodyDiv w:val="1"/>
      <w:marLeft w:val="0"/>
      <w:marRight w:val="0"/>
      <w:marTop w:val="0"/>
      <w:marBottom w:val="0"/>
      <w:divBdr>
        <w:top w:val="none" w:sz="0" w:space="0" w:color="auto"/>
        <w:left w:val="none" w:sz="0" w:space="0" w:color="auto"/>
        <w:bottom w:val="none" w:sz="0" w:space="0" w:color="auto"/>
        <w:right w:val="none" w:sz="0" w:space="0" w:color="auto"/>
      </w:divBdr>
    </w:div>
    <w:div w:id="2118600891">
      <w:bodyDiv w:val="1"/>
      <w:marLeft w:val="0"/>
      <w:marRight w:val="0"/>
      <w:marTop w:val="0"/>
      <w:marBottom w:val="0"/>
      <w:divBdr>
        <w:top w:val="none" w:sz="0" w:space="0" w:color="auto"/>
        <w:left w:val="none" w:sz="0" w:space="0" w:color="auto"/>
        <w:bottom w:val="none" w:sz="0" w:space="0" w:color="auto"/>
        <w:right w:val="none" w:sz="0" w:space="0" w:color="auto"/>
      </w:divBdr>
    </w:div>
    <w:div w:id="21342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Par%C3%A9ntes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s.wikipedia.org/wiki/Par%C3%A9ntesis" TargetMode="External"/><Relationship Id="rId17" Type="http://schemas.openxmlformats.org/officeDocument/2006/relationships/hyperlink" Target="http://es.wikipedia.org/wiki/Par%C3%A9ntesis" TargetMode="External"/><Relationship Id="rId2" Type="http://schemas.openxmlformats.org/officeDocument/2006/relationships/numbering" Target="numbering.xml"/><Relationship Id="rId16" Type="http://schemas.openxmlformats.org/officeDocument/2006/relationships/hyperlink" Target="http://es.wikipedia.org/wiki/Par%C3%A9ntes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Par%C3%A9ntesis" TargetMode="External"/><Relationship Id="rId5" Type="http://schemas.openxmlformats.org/officeDocument/2006/relationships/settings" Target="settings.xml"/><Relationship Id="rId15" Type="http://schemas.openxmlformats.org/officeDocument/2006/relationships/hyperlink" Target="http://es.wikipedia.org/wiki/Par%C3%A9ntesis" TargetMode="External"/><Relationship Id="rId10" Type="http://schemas.openxmlformats.org/officeDocument/2006/relationships/hyperlink" Target="http://es.wikipedia.org/wiki/Par%C3%A9ntesi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s.wikipedia.org/wiki/Par%C3%A9ntesis" TargetMode="External"/><Relationship Id="rId14" Type="http://schemas.openxmlformats.org/officeDocument/2006/relationships/hyperlink" Target="http://es.wikipedia.org/wiki/Par%C3%A9ntesi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orkers.org/ww/2002/nicaletter0502.php" TargetMode="External"/><Relationship Id="rId13" Type="http://schemas.openxmlformats.org/officeDocument/2006/relationships/hyperlink" Target="http://www.cidh.org/medidas/2008.sp.htm" TargetMode="External"/><Relationship Id="rId3" Type="http://schemas.openxmlformats.org/officeDocument/2006/relationships/hyperlink" Target="http://www.corteidh.or.cr/docs/asuntos/acosta_02_09_16.pdf" TargetMode="External"/><Relationship Id="rId7" Type="http://schemas.openxmlformats.org/officeDocument/2006/relationships/hyperlink" Target="http://www.workers.org/ww/2002/nicaletter0502.php" TargetMode="External"/><Relationship Id="rId12" Type="http://schemas.openxmlformats.org/officeDocument/2006/relationships/hyperlink" Target="http://joomla.corteidh.or.cr:8080/joomla/es/casos-contenciosos/38-jurisprudencia/1572-corte-idh-caso-gonzalez-medina-y-familiares-vs-republica-dominicana-excepciones-preliminares-fondo-reparaciones-y-costas-sentencia-de-27-de-febrero-de-2012-serie-c-no-240" TargetMode="External"/><Relationship Id="rId2" Type="http://schemas.openxmlformats.org/officeDocument/2006/relationships/hyperlink" Target="http://www.corteidh.or.cr/docs/asuntos/acosta_fv_16.pdf" TargetMode="External"/><Relationship Id="rId1" Type="http://schemas.openxmlformats.org/officeDocument/2006/relationships/hyperlink" Target="http://www.cidh.oas.org/annualrep/2010sp/indice2010.htm" TargetMode="External"/><Relationship Id="rId6" Type="http://schemas.openxmlformats.org/officeDocument/2006/relationships/hyperlink" Target="http://www.corteidh.or.cr/docs/asuntos/acosta_20_10_16.pdf" TargetMode="External"/><Relationship Id="rId11" Type="http://schemas.openxmlformats.org/officeDocument/2006/relationships/hyperlink" Target="http://www.oas.org/es/cidh/defensores/docs/pdf/defensores2011.pdf" TargetMode="External"/><Relationship Id="rId5" Type="http://schemas.openxmlformats.org/officeDocument/2006/relationships/hyperlink" Target="https://vimeo.com/186445710" TargetMode="External"/><Relationship Id="rId10" Type="http://schemas.openxmlformats.org/officeDocument/2006/relationships/hyperlink" Target="http://www.ohchr.org/Documents/Publications/FactSheet29sp.pdf" TargetMode="External"/><Relationship Id="rId4" Type="http://schemas.openxmlformats.org/officeDocument/2006/relationships/hyperlink" Target="http://www.corteidh.or.cr/docs/asuntos/acosta_28_09_16.pdf" TargetMode="External"/><Relationship Id="rId9" Type="http://schemas.openxmlformats.org/officeDocument/2006/relationships/hyperlink" Target="http://www.hartford-hwp.com/archives/47/402.html" TargetMode="External"/><Relationship Id="rId14" Type="http://schemas.openxmlformats.org/officeDocument/2006/relationships/hyperlink" Target="http://www.corteidh.or.cr/docs/medidas/miskitu_se_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2AD3C-789D-4D71-9DBC-FEB88498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30286</Words>
  <Characters>166578</Characters>
  <Application>Microsoft Office Word</Application>
  <DocSecurity>4</DocSecurity>
  <Lines>1388</Lines>
  <Paragraphs>392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CORTEIDH</cp:lastModifiedBy>
  <cp:revision>2</cp:revision>
  <cp:lastPrinted>2016-11-10T23:47:00Z</cp:lastPrinted>
  <dcterms:created xsi:type="dcterms:W3CDTF">2017-04-28T23:48:00Z</dcterms:created>
  <dcterms:modified xsi:type="dcterms:W3CDTF">2017-04-28T23:48:00Z</dcterms:modified>
</cp:coreProperties>
</file>